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Price Accuracy Incident Report</w:t>
      </w:r>
    </w:p>
    <w:p>
      <w:r>
        <w:rPr>
          <w:b/>
        </w:rPr>
        <w:t>District of Columbia • RG-2026-0064 • Built 2026-08-22</w:t>
      </w:r>
    </w:p>
    <w:p>
      <w:pPr>
        <w:pStyle w:val="Quote"/>
      </w:pPr>
      <w:r>
        <w:t>SIMULATION ONLY. This record is synthetic and is not legal advice. Legal conclusions and remedies require current, jurisdiction-specific attorney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Incident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RG-2026-0064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Store / lane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DC-0311 / SCO-04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Transaction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TX-DC-000338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Timestamp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2026-08-18T13:23:00Z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Channel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Self-checkout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Open — legal and control review</w:t>
            </w:r>
          </w:p>
        </w:tc>
      </w:tr>
    </w:tbl>
    <w:p>
      <w:pPr>
        <w:pStyle w:val="Heading1"/>
      </w:pPr>
      <w:r>
        <w:t>Executive finding</w:t>
      </w:r>
    </w:p>
    <w:p>
      <w:r>
        <w:t>The evidence indicates three distinct price-integrity failures: a probable duplicate scan of $4.75, a shelf-to-register mismatch of $0.50, and a packaged-weight variance from 1.50 lb labeled to 1.64 lb charged. The duplicate charge must not be described as a confirmed system defect until terminal logs and video are preserved and reviewed.</w:t>
      </w:r>
    </w:p>
    <w:p>
      <w:pPr>
        <w:pStyle w:val="Heading1"/>
      </w:pPr>
      <w:r>
        <w:t>Preservation and investigation</w:t>
      </w:r>
    </w:p>
    <w:p>
      <w:pPr>
        <w:pStyle w:val="ListBullet"/>
      </w:pPr>
      <w:r>
        <w:t>Preserve the receipt, terminal event stream, catalog and promotional-price snapshots, scale calibration logs, shelf-label photographs, refund contacts, relevant video, change tickets, and audit results.</w:t>
      </w:r>
    </w:p>
    <w:p>
      <w:pPr>
        <w:pStyle w:val="ListBullet"/>
      </w:pPr>
      <w:r>
        <w:t>Separate duplicate-scan, advertised-price, and net-weight theories; calculate transaction-level amounts without extrapolating a class until the population query is validated.</w:t>
      </w:r>
    </w:p>
    <w:p>
      <w:pPr>
        <w:pStyle w:val="ListBullet"/>
      </w:pPr>
      <w:r>
        <w:t>Apply a litigation hold to the incident window and document custodians; record chain of custody and hashes for exported evidence.</w:t>
      </w:r>
    </w:p>
    <w:p>
      <w:pPr>
        <w:pStyle w:val="ListBullet"/>
      </w:pPr>
      <w:r>
        <w:t>Escalate any systemic pattern, regulator contact, threatened aggregate claim, or statutory-bonus question to qualified counsel.</w:t>
      </w:r>
    </w:p>
    <w:p>
      <w:pPr>
        <w:pStyle w:val="Heading1"/>
      </w:pPr>
      <w:r>
        <w:t>Root-cause hypothesis</w:t>
      </w:r>
    </w:p>
    <w:p>
      <w:r>
        <w:t>A unit-price label mapped to a stale item record and a rapid rescan was not challenged.</w:t>
      </w:r>
    </w:p>
    <w:p>
      <w:pPr>
        <w:pStyle w:val="Heading1"/>
      </w:pPr>
      <w:r>
        <w:t>Immediate customer remediation</w:t>
      </w:r>
    </w:p>
    <w:p>
      <w:r>
        <w:t>Promptly review the customer's evidence, refund every verified overcharge through the original or otherwise lawful payment method, separately apply any validated jurisdiction-specific remedy, and issue a notice that does not waive or limit statutory rights. Do not require a release for an ordinary price correction.</w:t>
      </w:r>
    </w:p>
    <w:p>
      <w:pPr>
        <w:pStyle w:val="Heading1"/>
      </w:pPr>
      <w:r>
        <w:t>Legal triage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Research tier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udap_and_unit_price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Primary authority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D.C. Code §§ 28-3904, 28-5207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Triage standard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Avoid material price misrepresentation and display unit pricing clearly and non-deceptively where applicable.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Validation flag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Attorney validation required before implementation</w:t>
            </w:r>
          </w:p>
        </w:tc>
      </w:tr>
    </w:tbl>
    <w:p>
      <w:pPr>
        <w:pStyle w:val="Heading1"/>
      </w:pPr>
      <w:r>
        <w:t>Non-conclusion</w:t>
      </w:r>
    </w:p>
    <w:p>
      <w:r>
        <w:t>Receipt language and contract terms cannot ensure that a retailer will not be sued. The control objective is accurate charging, rapid detection, complete remediation, preserved evidence, and non-misleading communication.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Simulation only • synthetic parties and transactions •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RETAILGUARD / SYNTHETIC EVIDENCE / DC-PRICE-001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6B4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