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Price Accuracy &amp; Self-Checkout Policy</w:t>
      </w:r>
    </w:p>
    <w:p>
      <w:r>
        <w:rPr>
          <w:b/>
        </w:rPr>
        <w:t>Michigan • RG-2026-0051 • Built 2026-08-22</w:t>
      </w:r>
    </w:p>
    <w:p>
      <w:pPr>
        <w:pStyle w:val="Quote"/>
      </w:pPr>
      <w:r>
        <w:t>SIMULATION ONLY. This record is synthetic and is not legal advice. Legal conclusions and remedies require current, jurisdiction-specific attorney review.</w:t>
      </w:r>
    </w:p>
    <w:p>
      <w:pPr>
        <w:pStyle w:val="Heading1"/>
      </w:pPr>
      <w:r>
        <w:t>1. Purpose and scope</w:t>
      </w:r>
    </w:p>
    <w:p>
      <w:r>
        <w:t>This policy governs displayed prices, item scans, weights, receipts, refunds, audit evidence, and customer communications for staffed and self-checkout sales.</w:t>
      </w:r>
    </w:p>
    <w:p>
      <w:pPr>
        <w:pStyle w:val="Heading1"/>
      </w:pPr>
      <w:r>
        <w:t>2. Lowest supported price control</w:t>
      </w:r>
    </w:p>
    <w:p>
      <w:r>
        <w:t>At checkout, the retailer will apply the lowest price supported by a current advertisement, shelf label, item marking, display, or other controlling source when required by applicable law. Disputed exceptions are escalated; they are not resolved by hiding or disclaiming the displayed price.</w:t>
      </w:r>
    </w:p>
    <w:p>
      <w:pPr>
        <w:pStyle w:val="Heading1"/>
      </w:pPr>
      <w:r>
        <w:t>3. Duplicate-scan control</w:t>
      </w:r>
    </w:p>
    <w:p>
      <w:r>
        <w:t>A probable rapid duplicate scan must trigger an on-screen confirmation or associate review. Quantity changes remain available, but the event and shopper choice must be logged.</w:t>
      </w:r>
    </w:p>
    <w:p>
      <w:pPr>
        <w:pStyle w:val="Heading1"/>
      </w:pPr>
      <w:r>
        <w:t>4. Weight and measure control</w:t>
      </w:r>
    </w:p>
    <w:p>
      <w:r>
        <w:t>Packaged and random-weight goods must be sold using validated scales, current tare, and accurate labels. A variance alert pauses the sale and triggers scale, label, and catalog review.</w:t>
      </w:r>
    </w:p>
    <w:p>
      <w:pPr>
        <w:pStyle w:val="Heading1"/>
      </w:pPr>
      <w:r>
        <w:t>5. Receipt and checkout notice</w:t>
      </w:r>
    </w:p>
    <w:p>
      <w:r>
        <w:t>Receipts must identify each item, quantity or weight, unit or extended price, discounts, tax, total, store, lane, timestamp, and a reachable price-accuracy channel. The notice must invite review without shifting the retailer's compliance duty to the customer.</w:t>
      </w:r>
    </w:p>
    <w:p>
      <w:pPr>
        <w:pStyle w:val="Heading1"/>
      </w:pPr>
      <w:r>
        <w:t>6. Refunds and additional remedies</w:t>
      </w:r>
    </w:p>
    <w:p>
      <w:r>
        <w:t>Refund every verified overcharge promptly. Apply jurisdiction-specific bonuses, free-item remedies, notices, or deadlines only after current legal validation. Never use a refund receipt, clickwrap term, or customer-service script to waive nonwaivable rights.</w:t>
      </w:r>
    </w:p>
    <w:p>
      <w:pPr>
        <w:pStyle w:val="Heading1"/>
      </w:pPr>
      <w:r>
        <w:t>7. Evidence and escalation</w:t>
      </w:r>
    </w:p>
    <w:p>
      <w:r>
        <w:t>Preserve event logs, receipts, catalog snapshots, shelf evidence, weights-and-measures records, refunds, complaints, control versions, and audit results. Escalate systemic patterns, regulator inquiries, and aggregate-claim threats to counsel.</w:t>
      </w:r>
    </w:p>
    <w:p>
      <w:pPr>
        <w:pStyle w:val="Heading1"/>
      </w:pPr>
      <w:r>
        <w:t>8. Testing and governance</w:t>
      </w:r>
    </w:p>
    <w:p>
      <w:r>
        <w:t>Run risk-based store samples informed by NIST Handbook 130 EPPV while applying controlling state and local law. Record the sample population, exceptions, correction, owner, and retest.</w:t>
      </w:r>
    </w:p>
    <w:p>
      <w:pPr>
        <w:pStyle w:val="Heading1"/>
      </w:pPr>
      <w:r>
        <w:t>Approved customer-facing wording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Touchpoint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Text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Checkout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Please review item, quantity, weight, price, discounts, and total before payment. Ask an associate about any difference.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Receipt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If a price or scan appears incorrect, keep your receipt and contact an associate or the price-accuracy desk for prompt review and any amount due.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Savings clause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This notice does not limit any right or remedy provided by applicable law.</w:t>
            </w:r>
          </w:p>
        </w:tc>
      </w:tr>
    </w:tbl>
    <w:p>
      <w:pPr>
        <w:pStyle w:val="Heading1"/>
      </w:pPr>
      <w:r>
        <w:t>Jurisdiction deployment gate</w:t>
      </w:r>
    </w:p>
    <w:p>
      <w:r>
        <w:t>No jurisdiction-specific variant may move beyond legal review unless the source, effective date, scope, exclusions, remedy, notice period, payment period, receipt requirement, private right, preemption/local overlay, and operational owner have been validated by qualified counsel.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Simulation only • synthetic parties and transactions •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RETAILGUARD / SYNTHETIC EVIDENCE / MI-PRICE-001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B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