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Training &amp; Education Business Plan (South Africa)</w:t>
      </w:r>
    </w:p>
    <w:p>
      <w:pPr>
        <w:pStyle w:val="Heading1"/>
      </w:pPr>
      <w:r>
        <w:t>1. Executive Summary</w:t>
      </w:r>
    </w:p>
    <w:p>
      <w:r>
        <w:t>This business focuses on providing AI training and education services to corporates, SMEs, and professionals. The demand is driven by rapid AI adoption and lack of practical understanding within organisations. The business will start as an after-hours side venture and scale into a full-time operation.</w:t>
      </w:r>
    </w:p>
    <w:p>
      <w:pPr>
        <w:pStyle w:val="Heading1"/>
      </w:pPr>
      <w:r>
        <w:t>2. Training Services</w:t>
      </w:r>
    </w:p>
    <w:p>
      <w:r>
        <w:t>Core Offerings:</w:t>
      </w:r>
    </w:p>
    <w:p>
      <w:pPr>
        <w:pStyle w:val="ListBullet"/>
      </w:pPr>
      <w:r>
        <w:t>AI Awareness Sessions (Executives &amp; Teams)</w:t>
      </w:r>
    </w:p>
    <w:tbl>
      <w:tblPr>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Price</w:t>
            </w:r>
          </w:p>
        </w:tc>
        <w:tc>
          <w:tcPr>
            <w:tcW w:type="dxa" w:w="4320"/>
          </w:tcPr>
          <w:p>
            <w:r>
              <w:t>R8,000 – R20,000 per session</w:t>
            </w:r>
          </w:p>
        </w:tc>
      </w:tr>
      <w:tr>
        <w:tc>
          <w:tcPr>
            <w:tcW w:type="dxa" w:w="4320"/>
          </w:tcPr>
          <w:p>
            <w:r>
              <w:t>Duration</w:t>
            </w:r>
          </w:p>
        </w:tc>
        <w:tc>
          <w:tcPr>
            <w:tcW w:type="dxa" w:w="4320"/>
          </w:tcPr>
          <w:p>
            <w:r>
              <w:t>60–90 minutes</w:t>
            </w:r>
          </w:p>
        </w:tc>
      </w:tr>
      <w:tr>
        <w:tc>
          <w:tcPr>
            <w:tcW w:type="dxa" w:w="4320"/>
          </w:tcPr>
          <w:p>
            <w:r>
              <w:t>Format</w:t>
            </w:r>
          </w:p>
        </w:tc>
        <w:tc>
          <w:tcPr>
            <w:tcW w:type="dxa" w:w="4320"/>
          </w:tcPr>
          <w:p>
            <w:r>
              <w:t>Virtual / In-person</w:t>
            </w:r>
          </w:p>
        </w:tc>
      </w:tr>
    </w:tbl>
    <w:p>
      <w:pPr>
        <w:pStyle w:val="ListBullet"/>
      </w:pPr>
      <w:r>
        <w:t>AI for Business Workshops</w:t>
      </w:r>
    </w:p>
    <w:tbl>
      <w:tblPr>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Price</w:t>
            </w:r>
          </w:p>
        </w:tc>
        <w:tc>
          <w:tcPr>
            <w:tcW w:type="dxa" w:w="4320"/>
          </w:tcPr>
          <w:p>
            <w:r>
              <w:t>R15,000 – R35,000</w:t>
            </w:r>
          </w:p>
        </w:tc>
      </w:tr>
      <w:tr>
        <w:tc>
          <w:tcPr>
            <w:tcW w:type="dxa" w:w="4320"/>
          </w:tcPr>
          <w:p>
            <w:r>
              <w:t>Duration</w:t>
            </w:r>
          </w:p>
        </w:tc>
        <w:tc>
          <w:tcPr>
            <w:tcW w:type="dxa" w:w="4320"/>
          </w:tcPr>
          <w:p>
            <w:r>
              <w:t>Half-day</w:t>
            </w:r>
          </w:p>
        </w:tc>
      </w:tr>
      <w:tr>
        <w:tc>
          <w:tcPr>
            <w:tcW w:type="dxa" w:w="4320"/>
          </w:tcPr>
          <w:p>
            <w:r>
              <w:t>Audience</w:t>
            </w:r>
          </w:p>
        </w:tc>
        <w:tc>
          <w:tcPr>
            <w:tcW w:type="dxa" w:w="4320"/>
          </w:tcPr>
          <w:p>
            <w:r>
              <w:t>Managers / teams</w:t>
            </w:r>
          </w:p>
        </w:tc>
      </w:tr>
    </w:tbl>
    <w:p>
      <w:pPr>
        <w:pStyle w:val="ListBullet"/>
      </w:pPr>
      <w:r>
        <w:t>AI for Compliance &amp; Risk Teams</w:t>
      </w:r>
    </w:p>
    <w:tbl>
      <w:tblPr>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Price</w:t>
            </w:r>
          </w:p>
        </w:tc>
        <w:tc>
          <w:tcPr>
            <w:tcW w:type="dxa" w:w="4320"/>
          </w:tcPr>
          <w:p>
            <w:r>
              <w:t>R20,000 – R50,000</w:t>
            </w:r>
          </w:p>
        </w:tc>
      </w:tr>
      <w:tr>
        <w:tc>
          <w:tcPr>
            <w:tcW w:type="dxa" w:w="4320"/>
          </w:tcPr>
          <w:p>
            <w:r>
              <w:t>Duration</w:t>
            </w:r>
          </w:p>
        </w:tc>
        <w:tc>
          <w:tcPr>
            <w:tcW w:type="dxa" w:w="4320"/>
          </w:tcPr>
          <w:p>
            <w:r>
              <w:t>Half to full day</w:t>
            </w:r>
          </w:p>
        </w:tc>
      </w:tr>
      <w:tr>
        <w:tc>
          <w:tcPr>
            <w:tcW w:type="dxa" w:w="4320"/>
          </w:tcPr>
          <w:p>
            <w:r>
              <w:t>Focus</w:t>
            </w:r>
          </w:p>
        </w:tc>
        <w:tc>
          <w:tcPr>
            <w:tcW w:type="dxa" w:w="4320"/>
          </w:tcPr>
          <w:p>
            <w:r>
              <w:t>AI risk, governance, POPIA</w:t>
            </w:r>
          </w:p>
        </w:tc>
      </w:tr>
    </w:tbl>
    <w:p>
      <w:pPr>
        <w:pStyle w:val="ListBullet"/>
      </w:pPr>
      <w:r>
        <w:t>Corporate Training Programme (Multi-session)</w:t>
      </w:r>
    </w:p>
    <w:tbl>
      <w:tblPr>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Price</w:t>
            </w:r>
          </w:p>
        </w:tc>
        <w:tc>
          <w:tcPr>
            <w:tcW w:type="dxa" w:w="4320"/>
          </w:tcPr>
          <w:p>
            <w:r>
              <w:t>R60,000 – R150,000</w:t>
            </w:r>
          </w:p>
        </w:tc>
      </w:tr>
      <w:tr>
        <w:tc>
          <w:tcPr>
            <w:tcW w:type="dxa" w:w="4320"/>
          </w:tcPr>
          <w:p>
            <w:r>
              <w:t>Duration</w:t>
            </w:r>
          </w:p>
        </w:tc>
        <w:tc>
          <w:tcPr>
            <w:tcW w:type="dxa" w:w="4320"/>
          </w:tcPr>
          <w:p>
            <w:r>
              <w:t>4–6 weeks</w:t>
            </w:r>
          </w:p>
        </w:tc>
      </w:tr>
      <w:tr>
        <w:tc>
          <w:tcPr>
            <w:tcW w:type="dxa" w:w="4320"/>
          </w:tcPr>
          <w:p>
            <w:r>
              <w:t>Includes</w:t>
            </w:r>
          </w:p>
        </w:tc>
        <w:tc>
          <w:tcPr>
            <w:tcW w:type="dxa" w:w="4320"/>
          </w:tcPr>
          <w:p>
            <w:r>
              <w:t>Modules + materials + support</w:t>
            </w:r>
          </w:p>
        </w:tc>
      </w:tr>
    </w:tbl>
    <w:p>
      <w:pPr>
        <w:pStyle w:val="Heading1"/>
      </w:pPr>
      <w:r>
        <w:t>3. Target Market</w:t>
      </w:r>
    </w:p>
    <w:p>
      <w:pPr>
        <w:pStyle w:val="ListBullet"/>
      </w:pPr>
      <w:r>
        <w:t>Banks and financial institutions</w:t>
      </w:r>
    </w:p>
    <w:p>
      <w:pPr>
        <w:pStyle w:val="ListBullet"/>
      </w:pPr>
      <w:r>
        <w:t>Insurance companies</w:t>
      </w:r>
    </w:p>
    <w:p>
      <w:pPr>
        <w:pStyle w:val="ListBullet"/>
      </w:pPr>
      <w:r>
        <w:t>Mid-sized corporates</w:t>
      </w:r>
    </w:p>
    <w:p>
      <w:pPr>
        <w:pStyle w:val="ListBullet"/>
      </w:pPr>
      <w:r>
        <w:t>Professional services firms</w:t>
      </w:r>
    </w:p>
    <w:p>
      <w:pPr>
        <w:pStyle w:val="ListBullet"/>
      </w:pPr>
      <w:r>
        <w:t>SMEs adopting AI tools</w:t>
      </w:r>
    </w:p>
    <w:p>
      <w:pPr>
        <w:pStyle w:val="Heading1"/>
      </w:pPr>
      <w:r>
        <w:t>4. Value Proposition</w:t>
      </w:r>
    </w:p>
    <w:p>
      <w:pPr>
        <w:pStyle w:val="ListBullet"/>
      </w:pPr>
      <w:r>
        <w:t>Practical, non-technical AI training</w:t>
      </w:r>
    </w:p>
    <w:p>
      <w:pPr>
        <w:pStyle w:val="ListBullet"/>
      </w:pPr>
      <w:r>
        <w:t>Focus on real business use cases</w:t>
      </w:r>
    </w:p>
    <w:p>
      <w:pPr>
        <w:pStyle w:val="ListBullet"/>
      </w:pPr>
      <w:r>
        <w:t>Aligned to South African regulatory environment</w:t>
      </w:r>
    </w:p>
    <w:p>
      <w:pPr>
        <w:pStyle w:val="ListBullet"/>
      </w:pPr>
      <w:r>
        <w:t>Immediate application for teams</w:t>
      </w:r>
    </w:p>
    <w:p>
      <w:pPr>
        <w:pStyle w:val="Heading1"/>
      </w:pPr>
      <w:r>
        <w:t>5. Go-To-Market Strategy</w:t>
      </w:r>
    </w:p>
    <w:p>
      <w:pPr>
        <w:pStyle w:val="ListBullet"/>
      </w:pPr>
      <w:r>
        <w:t>LinkedIn content (2–3 posts per week)</w:t>
      </w:r>
    </w:p>
    <w:p>
      <w:pPr>
        <w:pStyle w:val="ListBullet"/>
      </w:pPr>
      <w:r>
        <w:t>Free introductory webinars</w:t>
      </w:r>
    </w:p>
    <w:p>
      <w:pPr>
        <w:pStyle w:val="ListBullet"/>
      </w:pPr>
      <w:r>
        <w:t>Corporate outreach via email</w:t>
      </w:r>
    </w:p>
    <w:p>
      <w:pPr>
        <w:pStyle w:val="ListBullet"/>
      </w:pPr>
      <w:r>
        <w:t>Leverage existing networks</w:t>
      </w:r>
    </w:p>
    <w:p>
      <w:pPr>
        <w:pStyle w:val="Heading1"/>
      </w:pPr>
      <w:r>
        <w:t>6. Revenue Model (Year 1)</w:t>
      </w:r>
    </w:p>
    <w:tbl>
      <w:tblPr>
        <w:tblW w:type="auto" w:w="0"/>
        <w:tblLook w:firstColumn="1" w:firstRow="1" w:lastColumn="0" w:lastRow="0" w:noHBand="0" w:noVBand="1" w:val="04A0"/>
      </w:tblPr>
      <w:tblGrid>
        <w:gridCol w:w="2880"/>
        <w:gridCol w:w="2880"/>
        <w:gridCol w:w="2880"/>
      </w:tblGrid>
      <w:tr>
        <w:tc>
          <w:tcPr>
            <w:tcW w:type="dxa" w:w="2880"/>
          </w:tcPr>
          <w:p>
            <w:r>
              <w:t>Revenue Stream</w:t>
            </w:r>
          </w:p>
        </w:tc>
        <w:tc>
          <w:tcPr>
            <w:tcW w:type="dxa" w:w="2880"/>
          </w:tcPr>
          <w:p>
            <w:r>
              <w:t>Monthly</w:t>
            </w:r>
          </w:p>
        </w:tc>
        <w:tc>
          <w:tcPr>
            <w:tcW w:type="dxa" w:w="2880"/>
          </w:tcPr>
          <w:p>
            <w:r>
              <w:t>Annual</w:t>
            </w:r>
          </w:p>
        </w:tc>
      </w:tr>
      <w:tr>
        <w:tc>
          <w:tcPr>
            <w:tcW w:type="dxa" w:w="2880"/>
          </w:tcPr>
          <w:p>
            <w:r>
              <w:t>Workshops (4/month)</w:t>
            </w:r>
          </w:p>
        </w:tc>
        <w:tc>
          <w:tcPr>
            <w:tcW w:type="dxa" w:w="2880"/>
          </w:tcPr>
          <w:p>
            <w:r>
              <w:t>R60,000</w:t>
            </w:r>
          </w:p>
        </w:tc>
        <w:tc>
          <w:tcPr>
            <w:tcW w:type="dxa" w:w="2880"/>
          </w:tcPr>
          <w:p>
            <w:r>
              <w:t>R720,000</w:t>
            </w:r>
          </w:p>
        </w:tc>
      </w:tr>
      <w:tr>
        <w:tc>
          <w:tcPr>
            <w:tcW w:type="dxa" w:w="2880"/>
          </w:tcPr>
          <w:p>
            <w:r>
              <w:t>Corporate programmes (1/month)</w:t>
            </w:r>
          </w:p>
        </w:tc>
        <w:tc>
          <w:tcPr>
            <w:tcW w:type="dxa" w:w="2880"/>
          </w:tcPr>
          <w:p>
            <w:r>
              <w:t>R80,000</w:t>
            </w:r>
          </w:p>
        </w:tc>
        <w:tc>
          <w:tcPr>
            <w:tcW w:type="dxa" w:w="2880"/>
          </w:tcPr>
          <w:p>
            <w:r>
              <w:t>R960,000</w:t>
            </w:r>
          </w:p>
        </w:tc>
      </w:tr>
      <w:tr>
        <w:tc>
          <w:tcPr>
            <w:tcW w:type="dxa" w:w="2880"/>
          </w:tcPr>
          <w:p>
            <w:r>
              <w:t>Executive sessions (4/month)</w:t>
            </w:r>
          </w:p>
        </w:tc>
        <w:tc>
          <w:tcPr>
            <w:tcW w:type="dxa" w:w="2880"/>
          </w:tcPr>
          <w:p>
            <w:r>
              <w:t>R40,000</w:t>
            </w:r>
          </w:p>
        </w:tc>
        <w:tc>
          <w:tcPr>
            <w:tcW w:type="dxa" w:w="2880"/>
          </w:tcPr>
          <w:p>
            <w:r>
              <w:t>R480,000</w:t>
            </w:r>
          </w:p>
        </w:tc>
      </w:tr>
    </w:tbl>
    <w:p>
      <w:pPr>
        <w:pStyle w:val="Heading1"/>
      </w:pPr>
      <w:r>
        <w:t>7. Operating Model</w:t>
      </w:r>
    </w:p>
    <w:p>
      <w:pPr>
        <w:pStyle w:val="ListBullet"/>
      </w:pPr>
      <w:r>
        <w:t>Daughter: Training delivery and client engagement</w:t>
      </w:r>
    </w:p>
    <w:p>
      <w:pPr>
        <w:pStyle w:val="ListBullet"/>
      </w:pPr>
      <w:r>
        <w:t>Son-in-law: Technical input and demonstrations</w:t>
      </w:r>
    </w:p>
    <w:p>
      <w:pPr>
        <w:pStyle w:val="ListBullet"/>
      </w:pPr>
      <w:r>
        <w:t>Son: Content development and research</w:t>
      </w:r>
    </w:p>
    <w:p>
      <w:pPr>
        <w:pStyle w:val="Heading1"/>
      </w:pPr>
      <w:r>
        <w:t>8. Implementation Plan (6 Months)</w:t>
      </w:r>
    </w:p>
    <w:p>
      <w:pPr>
        <w:pStyle w:val="ListBullet"/>
      </w:pPr>
      <w:r>
        <w:t>Month 1–2: Content creation and positioning</w:t>
      </w:r>
    </w:p>
    <w:p>
      <w:pPr>
        <w:pStyle w:val="ListBullet"/>
      </w:pPr>
      <w:r>
        <w:t>Month 2–3: First workshops and clients</w:t>
      </w:r>
    </w:p>
    <w:p>
      <w:pPr>
        <w:pStyle w:val="ListBullet"/>
      </w:pPr>
      <w:r>
        <w:t>Month 3–4: Refine training material</w:t>
      </w:r>
    </w:p>
    <w:p>
      <w:pPr>
        <w:pStyle w:val="ListBullet"/>
      </w:pPr>
      <w:r>
        <w:t>Month 4–6: Expand into corporates and recurring clients</w:t>
      </w:r>
    </w:p>
    <w:p>
      <w:pPr>
        <w:pStyle w:val="Heading1"/>
      </w:pPr>
      <w:r>
        <w:t>9. Risks &amp; Mitigation</w:t>
      </w:r>
    </w:p>
    <w:p>
      <w:pPr>
        <w:pStyle w:val="ListBullet"/>
      </w:pPr>
      <w:r>
        <w:t>Low initial demand → Run free sessions to build pipeline</w:t>
      </w:r>
    </w:p>
    <w:p>
      <w:pPr>
        <w:pStyle w:val="ListBullet"/>
      </w:pPr>
      <w:r>
        <w:t>Competition → Focus on SA-specific content</w:t>
      </w:r>
    </w:p>
    <w:p>
      <w:pPr>
        <w:pStyle w:val="ListBullet"/>
      </w:pPr>
      <w:r>
        <w:t>Time constraints → Limit engagements to evenings/weekends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