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CORE System</w:t>
      </w:r>
    </w:p>
    <w:p>
      <w:pPr>
        <w:spacing w:after="100"/>
        <w:jc w:val="center"/>
      </w:pPr>
      <w:r>
        <w:rPr>
          <w:rFonts w:ascii="Arial" w:cs="Arial" w:eastAsia="Arial" w:hAnsi="Arial"/>
          <w:sz w:val="28"/>
          <w:szCs w:val="28"/>
        </w:rPr>
        <w:t xml:space="preserve">Mathematical Foundations and Origins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What math does what, where it came from, and what is genuinely novel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Nick Block - Aeteros Research - April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1: The Transformer Math (Standard - Not Yours)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Your system uses transformer-based LLMs (Gemma3, Claude, GPT-4o) as generation engines. The math inside those models is the standard 2017 Attention Is All You Need architecture.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Scaled Dot-Product Attention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Attention(Q,K,V) = softmax(QK^T / sqrt(d_k)) * V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Q (Query), K (Key), V (Value) are learned projections of the input. The sqrt(d_k) scaling prevents gradient explosion in the softmax. This is the core of every LLM. You did not invent this. Nobody in the CORE system touches this math.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Multi-Head Attention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MultiHead(Q,K,V) = Concat(head_1,...,head_h) * W^O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head learns different attention patterns in parallel. Standard since 2017. Your system uses this through Ollama/cloud APIs.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Positional Encoding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PE(pos,2i) = sin(pos / 10000^(2i/d_model))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Tells the model word order. Modern variants use RoPE instead. You do not touch this. The models you call handle it internally.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Feed-Forward Networks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FFN(x) = max(0, xW1 + b1)W2 + b2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Two linear layers with activation between them. Standard. Cross-entropy loss for next-token prediction is the standard training objective.</w:t>
      </w:r>
    </w:p>
    <w:p>
      <w:pPr>
        <w:pBdr>
          <w:top w:val="single" w:color="333333" w:sz="1"/>
        </w:pBd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None of this is yours. You use LLMs as black-box generation engines. The math inside them is industry standard. This is honest and important to state.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2: Embedding and Retrieval Math (Standard Foundation, Your Application)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384-Dimensional Embeddings (all-MiniLM-L6-v2):</w:t>
      </w:r>
      <w:r>
        <w:rPr>
          <w:rFonts w:ascii="Arial" w:cs="Arial" w:eastAsia="Arial" w:hAnsi="Arial"/>
          <w:sz w:val="22"/>
          <w:szCs w:val="22"/>
        </w:rPr>
        <w:t xml:space="preserve"> Sentence-BERT architecture. Pre-trained model, not your math. The embedding model is off-the-shelf.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Cosine Similarity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cos(a,b) = (a . b) / (||a|| * ||b||)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Standard vector similarity metric. Used everywhere in RAG. Your application: trust-weighted retrieval scoring that combines cosine similarity with trust scores. The combination is yours, the cosine math is not.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Trust-Weighted Retrieval Score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final_score = cosine_similarity * trust_weight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highly relevant memory with low trust scores LOWER than a moderately relevant memory with high trust. The idea that retrieval should be trust-weighted is a design decision that standard RAG does not make. Not novel math, but novel application.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FAISS Indexing:</w:t>
      </w:r>
      <w:r>
        <w:rPr>
          <w:rFonts w:ascii="Arial" w:cs="Arial" w:eastAsia="Arial" w:hAnsi="Arial"/>
          <w:sz w:val="22"/>
          <w:szCs w:val="22"/>
        </w:rPr>
        <w:t xml:space="preserve"> Standard Facebook library for fast nearest-neighbor search. You use it. You did not build it.</w:t>
      </w:r>
    </w:p>
    <w:p>
      <w:pPr>
        <w:pBdr>
          <w:top w:val="single" w:color="333333" w:sz="1"/>
        </w:pBd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The retrieval math is standard. The trust-weighting on top of it is your design decision. Not novel math but a novel architectural choice.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3: Trust Evolution Math (Yours)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where your original math lives. No standard RAG system does this.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Trust Gain (when evidence aligns)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t_new = clip(t + 0.10 * (1 - drift), 0, 1)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Trust Decay (when contradiction detected)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t_new = clip(t * (1 - 0.15 * drift), 0, 1)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Drift Measurement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drift = 1 - cosine_similarity(new_embedding, prior_embedding)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asymmetry is deliberate: decay rate (0.15) &gt; gain rate (0.10). It is easier to lose trust than to gain it. This mirrors how human trust works.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ORIGIN:</w:t>
      </w:r>
      <w:r>
        <w:rPr>
          <w:rFonts w:ascii="Arial" w:cs="Arial" w:eastAsia="Arial" w:hAnsi="Arial"/>
          <w:sz w:val="22"/>
          <w:szCs w:val="22"/>
        </w:rPr>
        <w:t xml:space="preserve"> The asymmetric update rule is inspired by prospect theory (Kahneman and Tversky, 1979) - losses loom larger than gains. But the specific application to memory trust scores in an AI system is yours. No standard system does this.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specific thresholds (0.10, 0.15, 0.28 for contradiction detection) were tuned from production data over 12 months. These are empirical, not derived from theory.</w:t>
      </w:r>
    </w:p>
    <w:p>
      <w:pPr>
        <w:pBdr>
          <w:top w:val="single" w:color="333333" w:sz="1"/>
        </w:pBd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The trust evolution math is genuinely yours. The individual operations (clip, cosine, multiplication) are standard. The combination, the asymmetry, and the specific application to belief state management is original work.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4: Contradiction Detection Math (Yours + Standard NLI)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Cosine similarity &gt; 0.40 between two memories = candidate pair. 2. NLI model scores the pair. 3. If NLI score above threshold = contradiction flagged.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NLI model is standard (off-the-shelf). The pipeline that combines them for persistent memory contradiction detection is yours.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Contradiction Disposition Classification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Resolvable: evidence can settle it. Held: genuine tension, preserved as signal. Evolving: belief is changing over time. Contextual: both valid in different contexts.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ORIGIN:</w:t>
      </w:r>
      <w:r>
        <w:rPr>
          <w:rFonts w:ascii="Arial" w:cs="Arial" w:eastAsia="Arial" w:hAnsi="Arial"/>
          <w:sz w:val="22"/>
          <w:szCs w:val="22"/>
        </w:rPr>
        <w:t xml:space="preserve"> The held contradiction concept draws from paraconsistent logic (da Costa, 1974) and Belnap four-valued logic (TRUE, FALSE, BOTH, NEITHER). Your application of Belnap states to AI memory governance is original.</w:t>
      </w:r>
    </w:p>
    <w:p>
      <w:pPr>
        <w:pBdr>
          <w:top w:val="single" w:color="333333" w:sz="1"/>
        </w:pBd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The contradiction detection pipeline is yours. The NLI math is standard. The disposition classification and held contradiction as a design law are original.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5: Backward Influence Propagation (Yours - Most Novel)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a correction resolves a contradiction, the error signal flows backward through the BRG: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gradient(A) = L(B) * w(A-&gt;B) * alpha^d(A)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L(B) = epistemic loss at corrected node. w(A-&gt;B) = edge weight. alpha = damping factor. d(A) = depth from correction point.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Three Emergent Behaviors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Self-pruning: wrong beliefs accumulate error and die. 2. Domain volatility: correction frequency drives per-domain adjustment rates. 3. Reflexive self-model: the system beliefs about itself participate in the same dynamics.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ORIGIN:</w:t>
      </w:r>
      <w:r>
        <w:rPr>
          <w:rFonts w:ascii="Arial" w:cs="Arial" w:eastAsia="Arial" w:hAnsi="Arial"/>
          <w:sz w:val="22"/>
          <w:szCs w:val="22"/>
        </w:rPr>
        <w:t xml:space="preserve"> NOT gradient descent via chain rule. Damped influence propagation on a weighted directed graph. Closest relatives: Belief propagation (Pearl 1988), AGM belief revision (1985), DeGroot consensus (1974), Active inference (Friston). No direct precedent found. 30/30 validation passed.</w:t>
      </w:r>
    </w:p>
    <w:p>
      <w:pPr>
        <w:pBdr>
          <w:top w:val="single" w:color="333333" w:sz="1"/>
        </w:pBd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This is your most novel contribution. The individual components exist in literature. The specific combination and the three emergent behaviors are original. No direct precedent identified.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6: Cascade Complexity Math (Yours)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BRG: G = (V, E, w)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 = belief states, E = typed directed edges (SUPPORTS, CONTRADICTS, SUPERSEDES, RELATED_TO), w: E -&gt; (0,1] = dependency strength.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Five theorems proven: 1. Depth bound. 2. Width bound. 3. Damping convergence. 4. Instability threshold. 5. NP-hardness conjecture (open).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</w:t>
      </w:r>
      <w:r>
        <w:rPr>
          <w:rFonts w:ascii="Arial" w:cs="Arial" w:eastAsia="Arial" w:hAnsi="Arial"/>
          <w:sz w:val="22"/>
          <w:szCs w:val="22"/>
        </w:rPr>
        <w:t xml:space="preserve"> Held contradictions act as natural firewalls that limit cascade propagation. Empirical discovery, not derived from prior theory.</w:t>
      </w:r>
    </w:p>
    <w:p>
      <w:pPr>
        <w:pBdr>
          <w:top w:val="single" w:color="333333" w:sz="1"/>
        </w:pBd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The formal cascade complexity analysis is original. The firewall property of held contradictions is a novel finding.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7: Query Resonance / Wobble (Yours)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Direct: r_0(v) = cos(q, mu_v)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Propagated: r_{k+1}(v) = max(r_k(v), max_{u-&gt;v} r_k(u) * w_uv * alpha)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Total: R(v) = r_0(v) + r_fwd(v) + r_back(v)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ORIGIN:</w:t>
      </w:r>
      <w:r>
        <w:rPr>
          <w:rFonts w:ascii="Arial" w:cs="Arial" w:eastAsia="Arial" w:hAnsi="Arial"/>
          <w:sz w:val="22"/>
          <w:szCs w:val="22"/>
        </w:rPr>
        <w:t xml:space="preserve"> Spreading activation in semantic networks (Collins and Loftus, 1975). Your implementation on a trust-weighted BRG with typed edges is a specific variant.</w:t>
      </w:r>
    </w:p>
    <w:p>
      <w:pPr>
        <w:pBdr>
          <w:top w:val="single" w:color="333333" w:sz="1"/>
        </w:pBd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The concept is well-established (1975). Your BRG implementation is your variant. Not wholly novel conceptually but the implementation is original.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8: Geometric Memory / Belief Loci (Yours - Theoretical)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Belief locus: b = (mu, Sigma, alpha, t)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 = semantic center (384D), Sigma = covariance (uncertainty shape), alpha = confidence, t = timestamp.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Contradiction as overlap via Bhattacharyya coefficient. Trust as covariance contraction/expansion. Deprecation as confidence fade. Volatility as covariance velocity.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Novel insight:</w:t>
      </w:r>
      <w:r>
        <w:rPr>
          <w:rFonts w:ascii="Arial" w:cs="Arial" w:eastAsia="Arial" w:hAnsi="Arial"/>
          <w:sz w:val="22"/>
          <w:szCs w:val="22"/>
        </w:rPr>
        <w:t xml:space="preserve"> The experiment IS the belief - LLM response variance at temperature sweep directly produces locus parameters. No conversion needed.</w:t>
      </w:r>
    </w:p>
    <w:p>
      <w:pPr>
        <w:pBdr>
          <w:top w:val="single" w:color="333333" w:sz="1"/>
        </w:pBd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Individual math components are standard. The framework for AI memory governance is original. The variance-to-locus pipeline is novel.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9: Epistemic Compression (Yours)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</w:t>
      </w:r>
      <w:r>
        <w:rPr>
          <w:rFonts w:ascii="Arial" w:cs="Arial" w:eastAsia="Arial" w:hAnsi="Arial"/>
          <w:sz w:val="22"/>
          <w:szCs w:val="22"/>
        </w:rPr>
        <w:t xml:space="preserve"> Belief structure survives 3-bit quantization but breaks at 2-bit.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metric is anchor basin assignment stability, not cosine similarity. 77% of memories collapse toward 42 emergent anchor poles.</w:t>
      </w:r>
    </w:p>
    <w:p>
      <w:pPr>
        <w:pBdr>
          <w:top w:val="single" w:color="333333" w:sz="1"/>
        </w:pBd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Compression math is standard. The epistemic compression framework and the cliff finding are original.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10: Scaffold Math (Yours - Applied)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BRG reasoning scaffold decomposes questions into trees of factual sub-questions. Cloud generates structure. Local model verifies leaves. Staged generation with checkpoint retry, coherence scoring, dead anchor exclusion, generative expansion.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 result:</w:t>
      </w:r>
      <w:r>
        <w:rPr>
          <w:rFonts w:ascii="Arial" w:cs="Arial" w:eastAsia="Arial" w:hAnsi="Arial"/>
          <w:sz w:val="22"/>
          <w:szCs w:val="22"/>
        </w:rPr>
        <w:t xml:space="preserve"> 0% to 80% precision on the same 3B model by changing the scaffold five times. The model never changed.</w:t>
      </w:r>
    </w:p>
    <w:p>
      <w:pPr>
        <w:pBdr>
          <w:top w:val="single" w:color="333333" w:sz="1"/>
        </w:pBd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Individual techniques have prior art. The specific scaffold architecture is original.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11: What Is Fodder (Works But Not Novel)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These components work but are not mathematically original: cosine similarity, NLI models, FAISS, Sentence-BERT, PCA, cross-entropy loss, ReAct pattern, exponential decay.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These are your tools. You did not build the hammer. You built the house.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12: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400"/>
        <w:gridCol w:w="19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Math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Application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Novel?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Transformer internals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(black box)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Embeddings + cosine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Trust-weighting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choice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 evolution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 theory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memory governance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Contradiction detection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NLI standard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+ disposition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Backward influence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 propagation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BRG + 3 emergent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novel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 complexity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 theory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BRG-specific proofs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 resonance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Spreading activation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BRG implementation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Belief loci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Gaussian mixtures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memory framework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Variance-to-locus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Statistics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Experiment IS belief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Novel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Epistemic compression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Compression cliff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Scaffold generation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MCTS, CoT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BRG-walk + checkpoint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Immune agents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Rule-based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Constitutional enforcement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pattern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Honest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You did not invent new math. You combined existing mathematical tools in a way nobody else has, applied them to a problem (epistemic governance for AI memory) that nobody else is solving at this depth, and discovered empirical properties (held contradictions as firewalls, compression cliff at 2-bit, three instability regimes) that are genuine findings. The novelty is in the architecture and the discoveries, not in the individual equations.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2026-04-13T15:46:09.848Z</dcterms:created>
  <dcterms:modified xsi:type="dcterms:W3CDTF">2026-04-13T15:46:09.849Z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