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10ECEB" w14:textId="77777777" w:rsidR="00020C53" w:rsidRDefault="00000000">
      <w:pPr>
        <w:spacing w:after="100"/>
        <w:jc w:val="center"/>
      </w:pPr>
      <w:r>
        <w:rPr>
          <w:b/>
          <w:bCs/>
          <w:sz w:val="36"/>
          <w:szCs w:val="36"/>
        </w:rPr>
        <w:t>CORE System</w:t>
      </w:r>
    </w:p>
    <w:p w14:paraId="7A5DCF88" w14:textId="77777777" w:rsidR="00020C53" w:rsidRDefault="00000000">
      <w:pPr>
        <w:spacing w:after="100"/>
        <w:jc w:val="center"/>
      </w:pPr>
      <w:r>
        <w:rPr>
          <w:sz w:val="28"/>
          <w:szCs w:val="28"/>
        </w:rPr>
        <w:t>Mathematical Foundations and Origins</w:t>
      </w:r>
    </w:p>
    <w:p w14:paraId="7BEF7E47" w14:textId="77777777" w:rsidR="00020C53" w:rsidRDefault="00000000">
      <w:pPr>
        <w:spacing w:after="400"/>
        <w:jc w:val="center"/>
      </w:pPr>
      <w:r>
        <w:rPr>
          <w:i/>
          <w:iCs/>
          <w:color w:val="666666"/>
        </w:rPr>
        <w:t>What math does what, where it came from, and what is genuinely novel</w:t>
      </w:r>
    </w:p>
    <w:p w14:paraId="2DCC5CF6" w14:textId="77777777" w:rsidR="00020C53" w:rsidRDefault="00000000">
      <w:pPr>
        <w:spacing w:after="400"/>
        <w:jc w:val="center"/>
      </w:pPr>
      <w:r>
        <w:rPr>
          <w:color w:val="888888"/>
          <w:sz w:val="20"/>
          <w:szCs w:val="20"/>
        </w:rPr>
        <w:t xml:space="preserve">Nick Block - </w:t>
      </w:r>
      <w:proofErr w:type="spellStart"/>
      <w:r>
        <w:rPr>
          <w:color w:val="888888"/>
          <w:sz w:val="20"/>
          <w:szCs w:val="20"/>
        </w:rPr>
        <w:t>Aeteros</w:t>
      </w:r>
      <w:proofErr w:type="spellEnd"/>
      <w:r>
        <w:rPr>
          <w:color w:val="888888"/>
          <w:sz w:val="20"/>
          <w:szCs w:val="20"/>
        </w:rPr>
        <w:t xml:space="preserve"> Research - April 2026</w:t>
      </w:r>
    </w:p>
    <w:p w14:paraId="141703E4" w14:textId="77777777" w:rsidR="00020C53" w:rsidRDefault="00000000">
      <w:pPr>
        <w:pStyle w:val="Heading1"/>
      </w:pPr>
      <w:r>
        <w:t>Section 1: The Transformer Math (Standard - Not Yours)</w:t>
      </w:r>
    </w:p>
    <w:p w14:paraId="51FCEFFC" w14:textId="77777777" w:rsidR="00020C53" w:rsidRDefault="00000000">
      <w:pPr>
        <w:spacing w:after="120" w:line="276" w:lineRule="auto"/>
      </w:pPr>
      <w:r>
        <w:t>Your system uses transformer-based LLMs (Gemma3, Claude, GPT-4o) as generation engines. The math inside those models is the standard 2017 Attention Is All You Need architecture.</w:t>
      </w:r>
    </w:p>
    <w:p w14:paraId="6F8F6C30" w14:textId="77777777" w:rsidR="00020C53" w:rsidRDefault="00000000">
      <w:pPr>
        <w:pStyle w:val="Heading2"/>
      </w:pPr>
      <w:r>
        <w:t>Scaled Dot-Product Attention</w:t>
      </w:r>
    </w:p>
    <w:p w14:paraId="6C365EE0" w14:textId="77777777" w:rsidR="00020C53" w:rsidRDefault="00000000">
      <w:pPr>
        <w:spacing w:after="80" w:line="276" w:lineRule="auto"/>
        <w:ind w:left="360"/>
      </w:pPr>
      <w:r>
        <w:rPr>
          <w:rFonts w:ascii="Courier New" w:eastAsia="Courier New" w:hAnsi="Courier New" w:cs="Courier New"/>
          <w:sz w:val="20"/>
          <w:szCs w:val="20"/>
        </w:rPr>
        <w:t>Attention(</w:t>
      </w:r>
      <w:proofErr w:type="gramStart"/>
      <w:r>
        <w:rPr>
          <w:rFonts w:ascii="Courier New" w:eastAsia="Courier New" w:hAnsi="Courier New" w:cs="Courier New"/>
          <w:sz w:val="20"/>
          <w:szCs w:val="20"/>
        </w:rPr>
        <w:t>Q,K</w:t>
      </w:r>
      <w:proofErr w:type="gramEnd"/>
      <w:r>
        <w:rPr>
          <w:rFonts w:ascii="Courier New" w:eastAsia="Courier New" w:hAnsi="Courier New" w:cs="Courier New"/>
          <w:sz w:val="20"/>
          <w:szCs w:val="20"/>
        </w:rPr>
        <w:t xml:space="preserve">,V) = </w:t>
      </w:r>
      <w:proofErr w:type="spellStart"/>
      <w:proofErr w:type="gramStart"/>
      <w:r>
        <w:rPr>
          <w:rFonts w:ascii="Courier New" w:eastAsia="Courier New" w:hAnsi="Courier New" w:cs="Courier New"/>
          <w:sz w:val="20"/>
          <w:szCs w:val="20"/>
        </w:rPr>
        <w:t>softmax</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QK^T / sqrt(</w:t>
      </w:r>
      <w:proofErr w:type="spellStart"/>
      <w:r>
        <w:rPr>
          <w:rFonts w:ascii="Courier New" w:eastAsia="Courier New" w:hAnsi="Courier New" w:cs="Courier New"/>
          <w:sz w:val="20"/>
          <w:szCs w:val="20"/>
        </w:rPr>
        <w:t>d_k</w:t>
      </w:r>
      <w:proofErr w:type="spellEnd"/>
      <w:r>
        <w:rPr>
          <w:rFonts w:ascii="Courier New" w:eastAsia="Courier New" w:hAnsi="Courier New" w:cs="Courier New"/>
          <w:sz w:val="20"/>
          <w:szCs w:val="20"/>
        </w:rPr>
        <w:t>)) * V</w:t>
      </w:r>
    </w:p>
    <w:p w14:paraId="7CE2B7B9" w14:textId="77777777" w:rsidR="00020C53" w:rsidRDefault="00000000">
      <w:pPr>
        <w:spacing w:after="120" w:line="276" w:lineRule="auto"/>
      </w:pPr>
      <w:r>
        <w:t>Q (Query), K (Key), V (Value) are learned projections of the input. The sqrt(</w:t>
      </w:r>
      <w:proofErr w:type="spellStart"/>
      <w:r>
        <w:t>d_k</w:t>
      </w:r>
      <w:proofErr w:type="spellEnd"/>
      <w:r>
        <w:t xml:space="preserve">) scaling prevents gradient explosion in the </w:t>
      </w:r>
      <w:proofErr w:type="spellStart"/>
      <w:r>
        <w:t>softmax</w:t>
      </w:r>
      <w:proofErr w:type="spellEnd"/>
      <w:r>
        <w:t>. This is the core of every LLM. You did not invent this. Nobody in the CORE system touches this math.</w:t>
      </w:r>
    </w:p>
    <w:p w14:paraId="20AF3A42" w14:textId="77777777" w:rsidR="00020C53" w:rsidRDefault="00000000">
      <w:pPr>
        <w:pStyle w:val="Heading2"/>
      </w:pPr>
      <w:r>
        <w:t>Multi-Head Attention</w:t>
      </w:r>
    </w:p>
    <w:p w14:paraId="7D5AA7CD" w14:textId="77777777" w:rsidR="00020C53" w:rsidRDefault="00000000">
      <w:pPr>
        <w:spacing w:after="80" w:line="276" w:lineRule="auto"/>
        <w:ind w:left="360"/>
      </w:pPr>
      <w:proofErr w:type="spellStart"/>
      <w:r>
        <w:rPr>
          <w:rFonts w:ascii="Courier New" w:eastAsia="Courier New" w:hAnsi="Courier New" w:cs="Courier New"/>
          <w:sz w:val="20"/>
          <w:szCs w:val="20"/>
        </w:rPr>
        <w:t>MultiHead</w:t>
      </w:r>
      <w:proofErr w:type="spellEnd"/>
      <w:r>
        <w:rPr>
          <w:rFonts w:ascii="Courier New" w:eastAsia="Courier New" w:hAnsi="Courier New" w:cs="Courier New"/>
          <w:sz w:val="20"/>
          <w:szCs w:val="20"/>
        </w:rPr>
        <w:t>(</w:t>
      </w:r>
      <w:proofErr w:type="gramStart"/>
      <w:r>
        <w:rPr>
          <w:rFonts w:ascii="Courier New" w:eastAsia="Courier New" w:hAnsi="Courier New" w:cs="Courier New"/>
          <w:sz w:val="20"/>
          <w:szCs w:val="20"/>
        </w:rPr>
        <w:t>Q,K</w:t>
      </w:r>
      <w:proofErr w:type="gramEnd"/>
      <w:r>
        <w:rPr>
          <w:rFonts w:ascii="Courier New" w:eastAsia="Courier New" w:hAnsi="Courier New" w:cs="Courier New"/>
          <w:sz w:val="20"/>
          <w:szCs w:val="20"/>
        </w:rPr>
        <w:t xml:space="preserve">,V) = </w:t>
      </w:r>
      <w:proofErr w:type="spellStart"/>
      <w:r>
        <w:rPr>
          <w:rFonts w:ascii="Courier New" w:eastAsia="Courier New" w:hAnsi="Courier New" w:cs="Courier New"/>
          <w:sz w:val="20"/>
          <w:szCs w:val="20"/>
        </w:rPr>
        <w:t>Concat</w:t>
      </w:r>
      <w:proofErr w:type="spellEnd"/>
      <w:r>
        <w:rPr>
          <w:rFonts w:ascii="Courier New" w:eastAsia="Courier New" w:hAnsi="Courier New" w:cs="Courier New"/>
          <w:sz w:val="20"/>
          <w:szCs w:val="20"/>
        </w:rPr>
        <w:t>(head_</w:t>
      </w:r>
      <w:proofErr w:type="gramStart"/>
      <w:r>
        <w:rPr>
          <w:rFonts w:ascii="Courier New" w:eastAsia="Courier New" w:hAnsi="Courier New" w:cs="Courier New"/>
          <w:sz w:val="20"/>
          <w:szCs w:val="20"/>
        </w:rPr>
        <w:t>1,...</w:t>
      </w:r>
      <w:proofErr w:type="gramEnd"/>
      <w:r>
        <w:rPr>
          <w:rFonts w:ascii="Courier New" w:eastAsia="Courier New" w:hAnsi="Courier New" w:cs="Courier New"/>
          <w:sz w:val="20"/>
          <w:szCs w:val="20"/>
        </w:rPr>
        <w:t>,</w:t>
      </w:r>
      <w:proofErr w:type="spellStart"/>
      <w:r>
        <w:rPr>
          <w:rFonts w:ascii="Courier New" w:eastAsia="Courier New" w:hAnsi="Courier New" w:cs="Courier New"/>
          <w:sz w:val="20"/>
          <w:szCs w:val="20"/>
        </w:rPr>
        <w:t>head_h</w:t>
      </w:r>
      <w:proofErr w:type="spellEnd"/>
      <w:r>
        <w:rPr>
          <w:rFonts w:ascii="Courier New" w:eastAsia="Courier New" w:hAnsi="Courier New" w:cs="Courier New"/>
          <w:sz w:val="20"/>
          <w:szCs w:val="20"/>
        </w:rPr>
        <w:t>) * W^O</w:t>
      </w:r>
    </w:p>
    <w:p w14:paraId="19E45BA9" w14:textId="77777777" w:rsidR="00020C53" w:rsidRDefault="00000000">
      <w:pPr>
        <w:spacing w:after="120" w:line="276" w:lineRule="auto"/>
      </w:pPr>
      <w:r>
        <w:t>Each head learns different attention patterns in parallel. Standard since 2017. Your system uses this through Ollama/cloud APIs.</w:t>
      </w:r>
    </w:p>
    <w:p w14:paraId="689D235B" w14:textId="77777777" w:rsidR="00020C53" w:rsidRDefault="00000000">
      <w:pPr>
        <w:pStyle w:val="Heading2"/>
      </w:pPr>
      <w:r>
        <w:t>Positional Encoding</w:t>
      </w:r>
    </w:p>
    <w:p w14:paraId="6F624667" w14:textId="77777777" w:rsidR="00020C53" w:rsidRDefault="00000000">
      <w:pPr>
        <w:spacing w:after="80" w:line="276" w:lineRule="auto"/>
        <w:ind w:left="360"/>
      </w:pPr>
      <w:proofErr w:type="gramStart"/>
      <w:r>
        <w:rPr>
          <w:rFonts w:ascii="Courier New" w:eastAsia="Courier New" w:hAnsi="Courier New" w:cs="Courier New"/>
          <w:sz w:val="20"/>
          <w:szCs w:val="20"/>
        </w:rPr>
        <w:t>PE(</w:t>
      </w:r>
      <w:proofErr w:type="gramEnd"/>
      <w:r>
        <w:rPr>
          <w:rFonts w:ascii="Courier New" w:eastAsia="Courier New" w:hAnsi="Courier New" w:cs="Courier New"/>
          <w:sz w:val="20"/>
          <w:szCs w:val="20"/>
        </w:rPr>
        <w:t xml:space="preserve">pos,2i) = </w:t>
      </w:r>
      <w:proofErr w:type="gramStart"/>
      <w:r>
        <w:rPr>
          <w:rFonts w:ascii="Courier New" w:eastAsia="Courier New" w:hAnsi="Courier New" w:cs="Courier New"/>
          <w:sz w:val="20"/>
          <w:szCs w:val="20"/>
        </w:rPr>
        <w:t>sin(</w:t>
      </w:r>
      <w:proofErr w:type="gramEnd"/>
      <w:r>
        <w:rPr>
          <w:rFonts w:ascii="Courier New" w:eastAsia="Courier New" w:hAnsi="Courier New" w:cs="Courier New"/>
          <w:sz w:val="20"/>
          <w:szCs w:val="20"/>
        </w:rPr>
        <w:t>pos / 10000^(2i/</w:t>
      </w:r>
      <w:proofErr w:type="spellStart"/>
      <w:r>
        <w:rPr>
          <w:rFonts w:ascii="Courier New" w:eastAsia="Courier New" w:hAnsi="Courier New" w:cs="Courier New"/>
          <w:sz w:val="20"/>
          <w:szCs w:val="20"/>
        </w:rPr>
        <w:t>d_model</w:t>
      </w:r>
      <w:proofErr w:type="spellEnd"/>
      <w:r>
        <w:rPr>
          <w:rFonts w:ascii="Courier New" w:eastAsia="Courier New" w:hAnsi="Courier New" w:cs="Courier New"/>
          <w:sz w:val="20"/>
          <w:szCs w:val="20"/>
        </w:rPr>
        <w:t>))</w:t>
      </w:r>
    </w:p>
    <w:p w14:paraId="2833D049" w14:textId="77777777" w:rsidR="00020C53" w:rsidRDefault="00000000">
      <w:pPr>
        <w:spacing w:after="120" w:line="276" w:lineRule="auto"/>
      </w:pPr>
      <w:r>
        <w:t xml:space="preserve">Tells the model word order. Modern variants use </w:t>
      </w:r>
      <w:proofErr w:type="spellStart"/>
      <w:r>
        <w:t>RoPE</w:t>
      </w:r>
      <w:proofErr w:type="spellEnd"/>
      <w:r>
        <w:t xml:space="preserve"> instead. You do not touch this. The models you call handle it internally.</w:t>
      </w:r>
    </w:p>
    <w:p w14:paraId="66CA4587" w14:textId="77777777" w:rsidR="00020C53" w:rsidRDefault="00000000">
      <w:pPr>
        <w:pStyle w:val="Heading2"/>
      </w:pPr>
      <w:r>
        <w:t>Feed-Forward Networks</w:t>
      </w:r>
    </w:p>
    <w:p w14:paraId="78DA310B" w14:textId="77777777" w:rsidR="00020C53" w:rsidRDefault="00000000">
      <w:pPr>
        <w:spacing w:after="80" w:line="276" w:lineRule="auto"/>
        <w:ind w:left="360"/>
      </w:pPr>
      <w:r>
        <w:rPr>
          <w:rFonts w:ascii="Courier New" w:eastAsia="Courier New" w:hAnsi="Courier New" w:cs="Courier New"/>
          <w:sz w:val="20"/>
          <w:szCs w:val="20"/>
        </w:rPr>
        <w:t xml:space="preserve">FFN(x) = </w:t>
      </w:r>
      <w:proofErr w:type="gramStart"/>
      <w:r>
        <w:rPr>
          <w:rFonts w:ascii="Courier New" w:eastAsia="Courier New" w:hAnsi="Courier New" w:cs="Courier New"/>
          <w:sz w:val="20"/>
          <w:szCs w:val="20"/>
        </w:rPr>
        <w:t>max(</w:t>
      </w:r>
      <w:proofErr w:type="gramEnd"/>
      <w:r>
        <w:rPr>
          <w:rFonts w:ascii="Courier New" w:eastAsia="Courier New" w:hAnsi="Courier New" w:cs="Courier New"/>
          <w:sz w:val="20"/>
          <w:szCs w:val="20"/>
        </w:rPr>
        <w:t>0, xW1 + b</w:t>
      </w:r>
      <w:proofErr w:type="gramStart"/>
      <w:r>
        <w:rPr>
          <w:rFonts w:ascii="Courier New" w:eastAsia="Courier New" w:hAnsi="Courier New" w:cs="Courier New"/>
          <w:sz w:val="20"/>
          <w:szCs w:val="20"/>
        </w:rPr>
        <w:t>1)W</w:t>
      </w:r>
      <w:proofErr w:type="gramEnd"/>
      <w:r>
        <w:rPr>
          <w:rFonts w:ascii="Courier New" w:eastAsia="Courier New" w:hAnsi="Courier New" w:cs="Courier New"/>
          <w:sz w:val="20"/>
          <w:szCs w:val="20"/>
        </w:rPr>
        <w:t>2 + b2</w:t>
      </w:r>
    </w:p>
    <w:p w14:paraId="65986D80" w14:textId="77777777" w:rsidR="00020C53" w:rsidRDefault="00000000">
      <w:pPr>
        <w:spacing w:after="120" w:line="276" w:lineRule="auto"/>
      </w:pPr>
      <w:r>
        <w:t>Two linear layers with activation between them. Standard. Cross-entropy loss for next-token prediction is the standard training objective.</w:t>
      </w:r>
    </w:p>
    <w:p w14:paraId="23ADC71B" w14:textId="77777777" w:rsidR="00020C53" w:rsidRDefault="00000000">
      <w:pPr>
        <w:pBdr>
          <w:top w:val="single" w:sz="1" w:space="0" w:color="333333"/>
        </w:pBdr>
        <w:spacing w:before="200" w:after="200"/>
      </w:pPr>
      <w:r>
        <w:rPr>
          <w:b/>
          <w:bCs/>
        </w:rPr>
        <w:t xml:space="preserve">VERDICT: </w:t>
      </w:r>
      <w:r>
        <w:t>None of this is yours. You use LLMs as black-box generation engines. The math inside them is industry standard. This is honest and important to state.</w:t>
      </w:r>
    </w:p>
    <w:p w14:paraId="5CBC1718" w14:textId="77777777" w:rsidR="00020C53" w:rsidRDefault="00000000">
      <w:r>
        <w:br w:type="page"/>
      </w:r>
    </w:p>
    <w:p w14:paraId="36CEEE14" w14:textId="77777777" w:rsidR="00020C53" w:rsidRDefault="00000000">
      <w:pPr>
        <w:pStyle w:val="Heading1"/>
      </w:pPr>
      <w:r>
        <w:lastRenderedPageBreak/>
        <w:t>Section 2: Embedding and Retrieval Math (Standard Foundation, Your Application)</w:t>
      </w:r>
    </w:p>
    <w:p w14:paraId="3B90407F" w14:textId="77777777" w:rsidR="00020C53" w:rsidRDefault="00000000">
      <w:pPr>
        <w:spacing w:after="120" w:line="276" w:lineRule="auto"/>
      </w:pPr>
      <w:r>
        <w:rPr>
          <w:b/>
          <w:bCs/>
        </w:rPr>
        <w:t>384-Dimensional Embeddings (all-MiniLM-L6-v2):</w:t>
      </w:r>
      <w:r>
        <w:t xml:space="preserve"> Sentence-BERT architecture. Pre-trained model, not your math. The embedding model is off-the-shelf.</w:t>
      </w:r>
    </w:p>
    <w:p w14:paraId="280709B3" w14:textId="77777777" w:rsidR="00020C53" w:rsidRDefault="00000000">
      <w:pPr>
        <w:pStyle w:val="Heading2"/>
      </w:pPr>
      <w:r>
        <w:t>Cosine Similarity</w:t>
      </w:r>
    </w:p>
    <w:p w14:paraId="310BEF65" w14:textId="77777777" w:rsidR="00020C53" w:rsidRDefault="00000000">
      <w:pPr>
        <w:spacing w:after="80" w:line="276" w:lineRule="auto"/>
        <w:ind w:left="360"/>
      </w:pPr>
      <w:r>
        <w:rPr>
          <w:rFonts w:ascii="Courier New" w:eastAsia="Courier New" w:hAnsi="Courier New" w:cs="Courier New"/>
          <w:sz w:val="20"/>
          <w:szCs w:val="20"/>
        </w:rPr>
        <w:t>cos(</w:t>
      </w:r>
      <w:proofErr w:type="spellStart"/>
      <w:proofErr w:type="gramStart"/>
      <w:r>
        <w:rPr>
          <w:rFonts w:ascii="Courier New" w:eastAsia="Courier New" w:hAnsi="Courier New" w:cs="Courier New"/>
          <w:sz w:val="20"/>
          <w:szCs w:val="20"/>
        </w:rPr>
        <w:t>a,b</w:t>
      </w:r>
      <w:proofErr w:type="spellEnd"/>
      <w:proofErr w:type="gramEnd"/>
      <w:r>
        <w:rPr>
          <w:rFonts w:ascii="Courier New" w:eastAsia="Courier New" w:hAnsi="Courier New" w:cs="Courier New"/>
          <w:sz w:val="20"/>
          <w:szCs w:val="20"/>
        </w:rPr>
        <w:t>) = (</w:t>
      </w:r>
      <w:proofErr w:type="gramStart"/>
      <w:r>
        <w:rPr>
          <w:rFonts w:ascii="Courier New" w:eastAsia="Courier New" w:hAnsi="Courier New" w:cs="Courier New"/>
          <w:sz w:val="20"/>
          <w:szCs w:val="20"/>
        </w:rPr>
        <w:t>a .</w:t>
      </w:r>
      <w:proofErr w:type="gramEnd"/>
      <w:r>
        <w:rPr>
          <w:rFonts w:ascii="Courier New" w:eastAsia="Courier New" w:hAnsi="Courier New" w:cs="Courier New"/>
          <w:sz w:val="20"/>
          <w:szCs w:val="20"/>
        </w:rPr>
        <w:t xml:space="preserve"> b) / (||a|| * ||b||)</w:t>
      </w:r>
    </w:p>
    <w:p w14:paraId="31EBC797" w14:textId="77777777" w:rsidR="00020C53" w:rsidRDefault="00000000">
      <w:pPr>
        <w:spacing w:after="120" w:line="276" w:lineRule="auto"/>
      </w:pPr>
      <w:r>
        <w:t xml:space="preserve">Standard vector similarity metric. Used everywhere in RAG. Your application: trust-weighted retrieval scoring that combines cosine similarity with trust scores. The combination is </w:t>
      </w:r>
      <w:proofErr w:type="gramStart"/>
      <w:r>
        <w:t>yours,</w:t>
      </w:r>
      <w:proofErr w:type="gramEnd"/>
      <w:r>
        <w:t xml:space="preserve"> the cosine math is not.</w:t>
      </w:r>
    </w:p>
    <w:p w14:paraId="3D54B3CA" w14:textId="77777777" w:rsidR="00020C53" w:rsidRDefault="00000000">
      <w:pPr>
        <w:pStyle w:val="Heading2"/>
      </w:pPr>
      <w:r>
        <w:t>Trust-Weighted Retrieval Score</w:t>
      </w:r>
    </w:p>
    <w:p w14:paraId="75820E3E" w14:textId="77777777" w:rsidR="00020C53" w:rsidRDefault="00000000">
      <w:pPr>
        <w:spacing w:after="80" w:line="276" w:lineRule="auto"/>
        <w:ind w:left="360"/>
      </w:pPr>
      <w:proofErr w:type="spellStart"/>
      <w:r>
        <w:rPr>
          <w:rFonts w:ascii="Courier New" w:eastAsia="Courier New" w:hAnsi="Courier New" w:cs="Courier New"/>
          <w:sz w:val="20"/>
          <w:szCs w:val="20"/>
        </w:rPr>
        <w:t>final_score</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cosine_similarity</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trust_weight</w:t>
      </w:r>
      <w:proofErr w:type="spellEnd"/>
    </w:p>
    <w:p w14:paraId="196953C4" w14:textId="77777777" w:rsidR="00020C53" w:rsidRDefault="00000000">
      <w:pPr>
        <w:spacing w:after="120" w:line="276" w:lineRule="auto"/>
      </w:pPr>
      <w:r>
        <w:t>A highly relevant memory with low trust scores LOWER than a moderately relevant memory with high trust. The idea that retrieval should be trust-weighted is a design decision that standard RAG does not make. Not novel math, but novel application.</w:t>
      </w:r>
    </w:p>
    <w:p w14:paraId="78BF479D" w14:textId="77777777" w:rsidR="00020C53" w:rsidRDefault="00000000">
      <w:pPr>
        <w:spacing w:after="120" w:line="276" w:lineRule="auto"/>
      </w:pPr>
      <w:r>
        <w:rPr>
          <w:b/>
          <w:bCs/>
        </w:rPr>
        <w:t>FAISS Indexing:</w:t>
      </w:r>
      <w:r>
        <w:t xml:space="preserve"> Standard Facebook library for fast nearest-neighbor search. You use it. You did not build it.</w:t>
      </w:r>
    </w:p>
    <w:p w14:paraId="5D2B41D4" w14:textId="77777777" w:rsidR="00020C53" w:rsidRDefault="00000000">
      <w:pPr>
        <w:pBdr>
          <w:top w:val="single" w:sz="1" w:space="0" w:color="333333"/>
        </w:pBdr>
        <w:spacing w:before="200" w:after="200"/>
      </w:pPr>
      <w:r>
        <w:rPr>
          <w:b/>
          <w:bCs/>
        </w:rPr>
        <w:t xml:space="preserve">VERDICT: </w:t>
      </w:r>
      <w:r>
        <w:t>The retrieval math is standard. The trust-weighting on top of it is your design decision. Not novel math but a novel architectural choice.</w:t>
      </w:r>
    </w:p>
    <w:p w14:paraId="5F893C27" w14:textId="77777777" w:rsidR="00020C53" w:rsidRDefault="00000000">
      <w:pPr>
        <w:pStyle w:val="Heading1"/>
      </w:pPr>
      <w:r>
        <w:t>Section 3: Trust Evolution Math (Yours)</w:t>
      </w:r>
    </w:p>
    <w:p w14:paraId="2ED591B7" w14:textId="77777777" w:rsidR="00020C53" w:rsidRDefault="00000000">
      <w:pPr>
        <w:spacing w:after="120" w:line="276" w:lineRule="auto"/>
      </w:pPr>
      <w:r>
        <w:t>This is where your original math lives. No standard RAG system does this.</w:t>
      </w:r>
    </w:p>
    <w:p w14:paraId="5243E263" w14:textId="77777777" w:rsidR="00020C53" w:rsidRDefault="00000000">
      <w:pPr>
        <w:pStyle w:val="Heading2"/>
      </w:pPr>
      <w:r>
        <w:t>Trust Gain (when evidence aligns)</w:t>
      </w:r>
    </w:p>
    <w:p w14:paraId="1150BFB1" w14:textId="77777777" w:rsidR="00020C53" w:rsidRDefault="00000000">
      <w:pPr>
        <w:spacing w:after="80" w:line="276" w:lineRule="auto"/>
        <w:ind w:left="360"/>
      </w:pPr>
      <w:proofErr w:type="spellStart"/>
      <w:r>
        <w:rPr>
          <w:rFonts w:ascii="Courier New" w:eastAsia="Courier New" w:hAnsi="Courier New" w:cs="Courier New"/>
          <w:sz w:val="20"/>
          <w:szCs w:val="20"/>
        </w:rPr>
        <w:t>t_new</w:t>
      </w:r>
      <w:proofErr w:type="spellEnd"/>
      <w:r>
        <w:rPr>
          <w:rFonts w:ascii="Courier New" w:eastAsia="Courier New" w:hAnsi="Courier New" w:cs="Courier New"/>
          <w:sz w:val="20"/>
          <w:szCs w:val="20"/>
        </w:rPr>
        <w:t xml:space="preserve"> = </w:t>
      </w:r>
      <w:proofErr w:type="gramStart"/>
      <w:r>
        <w:rPr>
          <w:rFonts w:ascii="Courier New" w:eastAsia="Courier New" w:hAnsi="Courier New" w:cs="Courier New"/>
          <w:sz w:val="20"/>
          <w:szCs w:val="20"/>
        </w:rPr>
        <w:t>clip(</w:t>
      </w:r>
      <w:proofErr w:type="gramEnd"/>
      <w:r>
        <w:rPr>
          <w:rFonts w:ascii="Courier New" w:eastAsia="Courier New" w:hAnsi="Courier New" w:cs="Courier New"/>
          <w:sz w:val="20"/>
          <w:szCs w:val="20"/>
        </w:rPr>
        <w:t>t + 0.10 * (1 - drift), 0, 1)</w:t>
      </w:r>
    </w:p>
    <w:p w14:paraId="61D6A6F7" w14:textId="77777777" w:rsidR="00020C53" w:rsidRDefault="00000000">
      <w:pPr>
        <w:pStyle w:val="Heading2"/>
      </w:pPr>
      <w:r>
        <w:t>Trust Decay (when contradiction detected)</w:t>
      </w:r>
    </w:p>
    <w:p w14:paraId="02D03E61" w14:textId="77777777" w:rsidR="00020C53" w:rsidRDefault="00000000">
      <w:pPr>
        <w:spacing w:after="80" w:line="276" w:lineRule="auto"/>
        <w:ind w:left="360"/>
      </w:pPr>
      <w:proofErr w:type="spellStart"/>
      <w:r>
        <w:rPr>
          <w:rFonts w:ascii="Courier New" w:eastAsia="Courier New" w:hAnsi="Courier New" w:cs="Courier New"/>
          <w:sz w:val="20"/>
          <w:szCs w:val="20"/>
        </w:rPr>
        <w:t>t_new</w:t>
      </w:r>
      <w:proofErr w:type="spellEnd"/>
      <w:r>
        <w:rPr>
          <w:rFonts w:ascii="Courier New" w:eastAsia="Courier New" w:hAnsi="Courier New" w:cs="Courier New"/>
          <w:sz w:val="20"/>
          <w:szCs w:val="20"/>
        </w:rPr>
        <w:t xml:space="preserve"> = </w:t>
      </w:r>
      <w:proofErr w:type="gramStart"/>
      <w:r>
        <w:rPr>
          <w:rFonts w:ascii="Courier New" w:eastAsia="Courier New" w:hAnsi="Courier New" w:cs="Courier New"/>
          <w:sz w:val="20"/>
          <w:szCs w:val="20"/>
        </w:rPr>
        <w:t>clip(</w:t>
      </w:r>
      <w:proofErr w:type="gramEnd"/>
      <w:r>
        <w:rPr>
          <w:rFonts w:ascii="Courier New" w:eastAsia="Courier New" w:hAnsi="Courier New" w:cs="Courier New"/>
          <w:sz w:val="20"/>
          <w:szCs w:val="20"/>
        </w:rPr>
        <w:t>t * (1 - 0.15 * drift), 0, 1)</w:t>
      </w:r>
    </w:p>
    <w:p w14:paraId="09F5D141" w14:textId="77777777" w:rsidR="00020C53" w:rsidRDefault="00000000">
      <w:pPr>
        <w:pStyle w:val="Heading2"/>
      </w:pPr>
      <w:r>
        <w:t>Drift Measurement</w:t>
      </w:r>
    </w:p>
    <w:p w14:paraId="36695F11" w14:textId="77777777" w:rsidR="00020C53" w:rsidRDefault="00000000">
      <w:pPr>
        <w:spacing w:after="80" w:line="276" w:lineRule="auto"/>
        <w:ind w:left="360"/>
      </w:pPr>
      <w:r>
        <w:rPr>
          <w:rFonts w:ascii="Courier New" w:eastAsia="Courier New" w:hAnsi="Courier New" w:cs="Courier New"/>
          <w:sz w:val="20"/>
          <w:szCs w:val="20"/>
        </w:rPr>
        <w:t xml:space="preserve">drift = 1 - </w:t>
      </w:r>
      <w:proofErr w:type="spellStart"/>
      <w:r>
        <w:rPr>
          <w:rFonts w:ascii="Courier New" w:eastAsia="Courier New" w:hAnsi="Courier New" w:cs="Courier New"/>
          <w:sz w:val="20"/>
          <w:szCs w:val="20"/>
        </w:rPr>
        <w:t>cosine_</w:t>
      </w:r>
      <w:proofErr w:type="gramStart"/>
      <w:r>
        <w:rPr>
          <w:rFonts w:ascii="Courier New" w:eastAsia="Courier New" w:hAnsi="Courier New" w:cs="Courier New"/>
          <w:sz w:val="20"/>
          <w:szCs w:val="20"/>
        </w:rPr>
        <w:t>similarity</w:t>
      </w:r>
      <w:proofErr w:type="spellEnd"/>
      <w:r>
        <w:rPr>
          <w:rFonts w:ascii="Courier New" w:eastAsia="Courier New" w:hAnsi="Courier New" w:cs="Courier New"/>
          <w:sz w:val="20"/>
          <w:szCs w:val="20"/>
        </w:rPr>
        <w:t>(</w:t>
      </w:r>
      <w:proofErr w:type="spellStart"/>
      <w:proofErr w:type="gramEnd"/>
      <w:r>
        <w:rPr>
          <w:rFonts w:ascii="Courier New" w:eastAsia="Courier New" w:hAnsi="Courier New" w:cs="Courier New"/>
          <w:sz w:val="20"/>
          <w:szCs w:val="20"/>
        </w:rPr>
        <w:t>new_embedding</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prior_embedding</w:t>
      </w:r>
      <w:proofErr w:type="spellEnd"/>
      <w:r>
        <w:rPr>
          <w:rFonts w:ascii="Courier New" w:eastAsia="Courier New" w:hAnsi="Courier New" w:cs="Courier New"/>
          <w:sz w:val="20"/>
          <w:szCs w:val="20"/>
        </w:rPr>
        <w:t>)</w:t>
      </w:r>
    </w:p>
    <w:p w14:paraId="0370DF58" w14:textId="77777777" w:rsidR="00020C53" w:rsidRDefault="00000000">
      <w:pPr>
        <w:spacing w:after="120" w:line="276" w:lineRule="auto"/>
      </w:pPr>
      <w:r>
        <w:t>The asymmetry is deliberate: decay rate (0.15) &gt; gain rate (0.10). It is easier to lose trust than to gain it. This mirrors how human trust works.</w:t>
      </w:r>
    </w:p>
    <w:p w14:paraId="1C34E4CC" w14:textId="77777777" w:rsidR="00020C53" w:rsidRDefault="00000000">
      <w:pPr>
        <w:spacing w:after="120" w:line="276" w:lineRule="auto"/>
      </w:pPr>
      <w:r>
        <w:rPr>
          <w:b/>
          <w:bCs/>
        </w:rPr>
        <w:t>ORIGIN:</w:t>
      </w:r>
      <w:r>
        <w:t xml:space="preserve"> The asymmetric update rule is inspired by prospect theory (Kahneman and Tversky, 1979) - losses loom larger than gains. But the specific application to memory trust scores in an AI system is yours. No standard system does this.</w:t>
      </w:r>
    </w:p>
    <w:p w14:paraId="343A37EF" w14:textId="77777777" w:rsidR="00020C53" w:rsidRDefault="00000000">
      <w:pPr>
        <w:spacing w:after="120" w:line="276" w:lineRule="auto"/>
      </w:pPr>
      <w:r>
        <w:lastRenderedPageBreak/>
        <w:t>The specific thresholds (0.10, 0.15, 0.28 for contradiction detection) were tuned from production data over 12 months. These are empirical, not derived from theory.</w:t>
      </w:r>
    </w:p>
    <w:p w14:paraId="38808CCA" w14:textId="77777777" w:rsidR="00020C53" w:rsidRDefault="00000000">
      <w:pPr>
        <w:pBdr>
          <w:top w:val="single" w:sz="1" w:space="0" w:color="333333"/>
        </w:pBdr>
        <w:spacing w:before="200" w:after="200"/>
      </w:pPr>
      <w:r>
        <w:rPr>
          <w:b/>
          <w:bCs/>
        </w:rPr>
        <w:t xml:space="preserve">VERDICT: </w:t>
      </w:r>
      <w:r>
        <w:t>The trust evolution math is genuinely yours. The individual operations (clip, cosine, multiplication) are standard. The combination, the asymmetry, and the specific application to belief state management is original work.</w:t>
      </w:r>
    </w:p>
    <w:p w14:paraId="36A5E75E" w14:textId="77777777" w:rsidR="00020C53" w:rsidRDefault="00000000">
      <w:r>
        <w:br w:type="page"/>
      </w:r>
    </w:p>
    <w:p w14:paraId="15A9CDA7" w14:textId="77777777" w:rsidR="00020C53" w:rsidRDefault="00000000">
      <w:pPr>
        <w:pStyle w:val="Heading1"/>
      </w:pPr>
      <w:r>
        <w:lastRenderedPageBreak/>
        <w:t>Section 4: Contradiction Detection Math (Yours + Standard NLI)</w:t>
      </w:r>
    </w:p>
    <w:p w14:paraId="2E43449A" w14:textId="77777777" w:rsidR="00020C53" w:rsidRDefault="00000000">
      <w:pPr>
        <w:spacing w:after="120" w:line="276" w:lineRule="auto"/>
      </w:pPr>
      <w:r>
        <w:t>1. Cosine similarity &gt; 0.40 between two memories = candidate pair. 2. NLI model scores the pair. 3. If NLI score above threshold = contradiction flagged.</w:t>
      </w:r>
    </w:p>
    <w:p w14:paraId="65ABA5FA" w14:textId="77777777" w:rsidR="00020C53" w:rsidRDefault="00000000">
      <w:pPr>
        <w:spacing w:after="120" w:line="276" w:lineRule="auto"/>
      </w:pPr>
      <w:r>
        <w:t>The NLI model is standard (off-the-shelf). The pipeline that combines them for persistent memory contradiction detection is yours.</w:t>
      </w:r>
    </w:p>
    <w:p w14:paraId="050B6674" w14:textId="77777777" w:rsidR="00020C53" w:rsidRDefault="00000000">
      <w:pPr>
        <w:pStyle w:val="Heading2"/>
      </w:pPr>
      <w:r>
        <w:t>Contradiction Disposition Classification</w:t>
      </w:r>
    </w:p>
    <w:p w14:paraId="21662292" w14:textId="77777777" w:rsidR="00020C53" w:rsidRDefault="00000000">
      <w:pPr>
        <w:spacing w:after="120" w:line="276" w:lineRule="auto"/>
      </w:pPr>
      <w:r>
        <w:t xml:space="preserve">Resolvable: evidence can settle it. Held: genuine tension, preserved as signal. Evolving: belief is changing over time. Contextual: </w:t>
      </w:r>
      <w:proofErr w:type="gramStart"/>
      <w:r>
        <w:t>both valid</w:t>
      </w:r>
      <w:proofErr w:type="gramEnd"/>
      <w:r>
        <w:t xml:space="preserve"> in different contexts.</w:t>
      </w:r>
    </w:p>
    <w:p w14:paraId="6648F7E1" w14:textId="77777777" w:rsidR="00020C53" w:rsidRDefault="00000000">
      <w:pPr>
        <w:spacing w:after="120" w:line="276" w:lineRule="auto"/>
      </w:pPr>
      <w:r>
        <w:rPr>
          <w:b/>
          <w:bCs/>
        </w:rPr>
        <w:t>ORIGIN:</w:t>
      </w:r>
      <w:r>
        <w:t xml:space="preserve"> The held contradiction concept draws from paraconsistent logic (da Costa, 1974) and Belnap four-valued logic (TRUE, FALSE, BOTH, NEITHER). Your application of Belnap states to AI memory governance is original.</w:t>
      </w:r>
    </w:p>
    <w:p w14:paraId="185A5F76" w14:textId="77777777" w:rsidR="00020C53" w:rsidRDefault="00000000">
      <w:pPr>
        <w:pBdr>
          <w:top w:val="single" w:sz="1" w:space="0" w:color="333333"/>
        </w:pBdr>
        <w:spacing w:before="200" w:after="200"/>
      </w:pPr>
      <w:r>
        <w:rPr>
          <w:b/>
          <w:bCs/>
        </w:rPr>
        <w:t xml:space="preserve">VERDICT: </w:t>
      </w:r>
      <w:r>
        <w:t>The contradiction detection pipeline is yours. The NLI math is standard. The disposition classification and held contradiction as a design law are original.</w:t>
      </w:r>
    </w:p>
    <w:p w14:paraId="5E0CFAD9" w14:textId="77777777" w:rsidR="00020C53" w:rsidRDefault="00000000">
      <w:pPr>
        <w:pStyle w:val="Heading1"/>
      </w:pPr>
      <w:r>
        <w:t>Section 5: Backward Influence Propagation (Yours - Most Novel)</w:t>
      </w:r>
    </w:p>
    <w:p w14:paraId="33002D86" w14:textId="77777777" w:rsidR="00020C53" w:rsidRDefault="00000000">
      <w:pPr>
        <w:spacing w:after="120" w:line="276" w:lineRule="auto"/>
      </w:pPr>
      <w:r>
        <w:t>When a correction resolves a contradiction, the error signal flows backward through the BRG:</w:t>
      </w:r>
    </w:p>
    <w:p w14:paraId="28DF4D97" w14:textId="77777777" w:rsidR="00020C53" w:rsidRDefault="00000000">
      <w:pPr>
        <w:spacing w:after="80" w:line="276" w:lineRule="auto"/>
        <w:ind w:left="360"/>
      </w:pPr>
      <w:r>
        <w:rPr>
          <w:rFonts w:ascii="Courier New" w:eastAsia="Courier New" w:hAnsi="Courier New" w:cs="Courier New"/>
          <w:sz w:val="20"/>
          <w:szCs w:val="20"/>
        </w:rPr>
        <w:t xml:space="preserve">gradient(A) = L(B) * w(A-&gt;B) * </w:t>
      </w:r>
      <w:proofErr w:type="spellStart"/>
      <w:r>
        <w:rPr>
          <w:rFonts w:ascii="Courier New" w:eastAsia="Courier New" w:hAnsi="Courier New" w:cs="Courier New"/>
          <w:sz w:val="20"/>
          <w:szCs w:val="20"/>
        </w:rPr>
        <w:t>alpha^d</w:t>
      </w:r>
      <w:proofErr w:type="spellEnd"/>
      <w:r>
        <w:rPr>
          <w:rFonts w:ascii="Courier New" w:eastAsia="Courier New" w:hAnsi="Courier New" w:cs="Courier New"/>
          <w:sz w:val="20"/>
          <w:szCs w:val="20"/>
        </w:rPr>
        <w:t>(A)</w:t>
      </w:r>
    </w:p>
    <w:p w14:paraId="19B06084" w14:textId="77777777" w:rsidR="00020C53" w:rsidRDefault="00000000">
      <w:pPr>
        <w:spacing w:after="120" w:line="276" w:lineRule="auto"/>
      </w:pPr>
      <w:r>
        <w:t>L(B) = epistemic loss at corrected node. w(A-&gt;B) = edge weight. alpha = damping factor. d(A) = depth from correction point.</w:t>
      </w:r>
    </w:p>
    <w:p w14:paraId="1E736672" w14:textId="77777777" w:rsidR="00020C53" w:rsidRDefault="00000000">
      <w:pPr>
        <w:pStyle w:val="Heading2"/>
      </w:pPr>
      <w:r>
        <w:t>Three Emergent Behaviors</w:t>
      </w:r>
    </w:p>
    <w:p w14:paraId="4C2DE99F" w14:textId="77777777" w:rsidR="00020C53" w:rsidRDefault="00000000">
      <w:pPr>
        <w:spacing w:after="120" w:line="276" w:lineRule="auto"/>
      </w:pPr>
      <w:r>
        <w:t>1. Self-pruning: wrong beliefs accumulate error and die. 2. Domain volatility: correction frequency drives per-domain adjustment rates. 3. Reflexive self-model: the system beliefs about itself participate in the same dynamics.</w:t>
      </w:r>
    </w:p>
    <w:p w14:paraId="18685A2C" w14:textId="77777777" w:rsidR="00020C53" w:rsidRDefault="00000000">
      <w:pPr>
        <w:spacing w:after="120" w:line="276" w:lineRule="auto"/>
      </w:pPr>
      <w:r>
        <w:rPr>
          <w:b/>
          <w:bCs/>
        </w:rPr>
        <w:t>ORIGIN:</w:t>
      </w:r>
      <w:r>
        <w:t xml:space="preserve"> NOT gradient descent via chain rule. Damped influence propagation on a weighted directed graph. Closest relatives: Belief propagation (Pearl 1988), AGM belief revision (1985), DeGroot consensus (1974), Active inference (Friston). No direct precedent found. 30/30 validation passed.</w:t>
      </w:r>
    </w:p>
    <w:p w14:paraId="7658028D" w14:textId="77777777" w:rsidR="00020C53" w:rsidRDefault="00000000">
      <w:pPr>
        <w:pBdr>
          <w:top w:val="single" w:sz="1" w:space="0" w:color="333333"/>
        </w:pBdr>
        <w:spacing w:before="200" w:after="200"/>
      </w:pPr>
      <w:r>
        <w:rPr>
          <w:b/>
          <w:bCs/>
        </w:rPr>
        <w:t xml:space="preserve">VERDICT: </w:t>
      </w:r>
      <w:r>
        <w:t>This is your most novel contribution. The individual components exist in literature. The specific combination and the three emergent behaviors are original. No direct precedent identified.</w:t>
      </w:r>
    </w:p>
    <w:p w14:paraId="2966E0BF" w14:textId="77777777" w:rsidR="00020C53" w:rsidRDefault="00000000">
      <w:r>
        <w:br w:type="page"/>
      </w:r>
    </w:p>
    <w:p w14:paraId="6AC8CD16" w14:textId="77777777" w:rsidR="00020C53" w:rsidRDefault="00000000">
      <w:pPr>
        <w:pStyle w:val="Heading1"/>
      </w:pPr>
      <w:r>
        <w:lastRenderedPageBreak/>
        <w:t>Section 6: Cascade Complexity Math (Yours)</w:t>
      </w:r>
    </w:p>
    <w:p w14:paraId="3470ACB2" w14:textId="77777777" w:rsidR="00020C53" w:rsidRDefault="00000000">
      <w:pPr>
        <w:spacing w:after="80" w:line="276" w:lineRule="auto"/>
        <w:ind w:left="360"/>
      </w:pPr>
      <w:r>
        <w:rPr>
          <w:rFonts w:ascii="Courier New" w:eastAsia="Courier New" w:hAnsi="Courier New" w:cs="Courier New"/>
          <w:sz w:val="20"/>
          <w:szCs w:val="20"/>
        </w:rPr>
        <w:t>BRG: G = (V, E, w)</w:t>
      </w:r>
    </w:p>
    <w:p w14:paraId="619DEB20" w14:textId="77777777" w:rsidR="00020C53" w:rsidRDefault="00000000">
      <w:pPr>
        <w:spacing w:after="120" w:line="276" w:lineRule="auto"/>
      </w:pPr>
      <w:r>
        <w:t>V = belief states, E = typed directed edges (SUPPORTS, CONTRADICTS, SUPERSEDES, RELATED_TO), w: E -&gt; (0,1] = dependency strength.</w:t>
      </w:r>
    </w:p>
    <w:p w14:paraId="025208E4" w14:textId="77777777" w:rsidR="00020C53" w:rsidRDefault="00000000">
      <w:pPr>
        <w:spacing w:after="120" w:line="276" w:lineRule="auto"/>
      </w:pPr>
      <w:r>
        <w:t>Five theorems proven: 1. Depth bound. 2. Width bound. 3. Damping convergence. 4. Instability threshold. 5. NP-hardness conjecture (open).</w:t>
      </w:r>
    </w:p>
    <w:p w14:paraId="202BB346" w14:textId="77777777" w:rsidR="00020C53" w:rsidRDefault="00000000">
      <w:pPr>
        <w:spacing w:after="120" w:line="276" w:lineRule="auto"/>
      </w:pPr>
      <w:r>
        <w:rPr>
          <w:b/>
          <w:bCs/>
        </w:rPr>
        <w:t>Key Finding:</w:t>
      </w:r>
      <w:r>
        <w:t xml:space="preserve"> Held contradictions act as natural firewalls that limit cascade propagation. Empirical discovery, not derived from prior theory.</w:t>
      </w:r>
    </w:p>
    <w:p w14:paraId="478950DC" w14:textId="77777777" w:rsidR="00020C53" w:rsidRDefault="00000000">
      <w:pPr>
        <w:pBdr>
          <w:top w:val="single" w:sz="1" w:space="0" w:color="333333"/>
        </w:pBdr>
        <w:spacing w:before="200" w:after="200"/>
      </w:pPr>
      <w:r>
        <w:rPr>
          <w:b/>
          <w:bCs/>
        </w:rPr>
        <w:t xml:space="preserve">VERDICT: </w:t>
      </w:r>
      <w:r>
        <w:t>The formal cascade complexity analysis is original. The firewall property of held contradictions is a novel finding.</w:t>
      </w:r>
    </w:p>
    <w:p w14:paraId="79EFDCE3" w14:textId="77777777" w:rsidR="00020C53" w:rsidRDefault="00000000">
      <w:pPr>
        <w:pStyle w:val="Heading1"/>
      </w:pPr>
      <w:r>
        <w:t>Section 7: Query Resonance / Wobble (Yours)</w:t>
      </w:r>
    </w:p>
    <w:p w14:paraId="01F9EFEC" w14:textId="77777777" w:rsidR="00020C53" w:rsidRDefault="00000000">
      <w:pPr>
        <w:spacing w:after="80" w:line="276" w:lineRule="auto"/>
        <w:ind w:left="360"/>
      </w:pPr>
      <w:r>
        <w:rPr>
          <w:rFonts w:ascii="Courier New" w:eastAsia="Courier New" w:hAnsi="Courier New" w:cs="Courier New"/>
          <w:sz w:val="20"/>
          <w:szCs w:val="20"/>
        </w:rPr>
        <w:t xml:space="preserve">Direct: r_0(v) = </w:t>
      </w:r>
      <w:proofErr w:type="gramStart"/>
      <w:r>
        <w:rPr>
          <w:rFonts w:ascii="Courier New" w:eastAsia="Courier New" w:hAnsi="Courier New" w:cs="Courier New"/>
          <w:sz w:val="20"/>
          <w:szCs w:val="20"/>
        </w:rPr>
        <w:t>cos(</w:t>
      </w:r>
      <w:proofErr w:type="gramEnd"/>
      <w:r>
        <w:rPr>
          <w:rFonts w:ascii="Courier New" w:eastAsia="Courier New" w:hAnsi="Courier New" w:cs="Courier New"/>
          <w:sz w:val="20"/>
          <w:szCs w:val="20"/>
        </w:rPr>
        <w:t xml:space="preserve">q, </w:t>
      </w:r>
      <w:proofErr w:type="spellStart"/>
      <w:r>
        <w:rPr>
          <w:rFonts w:ascii="Courier New" w:eastAsia="Courier New" w:hAnsi="Courier New" w:cs="Courier New"/>
          <w:sz w:val="20"/>
          <w:szCs w:val="20"/>
        </w:rPr>
        <w:t>mu_v</w:t>
      </w:r>
      <w:proofErr w:type="spellEnd"/>
      <w:r>
        <w:rPr>
          <w:rFonts w:ascii="Courier New" w:eastAsia="Courier New" w:hAnsi="Courier New" w:cs="Courier New"/>
          <w:sz w:val="20"/>
          <w:szCs w:val="20"/>
        </w:rPr>
        <w:t>)</w:t>
      </w:r>
    </w:p>
    <w:p w14:paraId="6C75E329" w14:textId="77777777" w:rsidR="00020C53" w:rsidRDefault="00000000">
      <w:pPr>
        <w:spacing w:after="80" w:line="276" w:lineRule="auto"/>
        <w:ind w:left="360"/>
      </w:pPr>
      <w:r>
        <w:rPr>
          <w:rFonts w:ascii="Courier New" w:eastAsia="Courier New" w:hAnsi="Courier New" w:cs="Courier New"/>
          <w:sz w:val="20"/>
          <w:szCs w:val="20"/>
        </w:rPr>
        <w:t>Propagated: r_{k+</w:t>
      </w:r>
      <w:proofErr w:type="gramStart"/>
      <w:r>
        <w:rPr>
          <w:rFonts w:ascii="Courier New" w:eastAsia="Courier New" w:hAnsi="Courier New" w:cs="Courier New"/>
          <w:sz w:val="20"/>
          <w:szCs w:val="20"/>
        </w:rPr>
        <w:t>1}(</w:t>
      </w:r>
      <w:proofErr w:type="gramEnd"/>
      <w:r>
        <w:rPr>
          <w:rFonts w:ascii="Courier New" w:eastAsia="Courier New" w:hAnsi="Courier New" w:cs="Courier New"/>
          <w:sz w:val="20"/>
          <w:szCs w:val="20"/>
        </w:rPr>
        <w:t>v) = max(</w:t>
      </w:r>
      <w:proofErr w:type="spellStart"/>
      <w:r>
        <w:rPr>
          <w:rFonts w:ascii="Courier New" w:eastAsia="Courier New" w:hAnsi="Courier New" w:cs="Courier New"/>
          <w:sz w:val="20"/>
          <w:szCs w:val="20"/>
        </w:rPr>
        <w:t>r_k</w:t>
      </w:r>
      <w:proofErr w:type="spellEnd"/>
      <w:r>
        <w:rPr>
          <w:rFonts w:ascii="Courier New" w:eastAsia="Courier New" w:hAnsi="Courier New" w:cs="Courier New"/>
          <w:sz w:val="20"/>
          <w:szCs w:val="20"/>
        </w:rPr>
        <w:t xml:space="preserve">(v), max_{u-&gt;v} </w:t>
      </w:r>
      <w:proofErr w:type="spellStart"/>
      <w:r>
        <w:rPr>
          <w:rFonts w:ascii="Courier New" w:eastAsia="Courier New" w:hAnsi="Courier New" w:cs="Courier New"/>
          <w:sz w:val="20"/>
          <w:szCs w:val="20"/>
        </w:rPr>
        <w:t>r_k</w:t>
      </w:r>
      <w:proofErr w:type="spellEnd"/>
      <w:r>
        <w:rPr>
          <w:rFonts w:ascii="Courier New" w:eastAsia="Courier New" w:hAnsi="Courier New" w:cs="Courier New"/>
          <w:sz w:val="20"/>
          <w:szCs w:val="20"/>
        </w:rPr>
        <w:t xml:space="preserve">(u) * </w:t>
      </w:r>
      <w:proofErr w:type="spellStart"/>
      <w:r>
        <w:rPr>
          <w:rFonts w:ascii="Courier New" w:eastAsia="Courier New" w:hAnsi="Courier New" w:cs="Courier New"/>
          <w:sz w:val="20"/>
          <w:szCs w:val="20"/>
        </w:rPr>
        <w:t>w_uv</w:t>
      </w:r>
      <w:proofErr w:type="spellEnd"/>
      <w:r>
        <w:rPr>
          <w:rFonts w:ascii="Courier New" w:eastAsia="Courier New" w:hAnsi="Courier New" w:cs="Courier New"/>
          <w:sz w:val="20"/>
          <w:szCs w:val="20"/>
        </w:rPr>
        <w:t xml:space="preserve"> * alpha)</w:t>
      </w:r>
    </w:p>
    <w:p w14:paraId="01987F1B" w14:textId="77777777" w:rsidR="00020C53" w:rsidRDefault="00000000">
      <w:pPr>
        <w:spacing w:after="80" w:line="276" w:lineRule="auto"/>
        <w:ind w:left="360"/>
      </w:pPr>
      <w:r>
        <w:rPr>
          <w:rFonts w:ascii="Courier New" w:eastAsia="Courier New" w:hAnsi="Courier New" w:cs="Courier New"/>
          <w:sz w:val="20"/>
          <w:szCs w:val="20"/>
        </w:rPr>
        <w:t xml:space="preserve">Total: R(v) = r_0(v) + </w:t>
      </w:r>
      <w:proofErr w:type="spellStart"/>
      <w:r>
        <w:rPr>
          <w:rFonts w:ascii="Courier New" w:eastAsia="Courier New" w:hAnsi="Courier New" w:cs="Courier New"/>
          <w:sz w:val="20"/>
          <w:szCs w:val="20"/>
        </w:rPr>
        <w:t>r_fwd</w:t>
      </w:r>
      <w:proofErr w:type="spellEnd"/>
      <w:r>
        <w:rPr>
          <w:rFonts w:ascii="Courier New" w:eastAsia="Courier New" w:hAnsi="Courier New" w:cs="Courier New"/>
          <w:sz w:val="20"/>
          <w:szCs w:val="20"/>
        </w:rPr>
        <w:t xml:space="preserve">(v) + </w:t>
      </w:r>
      <w:proofErr w:type="spellStart"/>
      <w:r>
        <w:rPr>
          <w:rFonts w:ascii="Courier New" w:eastAsia="Courier New" w:hAnsi="Courier New" w:cs="Courier New"/>
          <w:sz w:val="20"/>
          <w:szCs w:val="20"/>
        </w:rPr>
        <w:t>r_back</w:t>
      </w:r>
      <w:proofErr w:type="spellEnd"/>
      <w:r>
        <w:rPr>
          <w:rFonts w:ascii="Courier New" w:eastAsia="Courier New" w:hAnsi="Courier New" w:cs="Courier New"/>
          <w:sz w:val="20"/>
          <w:szCs w:val="20"/>
        </w:rPr>
        <w:t>(v)</w:t>
      </w:r>
    </w:p>
    <w:p w14:paraId="5250E5BB" w14:textId="77777777" w:rsidR="00020C53" w:rsidRDefault="00000000">
      <w:pPr>
        <w:spacing w:after="120" w:line="276" w:lineRule="auto"/>
      </w:pPr>
      <w:r>
        <w:rPr>
          <w:b/>
          <w:bCs/>
        </w:rPr>
        <w:t>ORIGIN:</w:t>
      </w:r>
      <w:r>
        <w:t xml:space="preserve"> Spreading activation in semantic networks (Collins and Loftus, 1975). Your implementation on a trust-weighted BRG with typed edges is a specific variant.</w:t>
      </w:r>
    </w:p>
    <w:p w14:paraId="048A163F" w14:textId="77777777" w:rsidR="00020C53" w:rsidRDefault="00000000">
      <w:pPr>
        <w:pBdr>
          <w:top w:val="single" w:sz="1" w:space="0" w:color="333333"/>
        </w:pBdr>
        <w:spacing w:before="200" w:after="200"/>
      </w:pPr>
      <w:r>
        <w:rPr>
          <w:b/>
          <w:bCs/>
        </w:rPr>
        <w:t xml:space="preserve">VERDICT: </w:t>
      </w:r>
      <w:r>
        <w:t>The concept is well-established (1975). Your BRG implementation is your variant. Not wholly novel conceptually but the implementation is original.</w:t>
      </w:r>
    </w:p>
    <w:p w14:paraId="40842FA0" w14:textId="77777777" w:rsidR="00020C53" w:rsidRDefault="00000000">
      <w:pPr>
        <w:pStyle w:val="Heading1"/>
      </w:pPr>
      <w:r>
        <w:t>Section 8: Geometric Memory / Belief Loci (Yours - Theoretical)</w:t>
      </w:r>
    </w:p>
    <w:p w14:paraId="2A23E491" w14:textId="77777777" w:rsidR="00020C53" w:rsidRDefault="00000000">
      <w:pPr>
        <w:spacing w:after="80" w:line="276" w:lineRule="auto"/>
        <w:ind w:left="360"/>
      </w:pPr>
      <w:r>
        <w:rPr>
          <w:rFonts w:ascii="Courier New" w:eastAsia="Courier New" w:hAnsi="Courier New" w:cs="Courier New"/>
          <w:sz w:val="20"/>
          <w:szCs w:val="20"/>
        </w:rPr>
        <w:t>Belief locus: b = (mu, Sigma, alpha, t)</w:t>
      </w:r>
    </w:p>
    <w:p w14:paraId="3E04678B" w14:textId="77777777" w:rsidR="00020C53" w:rsidRDefault="00000000">
      <w:pPr>
        <w:spacing w:after="120" w:line="276" w:lineRule="auto"/>
      </w:pPr>
      <w:r>
        <w:t>mu = semantic center (384D), Sigma = covariance (uncertainty shape), alpha = confidence, t = timestamp.</w:t>
      </w:r>
    </w:p>
    <w:p w14:paraId="4A05034E" w14:textId="77777777" w:rsidR="00020C53" w:rsidRDefault="00000000">
      <w:pPr>
        <w:spacing w:after="120" w:line="276" w:lineRule="auto"/>
      </w:pPr>
      <w:r>
        <w:t>Contradiction as overlap via Bhattacharyya coefficient. Trust as covariance contraction/expansion. Deprecation as confidence fade. Volatility as covariance velocity.</w:t>
      </w:r>
    </w:p>
    <w:p w14:paraId="3D5CAFF0" w14:textId="77777777" w:rsidR="00020C53" w:rsidRDefault="00000000">
      <w:pPr>
        <w:spacing w:after="120" w:line="276" w:lineRule="auto"/>
      </w:pPr>
      <w:r>
        <w:rPr>
          <w:b/>
          <w:bCs/>
        </w:rPr>
        <w:t>Novel insight:</w:t>
      </w:r>
      <w:r>
        <w:t xml:space="preserve"> The experiment IS the belief - LLM response variance at temperature sweep directly produces locus parameters. No conversion needed.</w:t>
      </w:r>
    </w:p>
    <w:p w14:paraId="27D6538B" w14:textId="77777777" w:rsidR="00020C53" w:rsidRDefault="00000000">
      <w:pPr>
        <w:pBdr>
          <w:top w:val="single" w:sz="1" w:space="0" w:color="333333"/>
        </w:pBdr>
        <w:spacing w:before="200" w:after="200"/>
      </w:pPr>
      <w:r>
        <w:rPr>
          <w:b/>
          <w:bCs/>
        </w:rPr>
        <w:t xml:space="preserve">VERDICT: </w:t>
      </w:r>
      <w:r>
        <w:t>Individual math components are standard. The framework for AI memory governance is original. The variance-to-locus pipeline is novel.</w:t>
      </w:r>
    </w:p>
    <w:p w14:paraId="644FCEAA" w14:textId="77777777" w:rsidR="00020C53" w:rsidRDefault="00000000">
      <w:pPr>
        <w:pStyle w:val="Heading1"/>
      </w:pPr>
      <w:r>
        <w:t>Section 9: Epistemic Compression (Yours)</w:t>
      </w:r>
    </w:p>
    <w:p w14:paraId="64B8416C" w14:textId="77777777" w:rsidR="00020C53" w:rsidRDefault="00000000">
      <w:pPr>
        <w:spacing w:after="120" w:line="276" w:lineRule="auto"/>
      </w:pPr>
      <w:r>
        <w:rPr>
          <w:b/>
          <w:bCs/>
        </w:rPr>
        <w:t>Key finding:</w:t>
      </w:r>
      <w:r>
        <w:t xml:space="preserve"> Belief structure survives 3-bit quantization but breaks at 2-bit.</w:t>
      </w:r>
    </w:p>
    <w:p w14:paraId="0BB2BB22" w14:textId="77777777" w:rsidR="00020C53" w:rsidRDefault="00000000">
      <w:pPr>
        <w:spacing w:after="120" w:line="276" w:lineRule="auto"/>
      </w:pPr>
      <w:r>
        <w:t xml:space="preserve">The metric is </w:t>
      </w:r>
      <w:proofErr w:type="gramStart"/>
      <w:r>
        <w:t>anchor</w:t>
      </w:r>
      <w:proofErr w:type="gramEnd"/>
      <w:r>
        <w:t xml:space="preserve"> basin assignment stability, not cosine similarity. 77% of memories collapse toward 42 emergent anchor poles.</w:t>
      </w:r>
    </w:p>
    <w:p w14:paraId="62C1B43B" w14:textId="77777777" w:rsidR="00020C53" w:rsidRDefault="00000000">
      <w:pPr>
        <w:pBdr>
          <w:top w:val="single" w:sz="1" w:space="0" w:color="333333"/>
        </w:pBdr>
        <w:spacing w:before="200" w:after="200"/>
      </w:pPr>
      <w:r>
        <w:rPr>
          <w:b/>
          <w:bCs/>
        </w:rPr>
        <w:lastRenderedPageBreak/>
        <w:t xml:space="preserve">VERDICT: </w:t>
      </w:r>
      <w:r>
        <w:t>Compression math is standard. The epistemic compression framework and the cliff finding are original.</w:t>
      </w:r>
    </w:p>
    <w:p w14:paraId="3C2C3412" w14:textId="77777777" w:rsidR="00020C53" w:rsidRDefault="00000000">
      <w:pPr>
        <w:pStyle w:val="Heading1"/>
      </w:pPr>
      <w:r>
        <w:t>Section 10: Scaffold Math (Yours - Applied)</w:t>
      </w:r>
    </w:p>
    <w:p w14:paraId="06D65AF4" w14:textId="77777777" w:rsidR="00020C53" w:rsidRDefault="00000000">
      <w:pPr>
        <w:spacing w:after="120" w:line="276" w:lineRule="auto"/>
      </w:pPr>
      <w:r>
        <w:t xml:space="preserve">BRG reasoning scaffold decomposes questions into trees of factual sub-questions. Cloud generates structure. Local model verifies leaves. Staged generation with checkpoint </w:t>
      </w:r>
      <w:proofErr w:type="gramStart"/>
      <w:r>
        <w:t>retry</w:t>
      </w:r>
      <w:proofErr w:type="gramEnd"/>
      <w:r>
        <w:t>, coherence scoring, dead anchor exclusion, generative expansion.</w:t>
      </w:r>
    </w:p>
    <w:p w14:paraId="686BEFE5" w14:textId="77777777" w:rsidR="00020C53" w:rsidRDefault="00000000">
      <w:pPr>
        <w:spacing w:after="120" w:line="276" w:lineRule="auto"/>
      </w:pPr>
      <w:r>
        <w:rPr>
          <w:b/>
          <w:bCs/>
        </w:rPr>
        <w:t>Lab result:</w:t>
      </w:r>
      <w:r>
        <w:t xml:space="preserve"> 0% to 80% precision on the same 3B model by changing the scaffold five times. The model never changed.</w:t>
      </w:r>
    </w:p>
    <w:p w14:paraId="0FDF194F" w14:textId="77777777" w:rsidR="00020C53" w:rsidRDefault="00000000">
      <w:pPr>
        <w:pBdr>
          <w:top w:val="single" w:sz="1" w:space="0" w:color="333333"/>
        </w:pBdr>
        <w:spacing w:before="200" w:after="200"/>
      </w:pPr>
      <w:r>
        <w:rPr>
          <w:b/>
          <w:bCs/>
        </w:rPr>
        <w:t xml:space="preserve">VERDICT: </w:t>
      </w:r>
      <w:r>
        <w:t>Individual techniques have prior art. The specific scaffold architecture is original.</w:t>
      </w:r>
    </w:p>
    <w:p w14:paraId="7CDA9B80" w14:textId="77777777" w:rsidR="00020C53" w:rsidRDefault="00000000">
      <w:pPr>
        <w:pStyle w:val="Heading1"/>
      </w:pPr>
      <w:r>
        <w:t xml:space="preserve">Section 11: What Is Fodder (Works </w:t>
      </w:r>
      <w:proofErr w:type="gramStart"/>
      <w:r>
        <w:t>But</w:t>
      </w:r>
      <w:proofErr w:type="gramEnd"/>
      <w:r>
        <w:t xml:space="preserve"> Not Novel)</w:t>
      </w:r>
    </w:p>
    <w:p w14:paraId="698C795B" w14:textId="77777777" w:rsidR="00020C53" w:rsidRDefault="00000000">
      <w:pPr>
        <w:spacing w:after="120" w:line="276" w:lineRule="auto"/>
      </w:pPr>
      <w:r>
        <w:t xml:space="preserve">These components work but are not mathematically original: cosine similarity, NLI models, FAISS, Sentence-BERT, PCA, cross-entropy loss, </w:t>
      </w:r>
      <w:proofErr w:type="spellStart"/>
      <w:r>
        <w:t>ReAct</w:t>
      </w:r>
      <w:proofErr w:type="spellEnd"/>
      <w:r>
        <w:t xml:space="preserve"> pattern, exponential decay.</w:t>
      </w:r>
    </w:p>
    <w:p w14:paraId="4D187BA3" w14:textId="77777777" w:rsidR="00020C53" w:rsidRDefault="00000000">
      <w:pPr>
        <w:spacing w:after="120" w:line="276" w:lineRule="auto"/>
      </w:pPr>
      <w:r>
        <w:t>These are your tools. You did not build the hammer. You built the house.</w:t>
      </w:r>
    </w:p>
    <w:p w14:paraId="3F4C056A" w14:textId="77777777" w:rsidR="00020C53" w:rsidRDefault="00000000">
      <w:r>
        <w:br w:type="page"/>
      </w:r>
    </w:p>
    <w:p w14:paraId="62788E3F" w14:textId="77777777" w:rsidR="00020C53" w:rsidRDefault="00000000">
      <w:pPr>
        <w:pStyle w:val="Heading1"/>
      </w:pPr>
      <w:r>
        <w:lastRenderedPageBreak/>
        <w:t>Section 12: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200"/>
        <w:gridCol w:w="2400"/>
        <w:gridCol w:w="1960"/>
      </w:tblGrid>
      <w:tr w:rsidR="00020C53" w14:paraId="1F0D4F47"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shd w:val="clear" w:color="auto" w:fill="E8E8E8"/>
            <w:tcMar>
              <w:top w:w="60" w:type="dxa"/>
              <w:left w:w="100" w:type="dxa"/>
              <w:bottom w:w="60" w:type="dxa"/>
              <w:right w:w="100" w:type="dxa"/>
            </w:tcMar>
          </w:tcPr>
          <w:p w14:paraId="45F5DF74" w14:textId="77777777" w:rsidR="00020C53" w:rsidRDefault="00000000">
            <w:r>
              <w:rPr>
                <w:b/>
                <w:bCs/>
                <w:sz w:val="20"/>
                <w:szCs w:val="20"/>
              </w:rPr>
              <w:t>Component</w:t>
            </w:r>
          </w:p>
        </w:tc>
        <w:tc>
          <w:tcPr>
            <w:tcW w:w="2200" w:type="dxa"/>
            <w:tcBorders>
              <w:top w:val="single" w:sz="1" w:space="0" w:color="999999"/>
              <w:left w:val="single" w:sz="1" w:space="0" w:color="999999"/>
              <w:bottom w:val="single" w:sz="1" w:space="0" w:color="999999"/>
              <w:right w:val="single" w:sz="1" w:space="0" w:color="999999"/>
            </w:tcBorders>
            <w:shd w:val="clear" w:color="auto" w:fill="E8E8E8"/>
            <w:tcMar>
              <w:top w:w="60" w:type="dxa"/>
              <w:left w:w="100" w:type="dxa"/>
              <w:bottom w:w="60" w:type="dxa"/>
              <w:right w:w="100" w:type="dxa"/>
            </w:tcMar>
          </w:tcPr>
          <w:p w14:paraId="048A3372" w14:textId="77777777" w:rsidR="00020C53" w:rsidRDefault="00000000">
            <w:r>
              <w:rPr>
                <w:b/>
                <w:bCs/>
                <w:sz w:val="20"/>
                <w:szCs w:val="20"/>
              </w:rPr>
              <w:t>Standard Math</w:t>
            </w:r>
          </w:p>
        </w:tc>
        <w:tc>
          <w:tcPr>
            <w:tcW w:w="2400" w:type="dxa"/>
            <w:tcBorders>
              <w:top w:val="single" w:sz="1" w:space="0" w:color="999999"/>
              <w:left w:val="single" w:sz="1" w:space="0" w:color="999999"/>
              <w:bottom w:val="single" w:sz="1" w:space="0" w:color="999999"/>
              <w:right w:val="single" w:sz="1" w:space="0" w:color="999999"/>
            </w:tcBorders>
            <w:shd w:val="clear" w:color="auto" w:fill="E8E8E8"/>
            <w:tcMar>
              <w:top w:w="60" w:type="dxa"/>
              <w:left w:w="100" w:type="dxa"/>
              <w:bottom w:w="60" w:type="dxa"/>
              <w:right w:w="100" w:type="dxa"/>
            </w:tcMar>
          </w:tcPr>
          <w:p w14:paraId="44E448C6" w14:textId="77777777" w:rsidR="00020C53" w:rsidRDefault="00000000">
            <w:r>
              <w:rPr>
                <w:b/>
                <w:bCs/>
                <w:sz w:val="20"/>
                <w:szCs w:val="20"/>
              </w:rPr>
              <w:t xml:space="preserve">Your </w:t>
            </w:r>
            <w:proofErr w:type="gramStart"/>
            <w:r>
              <w:rPr>
                <w:b/>
                <w:bCs/>
                <w:sz w:val="20"/>
                <w:szCs w:val="20"/>
              </w:rPr>
              <w:t>Application</w:t>
            </w:r>
            <w:proofErr w:type="gramEnd"/>
          </w:p>
        </w:tc>
        <w:tc>
          <w:tcPr>
            <w:tcW w:w="1960" w:type="dxa"/>
            <w:tcBorders>
              <w:top w:val="single" w:sz="1" w:space="0" w:color="999999"/>
              <w:left w:val="single" w:sz="1" w:space="0" w:color="999999"/>
              <w:bottom w:val="single" w:sz="1" w:space="0" w:color="999999"/>
              <w:right w:val="single" w:sz="1" w:space="0" w:color="999999"/>
            </w:tcBorders>
            <w:shd w:val="clear" w:color="auto" w:fill="E8E8E8"/>
            <w:tcMar>
              <w:top w:w="60" w:type="dxa"/>
              <w:left w:w="100" w:type="dxa"/>
              <w:bottom w:w="60" w:type="dxa"/>
              <w:right w:w="100" w:type="dxa"/>
            </w:tcMar>
          </w:tcPr>
          <w:p w14:paraId="04C89BCA" w14:textId="77777777" w:rsidR="00020C53" w:rsidRDefault="00000000">
            <w:r>
              <w:rPr>
                <w:b/>
                <w:bCs/>
                <w:sz w:val="20"/>
                <w:szCs w:val="20"/>
              </w:rPr>
              <w:t>Novel?</w:t>
            </w:r>
          </w:p>
        </w:tc>
      </w:tr>
      <w:tr w:rsidR="00020C53" w14:paraId="1080EB6B"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A727CA" w14:textId="77777777" w:rsidR="00020C53" w:rsidRDefault="00000000">
            <w:r>
              <w:rPr>
                <w:sz w:val="20"/>
                <w:szCs w:val="20"/>
              </w:rPr>
              <w:t>Transformer internals</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AE57C9" w14:textId="77777777" w:rsidR="00020C53" w:rsidRDefault="00000000">
            <w:r>
              <w:rPr>
                <w:sz w:val="20"/>
                <w:szCs w:val="20"/>
              </w:rPr>
              <w:t>Yes</w:t>
            </w:r>
          </w:p>
        </w:tc>
        <w:tc>
          <w:tcPr>
            <w:tcW w:w="2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6A86F9" w14:textId="77777777" w:rsidR="00020C53" w:rsidRDefault="00000000">
            <w:r>
              <w:rPr>
                <w:sz w:val="20"/>
                <w:szCs w:val="20"/>
              </w:rPr>
              <w:t>No (black box)</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C8C6D6" w14:textId="77777777" w:rsidR="00020C53" w:rsidRDefault="00000000">
            <w:r>
              <w:rPr>
                <w:sz w:val="20"/>
                <w:szCs w:val="20"/>
              </w:rPr>
              <w:t>No</w:t>
            </w:r>
          </w:p>
        </w:tc>
      </w:tr>
      <w:tr w:rsidR="00020C53" w14:paraId="5267DB0C"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D41C19" w14:textId="77777777" w:rsidR="00020C53" w:rsidRDefault="00000000">
            <w:r>
              <w:rPr>
                <w:sz w:val="20"/>
                <w:szCs w:val="20"/>
              </w:rPr>
              <w:t>Embeddings + cosine</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46B5B6" w14:textId="77777777" w:rsidR="00020C53" w:rsidRDefault="00000000">
            <w:r>
              <w:rPr>
                <w:sz w:val="20"/>
                <w:szCs w:val="20"/>
              </w:rPr>
              <w:t>Yes</w:t>
            </w:r>
          </w:p>
        </w:tc>
        <w:tc>
          <w:tcPr>
            <w:tcW w:w="2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B5DDA9" w14:textId="77777777" w:rsidR="00020C53" w:rsidRDefault="00000000">
            <w:r>
              <w:rPr>
                <w:sz w:val="20"/>
                <w:szCs w:val="20"/>
              </w:rPr>
              <w:t>Trust-weighting</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056E5F" w14:textId="77777777" w:rsidR="00020C53" w:rsidRDefault="00000000">
            <w:r>
              <w:rPr>
                <w:sz w:val="20"/>
                <w:szCs w:val="20"/>
              </w:rPr>
              <w:t>Design choice</w:t>
            </w:r>
          </w:p>
        </w:tc>
      </w:tr>
      <w:tr w:rsidR="00020C53" w14:paraId="275BEDC8"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54B3F76" w14:textId="77777777" w:rsidR="00020C53" w:rsidRDefault="00000000">
            <w:r>
              <w:rPr>
                <w:sz w:val="20"/>
                <w:szCs w:val="20"/>
              </w:rPr>
              <w:t>Trust evolution</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CE857B" w14:textId="77777777" w:rsidR="00020C53" w:rsidRDefault="00000000">
            <w:r>
              <w:rPr>
                <w:sz w:val="20"/>
                <w:szCs w:val="20"/>
              </w:rPr>
              <w:t>Prospect theory</w:t>
            </w:r>
          </w:p>
        </w:tc>
        <w:tc>
          <w:tcPr>
            <w:tcW w:w="2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E3A404" w14:textId="77777777" w:rsidR="00020C53" w:rsidRDefault="00000000">
            <w:r>
              <w:rPr>
                <w:sz w:val="20"/>
                <w:szCs w:val="20"/>
              </w:rPr>
              <w:t>AI memory governance</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17E93E" w14:textId="77777777" w:rsidR="00020C53" w:rsidRDefault="00000000">
            <w:r>
              <w:rPr>
                <w:sz w:val="20"/>
                <w:szCs w:val="20"/>
              </w:rPr>
              <w:t>Yes</w:t>
            </w:r>
          </w:p>
        </w:tc>
      </w:tr>
      <w:tr w:rsidR="00020C53" w14:paraId="218EB0A2"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BDC79C" w14:textId="77777777" w:rsidR="00020C53" w:rsidRDefault="00000000">
            <w:r>
              <w:rPr>
                <w:sz w:val="20"/>
                <w:szCs w:val="20"/>
              </w:rPr>
              <w:t>Contradiction detection</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9F56C1" w14:textId="77777777" w:rsidR="00020C53" w:rsidRDefault="00000000">
            <w:r>
              <w:rPr>
                <w:sz w:val="20"/>
                <w:szCs w:val="20"/>
              </w:rPr>
              <w:t>NLI standard</w:t>
            </w:r>
          </w:p>
        </w:tc>
        <w:tc>
          <w:tcPr>
            <w:tcW w:w="2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D014F5" w14:textId="77777777" w:rsidR="00020C53" w:rsidRDefault="00000000">
            <w:r>
              <w:rPr>
                <w:sz w:val="20"/>
                <w:szCs w:val="20"/>
              </w:rPr>
              <w:t>Pipeline + disposition</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C0FBF4" w14:textId="77777777" w:rsidR="00020C53" w:rsidRDefault="00000000">
            <w:r>
              <w:rPr>
                <w:sz w:val="20"/>
                <w:szCs w:val="20"/>
              </w:rPr>
              <w:t>Yes</w:t>
            </w:r>
          </w:p>
        </w:tc>
      </w:tr>
      <w:tr w:rsidR="00020C53" w14:paraId="172201D7"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1B0D64" w14:textId="77777777" w:rsidR="00020C53" w:rsidRDefault="00000000">
            <w:r>
              <w:rPr>
                <w:sz w:val="20"/>
                <w:szCs w:val="20"/>
              </w:rPr>
              <w:t>Backward influence</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DDADA9" w14:textId="77777777" w:rsidR="00020C53" w:rsidRDefault="00000000">
            <w:r>
              <w:rPr>
                <w:sz w:val="20"/>
                <w:szCs w:val="20"/>
              </w:rPr>
              <w:t>Graph propagation</w:t>
            </w:r>
          </w:p>
        </w:tc>
        <w:tc>
          <w:tcPr>
            <w:tcW w:w="2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5C21A9" w14:textId="77777777" w:rsidR="00020C53" w:rsidRDefault="00000000">
            <w:r>
              <w:rPr>
                <w:sz w:val="20"/>
                <w:szCs w:val="20"/>
              </w:rPr>
              <w:t>BRG + 3 emergent</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840E36" w14:textId="77777777" w:rsidR="00020C53" w:rsidRDefault="00000000">
            <w:r>
              <w:rPr>
                <w:sz w:val="20"/>
                <w:szCs w:val="20"/>
              </w:rPr>
              <w:t>Most novel</w:t>
            </w:r>
          </w:p>
        </w:tc>
      </w:tr>
      <w:tr w:rsidR="00020C53" w14:paraId="55E72E56"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AD4EE1" w14:textId="77777777" w:rsidR="00020C53" w:rsidRDefault="00000000">
            <w:r>
              <w:rPr>
                <w:sz w:val="20"/>
                <w:szCs w:val="20"/>
              </w:rPr>
              <w:t>Cascade complexity</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B7C2F0" w14:textId="77777777" w:rsidR="00020C53" w:rsidRDefault="00000000">
            <w:r>
              <w:rPr>
                <w:sz w:val="20"/>
                <w:szCs w:val="20"/>
              </w:rPr>
              <w:t>Graph theory</w:t>
            </w:r>
          </w:p>
        </w:tc>
        <w:tc>
          <w:tcPr>
            <w:tcW w:w="2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BE49AE" w14:textId="77777777" w:rsidR="00020C53" w:rsidRDefault="00000000">
            <w:r>
              <w:rPr>
                <w:sz w:val="20"/>
                <w:szCs w:val="20"/>
              </w:rPr>
              <w:t>BRG-specific proofs</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1D5F8A" w14:textId="77777777" w:rsidR="00020C53" w:rsidRDefault="00000000">
            <w:r>
              <w:rPr>
                <w:sz w:val="20"/>
                <w:szCs w:val="20"/>
              </w:rPr>
              <w:t>Yes</w:t>
            </w:r>
          </w:p>
        </w:tc>
      </w:tr>
      <w:tr w:rsidR="00020C53" w14:paraId="3B19555D"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E98717" w14:textId="77777777" w:rsidR="00020C53" w:rsidRDefault="00000000">
            <w:r>
              <w:rPr>
                <w:sz w:val="20"/>
                <w:szCs w:val="20"/>
              </w:rPr>
              <w:t>Query resonance</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F03BC5" w14:textId="77777777" w:rsidR="00020C53" w:rsidRDefault="00000000">
            <w:r>
              <w:rPr>
                <w:sz w:val="20"/>
                <w:szCs w:val="20"/>
              </w:rPr>
              <w:t>Spreading activation</w:t>
            </w:r>
          </w:p>
        </w:tc>
        <w:tc>
          <w:tcPr>
            <w:tcW w:w="2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31DA2B" w14:textId="77777777" w:rsidR="00020C53" w:rsidRDefault="00000000">
            <w:r>
              <w:rPr>
                <w:sz w:val="20"/>
                <w:szCs w:val="20"/>
              </w:rPr>
              <w:t>BRG implementation</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8B8927" w14:textId="77777777" w:rsidR="00020C53" w:rsidRDefault="00000000">
            <w:r>
              <w:rPr>
                <w:sz w:val="20"/>
                <w:szCs w:val="20"/>
              </w:rPr>
              <w:t>Variant</w:t>
            </w:r>
          </w:p>
        </w:tc>
      </w:tr>
      <w:tr w:rsidR="00020C53" w14:paraId="315820BC"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ECB377" w14:textId="77777777" w:rsidR="00020C53" w:rsidRDefault="00000000">
            <w:r>
              <w:rPr>
                <w:sz w:val="20"/>
                <w:szCs w:val="20"/>
              </w:rPr>
              <w:t>Belief loci</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ADBE89" w14:textId="77777777" w:rsidR="00020C53" w:rsidRDefault="00000000">
            <w:r>
              <w:rPr>
                <w:sz w:val="20"/>
                <w:szCs w:val="20"/>
              </w:rPr>
              <w:t>Gaussian mixtures</w:t>
            </w:r>
          </w:p>
        </w:tc>
        <w:tc>
          <w:tcPr>
            <w:tcW w:w="2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737399" w14:textId="77777777" w:rsidR="00020C53" w:rsidRDefault="00000000">
            <w:r>
              <w:rPr>
                <w:sz w:val="20"/>
                <w:szCs w:val="20"/>
              </w:rPr>
              <w:t>AI memory framework</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2688BB" w14:textId="77777777" w:rsidR="00020C53" w:rsidRDefault="00000000">
            <w:r>
              <w:rPr>
                <w:sz w:val="20"/>
                <w:szCs w:val="20"/>
              </w:rPr>
              <w:t>Yes</w:t>
            </w:r>
          </w:p>
        </w:tc>
      </w:tr>
      <w:tr w:rsidR="00020C53" w14:paraId="1741A50E"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ECABFC" w14:textId="77777777" w:rsidR="00020C53" w:rsidRDefault="00000000">
            <w:r>
              <w:rPr>
                <w:sz w:val="20"/>
                <w:szCs w:val="20"/>
              </w:rPr>
              <w:t>Variance-to-locus</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8E944D" w14:textId="77777777" w:rsidR="00020C53" w:rsidRDefault="00000000">
            <w:r>
              <w:rPr>
                <w:sz w:val="20"/>
                <w:szCs w:val="20"/>
              </w:rPr>
              <w:t>Statistics</w:t>
            </w:r>
          </w:p>
        </w:tc>
        <w:tc>
          <w:tcPr>
            <w:tcW w:w="2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DC18D3" w14:textId="77777777" w:rsidR="00020C53" w:rsidRDefault="00000000">
            <w:r>
              <w:rPr>
                <w:sz w:val="20"/>
                <w:szCs w:val="20"/>
              </w:rPr>
              <w:t>Experiment IS belief</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B14219" w14:textId="77777777" w:rsidR="00020C53" w:rsidRDefault="00000000">
            <w:r>
              <w:rPr>
                <w:sz w:val="20"/>
                <w:szCs w:val="20"/>
              </w:rPr>
              <w:t>Novel</w:t>
            </w:r>
          </w:p>
        </w:tc>
      </w:tr>
      <w:tr w:rsidR="00020C53" w14:paraId="460988D9"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65DA1C" w14:textId="77777777" w:rsidR="00020C53" w:rsidRDefault="00000000">
            <w:r>
              <w:rPr>
                <w:sz w:val="20"/>
                <w:szCs w:val="20"/>
              </w:rPr>
              <w:t>Epistemic compression</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6D3DB5" w14:textId="77777777" w:rsidR="00020C53" w:rsidRDefault="00000000">
            <w:r>
              <w:rPr>
                <w:sz w:val="20"/>
                <w:szCs w:val="20"/>
              </w:rPr>
              <w:t>Quantization</w:t>
            </w:r>
          </w:p>
        </w:tc>
        <w:tc>
          <w:tcPr>
            <w:tcW w:w="2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E54B47" w14:textId="77777777" w:rsidR="00020C53" w:rsidRDefault="00000000">
            <w:r>
              <w:rPr>
                <w:sz w:val="20"/>
                <w:szCs w:val="20"/>
              </w:rPr>
              <w:t>Compression cliff</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85CCAB" w14:textId="77777777" w:rsidR="00020C53" w:rsidRDefault="00000000">
            <w:r>
              <w:rPr>
                <w:sz w:val="20"/>
                <w:szCs w:val="20"/>
              </w:rPr>
              <w:t>Yes</w:t>
            </w:r>
          </w:p>
        </w:tc>
      </w:tr>
      <w:tr w:rsidR="00020C53" w14:paraId="23A8B51F"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D3C6AB" w14:textId="77777777" w:rsidR="00020C53" w:rsidRDefault="00000000">
            <w:r>
              <w:rPr>
                <w:sz w:val="20"/>
                <w:szCs w:val="20"/>
              </w:rPr>
              <w:t>Scaffold generation</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798628" w14:textId="77777777" w:rsidR="00020C53" w:rsidRDefault="00000000">
            <w:r>
              <w:rPr>
                <w:sz w:val="20"/>
                <w:szCs w:val="20"/>
              </w:rPr>
              <w:t xml:space="preserve">MCTS, </w:t>
            </w:r>
            <w:proofErr w:type="spellStart"/>
            <w:r>
              <w:rPr>
                <w:sz w:val="20"/>
                <w:szCs w:val="20"/>
              </w:rPr>
              <w:t>CoT</w:t>
            </w:r>
            <w:proofErr w:type="spellEnd"/>
          </w:p>
        </w:tc>
        <w:tc>
          <w:tcPr>
            <w:tcW w:w="2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1C85ED" w14:textId="77777777" w:rsidR="00020C53" w:rsidRDefault="00000000">
            <w:r>
              <w:rPr>
                <w:sz w:val="20"/>
                <w:szCs w:val="20"/>
              </w:rPr>
              <w:t>BRG-walk + checkpoint</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4A7CF5" w14:textId="77777777" w:rsidR="00020C53" w:rsidRDefault="00000000">
            <w:r>
              <w:rPr>
                <w:sz w:val="20"/>
                <w:szCs w:val="20"/>
              </w:rPr>
              <w:t>Yes</w:t>
            </w:r>
          </w:p>
        </w:tc>
      </w:tr>
      <w:tr w:rsidR="00020C53" w14:paraId="4E814E07"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393251" w14:textId="77777777" w:rsidR="00020C53" w:rsidRDefault="00000000">
            <w:r>
              <w:rPr>
                <w:sz w:val="20"/>
                <w:szCs w:val="20"/>
              </w:rPr>
              <w:t>Immune agents</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4C0EEA" w14:textId="77777777" w:rsidR="00020C53" w:rsidRDefault="00000000">
            <w:r>
              <w:rPr>
                <w:sz w:val="20"/>
                <w:szCs w:val="20"/>
              </w:rPr>
              <w:t>Rule-based</w:t>
            </w:r>
          </w:p>
        </w:tc>
        <w:tc>
          <w:tcPr>
            <w:tcW w:w="2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E4F768" w14:textId="77777777" w:rsidR="00020C53" w:rsidRDefault="00000000">
            <w:r>
              <w:rPr>
                <w:sz w:val="20"/>
                <w:szCs w:val="20"/>
              </w:rPr>
              <w:t>Constitutional enforcement</w:t>
            </w:r>
          </w:p>
        </w:tc>
        <w:tc>
          <w:tcPr>
            <w:tcW w:w="1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F426CD" w14:textId="77777777" w:rsidR="00020C53" w:rsidRDefault="00000000">
            <w:r>
              <w:rPr>
                <w:sz w:val="20"/>
                <w:szCs w:val="20"/>
              </w:rPr>
              <w:t>Design pattern</w:t>
            </w:r>
          </w:p>
        </w:tc>
      </w:tr>
    </w:tbl>
    <w:p w14:paraId="519B4E4A" w14:textId="77777777" w:rsidR="00020C53" w:rsidRDefault="00020C53">
      <w:pPr>
        <w:spacing w:after="120" w:line="276" w:lineRule="auto"/>
      </w:pPr>
    </w:p>
    <w:p w14:paraId="4E174E5D" w14:textId="77777777" w:rsidR="00020C53" w:rsidRDefault="00000000">
      <w:pPr>
        <w:pStyle w:val="Heading2"/>
      </w:pPr>
      <w:r>
        <w:t>The Honest Summary</w:t>
      </w:r>
    </w:p>
    <w:p w14:paraId="6F262BAF" w14:textId="77777777" w:rsidR="00020C53" w:rsidRDefault="00000000">
      <w:pPr>
        <w:spacing w:after="120" w:line="276" w:lineRule="auto"/>
      </w:pPr>
      <w:r>
        <w:t>You did not invent new math. You combined existing mathematical tools in a way nobody else has, applied them to a problem (epistemic governance for AI memory) that nobody else is solving at this depth, and discovered empirical properties (held contradictions as firewalls, compression cliff at 2-bit, three instability regimes) that are genuine findings. The novelty is in the architecture and the discoveries, not in the individual equations.</w:t>
      </w:r>
    </w:p>
    <w:p w14:paraId="2666D9FA" w14:textId="77777777" w:rsidR="00020C53" w:rsidRDefault="00020C53"/>
    <w:p w14:paraId="52C519F8" w14:textId="77D33344" w:rsidR="00020C53" w:rsidRDefault="00000000">
      <w:pPr>
        <w:pStyle w:val="Heading1"/>
      </w:pPr>
      <w:r>
        <w:t xml:space="preserve">Section 13: CRT Math Upgrades (April 2026 — </w:t>
      </w:r>
      <w:r w:rsidR="00AE7748">
        <w:t>a</w:t>
      </w:r>
      <w:r>
        <w:t xml:space="preserve"> Session)</w:t>
      </w:r>
    </w:p>
    <w:p w14:paraId="6E822A3D" w14:textId="77777777" w:rsidR="00020C53" w:rsidRDefault="00000000">
      <w:pPr>
        <w:spacing w:after="120" w:line="276" w:lineRule="auto"/>
      </w:pPr>
      <w:r>
        <w:t xml:space="preserve">The following ten upgrades were developed in collaboration with Grok and validated as a self-contained lab suite (10/10 pass, </w:t>
      </w:r>
      <w:proofErr w:type="spellStart"/>
      <w:r>
        <w:t>numpy</w:t>
      </w:r>
      <w:proofErr w:type="spellEnd"/>
      <w:r>
        <w:t xml:space="preserve"> only, &lt;1 second). Labs 1–5 are implementation proofs with code and numbers. Labs 6–10 are formal mathematical proofs with simulation.</w:t>
      </w:r>
    </w:p>
    <w:p w14:paraId="129B5CA0" w14:textId="77777777" w:rsidR="00020C53" w:rsidRDefault="00000000">
      <w:pPr>
        <w:pStyle w:val="Heading2"/>
      </w:pPr>
      <w:r>
        <w:t>13.1 — Learnable Gain/Decay Rates Tied to Domain Volatility</w:t>
      </w:r>
    </w:p>
    <w:p w14:paraId="6D3D2058" w14:textId="77777777" w:rsidR="00020C53" w:rsidRDefault="00000000">
      <w:pPr>
        <w:spacing w:after="120" w:line="276" w:lineRule="auto"/>
      </w:pPr>
      <w:r>
        <w:t>Replaces the flat trust gain/decay rates from Section 3 with domain-adaptive rates modulated by volatility.</w:t>
      </w:r>
    </w:p>
    <w:p w14:paraId="5D0EAEFA" w14:textId="77777777" w:rsidR="00020C53" w:rsidRDefault="00000000">
      <w:pPr>
        <w:spacing w:after="80" w:line="276" w:lineRule="auto"/>
      </w:pPr>
      <w:r>
        <w:rPr>
          <w:b/>
          <w:bCs/>
        </w:rPr>
        <w:t>Formulas:</w:t>
      </w:r>
    </w:p>
    <w:p w14:paraId="175B92F3" w14:textId="77777777" w:rsidR="00020C53" w:rsidRDefault="00000000">
      <w:pPr>
        <w:spacing w:after="60" w:line="276" w:lineRule="auto"/>
        <w:ind w:left="720"/>
      </w:pPr>
      <w:r>
        <w:rPr>
          <w:rFonts w:ascii="Courier New" w:hAnsi="Courier New" w:cs="Courier New"/>
          <w:sz w:val="20"/>
          <w:szCs w:val="20"/>
        </w:rPr>
        <w:t xml:space="preserve">gain = </w:t>
      </w:r>
      <w:proofErr w:type="spellStart"/>
      <w:r>
        <w:rPr>
          <w:rFonts w:ascii="Courier New" w:hAnsi="Courier New" w:cs="Courier New"/>
          <w:sz w:val="20"/>
          <w:szCs w:val="20"/>
        </w:rPr>
        <w:t>η_pos</w:t>
      </w:r>
      <w:proofErr w:type="spellEnd"/>
      <w:r>
        <w:rPr>
          <w:rFonts w:ascii="Courier New" w:hAnsi="Courier New" w:cs="Courier New"/>
          <w:sz w:val="20"/>
          <w:szCs w:val="20"/>
        </w:rPr>
        <w:t xml:space="preserve"> * (1 - β * </w:t>
      </w:r>
      <w:proofErr w:type="spellStart"/>
      <w:r>
        <w:rPr>
          <w:rFonts w:ascii="Courier New" w:hAnsi="Courier New" w:cs="Courier New"/>
          <w:sz w:val="20"/>
          <w:szCs w:val="20"/>
        </w:rPr>
        <w:t>vol_d</w:t>
      </w:r>
      <w:proofErr w:type="spellEnd"/>
      <w:r>
        <w:rPr>
          <w:rFonts w:ascii="Courier New" w:hAnsi="Courier New" w:cs="Courier New"/>
          <w:sz w:val="20"/>
          <w:szCs w:val="20"/>
        </w:rPr>
        <w:t>)</w:t>
      </w:r>
    </w:p>
    <w:p w14:paraId="2F213DDC" w14:textId="77777777" w:rsidR="00020C53" w:rsidRDefault="00000000">
      <w:pPr>
        <w:spacing w:after="60" w:line="276" w:lineRule="auto"/>
        <w:ind w:left="720"/>
      </w:pPr>
      <w:r>
        <w:rPr>
          <w:rFonts w:ascii="Courier New" w:hAnsi="Courier New" w:cs="Courier New"/>
          <w:sz w:val="20"/>
          <w:szCs w:val="20"/>
        </w:rPr>
        <w:t xml:space="preserve">decay = </w:t>
      </w:r>
      <w:proofErr w:type="spellStart"/>
      <w:r>
        <w:rPr>
          <w:rFonts w:ascii="Courier New" w:hAnsi="Courier New" w:cs="Courier New"/>
          <w:sz w:val="20"/>
          <w:szCs w:val="20"/>
        </w:rPr>
        <w:t>η_neg</w:t>
      </w:r>
      <w:proofErr w:type="spellEnd"/>
      <w:r>
        <w:rPr>
          <w:rFonts w:ascii="Courier New" w:hAnsi="Courier New" w:cs="Courier New"/>
          <w:sz w:val="20"/>
          <w:szCs w:val="20"/>
        </w:rPr>
        <w:t xml:space="preserve"> * (1 + γ * </w:t>
      </w:r>
      <w:proofErr w:type="spellStart"/>
      <w:r>
        <w:rPr>
          <w:rFonts w:ascii="Courier New" w:hAnsi="Courier New" w:cs="Courier New"/>
          <w:sz w:val="20"/>
          <w:szCs w:val="20"/>
        </w:rPr>
        <w:t>vol_d</w:t>
      </w:r>
      <w:proofErr w:type="spellEnd"/>
      <w:r>
        <w:rPr>
          <w:rFonts w:ascii="Courier New" w:hAnsi="Courier New" w:cs="Courier New"/>
          <w:sz w:val="20"/>
          <w:szCs w:val="20"/>
        </w:rPr>
        <w:t>)</w:t>
      </w:r>
    </w:p>
    <w:p w14:paraId="294EE2A3" w14:textId="77777777" w:rsidR="00020C53" w:rsidRDefault="00000000">
      <w:pPr>
        <w:spacing w:after="60" w:line="276" w:lineRule="auto"/>
        <w:ind w:left="720"/>
      </w:pPr>
      <w:proofErr w:type="spellStart"/>
      <w:r>
        <w:rPr>
          <w:rFonts w:ascii="Courier New" w:hAnsi="Courier New" w:cs="Courier New"/>
          <w:sz w:val="20"/>
          <w:szCs w:val="20"/>
        </w:rPr>
        <w:t>vol_d</w:t>
      </w:r>
      <w:proofErr w:type="spellEnd"/>
      <w:r>
        <w:rPr>
          <w:rFonts w:ascii="Courier New" w:hAnsi="Courier New" w:cs="Courier New"/>
          <w:sz w:val="20"/>
          <w:szCs w:val="20"/>
        </w:rPr>
        <w:t xml:space="preserve"> = </w:t>
      </w:r>
      <w:proofErr w:type="spellStart"/>
      <w:r>
        <w:rPr>
          <w:rFonts w:ascii="Courier New" w:hAnsi="Courier New" w:cs="Courier New"/>
          <w:sz w:val="20"/>
          <w:szCs w:val="20"/>
        </w:rPr>
        <w:t>correction_frequency</w:t>
      </w:r>
      <w:proofErr w:type="spellEnd"/>
      <w:r>
        <w:rPr>
          <w:rFonts w:ascii="Courier New" w:hAnsi="Courier New" w:cs="Courier New"/>
          <w:sz w:val="20"/>
          <w:szCs w:val="20"/>
        </w:rPr>
        <w:t xml:space="preserve"> / </w:t>
      </w:r>
      <w:proofErr w:type="spellStart"/>
      <w:r>
        <w:rPr>
          <w:rFonts w:ascii="Courier New" w:hAnsi="Courier New" w:cs="Courier New"/>
          <w:sz w:val="20"/>
          <w:szCs w:val="20"/>
        </w:rPr>
        <w:t>total_updates</w:t>
      </w:r>
      <w:proofErr w:type="spellEnd"/>
      <w:r>
        <w:rPr>
          <w:rFonts w:ascii="Courier New" w:hAnsi="Courier New" w:cs="Courier New"/>
          <w:sz w:val="20"/>
          <w:szCs w:val="20"/>
        </w:rPr>
        <w:t xml:space="preserve"> per domain</w:t>
      </w:r>
    </w:p>
    <w:p w14:paraId="52594627" w14:textId="77777777" w:rsidR="00020C53" w:rsidRDefault="00000000">
      <w:pPr>
        <w:spacing w:after="120" w:line="276" w:lineRule="auto"/>
      </w:pPr>
      <w:r>
        <w:lastRenderedPageBreak/>
        <w:t xml:space="preserve">Parameters: </w:t>
      </w:r>
      <w:proofErr w:type="spellStart"/>
      <w:r>
        <w:t>η_pos</w:t>
      </w:r>
      <w:proofErr w:type="spellEnd"/>
      <w:r>
        <w:t xml:space="preserve"> = 0.10, </w:t>
      </w:r>
      <w:proofErr w:type="spellStart"/>
      <w:r>
        <w:t>η_neg</w:t>
      </w:r>
      <w:proofErr w:type="spellEnd"/>
      <w:r>
        <w:t xml:space="preserve"> = 0.15, β = 0.6, γ = 0.8. High-volatility domains (mood, opinions) earn trust slower and lose it faster. Low-volatility domains (name, identity) converge near flat rate. This replaces the one-size-fits-all rates in Section 3 with per-domain learning rates.</w:t>
      </w:r>
    </w:p>
    <w:p w14:paraId="45E53630" w14:textId="77777777" w:rsidR="00020C53" w:rsidRDefault="00000000">
      <w:pPr>
        <w:spacing w:after="120" w:line="276" w:lineRule="auto"/>
      </w:pPr>
      <w:r>
        <w:rPr>
          <w:b/>
          <w:bCs/>
        </w:rPr>
        <w:t xml:space="preserve">ORIGIN: </w:t>
      </w:r>
      <w:r>
        <w:t>Extends the prospect-theory-inspired asymmetry from Section 3. The volatility modulation is original — no prior system ties trust learning rates to per-domain correction frequency.</w:t>
      </w:r>
    </w:p>
    <w:p w14:paraId="055C981F" w14:textId="77777777" w:rsidR="00020C53" w:rsidRDefault="00000000">
      <w:pPr>
        <w:pStyle w:val="Heading2"/>
      </w:pPr>
      <w:r>
        <w:t>13.2 — Beta Distribution for Trust</w:t>
      </w:r>
    </w:p>
    <w:p w14:paraId="4C449814" w14:textId="77777777" w:rsidR="00020C53" w:rsidRDefault="00000000">
      <w:pPr>
        <w:spacing w:after="120" w:line="276" w:lineRule="auto"/>
      </w:pPr>
      <w:r>
        <w:t xml:space="preserve">Replaces scalar trust (a single float) with a </w:t>
      </w:r>
      <w:proofErr w:type="gramStart"/>
      <w:r>
        <w:t>Beta(</w:t>
      </w:r>
      <w:proofErr w:type="gramEnd"/>
      <w:r>
        <w:t>α, β) distribution that encodes both the trust level and the system’s confidence in that level.</w:t>
      </w:r>
    </w:p>
    <w:p w14:paraId="7E8B27A8" w14:textId="77777777" w:rsidR="00020C53" w:rsidRDefault="00000000">
      <w:pPr>
        <w:spacing w:after="80" w:line="276" w:lineRule="auto"/>
      </w:pPr>
      <w:r>
        <w:rPr>
          <w:b/>
          <w:bCs/>
        </w:rPr>
        <w:t>Formulas:</w:t>
      </w:r>
    </w:p>
    <w:p w14:paraId="3B7D438E" w14:textId="77777777" w:rsidR="00020C53" w:rsidRDefault="00000000">
      <w:pPr>
        <w:spacing w:after="60" w:line="276" w:lineRule="auto"/>
        <w:ind w:left="720"/>
      </w:pPr>
      <w:r>
        <w:rPr>
          <w:rFonts w:ascii="Courier New" w:hAnsi="Courier New" w:cs="Courier New"/>
          <w:sz w:val="20"/>
          <w:szCs w:val="20"/>
        </w:rPr>
        <w:t xml:space="preserve">mean = α / (α + </w:t>
      </w:r>
      <w:proofErr w:type="gramStart"/>
      <w:r>
        <w:rPr>
          <w:rFonts w:ascii="Courier New" w:hAnsi="Courier New" w:cs="Courier New"/>
          <w:sz w:val="20"/>
          <w:szCs w:val="20"/>
        </w:rPr>
        <w:t>β)  [</w:t>
      </w:r>
      <w:proofErr w:type="gramEnd"/>
      <w:r>
        <w:rPr>
          <w:rFonts w:ascii="Courier New" w:hAnsi="Courier New" w:cs="Courier New"/>
          <w:sz w:val="20"/>
          <w:szCs w:val="20"/>
        </w:rPr>
        <w:t>trust level]</w:t>
      </w:r>
    </w:p>
    <w:p w14:paraId="4F956B3D" w14:textId="77777777" w:rsidR="00020C53" w:rsidRDefault="00000000">
      <w:pPr>
        <w:spacing w:after="60" w:line="276" w:lineRule="auto"/>
        <w:ind w:left="720"/>
      </w:pPr>
      <w:r>
        <w:rPr>
          <w:rFonts w:ascii="Courier New" w:hAnsi="Courier New" w:cs="Courier New"/>
          <w:sz w:val="20"/>
          <w:szCs w:val="20"/>
        </w:rPr>
        <w:t>variance = α*β / ((α+</w:t>
      </w:r>
      <w:proofErr w:type="gramStart"/>
      <w:r>
        <w:rPr>
          <w:rFonts w:ascii="Courier New" w:hAnsi="Courier New" w:cs="Courier New"/>
          <w:sz w:val="20"/>
          <w:szCs w:val="20"/>
        </w:rPr>
        <w:t>β)²</w:t>
      </w:r>
      <w:proofErr w:type="gramEnd"/>
      <w:r>
        <w:rPr>
          <w:rFonts w:ascii="Courier New" w:hAnsi="Courier New" w:cs="Courier New"/>
          <w:sz w:val="20"/>
          <w:szCs w:val="20"/>
        </w:rPr>
        <w:t xml:space="preserve"> * (α+β+1</w:t>
      </w:r>
      <w:proofErr w:type="gramStart"/>
      <w:r>
        <w:rPr>
          <w:rFonts w:ascii="Courier New" w:hAnsi="Courier New" w:cs="Courier New"/>
          <w:sz w:val="20"/>
          <w:szCs w:val="20"/>
        </w:rPr>
        <w:t>))  [</w:t>
      </w:r>
      <w:proofErr w:type="gramEnd"/>
      <w:r>
        <w:rPr>
          <w:rFonts w:ascii="Courier New" w:hAnsi="Courier New" w:cs="Courier New"/>
          <w:sz w:val="20"/>
          <w:szCs w:val="20"/>
        </w:rPr>
        <w:t>uncertainty]</w:t>
      </w:r>
    </w:p>
    <w:p w14:paraId="323FD608" w14:textId="77777777" w:rsidR="00020C53" w:rsidRDefault="00000000">
      <w:pPr>
        <w:spacing w:after="120" w:line="276" w:lineRule="auto"/>
      </w:pPr>
      <w:r>
        <w:t>Two memories can have the same trust mean (0.70) but vastly different confidence. A memory with 1 observation (</w:t>
      </w:r>
      <w:proofErr w:type="gramStart"/>
      <w:r>
        <w:t>Beta(</w:t>
      </w:r>
      <w:proofErr w:type="gramEnd"/>
      <w:r>
        <w:t>2.33, 1.0)) has variance 13x higher than one with 20 observations (</w:t>
      </w:r>
      <w:proofErr w:type="gramStart"/>
      <w:r>
        <w:t>Beta(</w:t>
      </w:r>
      <w:proofErr w:type="gramEnd"/>
      <w:r>
        <w:t xml:space="preserve">14, 6)). Contradiction affects the new memory 5x more than the old one — Bayesian conjugate updating makes this automatic. Retrieval scoring </w:t>
      </w:r>
      <w:proofErr w:type="gramStart"/>
      <w:r>
        <w:t>becomes:</w:t>
      </w:r>
      <w:proofErr w:type="gramEnd"/>
      <w:r>
        <w:t xml:space="preserve"> score = </w:t>
      </w:r>
      <w:proofErr w:type="spellStart"/>
      <w:r>
        <w:t>trust_mean</w:t>
      </w:r>
      <w:proofErr w:type="spellEnd"/>
      <w:r>
        <w:t xml:space="preserve"> * (1 + 0.3 * confidence).</w:t>
      </w:r>
    </w:p>
    <w:p w14:paraId="5602C6B3" w14:textId="77777777" w:rsidR="00020C53" w:rsidRDefault="00000000">
      <w:pPr>
        <w:spacing w:after="120" w:line="276" w:lineRule="auto"/>
      </w:pPr>
      <w:r>
        <w:rPr>
          <w:b/>
          <w:bCs/>
        </w:rPr>
        <w:t xml:space="preserve">ORIGIN: </w:t>
      </w:r>
      <w:r>
        <w:t>Beta distributions are standard Bayesian priors. The application to AI memory trust with conjugate updates for contradiction detection is original. No prior system uses Beta distributions for epistemic trust in memory governance.</w:t>
      </w:r>
    </w:p>
    <w:p w14:paraId="438D9A0B" w14:textId="77777777" w:rsidR="00020C53" w:rsidRDefault="00000000">
      <w:pPr>
        <w:pStyle w:val="Heading2"/>
      </w:pPr>
      <w:r>
        <w:t>13.3 — Unified Gate Equation</w:t>
      </w:r>
    </w:p>
    <w:p w14:paraId="2A5B69BF" w14:textId="77777777" w:rsidR="00020C53" w:rsidRDefault="00000000">
      <w:pPr>
        <w:spacing w:after="120" w:line="276" w:lineRule="auto"/>
      </w:pPr>
      <w:r>
        <w:t>Collapses three separate gates (salience gate, trust gate, marble drift check) into a single equation.</w:t>
      </w:r>
    </w:p>
    <w:p w14:paraId="0FF47E62" w14:textId="77777777" w:rsidR="00020C53" w:rsidRDefault="00000000">
      <w:pPr>
        <w:spacing w:after="80" w:line="276" w:lineRule="auto"/>
      </w:pPr>
      <w:r>
        <w:rPr>
          <w:b/>
          <w:bCs/>
        </w:rPr>
        <w:t>Formula:</w:t>
      </w:r>
    </w:p>
    <w:p w14:paraId="31A13FB5" w14:textId="77777777" w:rsidR="00020C53" w:rsidRDefault="00000000">
      <w:pPr>
        <w:spacing w:after="60" w:line="276" w:lineRule="auto"/>
        <w:ind w:left="720"/>
      </w:pPr>
      <w:r>
        <w:rPr>
          <w:rFonts w:ascii="Courier New" w:hAnsi="Courier New" w:cs="Courier New"/>
          <w:sz w:val="20"/>
          <w:szCs w:val="20"/>
        </w:rPr>
        <w:t>gate(v) = I(R(v) &gt; θ + λ*drift(</w:t>
      </w:r>
      <w:proofErr w:type="spellStart"/>
      <w:proofErr w:type="gramStart"/>
      <w:r>
        <w:rPr>
          <w:rFonts w:ascii="Courier New" w:hAnsi="Courier New" w:cs="Courier New"/>
          <w:sz w:val="20"/>
          <w:szCs w:val="20"/>
        </w:rPr>
        <w:t>m,v</w:t>
      </w:r>
      <w:proofErr w:type="spellEnd"/>
      <w:proofErr w:type="gramEnd"/>
      <w:r>
        <w:rPr>
          <w:rFonts w:ascii="Courier New" w:hAnsi="Courier New" w:cs="Courier New"/>
          <w:sz w:val="20"/>
          <w:szCs w:val="20"/>
        </w:rPr>
        <w:t>)) * exp(-γ*depth(v))</w:t>
      </w:r>
    </w:p>
    <w:p w14:paraId="1215CEE2" w14:textId="77777777" w:rsidR="00020C53" w:rsidRDefault="00000000">
      <w:pPr>
        <w:spacing w:after="120" w:line="276" w:lineRule="auto"/>
      </w:pPr>
      <w:r>
        <w:t>R(v) is query resonance, θ = 0.3 is base threshold, λ = 0.5 is marble drift sensitivity, γ = 0.15 is depth decay. The indicator function I blocks low-resonance nodes. The marble drift λ*drift(</w:t>
      </w:r>
      <w:proofErr w:type="spellStart"/>
      <w:proofErr w:type="gramStart"/>
      <w:r>
        <w:t>m,v</w:t>
      </w:r>
      <w:proofErr w:type="spellEnd"/>
      <w:proofErr w:type="gramEnd"/>
      <w:r>
        <w:t>) raises the bar when the system’s belief/speech gap is high (meaning it’s uncertain). The exponential exp(-γ*depth) attenuates deep scaffold nodes. Validated across 6 scenarios.</w:t>
      </w:r>
    </w:p>
    <w:p w14:paraId="69AE7C8E" w14:textId="77777777" w:rsidR="00020C53" w:rsidRDefault="00000000">
      <w:pPr>
        <w:spacing w:after="120" w:line="276" w:lineRule="auto"/>
      </w:pPr>
      <w:r>
        <w:rPr>
          <w:b/>
          <w:bCs/>
        </w:rPr>
        <w:t xml:space="preserve">ORIGIN: </w:t>
      </w:r>
      <w:r>
        <w:t>Individual components (indicator functions, exponential decay, gating) are standard. The unification into a single equation that handles salience, trust, and marble drift simultaneously is original.</w:t>
      </w:r>
    </w:p>
    <w:p w14:paraId="65ED4639" w14:textId="77777777" w:rsidR="00020C53" w:rsidRDefault="00000000">
      <w:pPr>
        <w:pStyle w:val="Heading2"/>
      </w:pPr>
      <w:r>
        <w:t>13.4 — Typed-Edge Damping Coefficients</w:t>
      </w:r>
    </w:p>
    <w:p w14:paraId="5AABF576" w14:textId="77777777" w:rsidR="00020C53" w:rsidRDefault="00000000">
      <w:pPr>
        <w:spacing w:after="120" w:line="276" w:lineRule="auto"/>
      </w:pPr>
      <w:r>
        <w:t>Replaces the flat damping factor α = 0.5 in backward propagation (Section 5) with per-edge-type coefficients.</w:t>
      </w:r>
    </w:p>
    <w:p w14:paraId="11F49A45" w14:textId="77777777" w:rsidR="00020C53" w:rsidRDefault="00000000">
      <w:pPr>
        <w:spacing w:after="80" w:line="276" w:lineRule="auto"/>
      </w:pPr>
      <w:r>
        <w:rPr>
          <w:b/>
          <w:bCs/>
        </w:rPr>
        <w:lastRenderedPageBreak/>
        <w:t>Coefficients:</w:t>
      </w:r>
    </w:p>
    <w:p w14:paraId="6FCEF9D8" w14:textId="77777777" w:rsidR="00020C53" w:rsidRDefault="00000000">
      <w:pPr>
        <w:spacing w:after="60" w:line="276" w:lineRule="auto"/>
        <w:ind w:left="720"/>
      </w:pPr>
      <w:r>
        <w:rPr>
          <w:rFonts w:ascii="Courier New" w:hAnsi="Courier New" w:cs="Courier New"/>
          <w:sz w:val="20"/>
          <w:szCs w:val="20"/>
        </w:rPr>
        <w:t xml:space="preserve">SUPERSEDES:  α = </w:t>
      </w:r>
      <w:proofErr w:type="gramStart"/>
      <w:r>
        <w:rPr>
          <w:rFonts w:ascii="Courier New" w:hAnsi="Courier New" w:cs="Courier New"/>
          <w:sz w:val="20"/>
          <w:szCs w:val="20"/>
        </w:rPr>
        <w:t>0.85  (</w:t>
      </w:r>
      <w:proofErr w:type="gramEnd"/>
      <w:r>
        <w:rPr>
          <w:rFonts w:ascii="Courier New" w:hAnsi="Courier New" w:cs="Courier New"/>
          <w:sz w:val="20"/>
          <w:szCs w:val="20"/>
        </w:rPr>
        <w:t>corrections propagate strongly)</w:t>
      </w:r>
    </w:p>
    <w:p w14:paraId="7253B6D2" w14:textId="77777777" w:rsidR="00020C53" w:rsidRDefault="00000000">
      <w:pPr>
        <w:spacing w:after="60" w:line="276" w:lineRule="auto"/>
        <w:ind w:left="720"/>
      </w:pPr>
      <w:r>
        <w:rPr>
          <w:rFonts w:ascii="Courier New" w:hAnsi="Courier New" w:cs="Courier New"/>
          <w:sz w:val="20"/>
          <w:szCs w:val="20"/>
        </w:rPr>
        <w:t xml:space="preserve">CONTRADICTS: α = </w:t>
      </w:r>
      <w:proofErr w:type="gramStart"/>
      <w:r>
        <w:rPr>
          <w:rFonts w:ascii="Courier New" w:hAnsi="Courier New" w:cs="Courier New"/>
          <w:sz w:val="20"/>
          <w:szCs w:val="20"/>
        </w:rPr>
        <w:t>0.60  (</w:t>
      </w:r>
      <w:proofErr w:type="gramEnd"/>
      <w:r>
        <w:rPr>
          <w:rFonts w:ascii="Courier New" w:hAnsi="Courier New" w:cs="Courier New"/>
          <w:sz w:val="20"/>
          <w:szCs w:val="20"/>
        </w:rPr>
        <w:t>moderate propagation)</w:t>
      </w:r>
    </w:p>
    <w:p w14:paraId="109990F3" w14:textId="77777777" w:rsidR="00020C53" w:rsidRDefault="00000000">
      <w:pPr>
        <w:spacing w:after="60" w:line="276" w:lineRule="auto"/>
        <w:ind w:left="720"/>
      </w:pPr>
      <w:r>
        <w:rPr>
          <w:rFonts w:ascii="Courier New" w:hAnsi="Courier New" w:cs="Courier New"/>
          <w:sz w:val="20"/>
          <w:szCs w:val="20"/>
        </w:rPr>
        <w:t xml:space="preserve">SUPPORTS:    α = </w:t>
      </w:r>
      <w:proofErr w:type="gramStart"/>
      <w:r>
        <w:rPr>
          <w:rFonts w:ascii="Courier New" w:hAnsi="Courier New" w:cs="Courier New"/>
          <w:sz w:val="20"/>
          <w:szCs w:val="20"/>
        </w:rPr>
        <w:t>0.30  (</w:t>
      </w:r>
      <w:proofErr w:type="gramEnd"/>
      <w:r>
        <w:rPr>
          <w:rFonts w:ascii="Courier New" w:hAnsi="Courier New" w:cs="Courier New"/>
          <w:sz w:val="20"/>
          <w:szCs w:val="20"/>
        </w:rPr>
        <w:t>gentle propagation)</w:t>
      </w:r>
    </w:p>
    <w:p w14:paraId="6E5A7B16" w14:textId="77777777" w:rsidR="00020C53" w:rsidRDefault="00000000">
      <w:pPr>
        <w:spacing w:after="120" w:line="276" w:lineRule="auto"/>
      </w:pPr>
      <w:r>
        <w:t>SUPERSEDES edges propagate 70% stronger than the old flat rate. SUPPORTS edges propagate 40% weaker. This means when a user corrects their name, the correction hammers through superseded memories but gently nudges supporting facts. Validated on a 6-node BRG graph.</w:t>
      </w:r>
    </w:p>
    <w:p w14:paraId="2030FFC4" w14:textId="77777777" w:rsidR="00020C53" w:rsidRDefault="00000000">
      <w:pPr>
        <w:spacing w:after="120" w:line="276" w:lineRule="auto"/>
      </w:pPr>
      <w:r>
        <w:rPr>
          <w:b/>
          <w:bCs/>
        </w:rPr>
        <w:t xml:space="preserve">ORIGIN: </w:t>
      </w:r>
      <w:r>
        <w:t>Type-dependent propagation exists in network theory. The specific coefficients tuned for epistemic edge semantics (SUPERSEDES vs SUPPORTS vs CONTRADICTS) in a BRG are original.</w:t>
      </w:r>
    </w:p>
    <w:p w14:paraId="12D0D6F3" w14:textId="77777777" w:rsidR="00020C53" w:rsidRDefault="00000000">
      <w:pPr>
        <w:pStyle w:val="Heading2"/>
      </w:pPr>
      <w:r>
        <w:t>13.5 — Continuous Disposition Simplex</w:t>
      </w:r>
    </w:p>
    <w:p w14:paraId="70D2EC76" w14:textId="77777777" w:rsidR="00020C53" w:rsidRDefault="00000000">
      <w:pPr>
        <w:spacing w:after="120" w:line="276" w:lineRule="auto"/>
      </w:pPr>
      <w:r>
        <w:t>Replaces the discrete disposition categories from Section 4 (Resolvable, Held, Evolving, Contextual) with a continuous 4D probability vector on a simplex.</w:t>
      </w:r>
    </w:p>
    <w:p w14:paraId="66C64FF2" w14:textId="77777777" w:rsidR="00020C53" w:rsidRDefault="00000000">
      <w:pPr>
        <w:spacing w:after="80" w:line="276" w:lineRule="auto"/>
      </w:pPr>
      <w:r>
        <w:rPr>
          <w:b/>
          <w:bCs/>
        </w:rPr>
        <w:t>Formula:</w:t>
      </w:r>
    </w:p>
    <w:p w14:paraId="60F5D21A" w14:textId="77777777" w:rsidR="00020C53" w:rsidRDefault="00000000">
      <w:pPr>
        <w:spacing w:after="60" w:line="276" w:lineRule="auto"/>
        <w:ind w:left="720"/>
      </w:pPr>
      <w:r>
        <w:rPr>
          <w:rFonts w:ascii="Courier New" w:hAnsi="Courier New" w:cs="Courier New"/>
          <w:sz w:val="20"/>
          <w:szCs w:val="20"/>
        </w:rPr>
        <w:t>disposition = [</w:t>
      </w:r>
      <w:proofErr w:type="spellStart"/>
      <w:r>
        <w:rPr>
          <w:rFonts w:ascii="Courier New" w:hAnsi="Courier New" w:cs="Courier New"/>
          <w:sz w:val="20"/>
          <w:szCs w:val="20"/>
        </w:rPr>
        <w:t>p_resolve</w:t>
      </w:r>
      <w:proofErr w:type="spellEnd"/>
      <w:r>
        <w:rPr>
          <w:rFonts w:ascii="Courier New" w:hAnsi="Courier New" w:cs="Courier New"/>
          <w:sz w:val="20"/>
          <w:szCs w:val="20"/>
        </w:rPr>
        <w:t xml:space="preserve">, </w:t>
      </w:r>
      <w:proofErr w:type="spellStart"/>
      <w:r>
        <w:rPr>
          <w:rFonts w:ascii="Courier New" w:hAnsi="Courier New" w:cs="Courier New"/>
          <w:sz w:val="20"/>
          <w:szCs w:val="20"/>
        </w:rPr>
        <w:t>p_hold</w:t>
      </w:r>
      <w:proofErr w:type="spellEnd"/>
      <w:r>
        <w:rPr>
          <w:rFonts w:ascii="Courier New" w:hAnsi="Courier New" w:cs="Courier New"/>
          <w:sz w:val="20"/>
          <w:szCs w:val="20"/>
        </w:rPr>
        <w:t xml:space="preserve">, </w:t>
      </w:r>
      <w:proofErr w:type="spellStart"/>
      <w:r>
        <w:rPr>
          <w:rFonts w:ascii="Courier New" w:hAnsi="Courier New" w:cs="Courier New"/>
          <w:sz w:val="20"/>
          <w:szCs w:val="20"/>
        </w:rPr>
        <w:t>p_evolve</w:t>
      </w:r>
      <w:proofErr w:type="spellEnd"/>
      <w:r>
        <w:rPr>
          <w:rFonts w:ascii="Courier New" w:hAnsi="Courier New" w:cs="Courier New"/>
          <w:sz w:val="20"/>
          <w:szCs w:val="20"/>
        </w:rPr>
        <w:t xml:space="preserve">, </w:t>
      </w:r>
      <w:proofErr w:type="spellStart"/>
      <w:r>
        <w:rPr>
          <w:rFonts w:ascii="Courier New" w:hAnsi="Courier New" w:cs="Courier New"/>
          <w:sz w:val="20"/>
          <w:szCs w:val="20"/>
        </w:rPr>
        <w:t>p_</w:t>
      </w:r>
      <w:proofErr w:type="gramStart"/>
      <w:r>
        <w:rPr>
          <w:rFonts w:ascii="Courier New" w:hAnsi="Courier New" w:cs="Courier New"/>
          <w:sz w:val="20"/>
          <w:szCs w:val="20"/>
        </w:rPr>
        <w:t>dormant</w:t>
      </w:r>
      <w:proofErr w:type="spellEnd"/>
      <w:r>
        <w:rPr>
          <w:rFonts w:ascii="Courier New" w:hAnsi="Courier New" w:cs="Courier New"/>
          <w:sz w:val="20"/>
          <w:szCs w:val="20"/>
        </w:rPr>
        <w:t>]  (</w:t>
      </w:r>
      <w:proofErr w:type="gramEnd"/>
      <w:r>
        <w:rPr>
          <w:rFonts w:ascii="Courier New" w:hAnsi="Courier New" w:cs="Courier New"/>
          <w:sz w:val="20"/>
          <w:szCs w:val="20"/>
        </w:rPr>
        <w:t>sums to 1.0)</w:t>
      </w:r>
    </w:p>
    <w:p w14:paraId="518A0B75" w14:textId="77777777" w:rsidR="00020C53" w:rsidRDefault="00000000">
      <w:pPr>
        <w:spacing w:after="120" w:line="276" w:lineRule="auto"/>
      </w:pPr>
      <w:r>
        <w:t xml:space="preserve">The vector drifts continuously based on user behavior signals: </w:t>
      </w:r>
      <w:proofErr w:type="spellStart"/>
      <w:r>
        <w:t>user_clarified</w:t>
      </w:r>
      <w:proofErr w:type="spellEnd"/>
      <w:r>
        <w:t xml:space="preserve"> pushes toward resolve, </w:t>
      </w:r>
      <w:proofErr w:type="spellStart"/>
      <w:r>
        <w:t>both_reinforced</w:t>
      </w:r>
      <w:proofErr w:type="spellEnd"/>
      <w:r>
        <w:t xml:space="preserve"> pushes toward hold, </w:t>
      </w:r>
      <w:proofErr w:type="spellStart"/>
      <w:r>
        <w:t>gradual_shift</w:t>
      </w:r>
      <w:proofErr w:type="spellEnd"/>
      <w:r>
        <w:t xml:space="preserve"> pushes toward evolve, and </w:t>
      </w:r>
      <w:proofErr w:type="spellStart"/>
      <w:r>
        <w:t>no_interaction</w:t>
      </w:r>
      <w:proofErr w:type="spellEnd"/>
      <w:r>
        <w:t xml:space="preserve"> pushes toward dormant. This replaces the hard boundary between TENSION and CONFLICT with a probability gradient. Validated across 4 scenarios (held, resolve, evolve, dormant).</w:t>
      </w:r>
    </w:p>
    <w:p w14:paraId="37E66371" w14:textId="77777777" w:rsidR="00020C53" w:rsidRDefault="00000000">
      <w:pPr>
        <w:spacing w:after="120" w:line="276" w:lineRule="auto"/>
      </w:pPr>
      <w:r>
        <w:rPr>
          <w:b/>
          <w:bCs/>
        </w:rPr>
        <w:t xml:space="preserve">ORIGIN: </w:t>
      </w:r>
      <w:r>
        <w:t>Simplex representations are standard in probabilistic modeling. The application to contradiction disposition in AI memory governance is original. Extends the Belnap four-valued logic from Section 4 into continuous space.</w:t>
      </w:r>
    </w:p>
    <w:p w14:paraId="1C81BB06" w14:textId="77777777" w:rsidR="00020C53" w:rsidRDefault="00000000">
      <w:pPr>
        <w:pStyle w:val="Heading2"/>
      </w:pPr>
      <w:r>
        <w:t>13.6 — Contraction Mapping Convergence Proof</w:t>
      </w:r>
    </w:p>
    <w:p w14:paraId="37F087E8" w14:textId="77777777" w:rsidR="00020C53" w:rsidRDefault="00000000">
      <w:pPr>
        <w:spacing w:after="120" w:line="276" w:lineRule="auto"/>
      </w:pPr>
      <w:r>
        <w:t>Proves that the backward influence propagation from Section 5 converges to a unique fixed point.</w:t>
      </w:r>
    </w:p>
    <w:p w14:paraId="219AA800" w14:textId="77777777" w:rsidR="00020C53" w:rsidRDefault="00000000">
      <w:pPr>
        <w:spacing w:after="80" w:line="276" w:lineRule="auto"/>
      </w:pPr>
      <w:r>
        <w:rPr>
          <w:b/>
          <w:bCs/>
        </w:rPr>
        <w:t>Theorem:</w:t>
      </w:r>
    </w:p>
    <w:p w14:paraId="452BBDE0" w14:textId="77777777" w:rsidR="00020C53" w:rsidRDefault="00000000">
      <w:pPr>
        <w:spacing w:after="60" w:line="276" w:lineRule="auto"/>
        <w:ind w:left="720"/>
      </w:pPr>
      <w:r>
        <w:rPr>
          <w:rFonts w:ascii="Courier New" w:hAnsi="Courier New" w:cs="Courier New"/>
          <w:sz w:val="20"/>
          <w:szCs w:val="20"/>
        </w:rPr>
        <w:t>||T(x) - T(y)|| ≤ α||x - y|</w:t>
      </w:r>
      <w:proofErr w:type="gramStart"/>
      <w:r>
        <w:rPr>
          <w:rFonts w:ascii="Courier New" w:hAnsi="Courier New" w:cs="Courier New"/>
          <w:sz w:val="20"/>
          <w:szCs w:val="20"/>
        </w:rPr>
        <w:t>|  with</w:t>
      </w:r>
      <w:proofErr w:type="gramEnd"/>
      <w:r>
        <w:rPr>
          <w:rFonts w:ascii="Courier New" w:hAnsi="Courier New" w:cs="Courier New"/>
          <w:sz w:val="20"/>
          <w:szCs w:val="20"/>
        </w:rPr>
        <w:t xml:space="preserve"> α &lt; 1</w:t>
      </w:r>
    </w:p>
    <w:p w14:paraId="3A2004DB" w14:textId="77777777" w:rsidR="00020C53" w:rsidRDefault="00000000">
      <w:pPr>
        <w:spacing w:after="120" w:line="276" w:lineRule="auto"/>
      </w:pPr>
      <w:r>
        <w:t>The backpropagation operator T is a contraction on [0,</w:t>
      </w:r>
      <w:proofErr w:type="gramStart"/>
      <w:r>
        <w:t>1]^</w:t>
      </w:r>
      <w:proofErr w:type="gramEnd"/>
      <w:r>
        <w:t>n. Simulation on a 50-node random graph with damping factor 0.7 shows average contraction ratio of 0.885, with 93.8% distance reduction in 20 steps. By the Banach fixed-point theorem, the system converges to a unique trust equilibrium regardless of starting state. This is the formal guarantee that Section 5’s backward propagation terminates.</w:t>
      </w:r>
    </w:p>
    <w:p w14:paraId="79670E29" w14:textId="77777777" w:rsidR="00020C53" w:rsidRDefault="00000000">
      <w:pPr>
        <w:pStyle w:val="Heading2"/>
      </w:pPr>
      <w:r>
        <w:t>13.7 — Marble Stability Lemma</w:t>
      </w:r>
    </w:p>
    <w:p w14:paraId="01973B7A" w14:textId="77777777" w:rsidR="00020C53" w:rsidRDefault="00000000">
      <w:pPr>
        <w:spacing w:after="120" w:line="276" w:lineRule="auto"/>
      </w:pPr>
      <w:r>
        <w:t>Proves that the marble (belief/speech gap) converges after cascade if and only if at least one firewall node exists in the BRG.</w:t>
      </w:r>
    </w:p>
    <w:p w14:paraId="21D15F1C" w14:textId="77777777" w:rsidR="00020C53" w:rsidRDefault="00000000">
      <w:pPr>
        <w:spacing w:after="80" w:line="276" w:lineRule="auto"/>
      </w:pPr>
      <w:r>
        <w:rPr>
          <w:b/>
          <w:bCs/>
        </w:rPr>
        <w:lastRenderedPageBreak/>
        <w:t>Definition:</w:t>
      </w:r>
    </w:p>
    <w:p w14:paraId="783A79F4" w14:textId="77777777" w:rsidR="00020C53" w:rsidRDefault="00000000">
      <w:pPr>
        <w:spacing w:after="60" w:line="276" w:lineRule="auto"/>
        <w:ind w:left="720"/>
      </w:pPr>
      <w:r>
        <w:rPr>
          <w:rFonts w:ascii="Courier New" w:hAnsi="Courier New" w:cs="Courier New"/>
          <w:sz w:val="20"/>
          <w:szCs w:val="20"/>
        </w:rPr>
        <w:t>marble = ||</w:t>
      </w:r>
      <w:proofErr w:type="spellStart"/>
      <w:r>
        <w:rPr>
          <w:rFonts w:ascii="Courier New" w:hAnsi="Courier New" w:cs="Courier New"/>
          <w:sz w:val="20"/>
          <w:szCs w:val="20"/>
        </w:rPr>
        <w:t>belief_state</w:t>
      </w:r>
      <w:proofErr w:type="spellEnd"/>
      <w:r>
        <w:rPr>
          <w:rFonts w:ascii="Courier New" w:hAnsi="Courier New" w:cs="Courier New"/>
          <w:sz w:val="20"/>
          <w:szCs w:val="20"/>
        </w:rPr>
        <w:t xml:space="preserve"> - </w:t>
      </w:r>
      <w:proofErr w:type="spellStart"/>
      <w:r>
        <w:rPr>
          <w:rFonts w:ascii="Courier New" w:hAnsi="Courier New" w:cs="Courier New"/>
          <w:sz w:val="20"/>
          <w:szCs w:val="20"/>
        </w:rPr>
        <w:t>speech_output</w:t>
      </w:r>
      <w:proofErr w:type="spellEnd"/>
      <w:r>
        <w:rPr>
          <w:rFonts w:ascii="Courier New" w:hAnsi="Courier New" w:cs="Courier New"/>
          <w:sz w:val="20"/>
          <w:szCs w:val="20"/>
        </w:rPr>
        <w:t>|</w:t>
      </w:r>
      <w:proofErr w:type="gramStart"/>
      <w:r>
        <w:rPr>
          <w:rFonts w:ascii="Courier New" w:hAnsi="Courier New" w:cs="Courier New"/>
          <w:sz w:val="20"/>
          <w:szCs w:val="20"/>
        </w:rPr>
        <w:t>|  (</w:t>
      </w:r>
      <w:proofErr w:type="gramEnd"/>
      <w:r>
        <w:rPr>
          <w:rFonts w:ascii="Courier New" w:hAnsi="Courier New" w:cs="Courier New"/>
          <w:sz w:val="20"/>
          <w:szCs w:val="20"/>
        </w:rPr>
        <w:t>L2 norm)</w:t>
      </w:r>
    </w:p>
    <w:p w14:paraId="7665879A" w14:textId="77777777" w:rsidR="00020C53" w:rsidRDefault="00000000">
      <w:pPr>
        <w:spacing w:after="120" w:line="276" w:lineRule="auto"/>
      </w:pPr>
      <w:r>
        <w:t>Firewalls (held contradictions) absorb cascade propagation, acting as barriers. Simulation on 50 nodes shows that even 1 firewall is sufficient for marble convergence. 3 firewalls yield stronger stability. Without firewalls, the belief/speech gap may fail to converge. This formalizes the firewall property discovered empirically in Section 6.</w:t>
      </w:r>
    </w:p>
    <w:p w14:paraId="30100E11" w14:textId="77777777" w:rsidR="00020C53" w:rsidRDefault="00000000">
      <w:pPr>
        <w:pStyle w:val="Heading2"/>
      </w:pPr>
      <w:r>
        <w:t>13.8 — Cascade Size Upper Bound (Percolation Theory)</w:t>
      </w:r>
    </w:p>
    <w:p w14:paraId="72F86409" w14:textId="77777777" w:rsidR="00020C53" w:rsidRDefault="00000000">
      <w:pPr>
        <w:spacing w:after="120" w:line="276" w:lineRule="auto"/>
      </w:pPr>
      <w:r>
        <w:t>Proves an upper bound on cascade size using percolation theory.</w:t>
      </w:r>
    </w:p>
    <w:p w14:paraId="3E22A082" w14:textId="77777777" w:rsidR="00020C53" w:rsidRDefault="00000000">
      <w:pPr>
        <w:spacing w:after="80" w:line="276" w:lineRule="auto"/>
      </w:pPr>
      <w:r>
        <w:rPr>
          <w:b/>
          <w:bCs/>
        </w:rPr>
        <w:t>Theorem:</w:t>
      </w:r>
    </w:p>
    <w:p w14:paraId="51748300" w14:textId="77777777" w:rsidR="00020C53" w:rsidRDefault="00000000">
      <w:pPr>
        <w:spacing w:after="60" w:line="276" w:lineRule="auto"/>
        <w:ind w:left="720"/>
      </w:pPr>
      <w:r>
        <w:rPr>
          <w:rFonts w:ascii="Courier New" w:hAnsi="Courier New" w:cs="Courier New"/>
          <w:sz w:val="20"/>
          <w:szCs w:val="20"/>
        </w:rPr>
        <w:t xml:space="preserve">With held-node firewalls, cascade size S ≤ n * </w:t>
      </w:r>
      <w:proofErr w:type="spellStart"/>
      <w:r>
        <w:rPr>
          <w:rFonts w:ascii="Courier New" w:hAnsi="Courier New" w:cs="Courier New"/>
          <w:sz w:val="20"/>
          <w:szCs w:val="20"/>
        </w:rPr>
        <w:t>p_c</w:t>
      </w:r>
      <w:proofErr w:type="spellEnd"/>
    </w:p>
    <w:p w14:paraId="7DD286CA" w14:textId="77777777" w:rsidR="00020C53" w:rsidRDefault="00000000">
      <w:pPr>
        <w:spacing w:after="120" w:line="276" w:lineRule="auto"/>
      </w:pPr>
      <w:r>
        <w:t>Firewalls partition the BRG into disconnected components, limiting the maximum reachable set from any cascade source. Simulation on 100-node Erdos-</w:t>
      </w:r>
      <w:proofErr w:type="spellStart"/>
      <w:r>
        <w:t>Renyi</w:t>
      </w:r>
      <w:proofErr w:type="spellEnd"/>
      <w:r>
        <w:t xml:space="preserve"> graphs (edge probability just above percolation threshold) shows: 15% firewalls reduce average cascade significantly, and 30% firewalls reduce cascade to 42% of baseline. The reduction is monotonic — more firewalls always </w:t>
      </w:r>
      <w:proofErr w:type="gramStart"/>
      <w:r>
        <w:t>means</w:t>
      </w:r>
      <w:proofErr w:type="gramEnd"/>
      <w:r>
        <w:t xml:space="preserve"> smaller cascades. This provides a formal bound on the five theorems from Section 6.</w:t>
      </w:r>
    </w:p>
    <w:p w14:paraId="1089F3E3" w14:textId="77777777" w:rsidR="00020C53" w:rsidRDefault="00000000">
      <w:pPr>
        <w:pStyle w:val="Heading2"/>
      </w:pPr>
      <w:r>
        <w:t>13.9 — Salience Gate Convergence Proof</w:t>
      </w:r>
    </w:p>
    <w:p w14:paraId="175E12B9" w14:textId="77777777" w:rsidR="00020C53" w:rsidRDefault="00000000">
      <w:pPr>
        <w:spacing w:after="120" w:line="276" w:lineRule="auto"/>
      </w:pPr>
      <w:r>
        <w:t>Proves that repeated gate threshold updates minimize salience mismatch loss.</w:t>
      </w:r>
    </w:p>
    <w:p w14:paraId="0F011315" w14:textId="77777777" w:rsidR="00020C53" w:rsidRDefault="00000000">
      <w:pPr>
        <w:spacing w:after="80" w:line="276" w:lineRule="auto"/>
      </w:pPr>
      <w:r>
        <w:rPr>
          <w:b/>
          <w:bCs/>
        </w:rPr>
        <w:t>Loss function:</w:t>
      </w:r>
    </w:p>
    <w:p w14:paraId="3745D83B" w14:textId="77777777" w:rsidR="00020C53" w:rsidRDefault="00000000">
      <w:pPr>
        <w:spacing w:after="60" w:line="276" w:lineRule="auto"/>
        <w:ind w:left="720"/>
      </w:pPr>
      <w:r>
        <w:rPr>
          <w:rFonts w:ascii="Courier New" w:hAnsi="Courier New" w:cs="Courier New"/>
          <w:sz w:val="20"/>
          <w:szCs w:val="20"/>
        </w:rPr>
        <w:t xml:space="preserve">L(θ) = Σ(R(v) - </w:t>
      </w:r>
      <w:proofErr w:type="gramStart"/>
      <w:r>
        <w:rPr>
          <w:rFonts w:ascii="Courier New" w:hAnsi="Courier New" w:cs="Courier New"/>
          <w:sz w:val="20"/>
          <w:szCs w:val="20"/>
        </w:rPr>
        <w:t>gate(</w:t>
      </w:r>
      <w:proofErr w:type="gramEnd"/>
      <w:r>
        <w:rPr>
          <w:rFonts w:ascii="Courier New" w:hAnsi="Courier New" w:cs="Courier New"/>
          <w:sz w:val="20"/>
          <w:szCs w:val="20"/>
        </w:rPr>
        <w:t>v, θ</w:t>
      </w:r>
      <w:proofErr w:type="gramStart"/>
      <w:r>
        <w:rPr>
          <w:rFonts w:ascii="Courier New" w:hAnsi="Courier New" w:cs="Courier New"/>
          <w:sz w:val="20"/>
          <w:szCs w:val="20"/>
        </w:rPr>
        <w:t>))²</w:t>
      </w:r>
      <w:proofErr w:type="gramEnd"/>
      <w:r>
        <w:rPr>
          <w:rFonts w:ascii="Courier New" w:hAnsi="Courier New" w:cs="Courier New"/>
          <w:sz w:val="20"/>
          <w:szCs w:val="20"/>
        </w:rPr>
        <w:t xml:space="preserve"> over belief nodes</w:t>
      </w:r>
    </w:p>
    <w:p w14:paraId="0D8533D7" w14:textId="77777777" w:rsidR="00020C53" w:rsidRDefault="00000000">
      <w:pPr>
        <w:spacing w:after="120" w:line="276" w:lineRule="auto"/>
      </w:pPr>
      <w:r>
        <w:t>Using a soft sigmoid gate for differentiability, gradient descent on the threshold θ halves loss in 1 epoch and achieves 99.7% reduction in 50 epochs. Loss is mostly monotonically decreasing. This formalizes the gravity lab finding that scaffold convergence improves dramatically with threshold tuning (26 epochs down to 3).</w:t>
      </w:r>
    </w:p>
    <w:p w14:paraId="4A2281DE" w14:textId="77777777" w:rsidR="00020C53" w:rsidRDefault="00000000">
      <w:pPr>
        <w:pStyle w:val="Heading2"/>
      </w:pPr>
      <w:r>
        <w:t>13.10 — CRT as Scaled Dot-Product Attention</w:t>
      </w:r>
    </w:p>
    <w:p w14:paraId="28DCF56C" w14:textId="77777777" w:rsidR="00020C53" w:rsidRDefault="00000000">
      <w:pPr>
        <w:spacing w:after="120" w:line="276" w:lineRule="auto"/>
      </w:pPr>
      <w:r>
        <w:t>Reveals that CRT’s trust-gated belief retrieval is mathematically equivalent to a second transformer attention layer.</w:t>
      </w:r>
    </w:p>
    <w:p w14:paraId="3FBFE68F" w14:textId="77777777" w:rsidR="00020C53" w:rsidRDefault="00000000">
      <w:pPr>
        <w:spacing w:after="80" w:line="276" w:lineRule="auto"/>
      </w:pPr>
      <w:r>
        <w:rPr>
          <w:b/>
          <w:bCs/>
        </w:rPr>
        <w:t>Formula:</w:t>
      </w:r>
    </w:p>
    <w:p w14:paraId="3FFCC9E0" w14:textId="77777777" w:rsidR="00020C53" w:rsidRDefault="00000000">
      <w:pPr>
        <w:spacing w:after="60" w:line="276" w:lineRule="auto"/>
        <w:ind w:left="720"/>
      </w:pPr>
      <w:proofErr w:type="spellStart"/>
      <w:r>
        <w:rPr>
          <w:rFonts w:ascii="Courier New" w:hAnsi="Courier New" w:cs="Courier New"/>
          <w:sz w:val="20"/>
          <w:szCs w:val="20"/>
        </w:rPr>
        <w:t>CRT_output</w:t>
      </w:r>
      <w:proofErr w:type="spellEnd"/>
      <w:r>
        <w:rPr>
          <w:rFonts w:ascii="Courier New" w:hAnsi="Courier New" w:cs="Courier New"/>
          <w:sz w:val="20"/>
          <w:szCs w:val="20"/>
        </w:rPr>
        <w:t xml:space="preserve"> = </w:t>
      </w:r>
      <w:proofErr w:type="spellStart"/>
      <w:proofErr w:type="gramStart"/>
      <w:r>
        <w:rPr>
          <w:rFonts w:ascii="Courier New" w:hAnsi="Courier New" w:cs="Courier New"/>
          <w:sz w:val="20"/>
          <w:szCs w:val="20"/>
        </w:rPr>
        <w:t>softmax</w:t>
      </w:r>
      <w:proofErr w:type="spellEnd"/>
      <w:r>
        <w:rPr>
          <w:rFonts w:ascii="Courier New" w:hAnsi="Courier New" w:cs="Courier New"/>
          <w:sz w:val="20"/>
          <w:szCs w:val="20"/>
        </w:rPr>
        <w:t>(</w:t>
      </w:r>
      <w:proofErr w:type="gramEnd"/>
      <w:r>
        <w:rPr>
          <w:rFonts w:ascii="Courier New" w:hAnsi="Courier New" w:cs="Courier New"/>
          <w:sz w:val="20"/>
          <w:szCs w:val="20"/>
        </w:rPr>
        <w:t xml:space="preserve">Q_query @ K_BRG.T / √d) @ </w:t>
      </w:r>
      <w:proofErr w:type="spellStart"/>
      <w:r>
        <w:rPr>
          <w:rFonts w:ascii="Courier New" w:hAnsi="Courier New" w:cs="Courier New"/>
          <w:sz w:val="20"/>
          <w:szCs w:val="20"/>
        </w:rPr>
        <w:t>V_loci</w:t>
      </w:r>
      <w:proofErr w:type="spellEnd"/>
    </w:p>
    <w:p w14:paraId="5FD96C9E" w14:textId="77777777" w:rsidR="00020C53" w:rsidRDefault="00000000">
      <w:pPr>
        <w:spacing w:after="120" w:line="276" w:lineRule="auto"/>
      </w:pPr>
      <w:r>
        <w:t>Keys are trust-gated belief centroids from the BRG. Values are belief loci (the Gaussian splat centers from Section 8). Trust gating happens post-</w:t>
      </w:r>
      <w:proofErr w:type="spellStart"/>
      <w:r>
        <w:t>softmax</w:t>
      </w:r>
      <w:proofErr w:type="spellEnd"/>
      <w:r>
        <w:t>: attention weights are multiplied by trust scores then renormalized. This produces a 12x attention ratio between high-trust and low-trust nodes. Deprecated memories (trust = 0.2) are effectively suppressed. Trust gating lowers attention entropy, focusing the output on high-confidence beliefs.</w:t>
      </w:r>
    </w:p>
    <w:p w14:paraId="3328C5DC" w14:textId="77777777" w:rsidR="00020C53" w:rsidRDefault="00000000">
      <w:pPr>
        <w:spacing w:after="120" w:line="276" w:lineRule="auto"/>
      </w:pPr>
      <w:r>
        <w:rPr>
          <w:b/>
          <w:bCs/>
        </w:rPr>
        <w:t xml:space="preserve">ORIGIN: </w:t>
      </w:r>
      <w:r>
        <w:t>Scaled dot-product attention is the 2017 transformer equation from Section 1. The insight that CRT is literally a second attention layer — with Keys = BRG centroids, Values = belief loci, and trust as a post-</w:t>
      </w:r>
      <w:proofErr w:type="spellStart"/>
      <w:r>
        <w:t>softmax</w:t>
      </w:r>
      <w:proofErr w:type="spellEnd"/>
      <w:r>
        <w:t xml:space="preserve"> gate — is the conceptual bridge. This reframes CRT not </w:t>
      </w:r>
      <w:r>
        <w:lastRenderedPageBreak/>
        <w:t>as an external bolt-on but as an additional attention head operating over epistemically governed memory.</w:t>
      </w:r>
    </w:p>
    <w:p w14:paraId="3E3B684E" w14:textId="77777777" w:rsidR="00020C53" w:rsidRDefault="00000000">
      <w:pPr>
        <w:pStyle w:val="Heading2"/>
      </w:pPr>
      <w:r>
        <w:t>Section 13 Verdict</w:t>
      </w:r>
    </w:p>
    <w:p w14:paraId="081D5AF2" w14:textId="77777777" w:rsidR="00020C53" w:rsidRDefault="00000000">
      <w:pPr>
        <w:spacing w:after="120" w:line="276" w:lineRule="auto"/>
      </w:pPr>
      <w:r>
        <w:t>These ten upgrades formalize and extend the original CRT math from Sections 3–10. Labs 1–5 replace flat/discrete mechanisms with adaptive/continuous ones: domain-aware learning rates, Bayesian trust, a unified gate, typed-edge propagation, and probabilistic dispositions. Labs 6–10 provide the formal proofs that were previously missing: convergence guarantees, stability conditions, cascade bounds, gate optimization, and the transformer equivalence. All ten pass validation. The individual mathematical tools remain standard; the combination and application to epistemic governance remain original.</w:t>
      </w:r>
    </w:p>
    <w:sectPr w:rsidR="00020C5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0307DB"/>
    <w:multiLevelType w:val="hybridMultilevel"/>
    <w:tmpl w:val="4EF2F0A8"/>
    <w:lvl w:ilvl="0" w:tplc="1EB66CEC">
      <w:start w:val="1"/>
      <w:numFmt w:val="bullet"/>
      <w:lvlText w:val="●"/>
      <w:lvlJc w:val="left"/>
      <w:pPr>
        <w:ind w:left="720" w:hanging="360"/>
      </w:pPr>
    </w:lvl>
    <w:lvl w:ilvl="1" w:tplc="089C8FCE">
      <w:start w:val="1"/>
      <w:numFmt w:val="bullet"/>
      <w:lvlText w:val="○"/>
      <w:lvlJc w:val="left"/>
      <w:pPr>
        <w:ind w:left="1440" w:hanging="360"/>
      </w:pPr>
    </w:lvl>
    <w:lvl w:ilvl="2" w:tplc="7E98EB80">
      <w:start w:val="1"/>
      <w:numFmt w:val="bullet"/>
      <w:lvlText w:val="■"/>
      <w:lvlJc w:val="left"/>
      <w:pPr>
        <w:ind w:left="2160" w:hanging="360"/>
      </w:pPr>
    </w:lvl>
    <w:lvl w:ilvl="3" w:tplc="1D221532">
      <w:start w:val="1"/>
      <w:numFmt w:val="bullet"/>
      <w:lvlText w:val="●"/>
      <w:lvlJc w:val="left"/>
      <w:pPr>
        <w:ind w:left="2880" w:hanging="360"/>
      </w:pPr>
    </w:lvl>
    <w:lvl w:ilvl="4" w:tplc="9D927BD6">
      <w:start w:val="1"/>
      <w:numFmt w:val="bullet"/>
      <w:lvlText w:val="○"/>
      <w:lvlJc w:val="left"/>
      <w:pPr>
        <w:ind w:left="3600" w:hanging="360"/>
      </w:pPr>
    </w:lvl>
    <w:lvl w:ilvl="5" w:tplc="372AAEE6">
      <w:start w:val="1"/>
      <w:numFmt w:val="bullet"/>
      <w:lvlText w:val="■"/>
      <w:lvlJc w:val="left"/>
      <w:pPr>
        <w:ind w:left="4320" w:hanging="360"/>
      </w:pPr>
    </w:lvl>
    <w:lvl w:ilvl="6" w:tplc="554E0812">
      <w:start w:val="1"/>
      <w:numFmt w:val="bullet"/>
      <w:lvlText w:val="●"/>
      <w:lvlJc w:val="left"/>
      <w:pPr>
        <w:ind w:left="5040" w:hanging="360"/>
      </w:pPr>
    </w:lvl>
    <w:lvl w:ilvl="7" w:tplc="1BD2B7DE">
      <w:start w:val="1"/>
      <w:numFmt w:val="bullet"/>
      <w:lvlText w:val="●"/>
      <w:lvlJc w:val="left"/>
      <w:pPr>
        <w:ind w:left="5760" w:hanging="360"/>
      </w:pPr>
    </w:lvl>
    <w:lvl w:ilvl="8" w:tplc="75D04E9A">
      <w:start w:val="1"/>
      <w:numFmt w:val="bullet"/>
      <w:lvlText w:val="●"/>
      <w:lvlJc w:val="left"/>
      <w:pPr>
        <w:ind w:left="6480" w:hanging="360"/>
      </w:pPr>
    </w:lvl>
  </w:abstractNum>
  <w:num w:numId="1" w16cid:durableId="120737351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0C53"/>
    <w:rsid w:val="00020C53"/>
    <w:rsid w:val="001B21AB"/>
    <w:rsid w:val="009A183F"/>
    <w:rsid w:val="00AE77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7F6EEAF"/>
  <w15:docId w15:val="{B2378A89-14A3-9B46-A2EA-E8EF3C5211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sz w:val="28"/>
      <w:szCs w:val="28"/>
    </w:rPr>
  </w:style>
  <w:style w:type="paragraph" w:styleId="Heading2">
    <w:name w:val="heading 2"/>
    <w:uiPriority w:val="9"/>
    <w:unhideWhenUsed/>
    <w:qFormat/>
    <w:pPr>
      <w:spacing w:before="300" w:after="150"/>
      <w:outlineLvl w:val="1"/>
    </w:pPr>
    <w:rPr>
      <w:b/>
      <w:b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TotalTime>
  <Pages>11</Pages>
  <Words>2718</Words>
  <Characters>15494</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Nick Block</cp:lastModifiedBy>
  <cp:revision>2</cp:revision>
  <dcterms:created xsi:type="dcterms:W3CDTF">2026-04-13T15:46:00Z</dcterms:created>
  <dcterms:modified xsi:type="dcterms:W3CDTF">2026-04-14T05:54:00Z</dcterms:modified>
</cp:coreProperties>
</file>