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EchoAgent Protocol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基于四权分离的数字资产协议与 AI Agent 融合设计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一、项目概述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名称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EchoAgent Protocol</w:t>
      </w:r>
      <w:r>
        <w:rPr>
          <w:rFonts w:ascii="맑은 고딕" w:cs="맑은 고딕" w:eastAsia="맑은 고딕" w:hAnsi="맑은 고딕"/>
        </w:rPr>
        <w:t xml:space="preserve">（简称 EAP）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定位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 AI Agent 生态的数字资产所有权经济协议，旨在实现高价值技能/知识库在 AI 原生工作方式下的流通与变现。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1.3 核心价值主张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 AI 技能和知识库像数字资产一样，具备明确的所有者、可控的使用规则、可组合的衍生方式，以及可扩展的应用场景，最终形成一个可持续发展的 AI 技能经济生态。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1.4 与 OpenClaw 的关系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底层基础设施</w:t>
      </w:r>
      <w:r>
        <w:rPr>
          <w:rFonts w:ascii="맑은 고딕" w:cs="맑은 고딕" w:eastAsia="맑은 고딕" w:hAnsi="맑은 고딕"/>
        </w:rPr>
        <w:t xml:space="preserve">：OpenClaw 提供 Agent 运行时、skill 标准化框架、插件体系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EchoAgent 定位</w:t>
      </w:r>
      <w:r>
        <w:rPr>
          <w:rFonts w:ascii="맑은 고딕" w:cs="맑은 고딕" w:eastAsia="맑은 고딕" w:hAnsi="맑은 고딕"/>
        </w:rPr>
        <w:t xml:space="preserve">：在 OpenClaw 之上构建资产层和经济层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有机融合</w:t>
      </w:r>
      <w:r>
        <w:rPr>
          <w:rFonts w:ascii="맑은 고딕" w:cs="맑은 고딕" w:eastAsia="맑은 고딕" w:hAnsi="맑은 고딕"/>
        </w:rPr>
        <w:t xml:space="preserve">：复用 OpenClaw 的 skill 生态，将 ECHO 四权分离协议映射到 skill 的发布、分发、使用、衍生、扩展全生命周期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二、核心概念映射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资产类型定义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资产类型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定义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示例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Skill Asset（技能资产）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可被 AI Agent 调用的标准化技能模块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"法律合同审查技能"、"Logo 设计技能"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Knowledge Asset（知识资产）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结构化的知识库，可被 Agent 查询和使用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"某领域知识库"、"产品手册"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Workflow Asset（工作流资产）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多个技能/知识的组合，形成完整工作流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"从线索到签单的完整销售流程"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Agent Template（智能体模板）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预配置的 Agent 配置，包含技能组合和参数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"法律顾问 Agent"、"电商运营 Agent"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四权在 Agent 生态的映射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权利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在 AI Agent 场景的定义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实现机制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所有权（Ownership）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持有该资产在链上的唯一标识，享有最终处置权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NFT 表示，持有者地址记录在合约中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使用权（Usage Right）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按规则调用该技能/知识，每次调用需验证并付费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合约验证 + 计量扣费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衍生权（Derivative Right）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能否基于原始技能开发新技能（须保留原始引用）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合约授权 + 衍生合约引用原资产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扩展权（Extension Right）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能否在其他平台、应用、场景中使用该技能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扩展场景授权 + 额外付费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三、系统架构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整体架构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  用户层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技能开发者 │ 知识库所有者 │ 企业/个人用户 │ 二次开发者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└─────────────┬───────────────┬───────────────┬───────────────┘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│               │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▼               ▼               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Agent 层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EchoAgent Runtime（基于 OpenClaw Agent）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- Skill Executor（技能执行器）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- Knowledge Retriever（知识检索器）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- Workflow Orchestrator（工作流编排器）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- 四权验证模块（Rights Verification）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└─────────────┬───────────────┬───────────────┬───────────────┘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│               │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▼               ▼               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资产层（EchoChain）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Skill Registry │ Knowledge Registry │ Derivative Registry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Extension Rights Manager │ Usage Ledger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└─────────────┬───────────────┬───────────────┬───────────────┘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│               │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▼               ▼               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合约层（ECHO Protocol）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Asset Factory │ Rights Controller │ Revenue Distributor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NFT Registry │ License Manager │ Extension Gateway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各层职责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合约层（EchoChain）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资产创建（Asset Factory）：注册新资产，生成 NFT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权限控制（Rights Controller）：验证使用权、衍生权、扩展权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收益分配（Revenue Distributor）：自动将收益分发给相关方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授权管理（License Manager）：管理不同类型的授权规则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资产层（EchoRegistry）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Skill Registry：技能资产的元数据、版本、依赖关系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Knowledge Registry：知识库的索引、向量嵌入、访问权限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Derivative Registry：追踪技能的衍生关系图谱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Extension Registry：记录资产的扩展场景授权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Agent 层（EchoAgent Runtime）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四权验证模块：每次技能调用前验证链上权限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计量计费模块：记录调用次数、计算费用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收益分账模块：将收入按规则分给各方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隐私保护模块：敏感知识加密，仅授权 Agent 可解密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四、商业模式设计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平台收入来源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收入类型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说明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比例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交易手续费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每笔技能/知识调用收取的费用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5-10%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上架费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技能/知识库发布时收取的审核费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一次性，较低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扩展授权费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资产被用于扩展场景时收取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10-20%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Gas 费代付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替用户代付链上 Gas，收取服务费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按次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增值服务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数据分析、流量推荐、排名推广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订阅/竞价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开发者收入模式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模式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适用场景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结算方式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按次付费（Pay-per-call）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技能调用、知识检索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每次成功调用后自动结算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订阅制（Subscription）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持续使用某个技能/知识库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月/年费，期限内无限调用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计量包（Credit Pack）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预先购买调用额度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按量扣减，不限技能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定制开发（Custom Dev）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基于某技能二次开发专属版本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一次性付费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收益分成（Revenue Share）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衍生技能的收入与原开发者分账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按衍生合同约定比例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定价策略建议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技能定价公式：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技能价格 = 基础成本 × 稀缺系数 × 质量系数 × 使用场景系数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其中：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基础成本：开发者COVER的基础费用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稀缺系数：该领域技能的稀缺程度（供需比）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质量系数：基于用户评价、历史调用成功率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使用场景系数：越高频的使用场景定价越高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建议支持的定价粒度：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按调用次数定价（适合低频工具类技能）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按时间定价（适合持续性服务，如"法律顾问 Agent"）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按输出量定价（适合内容生成类，如"生成一篇营销文案"）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混合定价（基础费 + 调用费）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4.4 分账模型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基础分账规则：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总收入 = 调用收入 + 订阅收入 + 衍生收入 + 扩展收入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分账优先级：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平台手续费（先行扣除）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知识源贡献费（如技能依赖知识库，知识源优先）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原始开发者收益（根据衍生链向上追溯）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衍生开发者收益（按衍生链比例分配）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衍生技能分账示例：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原始技能A被衍生出技能B（引用A）又被衍生出技能C（引用B）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B调用A时：A开发者获得 20% 分账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C调用B时：B开发者获得 15%，A开发者获得 5%（通过合约自动追溯）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五、技能标准化设计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技能结构规范（Skill Manifest）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每个技能发布时必须包含以下元数据：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`yaml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skill</w:t>
      </w:r>
      <w:r>
        <w:rPr>
          <w:rFonts w:ascii="맑은 고딕" w:cs="맑은 고딕" w:eastAsia="맑은 고딕" w:hAnsi="맑은 고딕"/>
        </w:rPr>
        <w:t xml:space="preserve">_id: string           # 链上唯一标识（合约地址）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version: string            # 语义化版本（semver）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owner: address             # 所有者钱包地址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manifest: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name: string             # 技能名称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description: string      # 技能描述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category: string</w:t>
      </w:r>
      <w:r>
        <w:rPr>
          <w:rFonts w:ascii="맑은 고딕" w:cs="맑은 고딕" w:eastAsia="맑은 고딕" w:hAnsi="맑은 고딕"/>
        </w:rPr>
        <w:t xml:space="preserve">[]       # 分类标签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input</w:t>
      </w:r>
      <w:r>
        <w:rPr>
          <w:rFonts w:ascii="맑은 고딕" w:cs="맑은 고딕" w:eastAsia="맑은 고딕" w:hAnsi="맑은 고딕"/>
        </w:rPr>
        <w:t xml:space="preserve">_schema: json-schema   # 输入参数规范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output</w:t>
      </w:r>
      <w:r>
        <w:rPr>
          <w:rFonts w:ascii="맑은 고딕" w:cs="맑은 고딕" w:eastAsia="맑은 고딕" w:hAnsi="맑은 고딕"/>
        </w:rPr>
        <w:t xml:space="preserve">_schema: json-schema  # 输出结果规范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requirements:            # 环境依赖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openclaw</w:t>
      </w:r>
      <w:r>
        <w:rPr>
          <w:rFonts w:ascii="맑은 고딕" w:cs="맑은 고딕" w:eastAsia="맑은 고딕" w:hAnsi="맑은 고딕"/>
        </w:rPr>
        <w:t xml:space="preserve">_version: str  # 最低 OpenClaw 版本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dependencies: string</w:t>
      </w:r>
      <w:r>
        <w:rPr>
          <w:rFonts w:ascii="맑은 고딕" w:cs="맑은 고딕" w:eastAsia="맑은 고딕" w:hAnsi="맑은 고딕"/>
        </w:rPr>
        <w:t xml:space="preserve">[] # 依赖的其他技能ID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resources: string</w:t>
      </w:r>
      <w:r>
        <w:rPr>
          <w:rFonts w:ascii="맑은 고딕" w:cs="맑은 고딕" w:eastAsia="맑은 고딕" w:hAnsi="맑은 고딕"/>
        </w:rPr>
        <w:t xml:space="preserve">[]    # 需要的外部资源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rights: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usage:                   # 使用权配置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price</w:t>
      </w:r>
      <w:r>
        <w:rPr>
          <w:rFonts w:ascii="맑은 고딕" w:cs="맑은 고딕" w:eastAsia="맑은 고딕" w:hAnsi="맑은 고딕"/>
        </w:rPr>
        <w:t xml:space="preserve">_model: string    # per</w:t>
      </w:r>
      <w:r>
        <w:rPr>
          <w:rFonts w:ascii="맑은 고딕" w:cs="맑은 고딕" w:eastAsia="맑은 고딕" w:hAnsi="맑은 고딕"/>
        </w:rPr>
        <w:t xml:space="preserve">_call | subscription | credit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price: number          # 价格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currency: string       # 代币符号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derivative:              # 衍生权配置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allowed: boolean       # 是否允许衍生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share</w:t>
      </w:r>
      <w:r>
        <w:rPr>
          <w:rFonts w:ascii="맑은 고딕" w:cs="맑은 고딕" w:eastAsia="맑은 고딕" w:hAnsi="맑은 고딕"/>
        </w:rPr>
        <w:t xml:space="preserve">_ratio: number    # 衍生收益分成比例（%）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attribution: boolean   # 是否必须保留原始引用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extension:               # 扩展权配置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allowed: boolean       # 是否允许扩展场景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price</w:t>
      </w:r>
      <w:r>
        <w:rPr>
          <w:rFonts w:ascii="맑은 고딕" w:cs="맑은 고딕" w:eastAsia="맑은 고딕" w:hAnsi="맑은 고딕"/>
        </w:rPr>
        <w:t xml:space="preserve">_model: string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price: number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metadata: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author: string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created</w:t>
      </w:r>
      <w:r>
        <w:rPr>
          <w:rFonts w:ascii="맑은 고딕" w:cs="맑은 고딕" w:eastAsia="맑은 고딕" w:hAnsi="맑은 고딕"/>
        </w:rPr>
        <w:t xml:space="preserve">_at: timestamp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updated</w:t>
      </w:r>
      <w:r>
        <w:rPr>
          <w:rFonts w:ascii="맑은 고딕" w:cs="맑은 고딕" w:eastAsia="맑은 고딕" w:hAnsi="맑은 고딕"/>
        </w:rPr>
        <w:t xml:space="preserve">_at: timestamp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certification: string    # 认证等级（可选）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rating: number          # 综合评分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技能分类体系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一级分类（Broad）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专业服务（Professional Services）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法律（Legal）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财务（Finance）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医疗（Medical）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咨询（Consulting）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创意与内容（Creative &amp; Content）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写作（Writing）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设计（Design）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音视频（Media）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营销（Marketing）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技术与开发（Technology &amp; Dev）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编程（Coding）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数据（Data）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运维（DevOps）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安全（Security）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教育与研究（Education &amp; Research）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课程（Courses）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研究（Research）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语言（Language）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商业与运营（Business &amp; Operations）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销售（Sales）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客服（Customer Service）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人力资源（HR）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供应链（Supply Chain）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 其他（Miscellaneous）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技能发现与匹配机制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Agent 技能调用流程：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用户描述任务（自然语言）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Agent 解析任务，识别所需技能类型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在链上 Skill Registry 中搜索匹配技能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按以下权重排序：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权限验证通过（使用权存在）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分类匹配度（标签相关性）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历史调用成功率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用户评价和评分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价格合理性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展示最匹配的技能列表（含价格和使用条件）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用户/Agent 选择后，触发合约验证 + 计量计费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7. 技能执行，结果返回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8. 收益自动分账，调用记录上链存证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技能质量保证体系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等级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标识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要求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权益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官方认证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Verified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平台人工审核 + 实际测试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流量加权、优先推荐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社区验证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 Popular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调用量 &gt; 1000 + 评分 &gt; 4.5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排名加权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内测阶段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🔧 Beta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开发者自发布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逐步解锁功能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受限访问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🔒 Restricted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需要申请或订阅审批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特定用户群体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六、合约设计（基于 ECHO Protocol）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核心合约列表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合约名称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功能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SkillRegistry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技能资产的创建、注册、状态管理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KnowledgeRegistry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知识库的注册、权限管理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NFTToken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资产 NFT 铸造和转移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RightsController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四权验证逻辑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PricingEngine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定价模型和费用计算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RevenueDistributor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收益分账和自动转账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LicenseManager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许可证的颁发和撤销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DerivativeTracker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衍生关系追踪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ExtensionGateway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扩展场景授权管理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UsageLedger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调用记录存证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主要接口设计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技能发布（SkillRegistry）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`solidity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function registerSkill(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string name,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string metadataURI,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RightsConfig usageRights,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RightsConfig derivativeRights,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RightsConfig extensionRights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) external returns (uint256 skillId);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使用权验证与调用（RightsController）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`solidity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function verifyAndCharge(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skillId,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address caller,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bytes32 callSignature,  // 本次调用的唯一标识，防止重放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maxCost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) external returns (bool allowed, uint256 charged);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衍生授权（DerivativeTracker）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`solidity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function registerDerivative(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originalSkillId,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derivativeSkillId,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shareRatio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) external;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扩展权授权（ExtensionGateway）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`solidity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function grantExtension(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skillId,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address extender,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string extensionScenario,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extensionFee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) external returns (uint256 licenseId);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收益分配逻辑（RevenueDistributor）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`solidity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struct RevenueSplit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platformFee;      // 平台手续费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originalOwner;    // 原始开发者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knowledgeSource;  // 知识源贡献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derivativeShare;  // 衍生开发者分成池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function distributeRevenue(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skillId,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amount,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depth  // 衍生层级，用于追溯分账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) internal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RevenueSplit memory split = calculateSplit(skillId, depth);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remaining = amount;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// 1. 平台手续费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platform = (amount </w:t>
      </w:r>
      <w:r>
        <w:rPr>
          <w:rFonts w:ascii="맑은 고딕" w:cs="맑은 고딕" w:eastAsia="맑은 고딕" w:hAnsi="맑은 고딕"/>
        </w:rPr>
        <w:t xml:space="preserve">* split.platformFee) / 10000;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remaining -= platform;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platformWallet.transfer(platform);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// 2. 原始开发者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uint256 ownerShare = (amount </w:t>
      </w:r>
      <w:r>
        <w:rPr>
          <w:rFonts w:ascii="맑은 고딕" w:cs="맑은 고딕" w:eastAsia="맑은 고딕" w:hAnsi="맑은 고딕"/>
        </w:rPr>
        <w:t xml:space="preserve">* split.originalOwner) / 10000;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remaining -= ownerShare;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skillOwner.transfer(ownerShare);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// 3. 知识源（如有）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(split.knowledgeSource &gt; 0)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uint256 knowledgeShare = (amount </w:t>
      </w:r>
      <w:r>
        <w:rPr>
          <w:rFonts w:ascii="맑은 고딕" w:cs="맑은 고딕" w:eastAsia="맑은 고딕" w:hAnsi="맑은 고딕"/>
        </w:rPr>
        <w:t xml:space="preserve">* split.knowledgeSource) / 10000;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remaining -= knowledgeShare;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knowledgeOwner.transfer(knowledgeShare);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// 4. 衍生分成池（按衍生链追溯）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(remaining &gt; 0)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distributeDerivativeShare(skillId, remaining, depth);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七、扩展权（Extension Right）详细设计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扩展场景分类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扩展场景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说明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授权要求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跨平台使用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在其他 Agent 平台调用该技能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额外付费 20-50%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商业集成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嵌入商业产品/服务中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商业授权协议 + 更高分成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数据训练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用于训练其他 AI 模型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单独谈判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转授权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将使用权转授权给第三方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原所有者审批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离线使用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在无网络环境下使用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本地执行许可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扩展权授权流程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第三方应用请求扩展权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合约查询原资产所有者地址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原所有者审批授权 + 设置扩展费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第三方签署扩展协议（链上存证）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支付扩展授权费（代币）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ExtensionGateway 颁发扩展许可证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7. 许可证与调用方地址绑定，调用时验证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八、技术实现路线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8.1 阶段规划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Phase 1：MVP（3个月）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完成核心合约开发（SkillRegistry、RightsController、RevenueDistributor）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搭建基于 OpenClaw 的 Skill Executor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支持按次付费模式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接入 10-20 个内测技能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测试版上线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Phase 2：生态建设（3-6个月）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上线订阅制和计量包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开发知识库支持模块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完成衍生技能追踪合约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接入 100+ 技能/知识库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开放开发者上传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Phase 3：规模化（6-12个月）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完成扩展权授权模块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支持多链部署（ETH L2、Solana 等）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开发可视化管理工作台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引入平台治理代币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推动企业级合作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8.2 技术栈建议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模块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技术选型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智能合约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Solidity（EVM 系）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链下服务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Node.js / Go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Agent Runtime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OpenClaw（已有点）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数据库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PostgreSQL + Redis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搜索/索引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Elasticsearch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知识向量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Pinecone / Milvus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消息队列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Kafka / RabbitMQ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前端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Next.js + Tailwind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8.3 关键风险与对策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风险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影响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对策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技能盗版/盗用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开发者收益受损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链上存证 + 版权验证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计量作弊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收益分配不准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TEE 可信执行环境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监管合规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限制某些技能发布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分级审核 + 地区限制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用户体验割裂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付费流程复杂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抽象支付入口，屏蔽链上复杂性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开发者门槛高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上架技能成本高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提供一键发布工具 + 模板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九、关键成功指标（KPIs）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阶段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指标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目标值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MVP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内测技能数量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单日最高调用量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1,000 次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开发者满意度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&gt; 4.0/5.0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生态建设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注册开发者数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500+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上架技能/知识库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500+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月活跃用户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10,000+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累计交易额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$1M+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规模化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头部企业客户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跨链资产数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10,000+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生态 GMV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$50M+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十、开放性问题（待进一步讨论）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治理模式</w:t>
      </w:r>
      <w:r>
        <w:rPr>
          <w:rFonts w:ascii="맑은 고딕" w:cs="맑은 고딕" w:eastAsia="맑은 고딕" w:hAnsi="맑은 고딕"/>
        </w:rPr>
        <w:t xml:space="preserve">：平台治理代币的分配比例和投票机制如何设计？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Gas 费处理</w:t>
      </w:r>
      <w:r>
        <w:rPr>
          <w:rFonts w:ascii="맑은 고딕" w:cs="맑은 고딕" w:eastAsia="맑은 고딕" w:hAnsi="맑은 고딕"/>
        </w:rPr>
        <w:t xml:space="preserve">：链上操作 Gas 费由谁承担，如何对用户透明？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争议解决</w:t>
      </w:r>
      <w:r>
        <w:rPr>
          <w:rFonts w:ascii="맑은 고딕" w:cs="맑은 고딕" w:eastAsia="맑은 고딕" w:hAnsi="맑은 고딕"/>
        </w:rPr>
        <w:t xml:space="preserve">：技能质量/抄袭等争议如何仲裁？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隐私保护</w:t>
      </w:r>
      <w:r>
        <w:rPr>
          <w:rFonts w:ascii="맑은 고딕" w:cs="맑은 고딕" w:eastAsia="맑은 고딕" w:hAnsi="맑은 고딕"/>
        </w:rPr>
        <w:t xml:space="preserve">：敏感知识资产如何实现加密访问控制？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国际化</w:t>
      </w:r>
      <w:r>
        <w:rPr>
          <w:rFonts w:ascii="맑은 고딕" w:cs="맑은 고딕" w:eastAsia="맑은 고딕" w:hAnsi="맑은 고딕"/>
        </w:rPr>
        <w:t xml:space="preserve">：多链部署时资产跨链映射如何处理？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</w:t>
      </w:r>
      <w:r>
        <w:rPr>
          <w:rFonts w:ascii="맑은 고딕" w:cs="맑은 고딕" w:eastAsia="맑은 고딕" w:hAnsi="맑은 고딕"/>
          <w:b/>
          <w:bCs/>
        </w:rPr>
        <w:t xml:space="preserve">税务合规</w:t>
      </w:r>
      <w:r>
        <w:rPr>
          <w:rFonts w:ascii="맑은 고딕" w:cs="맑은 고딕" w:eastAsia="맑은 고딕" w:hAnsi="맑은 고딕"/>
        </w:rPr>
        <w:t xml:space="preserve">：数字资产收益的税务处理方案？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文档版本：v0.1（初稿）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待补充：Echo 资产合约详细对接方案、UI/UX 设计初稿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2026-03-26T14:28:46.921Z</dcterms:created>
  <dcterms:modified xsi:type="dcterms:W3CDTF">2026-03-26T14:28:46.921Z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