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D5EF7">
      <w:pPr>
        <w:pStyle w:val="2"/>
      </w:pPr>
      <w:bookmarkStart w:id="0" w:name="城市公共数据确权机制与多权利链上治理路径设计基于echo协议的阶段性研究初稿"/>
      <w:r>
        <w:rPr>
          <w:rFonts w:hint="eastAsia"/>
        </w:rPr>
        <w:t>城市公共数据确权机制与多权利链上治理路径设</w:t>
      </w:r>
      <w:bookmarkStart w:id="49" w:name="_GoBack"/>
      <w:bookmarkEnd w:id="49"/>
      <w:r>
        <w:rPr>
          <w:rFonts w:hint="eastAsia"/>
        </w:rPr>
        <w:t>计——基于ECHO协议的阶段性研究初稿</w:t>
      </w:r>
    </w:p>
    <w:p w14:paraId="6DED2D26">
      <w:pPr>
        <w:pStyle w:val="4"/>
      </w:pPr>
      <w:bookmarkStart w:id="1" w:name="摘要"/>
      <w:r>
        <w:rPr>
          <w:rFonts w:hint="eastAsia"/>
        </w:rPr>
        <w:t>摘要</w:t>
      </w:r>
    </w:p>
    <w:p w14:paraId="5DE3D64B">
      <w:pPr>
        <w:pStyle w:val="23"/>
      </w:pPr>
      <w:r>
        <w:rPr>
          <w:rFonts w:hint="eastAsia"/>
        </w:rPr>
        <w:t>在数据要素市场化配置和城市数字治理深度融合的背景下，城市公共数据正由行政管理中的内部资源逐步转化为可供公共服务优化、产业创新和社会治理协同利用的重要生产要素。围绕公共数据的确权问题，现有研究已从数据产权、数据持有、加工使用、经营收益以及安全治理等方面形成了较为丰富的制度讨论，但在城市级公共数据平台的实际运行场景中，仍普遍存在权属边界不清、授权链条断裂、用途控制弱化、责任追溯困难和跨主体协同不足等问题。尤其是在医疗健康、轨道交通、社区治理等高频公共数据场景中，数据往往由政府部门、公共机构、平台运营方、技术服务商、社会组织和个人共同参与生成与使用，传统单一主体式的确权逻辑难以充分解释其复合权利结构，也难以支撑数据要素的可信流通。</w:t>
      </w:r>
    </w:p>
    <w:p w14:paraId="549499A9">
      <w:pPr>
        <w:pStyle w:val="3"/>
      </w:pPr>
      <w:r>
        <w:rPr>
          <w:rFonts w:hint="eastAsia"/>
        </w:rPr>
        <w:t>本文以“数据二十条”所确立的持有权、加工使用权和数据产品经营权三权分置思路为制度基础，结合前期研究中形成的ECHO协议思想，提出一种面向城市公共数据的“多权利分离—链上合约控制—行为可追溯—责任可回声”的治理路径。文章认为，城市公共数据确权不应被理解为对数据所有权的静态归属判定，而应被理解为对数据生成、持有、加工、调用、共享、经营和退出全过程中多类权利束的结构化配置。基于该判断，本文构建了由主体识别、数据单元标识、权利束拆分、用途约束、合约执行、链上存证和责任审计构成的链上治理框架，并围绕医疗、交通与社区三类典型场景开展机制适配性分析。研究表明，ECHO协议可作为制度规则向技术执行机制转译的中间层，通过确权证据、智能合约、哈希存证和操作审计的协同配置，将抽象的权属边界转化为可验证、可调用、可限制、可审计的治理规则，从而为城市公共数据可信流通提供一种制度与技术融合的阶段性方案。</w:t>
      </w:r>
    </w:p>
    <w:p w14:paraId="2A01CE36">
      <w:pPr>
        <w:pStyle w:val="3"/>
      </w:pPr>
      <w:r>
        <w:rPr>
          <w:rFonts w:hint="eastAsia"/>
          <w:b/>
          <w:bCs/>
        </w:rPr>
        <w:t>关键词：</w:t>
      </w:r>
      <w:r>
        <w:rPr>
          <w:rFonts w:hint="eastAsia"/>
        </w:rPr>
        <w:t>城市公共数据；数据确权；三权分置；区块链；智能合约；ECHO协议；数据治理</w:t>
      </w:r>
    </w:p>
    <w:p w14:paraId="78A95843">
      <w:r>
        <w:pict>
          <v:rect id="_x0000_i1025" o:spt="1" style="height:1.5pt;width:0pt;" coordsize="21600,21600" o:hr="t" o:hrstd="t" o:hralign="center">
            <v:path/>
            <v:fill focussize="0,0"/>
            <v:stroke/>
            <v:imagedata o:title=""/>
            <o:lock v:ext="edit"/>
            <w10:wrap type="none"/>
            <w10:anchorlock/>
          </v:rect>
        </w:pict>
      </w:r>
    </w:p>
    <w:bookmarkEnd w:id="1"/>
    <w:p w14:paraId="393EBF03">
      <w:pPr>
        <w:pStyle w:val="4"/>
      </w:pPr>
      <w:bookmarkStart w:id="2" w:name="一问题提出从公共数据开放到公共数据确权"/>
      <w:r>
        <w:rPr>
          <w:rFonts w:hint="eastAsia"/>
        </w:rPr>
        <w:t>一、问题提出：从公共数据开放到公共数据确权</w:t>
      </w:r>
    </w:p>
    <w:p w14:paraId="058CFDF0">
      <w:pPr>
        <w:pStyle w:val="23"/>
      </w:pPr>
      <w:r>
        <w:rPr>
          <w:rFonts w:hint="eastAsia"/>
        </w:rPr>
        <w:t>城市公共数据是城市治理活动在行政审批、公共服务、基础设施运行、社会管理、应急响应和民生保障过程中持续生成的数据集合。与一般企业数据或个人数据相比，城市公共数据具有更强的公共属性、场景嵌入性和多主体生成特征。一方面，其来源通常与公共职能履行有关，具有行政管理、公共服务和公共利益实现的制度基础；另一方面，其形成过程又往往依赖平台企业、技术服务商、公共机构和公民个体的共同参与。例如，城市医疗服务数据不仅由医院和医保部门采集，也与挂号平台、支付系统、健康档案平台、药品供应链系统等多类节点相关；轨道交通数据既包括运营企业采集的刷卡、客流、线路、设备运行和安全监测数据，也与城市交通管理部门、第三方出行平台和公共安全系统存在接口关系；社区治理数据则由街道、社区、物业、网格员、志愿组织和居民共同参与生成，呈现高度碎片化和动态更新特征。</w:t>
      </w:r>
    </w:p>
    <w:p w14:paraId="07C726F5">
      <w:pPr>
        <w:pStyle w:val="3"/>
      </w:pPr>
      <w:r>
        <w:rPr>
          <w:rFonts w:hint="eastAsia"/>
        </w:rPr>
        <w:t>正因如此，城市公共数据的治理难点并不只是“能否开放”或“是否共享”，而是必须进一步回答“谁可以主张何种权利”“谁可以在何种条件下使用”“谁对加工结果承担责任”“谁从数据产品中获得收益”“谁有权追溯和问责”等一系列制度与技术相互交织的问题。在数据要素市场建设早期，不少地方政府较多强调公共数据资源目录、数据共享平台和数据开放门户建设，试图通过目录化管理和接口开放提升数据利用效率。这种模式在解决部门间数据孤岛方面具有积极意义，但当公共数据进入更复杂的跨部门协同、政企合作开发、算法训练、城市运行预测和数据产品经营环节时，仅依赖目录、接口和审批流程已难以有效支撑数据权属的精细治理。</w:t>
      </w:r>
    </w:p>
    <w:p w14:paraId="0046D47B">
      <w:pPr>
        <w:pStyle w:val="3"/>
      </w:pPr>
      <w:r>
        <w:rPr>
          <w:rFonts w:hint="eastAsia"/>
        </w:rPr>
        <w:t>“数据二十条”提出探索数据资源持有权、数据加工使用权和数据产品经营权分置运行机制，标志着我国数据产权制度从传统所有权中心主义向使用权导向和权能分置方向转型。该转型对于城市公共数据治理具有特殊意义。公共数据往往不宜简单套用排他性所有权逻辑，因为公共数据的价值实现通常依赖重复使用、复合加工、跨场景调用和社会化服务供给。如果过度强调单一所有权，可能导致公共数据封闭、授权成本上升和创新应用受阻；如果完全弱化权属边界，又可能导致数据滥用、责任不清和公共利益受损。因此，城市公共数据确权的关键不在于寻找一个绝对排他的“所有者”，而在于建立能够区分不同权能、不同主体、不同场景和不同责任后果的复合治理机制。</w:t>
      </w:r>
    </w:p>
    <w:p w14:paraId="005D12B6">
      <w:pPr>
        <w:pStyle w:val="3"/>
      </w:pPr>
      <w:r>
        <w:rPr>
          <w:rFonts w:hint="eastAsia"/>
        </w:rPr>
        <w:t>从本课题第3阶段研究任务来看，研究重点已从制度模型构建进一步推进到链上机制原型设计与典型场景适配验证。也就是说，当前阶段不再停留于“应当如何确权”的规范讨论，而是要回答“确权规则如何被技术系统表达、执行和审计”。区块链、智能合约、隐私计算和数据沙箱等可信技术，为这一问题提供了可操作的机制条件。区块链能够提供不可篡改的权利声明、授权记录和调用日志；智能合约能够将用途限制、时间限制、主体资格和操作权限转化为自动化执行规则；隐私计算能够在不暴露原始数据的前提下支持合规计算；数据沙箱则可为高敏公共数据提供受控环境。将这些技术机制纳入城市公共数据治理，并不意味着以技术替代制度，而是通过技术把制度规则转化为可验证、可执行和可追责的治理流程。</w:t>
      </w:r>
    </w:p>
    <w:p w14:paraId="75010B97">
      <w:pPr>
        <w:pStyle w:val="3"/>
      </w:pPr>
      <w:r>
        <w:rPr>
          <w:rFonts w:hint="eastAsia"/>
        </w:rPr>
        <w:t>本文拟围绕“城市公共数据确权机制与多权利链上治理路径设计”展开阶段性论证。与一般意义上的数据产权研究不同，本文更强调两个问题：其一，城市公共数据权属结构应被拆解为多权利束，而非被压缩为单一产权标签；其二，多权利束只有通过链上协议、合约状态机和行为日志机制转化为可操作规则，才能真正进入城市平台治理实践。基于此，本文引入ECHO协议作为制度技术转译的核心框架，将其概括为“确权证据—合约控制—哈希留痕—操作审计”的闭环协议逻辑，用以支撑城市公共数据在确权、授权、使用、加工、共享、经营和追责过程中的连续治理。</w:t>
      </w:r>
    </w:p>
    <w:bookmarkEnd w:id="2"/>
    <w:p w14:paraId="77953E85">
      <w:pPr>
        <w:pStyle w:val="4"/>
      </w:pPr>
      <w:bookmarkStart w:id="3" w:name="二理论基础城市公共数据确权的制度转向与权利束逻辑"/>
      <w:r>
        <w:rPr>
          <w:rFonts w:hint="eastAsia"/>
        </w:rPr>
        <w:t>二、理论基础：城市公共数据确权的制度转向与权利束逻辑</w:t>
      </w:r>
    </w:p>
    <w:p w14:paraId="18D69052">
      <w:pPr>
        <w:pStyle w:val="5"/>
      </w:pPr>
      <w:bookmarkStart w:id="4" w:name="一从所有权中心到使用权导向"/>
      <w:r>
        <w:rPr>
          <w:rFonts w:hint="eastAsia"/>
        </w:rPr>
        <w:t>（一）从所有权中心到使用权导向</w:t>
      </w:r>
    </w:p>
    <w:p w14:paraId="34F9CF82">
      <w:pPr>
        <w:pStyle w:val="23"/>
      </w:pPr>
      <w:r>
        <w:rPr>
          <w:rFonts w:hint="eastAsia"/>
        </w:rPr>
        <w:t>传统财产权理论通常以有体物为基本对象，强调占有、使用、收益和处分等权能的统一配置。但数据具有非竞争性、可复制性、非消耗性和场景依附性，同一数据可以在多个主体之间被同时持有和重复使用，且其价值通常不是在单次占有中实现，而是在清洗、标注、关联、建模、分析和产品化过程中不断生成。由此，数据确权若简单沿用有体物所有权模式，容易造成两个问题：第一，权利边界过度刚性，难以适应多主体共同生成与协同使用的事实；第二，权利对象过度抽象，难以区分原始数据、加工数据、模型输出、数据产品和服务接口之间的差异。</w:t>
      </w:r>
    </w:p>
    <w:p w14:paraId="18E7BB00">
      <w:pPr>
        <w:pStyle w:val="3"/>
      </w:pPr>
      <w:r>
        <w:rPr>
          <w:rFonts w:hint="eastAsia"/>
        </w:rPr>
        <w:t>“数据二十条”所提出的三权分置思路，实际上是对数据权利结构复杂性的制度回应。其中，数据资源持有权强调主体对数据资源的合法控制和管理状态，解决“谁实际掌握和维护数据资源”的问题；数据加工使用权强调在合规条件下对数据进行清洗、计算、分析和开发利用的权能，解决“谁可以在何种目的下使用数据”的问题；数据产品经营权则强调对数据加工成果、数据服务产品和数据接口的经营利用，解决“谁可以将数据加工成果投入市场流通并获得收益”的问题。这种制度结构避免了对数据所有权作单一化认定，同时也为多主体之间配置不同类型权利提供了基础框架。</w:t>
      </w:r>
    </w:p>
    <w:p w14:paraId="0FE4EA10">
      <w:pPr>
        <w:pStyle w:val="3"/>
      </w:pPr>
      <w:r>
        <w:rPr>
          <w:rFonts w:hint="eastAsia"/>
        </w:rPr>
        <w:t>然而，三权分置只是制度原则，若进入城市公共数据实践，还需要进一步细化为可操作的权利束。城市公共数据的使用场景远比一般企业数据复杂，既涉及政府内部共享，也涉及政企合作开发；既涉及公共服务优化，也涉及商业化数据产品；既涉及个人敏感信息，也涉及设备运行、空间位置、公共设施和社会治理事件。仅以持有权、加工使用权和经营权三类概念进行描述，仍不足以支撑精细化授权和责任划分。因此，本文主张在三权分置基础上引入权利束逻辑，将城市公共数据的权能进一步拆解为持有权、访问权、调用权、加工权、共享权、衍生权、经营权、收益请求权、撤回或终止权、审计权与问责权等多个子权利，并根据不同场景进行组合配置。</w:t>
      </w:r>
    </w:p>
    <w:bookmarkEnd w:id="4"/>
    <w:p w14:paraId="2E35E509">
      <w:pPr>
        <w:pStyle w:val="5"/>
      </w:pPr>
      <w:bookmarkStart w:id="5" w:name="二公共数据确权的特殊性公共性复合性与动态性"/>
      <w:r>
        <w:rPr>
          <w:rFonts w:hint="eastAsia"/>
        </w:rPr>
        <w:t>（二）公共数据确权的特殊性：公共性、复合性与动态性</w:t>
      </w:r>
    </w:p>
    <w:p w14:paraId="1D9BB3A0">
      <w:pPr>
        <w:pStyle w:val="23"/>
      </w:pPr>
      <w:r>
        <w:rPr>
          <w:rFonts w:hint="eastAsia"/>
        </w:rPr>
        <w:t>城市公共数据确权不同于纯粹市场化数据资产确权，其特殊性主要体现在三个方面。</w:t>
      </w:r>
    </w:p>
    <w:p w14:paraId="0FB76DB2">
      <w:pPr>
        <w:pStyle w:val="3"/>
      </w:pPr>
      <w:r>
        <w:rPr>
          <w:rFonts w:hint="eastAsia"/>
        </w:rPr>
        <w:t>第一是公共性。公共数据的生成与公共权力、公共服务和公共资源配置密切相关。政府部门或公共机构对数据的持有，并不意味着其可以像普通私有主体一样任意处分数据。公共数据确权必须受公共利益、依法行政、个人信息保护、国家安全和公共安全等制度约束。换言之，公共数据持有主体并非绝对所有者，而更接近于受托管理者、法定控制者或公共职责承担者。其权利行使应当以公共目的、合法授权和比例原则为基础。</w:t>
      </w:r>
    </w:p>
    <w:p w14:paraId="7E692BD3">
      <w:pPr>
        <w:pStyle w:val="3"/>
      </w:pPr>
      <w:r>
        <w:rPr>
          <w:rFonts w:hint="eastAsia"/>
        </w:rPr>
        <w:t>第二是复合性。城市公共数据通常不是由单一主体独立生成。例如，医疗数据中包含患者个人信息、医生诊疗记录、医院业务流程数据、医保支付数据、平台交互数据和药品流通数据；轨道交通数据中包含乘客出行数据、设备监测数据、线路运营数据、安全管理数据和外部交通联动数据；社区治理数据中包含居民申报信息、网格巡查信息、物业服务信息、政务办理记录和社会组织服务记录。不同数据片段具有不同来源、不同敏感等级、不同治理目的和不同权利关联主体，确权机制必须能够表达这种复合结构。</w:t>
      </w:r>
    </w:p>
    <w:p w14:paraId="29354CD0">
      <w:pPr>
        <w:pStyle w:val="3"/>
      </w:pPr>
      <w:r>
        <w:rPr>
          <w:rFonts w:hint="eastAsia"/>
        </w:rPr>
        <w:t>第三是动态性。城市公共数据并不是静态资源，而是在持续调用、更新、加工和反馈过程中演化。一次数据授权可能引发后续分析、模型训练、预测结果生成、治理决策优化和服务产品输出。随着数据从原始形态转化为加工形态、聚合形态和产品形态，其权利结构也会发生变化。原始数据的持有权、加工数据的使用权和数据产品的经营权可能归属于不同主体，且彼此之间存在约束、继受和责任关联。确权机制因此不能只登记某一时点的权利状态，而必须能够记录权利变动、授权转移和加工衍生关系。</w:t>
      </w:r>
    </w:p>
    <w:bookmarkEnd w:id="5"/>
    <w:p w14:paraId="5D1A55EC">
      <w:pPr>
        <w:pStyle w:val="5"/>
      </w:pPr>
      <w:bookmarkStart w:id="6" w:name="三从权属边界到责任边界"/>
      <w:r>
        <w:rPr>
          <w:rFonts w:hint="eastAsia"/>
        </w:rPr>
        <w:t>（三）从“权属边界”到“责任边界”</w:t>
      </w:r>
    </w:p>
    <w:p w14:paraId="67D4E477">
      <w:pPr>
        <w:pStyle w:val="23"/>
      </w:pPr>
      <w:r>
        <w:rPr>
          <w:rFonts w:hint="eastAsia"/>
        </w:rPr>
        <w:t>在城市公共数据治理中，权属边界与责任边界高度关联。确权并不只是为了确认利益归属，更是为了在数据发生滥用、泄露、越权调用、算法歧视、结果误用或公共利益损害时能够识别责任主体。如果缺乏清晰的权利链条，就难以判断谁对数据质量负责、谁对授权合规负责、谁对加工过程负责、谁对产品输出负责、谁对第三方调用负责。</w:t>
      </w:r>
    </w:p>
    <w:p w14:paraId="0171A001">
      <w:pPr>
        <w:pStyle w:val="3"/>
      </w:pPr>
      <w:r>
        <w:rPr>
          <w:rFonts w:hint="eastAsia"/>
        </w:rPr>
        <w:t>本文将城市公共数据责任链条概括为“主体—权属—行为—后果”四级结构。主体层回答参与者是谁，包括政府部门、公共机构、平台运营方、数据处理者、第三方开发者、算法服务商、社会组织和个人等；权属层回答该主体拥有哪些权利或义务，如持有、访问、加工、共享、经营、审计和问责；行为层回答该主体实施了何种数据操作，如读取、下载、查询、聚合、脱敏、建模、接口调用、结果输出或再次共享；后果层回答该行为造成何种影响，如公共服务优化、数据产品形成、个人权益风险、商业收益产生或安全事件发生。只有将四者连贯起来，确权机制才能转化为责任治理机制。</w:t>
      </w:r>
    </w:p>
    <w:p w14:paraId="105D67D8">
      <w:pPr>
        <w:pStyle w:val="3"/>
      </w:pPr>
      <w:r>
        <w:rPr>
          <w:rFonts w:hint="eastAsia"/>
        </w:rPr>
        <w:t>因此，本文主张城市公共数据确权应当从“静态归属确认”转向“动态责任配置”。这种转向要求确权系统不仅记录数据资源属于谁持有，更要记录某项权利在何时、因何授权、授予谁、用于何种目的、调用了哪些接口、产生了何种结果以及后续责任如何分配。这恰是区块链与智能合约能够发挥作用的关键位置。</w:t>
      </w:r>
    </w:p>
    <w:bookmarkEnd w:id="3"/>
    <w:bookmarkEnd w:id="6"/>
    <w:p w14:paraId="1FC9F95F">
      <w:pPr>
        <w:pStyle w:val="4"/>
      </w:pPr>
      <w:bookmarkStart w:id="7" w:name="三echo协议制度规则向链上治理机制的转译框架"/>
      <w:r>
        <w:rPr>
          <w:rFonts w:hint="eastAsia"/>
        </w:rPr>
        <w:t>三、ECHO协议：制度规则向链上治理机制的转译框架</w:t>
      </w:r>
    </w:p>
    <w:p w14:paraId="119D69BA">
      <w:pPr>
        <w:pStyle w:val="5"/>
      </w:pPr>
      <w:bookmarkStart w:id="8" w:name="一echo协议的基本定位"/>
      <w:r>
        <w:rPr>
          <w:rFonts w:hint="eastAsia"/>
        </w:rPr>
        <w:t>（一）ECHO协议的基本定位</w:t>
      </w:r>
    </w:p>
    <w:p w14:paraId="1A25A8A3">
      <w:pPr>
        <w:pStyle w:val="23"/>
      </w:pPr>
      <w:r>
        <w:rPr>
          <w:rFonts w:hint="eastAsia"/>
        </w:rPr>
        <w:t>在前期研究中，ECHO协议被用于描述一种面向多权利数据资产治理的闭环协议思想。本文将其进一步应用于城市公共数据确权场景，将ECHO协议界定为连接制度规则、数据资产标识、智能合约和责任审计的中间协议层。它既不是单纯的区块链底层协议，也不是单一的法律规则，而是一套用于将权属规则转化为链上可执行逻辑的治理协议。</w:t>
      </w:r>
    </w:p>
    <w:p w14:paraId="0FF1C354">
      <w:pPr>
        <w:pStyle w:val="3"/>
      </w:pPr>
      <w:r>
        <w:rPr>
          <w:rFonts w:hint="eastAsia"/>
        </w:rPr>
        <w:t>具体而言，ECHO协议在本文中包括四个核心环节：第一，Evidence，即确权证据与权利声明。该环节负责生成数据资源、主体身份、权利类型和授权依据的证据化表达，并通过哈希、时间戳和元数据结构形成可验证凭证。第二，Contract，即合约控制。该环节负责把权利束、用途限制、主体资格、调用条件和到期机制写入智能合约，使授权不再只是线下审批文件，而成为可被系统自动校验的执行规则。第三，Hash/History，即哈希留痕与历史记录。该环节负责对数据版本、授权记录、调用事件、加工过程和结果摘要进行链上存证，在不直接上链原始数据的情况下保证完整性和可追溯性。第四，Operation/Obligation，即操作审计与义务反馈。该环节负责根据链上日志识别行为是否符合授权范围，并在异常调用、越权使用或责任争议发生时触发审计、告警、冻结、撤销或追责机制。</w:t>
      </w:r>
    </w:p>
    <w:p w14:paraId="1A67D7F3">
      <w:pPr>
        <w:pStyle w:val="3"/>
      </w:pPr>
      <w:r>
        <w:rPr>
          <w:rFonts w:hint="eastAsia"/>
        </w:rPr>
        <w:t>之所以使用“ECHO”概念，是因为城市公共数据治理中的每一次授权、调用和加工都不应当是无痕行为，而应当形成可回声的责任反馈。数据一旦被调用，其调用目的、主体身份、合约条件和行为结果都应在治理系统中留下可验证痕迹，并在后续争议、审计和收益分配中被重新调用。ECHO协议的治理含义即在于：让数据使用行为产生可验证的制度回声，使权利配置不再停留于文本规则，而成为可持续追踪和反馈的链上治理过程。</w:t>
      </w:r>
    </w:p>
    <w:bookmarkEnd w:id="8"/>
    <w:p w14:paraId="4BF37BC2">
      <w:pPr>
        <w:pStyle w:val="5"/>
      </w:pPr>
      <w:bookmarkStart w:id="9" w:name="二echo协议的层级结构"/>
      <w:r>
        <w:rPr>
          <w:rFonts w:hint="eastAsia"/>
        </w:rPr>
        <w:t>（二）ECHO协议的层级结构</w:t>
      </w:r>
    </w:p>
    <w:p w14:paraId="631DA950">
      <w:pPr>
        <w:pStyle w:val="23"/>
      </w:pPr>
      <w:r>
        <w:rPr>
          <w:rFonts w:hint="eastAsia"/>
        </w:rPr>
        <w:t>面向城市公共数据平台，ECHO协议可被划分为五个层级。</w:t>
      </w:r>
    </w:p>
    <w:p w14:paraId="1654D2BD">
      <w:pPr>
        <w:pStyle w:val="3"/>
      </w:pPr>
      <w:r>
        <w:rPr>
          <w:rFonts w:hint="eastAsia"/>
        </w:rPr>
        <w:t>第一是主体身份层。该层负责对参与数据治理的主体进行可信识别，包括政府部门、公共机构、平台运营商、数据处理者、数据产品开发者、审计机构和授权代表等。主体身份层不仅需要确认主体真实身份，还需要确认其角色类型、资质范围、行政权限、合规状态和责任承担能力。在链上实现中，可通过去中心化身份标识、机构证书、权限白名单和角色属性标签形成主体身份凭证。</w:t>
      </w:r>
    </w:p>
    <w:p w14:paraId="594B4C12">
      <w:pPr>
        <w:pStyle w:val="3"/>
      </w:pPr>
      <w:r>
        <w:rPr>
          <w:rFonts w:hint="eastAsia"/>
        </w:rPr>
        <w:t>第二是数据标识层。该层负责将城市公共数据拆解为可治理的数据单元。数据单元可以是数据集、数据表、数据字段、接口、数据流、模型输入集合或加工结果摘要。不同治理场景下，数据单元粒度应有所不同。医疗场景中，患者原始诊疗记录可能需要以字段级或记录级粒度进行授权；轨道交通场景中，客流统计数据可采用聚合数据集粒度；社区治理场景中，居民敏感事项则应采取最小必要原则进行细粒度控制。数据标识层通过元数据、哈希摘要、版本号、敏感等级、来源说明和生成时间等要素构成确权基础。</w:t>
      </w:r>
    </w:p>
    <w:p w14:paraId="2D9DA6F8">
      <w:pPr>
        <w:pStyle w:val="3"/>
      </w:pPr>
      <w:r>
        <w:rPr>
          <w:rFonts w:hint="eastAsia"/>
        </w:rPr>
        <w:t>第三是权利表达层。该层负责把三权分置及其扩展权利束转化为机器可读的权利表达。每个数据单元可绑定多个权利标签，如持有权、访问权、查询权、加工权、共享权、衍生权、经营权、收益权、撤销权和审计权。权利表达应同时包含权利主体、权利对象、权利内容、行使条件、期限、地域、用途、限制和责任条款。该层是制度规则转化为合约逻辑的关键环节。</w:t>
      </w:r>
    </w:p>
    <w:p w14:paraId="285FB9DD">
      <w:pPr>
        <w:pStyle w:val="3"/>
      </w:pPr>
      <w:r>
        <w:rPr>
          <w:rFonts w:hint="eastAsia"/>
        </w:rPr>
        <w:t>第四是合约执行层。该层负责根据权利表达自动执行授权校验、用途识别、频率限制、范围控制、状态变更和异常处理。合约执行层可设计为多个模块，包括登记合约、授权合约、访问控制合约、用途控制合约、日志合约、收益分配合约和责任处置合约。不同模块之间通过统一的数据资产标识和权利状态变量进行连接。</w:t>
      </w:r>
    </w:p>
    <w:p w14:paraId="180F6ADF">
      <w:pPr>
        <w:pStyle w:val="3"/>
      </w:pPr>
      <w:r>
        <w:rPr>
          <w:rFonts w:hint="eastAsia"/>
        </w:rPr>
        <w:t>第五是审计反馈层。该层负责对链上日志、沙箱检测结果、接口调用记录、模型输出摘要和第三方使用报告进行审计分析，形成责任反馈。审计反馈不仅服务于事后追责，也服务于制度优化。例如，如果某类数据在特定场景中频繁出现越权申请或异常调用，系统可以反馈给制度设计者，要求调整授权规则、提高敏感等级或限制外部接口。</w:t>
      </w:r>
    </w:p>
    <w:bookmarkEnd w:id="9"/>
    <w:p w14:paraId="050FB77B">
      <w:pPr>
        <w:pStyle w:val="5"/>
      </w:pPr>
      <w:bookmarkStart w:id="10" w:name="三echo协议与传统数据登记机制的区别"/>
      <w:r>
        <w:rPr>
          <w:rFonts w:hint="eastAsia"/>
        </w:rPr>
        <w:t>（三）ECHO协议与传统数据登记机制的区别</w:t>
      </w:r>
    </w:p>
    <w:p w14:paraId="12FAE29F">
      <w:pPr>
        <w:pStyle w:val="23"/>
      </w:pPr>
      <w:r>
        <w:rPr>
          <w:rFonts w:hint="eastAsia"/>
        </w:rPr>
        <w:t>传统数据登记机制主要关注登记主体、登记对象、登记时间和登记权利类型，具有确权公示、交易辅助和争议证明功能。但对于城市公共数据而言，单纯登记并不足以解决动态治理问题。原因在于，公共数据确权后的使用过程比登记本身更重要。一项医疗健康数据即便完成登记，仍可能在后续算法训练中被超目的使用；一项轨道交通客流数据即便标明持有主体，仍可能在与商业平台共享时发生再识别风险；一项社区治理数据即便完成授权，仍可能在跨部门流转中脱离原有用途限制。</w:t>
      </w:r>
    </w:p>
    <w:p w14:paraId="7AEAB9D0">
      <w:pPr>
        <w:pStyle w:val="3"/>
      </w:pPr>
      <w:r>
        <w:rPr>
          <w:rFonts w:hint="eastAsia"/>
        </w:rPr>
        <w:t>ECHO协议与传统登记机制的区别在于，它并不止于登记权利，而是将登记、授权、调用、加工、审计和责任反馈纳入同一链上治理闭环。登记只是Evidence环节的一部分，后续合约控制、历史留痕和操作审计同样是确权机制不可分割的组成部分。因此，ECHO协议更适合处理城市公共数据中的动态权属关系和跨主体责任链条。</w:t>
      </w:r>
    </w:p>
    <w:bookmarkEnd w:id="7"/>
    <w:bookmarkEnd w:id="10"/>
    <w:p w14:paraId="5DF51579">
      <w:pPr>
        <w:pStyle w:val="4"/>
      </w:pPr>
      <w:bookmarkStart w:id="11" w:name="四城市公共数据多权利链上治理模型设计"/>
      <w:r>
        <w:rPr>
          <w:rFonts w:hint="eastAsia"/>
        </w:rPr>
        <w:t>四、城市公共数据多权利链上治理模型设计</w:t>
      </w:r>
    </w:p>
    <w:p w14:paraId="73425F86">
      <w:pPr>
        <w:pStyle w:val="5"/>
      </w:pPr>
      <w:bookmarkStart w:id="12" w:name="一数据单元与权利束的结构化表达"/>
      <w:r>
        <w:rPr>
          <w:rFonts w:hint="eastAsia"/>
        </w:rPr>
        <w:t>（一）数据单元与权利束的结构化表达</w:t>
      </w:r>
    </w:p>
    <w:p w14:paraId="205E8F8A">
      <w:pPr>
        <w:pStyle w:val="23"/>
      </w:pPr>
      <w:r>
        <w:rPr>
          <w:rFonts w:hint="eastAsia"/>
        </w:rPr>
        <w:t>城市公共数据链上治理的第一步，是将“公共数据”这一宏观概念拆解为可识别、可绑定、可授权、可追踪的数据单元。本文将数据单元定义为在治理系统中能够被独立标识、独立授权或独立审计的最小数据对象。数据单元并不一定等同于物理存储意义上的单条数据，也可以是逻辑数据集、接口服务、加工结果或模型输入集合。数据单元的划分应遵循最小必要、业务可用、风险可控和责任可辨原则。</w:t>
      </w:r>
    </w:p>
    <w:p w14:paraId="609782B1">
      <w:pPr>
        <w:pStyle w:val="3"/>
      </w:pPr>
      <w:r>
        <w:rPr>
          <w:rFonts w:hint="eastAsia"/>
        </w:rPr>
        <w:t>在链上表达中，每个数据单元至少应包含以下元数据：数据单元ID、数据名称、数据来源、生成主体、持有主体、管理部门、数据类型、敏感等级、字段结构、版本号、哈希摘要、存储位置、使用限制、授权状态和审计规则。其中，原始数据通常不上链，仅将哈希摘要、元数据和权利状态上链，以避免隐私暴露和链上存储成本过高。链下数据可保存在政府数据资源池、公共数据平台、可信数据空间或数据沙箱中，链上则负责确权、授权和审计。</w:t>
      </w:r>
    </w:p>
    <w:p w14:paraId="081EA6AB">
      <w:pPr>
        <w:pStyle w:val="3"/>
      </w:pPr>
      <w:r>
        <w:rPr>
          <w:rFonts w:hint="eastAsia"/>
        </w:rPr>
        <w:t>权利束是链上治理模型的核心。本文将城市公共数据权利束划分为基础权利、使用权利、衍生权利和治理权利四类。基础权利包括持有权、管理权和维护权，主要对应数据资源的合法控制、质量维护和安全管理；使用权利包括访问权、查询权、计算权、加工权和共享权，主要对应数据在具体业务中的调用和处理；衍生权利包括模型训练权、数据产品经营权、接口服务经营权和收益请求权，主要对应数据加工结果的市场化利用；治理权利包括审计权、撤销权、冻结权、告警权和问责权，主要用于保证数据使用行为符合制度要求。</w:t>
      </w:r>
    </w:p>
    <w:p w14:paraId="623DA0D2">
      <w:pPr>
        <w:pStyle w:val="3"/>
      </w:pPr>
      <w:r>
        <w:rPr>
          <w:rFonts w:hint="eastAsia"/>
        </w:rPr>
        <w:t>上述权利束并非平均配置给所有主体，而应根据主体角色、场景目的和数据等级进行差异化组合。例如，政府数据主管部门可能拥有公共数据目录管理权、授权规则制定权和审计权；医院对其诊疗业务数据拥有持有和维护职责，但对患者个人信息的使用必须受法定目的和个人权益保护约束；第三方算法企业可能仅获得特定期限、特定用途、特定环境下的计算权，而不获得原始数据下载权；平台运营商可能获得接口运行维护权，但不得擅自扩展经营用途。</w:t>
      </w:r>
    </w:p>
    <w:bookmarkEnd w:id="12"/>
    <w:p w14:paraId="3B108C84">
      <w:pPr>
        <w:pStyle w:val="5"/>
      </w:pPr>
      <w:bookmarkStart w:id="13" w:name="二多权利分离的智能合约结构"/>
      <w:r>
        <w:rPr>
          <w:rFonts w:hint="eastAsia"/>
        </w:rPr>
        <w:t>（二）多权利分离的智能合约结构</w:t>
      </w:r>
    </w:p>
    <w:p w14:paraId="4150C480">
      <w:pPr>
        <w:pStyle w:val="23"/>
      </w:pPr>
      <w:r>
        <w:rPr>
          <w:rFonts w:hint="eastAsia"/>
        </w:rPr>
        <w:t>为实现上述权利束的链上治理，本文设计一种多权利分离型智能合约结构。该结构并不将数据资产视为单一代币或单一所有权凭证，而是将不同权利表示为可独立授权、可独立撤销、可独立审计的权利状态。每一项权利均绑定权利主体、数据单元、用途范围、有效期限、调用次数、输出限制和责任条款。</w:t>
      </w:r>
    </w:p>
    <w:p w14:paraId="00CD3880">
      <w:pPr>
        <w:pStyle w:val="3"/>
      </w:pPr>
      <w:r>
        <w:rPr>
          <w:rFonts w:hint="eastAsia"/>
        </w:rPr>
        <w:t>合约结构可分为六个模块。</w:t>
      </w:r>
    </w:p>
    <w:p w14:paraId="01658F87">
      <w:pPr>
        <w:pStyle w:val="3"/>
      </w:pPr>
      <w:r>
        <w:rPr>
          <w:rFonts w:hint="eastAsia"/>
        </w:rPr>
        <w:t>第一是数据登记合约。该合约负责为数据单元生成链上标识，记录元数据哈希、来源说明、持有主体、敏感等级和初始权利状态。登记合约不宣告绝对所有权，而是确认数据单元进入治理系统并具备可审计身份。</w:t>
      </w:r>
    </w:p>
    <w:p w14:paraId="6F82C5D8">
      <w:pPr>
        <w:pStyle w:val="3"/>
      </w:pPr>
      <w:r>
        <w:rPr>
          <w:rFonts w:hint="eastAsia"/>
        </w:rPr>
        <w:t>第二是权利声明合约。该合约负责记录不同主体对数据单元所主张或被配置的权利类型。例如，某市卫健部门可对全市医疗服务汇聚数据主张公共治理目的下的管理权和审计权；某医院可对本机构诊疗记录主张业务持有和质量维护职责；某科研机构可在伦理审查和合规授权基础上获得脱敏数据的统计分析权。</w:t>
      </w:r>
    </w:p>
    <w:p w14:paraId="25AC4AB8">
      <w:pPr>
        <w:pStyle w:val="3"/>
      </w:pPr>
      <w:r>
        <w:rPr>
          <w:rFonts w:hint="eastAsia"/>
        </w:rPr>
        <w:t>第三是授权控制合约。该合约负责根据权利声明和制度规则向特定主体授予特定使用权。授权参数包括授权主体、被授权主体、数据单元ID、用途类型、调用接口、时间范围、调用频率、是否允许下载、是否允许二次共享、是否允许模型训练、是否需要沙箱环境、是否需要隐私计算、到期处理方式等。</w:t>
      </w:r>
    </w:p>
    <w:p w14:paraId="6E8FAF31">
      <w:pPr>
        <w:pStyle w:val="3"/>
      </w:pPr>
      <w:r>
        <w:rPr>
          <w:rFonts w:hint="eastAsia"/>
        </w:rPr>
        <w:t>第四是用途控制合约。该合约负责在数据调用前、中、后对用途进行校验。调用者必须提交用途声明、业务场景、处理方式和输出形式，合约将其与授权参数比对。如果用途不匹配、期限过期、调用频率超限或主体资质不符合要求，合约自动拒绝调用或触发人工复核。</w:t>
      </w:r>
    </w:p>
    <w:p w14:paraId="0393B3BD">
      <w:pPr>
        <w:pStyle w:val="3"/>
      </w:pPr>
      <w:r>
        <w:rPr>
          <w:rFonts w:hint="eastAsia"/>
        </w:rPr>
        <w:t>第五是行为日志合约。该合约负责记录每一次数据操作事件，包括调用主体、调用时间、调用接口、数据单元ID、用途标签、调用结果摘要、链下处理环境、输出哈希和异常标记。日志合约是后续审计和责任追溯的关键基础。</w:t>
      </w:r>
    </w:p>
    <w:p w14:paraId="54AE7F41">
      <w:pPr>
        <w:pStyle w:val="3"/>
      </w:pPr>
      <w:r>
        <w:rPr>
          <w:rFonts w:hint="eastAsia"/>
        </w:rPr>
        <w:t>第六是责任处置合约。该合约负责在异常事件发生时触发相应治理动作，如暂停授权、冻结接口、通知监管节点、生成审计任务、扣减信用评分、启动争议处理或依据收益分配规则调整后续权利。责任处置合约不必完全自动化执行法律责任，但可以为监管、审计和争议解决提供客观证据链。</w:t>
      </w:r>
    </w:p>
    <w:bookmarkEnd w:id="13"/>
    <w:p w14:paraId="7076F59C">
      <w:pPr>
        <w:pStyle w:val="5"/>
      </w:pPr>
      <w:bookmarkStart w:id="14" w:name="三合约状态机与权利生命周期"/>
      <w:r>
        <w:rPr>
          <w:rFonts w:hint="eastAsia"/>
        </w:rPr>
        <w:t>（三）合约状态机与权利生命周期</w:t>
      </w:r>
    </w:p>
    <w:p w14:paraId="397BC203">
      <w:pPr>
        <w:pStyle w:val="23"/>
      </w:pPr>
      <w:r>
        <w:rPr>
          <w:rFonts w:hint="eastAsia"/>
        </w:rPr>
        <w:t>城市公共数据权利并非一次授权后永久有效，而应具有完整生命周期。本文将链上权利状态划分为七个阶段：待登记、已登记、待授权、已授权、使用中、已终止和争议中。</w:t>
      </w:r>
    </w:p>
    <w:p w14:paraId="31265D56">
      <w:pPr>
        <w:pStyle w:val="3"/>
      </w:pPr>
      <w:r>
        <w:rPr>
          <w:rFonts w:hint="eastAsia"/>
        </w:rPr>
        <w:t>在待登记阶段，数据单元尚未进入确权系统，仅存在于业务系统或数据资源池中。进入已登记阶段后，系统生成数据单元ID并记录元数据哈希。待授权阶段意味着数据具备被申请使用的条件，但尚未授予具体调用权。已授权阶段意味着某一主体在特定条件下获得权利。使用中阶段意味着调用行为正在发生或合约记录到持续性数据处理过程。已终止阶段意味着授权到期、使用目的完成、主体资格失效或授权被撤销。争议中阶段则用于处理越权调用、数据泄露、结果误用、收益争议或权利冲突等情形。</w:t>
      </w:r>
    </w:p>
    <w:p w14:paraId="48819691">
      <w:pPr>
        <w:pStyle w:val="3"/>
      </w:pPr>
      <w:r>
        <w:rPr>
          <w:rFonts w:hint="eastAsia"/>
        </w:rPr>
        <w:t>状态转换必须由合约条件触发。例如，从已登记到已授权，需要满足授权主体合法、被授权主体资质合格、用途合法、数据等级允许、审批流程完成等条件；从已授权到使用中，需要通过接口调用校验、沙箱环境验证或隐私计算任务启动；从使用中到已终止，需要达到时间到期、调用次数用尽、任务完成或主动撤销等条件；从任何阶段进入争议中，则可能由异常日志、审计告警、投诉举报或监管指令触发。</w:t>
      </w:r>
    </w:p>
    <w:p w14:paraId="5FC736A3">
      <w:pPr>
        <w:pStyle w:val="3"/>
      </w:pPr>
      <w:r>
        <w:rPr>
          <w:rFonts w:hint="eastAsia"/>
        </w:rPr>
        <w:t>这种状态机机制有助于解决公共数据授权中的“授权后失控”问题。过去，数据一旦通过接口、文件或库表方式被共享，原持有方往往难以持续控制后续使用行为。通过链上状态机，授权不再是一次性许可，而是可被持续监测、动态调整和事后追溯的过程。</w:t>
      </w:r>
    </w:p>
    <w:bookmarkEnd w:id="14"/>
    <w:p w14:paraId="3B23E538">
      <w:pPr>
        <w:pStyle w:val="5"/>
      </w:pPr>
      <w:bookmarkStart w:id="15" w:name="四链上与链下协同不上链原始数据的可信治理"/>
      <w:r>
        <w:rPr>
          <w:rFonts w:hint="eastAsia"/>
        </w:rPr>
        <w:t>（四）链上与链下协同：不上链原始数据的可信治理</w:t>
      </w:r>
    </w:p>
    <w:p w14:paraId="010579F6">
      <w:pPr>
        <w:pStyle w:val="23"/>
      </w:pPr>
      <w:r>
        <w:rPr>
          <w:rFonts w:hint="eastAsia"/>
        </w:rPr>
        <w:t>城市公共数据通常涉及个人信息、商业秘密、公共安全和重要数据，不宜将原始数据直接上链。本文采用“链上确权、链下存储、合约授权、沙箱使用、哈希审计”的协同模式。</w:t>
      </w:r>
    </w:p>
    <w:p w14:paraId="06EC85C2">
      <w:pPr>
        <w:pStyle w:val="3"/>
      </w:pPr>
      <w:r>
        <w:rPr>
          <w:rFonts w:hint="eastAsia"/>
        </w:rPr>
        <w:t>链上主要记录数据标识、权利状态、授权条件、调用事件和结果摘要；链下负责数据存储、计算处理和业务运行。具体而言，原始数据仍保存在城市数据平台、部门业务系统、可信数据空间或安全数据沙箱中。用户发起调用请求时，智能合约先进行身份、用途、权限和状态校验；校验通过后，系统在链下受控环境中执行查询、统计、建模或聚合任务；任务完成后，将输出摘要、处理参数、调用日志和结果哈希回写链上。这样既可保证敏感数据不因上链而扩散，又可保证关键行为具有可验证证据。</w:t>
      </w:r>
    </w:p>
    <w:p w14:paraId="497B94CA">
      <w:pPr>
        <w:pStyle w:val="3"/>
      </w:pPr>
      <w:r>
        <w:rPr>
          <w:rFonts w:hint="eastAsia"/>
        </w:rPr>
        <w:t>隐私计算可进一步增强该模式。对于高敏医疗数据、个体出行轨迹和社区弱势群体服务数据，可采用多方安全计算、联邦学习或可信执行环境，使使用者获得统计结果或模型参数，而不能直接接触明文原始数据。链上合约负责记录隐私计算任务的发起者、参与方、算法版本、输入数据摘要、输出结果哈希和使用目的，从而实现“可用不可见”的审计化治理。</w:t>
      </w:r>
    </w:p>
    <w:bookmarkEnd w:id="11"/>
    <w:bookmarkEnd w:id="15"/>
    <w:p w14:paraId="5DCCB6FB">
      <w:pPr>
        <w:pStyle w:val="4"/>
      </w:pPr>
      <w:bookmarkStart w:id="16" w:name="五用途控制与行为追溯机制设计"/>
      <w:r>
        <w:rPr>
          <w:rFonts w:hint="eastAsia"/>
        </w:rPr>
        <w:t>五、用途控制与行为追溯机制设计</w:t>
      </w:r>
    </w:p>
    <w:p w14:paraId="1DEC9502">
      <w:pPr>
        <w:pStyle w:val="5"/>
      </w:pPr>
      <w:bookmarkStart w:id="17" w:name="一用途限制的制度逻辑"/>
      <w:r>
        <w:rPr>
          <w:rFonts w:hint="eastAsia"/>
        </w:rPr>
        <w:t>（一）用途限制的制度逻辑</w:t>
      </w:r>
    </w:p>
    <w:p w14:paraId="36CAB72E">
      <w:pPr>
        <w:pStyle w:val="23"/>
      </w:pPr>
      <w:r>
        <w:rPr>
          <w:rFonts w:hint="eastAsia"/>
        </w:rPr>
        <w:t>用途限制是公共数据确权从权属确认走向行为治理的关键。公共数据的合法性通常不是抽象存在的，而是与特定目的相绑定。同一数据在公共卫生监测中可能具有合法使用基础，在商业广告投放中则可能构成不当使用；同一交通客流数据在城市运力调度中具有公共利益属性，在个体画像和精准营销中则可能引发权益风险。因此，链上治理机制必须将“用途”作为独立控制变量。</w:t>
      </w:r>
    </w:p>
    <w:p w14:paraId="5DE0F577">
      <w:pPr>
        <w:pStyle w:val="3"/>
      </w:pPr>
      <w:r>
        <w:rPr>
          <w:rFonts w:hint="eastAsia"/>
        </w:rPr>
        <w:t>本文将城市公共数据用途分为七类：公共管理用途、公共服务用途、统计分析用途、科研创新用途、运营优化用途、产业开发用途和监管审计用途。不同用途对应不同授权强度和安全要求。公共管理和监管审计用途通常由法定职责支撑，但仍应遵循最小必要原则；公共服务和运营优化用途需要明确服务对象和处理范围；科研创新用途应强调伦理审查、脱敏处理和结果公开边界；产业开发用途则应重点审查是否存在公共资源不当私用、个人权益损害和收益分配失衡。</w:t>
      </w:r>
    </w:p>
    <w:p w14:paraId="5345BA26">
      <w:pPr>
        <w:pStyle w:val="3"/>
      </w:pPr>
      <w:r>
        <w:rPr>
          <w:rFonts w:hint="eastAsia"/>
        </w:rPr>
        <w:t>用途控制合约应将用途类型、业务场景和处理方式绑定。例如，某第三方机构申请使用轨道交通客流数据用于商业选址分析，与交通主管部门使用同一数据进行高峰运力调度，在数据粒度、授权期限、输出形式和收益规则上应完全不同。前者可能只能获得聚合化、延迟化、区域化数据，并需承担收益反馈或公共价值回馈义务；后者则可在公共管理职责范围内获得更高频数据，但仍需受安全审计约束。</w:t>
      </w:r>
    </w:p>
    <w:bookmarkEnd w:id="17"/>
    <w:p w14:paraId="099EAEE2">
      <w:pPr>
        <w:pStyle w:val="5"/>
      </w:pPr>
      <w:bookmarkStart w:id="18" w:name="二行为事件的链上记录"/>
      <w:r>
        <w:rPr>
          <w:rFonts w:hint="eastAsia"/>
        </w:rPr>
        <w:t>（二）行为事件的链上记录</w:t>
      </w:r>
    </w:p>
    <w:p w14:paraId="4BC891C2">
      <w:pPr>
        <w:pStyle w:val="23"/>
      </w:pPr>
      <w:r>
        <w:rPr>
          <w:rFonts w:hint="eastAsia"/>
        </w:rPr>
        <w:t>行为追溯机制的基础是将数据使用过程转化为标准化行为事件。本文提出行为事件记录至少包含十二项要素：事件ID、主体ID、数据单元ID、权利类型、用途标签、操作类型、接口地址、调用时间、调用环境、输入参数摘要、输出结果哈希和异常状态。根据需要，还可增加审批单号、算法版本、沙箱任务号、隐私计算证明、审计机构签名和责任条款编号。</w:t>
      </w:r>
    </w:p>
    <w:p w14:paraId="0EC5EB13">
      <w:pPr>
        <w:pStyle w:val="3"/>
      </w:pPr>
      <w:r>
        <w:rPr>
          <w:rFonts w:hint="eastAsia"/>
        </w:rPr>
        <w:t>行为事件并不要求记录全部业务内容，而是记录足以证明“谁在何时基于何种授权进行了何种操作”的关键信息。通过事件标准化，不同部门、平台和服务商之间的数据调用行为可以被统一纳入审计视野。例如，在医疗场景中，行为事件可记录某科研团队在经伦理审查后调用脱敏病例数据进行统计分析，但不记录患者明文信息；在交通场景中，行为事件可记录某城市运行中心调用某线路客流预测接口的时间和目的，但不记录乘客个人轨迹；在社区场景中，行为事件可记录某街道调用困难群体服务数据用于救助匹配，但不暴露具体敏感详情。</w:t>
      </w:r>
    </w:p>
    <w:p w14:paraId="5B586F99">
      <w:pPr>
        <w:pStyle w:val="3"/>
      </w:pPr>
      <w:r>
        <w:rPr>
          <w:rFonts w:hint="eastAsia"/>
        </w:rPr>
        <w:t>链上行为事件还可支持责任推定。当发生争议时，系统可根据事件序列重构数据流转路径，判断某主体是否超出授权用途、是否在授权期限外调用、是否进行了未许可的二次共享、是否输出了未经脱敏的结果。相比传统日志系统，链上日志具有不可篡改和多方可验证特征，能够增强责任认定的证据可信度。</w:t>
      </w:r>
    </w:p>
    <w:bookmarkEnd w:id="18"/>
    <w:p w14:paraId="42FF919F">
      <w:pPr>
        <w:pStyle w:val="5"/>
      </w:pPr>
      <w:bookmarkStart w:id="19" w:name="三异常行为识别与责任反馈"/>
      <w:r>
        <w:rPr>
          <w:rFonts w:hint="eastAsia"/>
        </w:rPr>
        <w:t>（三）异常行为识别与责任反馈</w:t>
      </w:r>
    </w:p>
    <w:p w14:paraId="2FE0E7C9">
      <w:pPr>
        <w:pStyle w:val="23"/>
      </w:pPr>
      <w:r>
        <w:rPr>
          <w:rFonts w:hint="eastAsia"/>
        </w:rPr>
        <w:t>城市公共数据治理不能仅依赖事后人工审计，还需要建立异常行为识别机制。本文将异常行为分为五类：越权访问、超目的使用、超频调用、异常输出和链下失联。</w:t>
      </w:r>
    </w:p>
    <w:p w14:paraId="0B6A1071">
      <w:pPr>
        <w:pStyle w:val="3"/>
      </w:pPr>
      <w:r>
        <w:rPr>
          <w:rFonts w:hint="eastAsia"/>
        </w:rPr>
        <w:t>越权访问指调用主体不具备相应权利或试图访问未授权数据单元；超目的使用指主体虽有某类授权，但实际用途与授权用途不一致；超频调用指在单位时间内调用次数明显超过合约限制或业务合理范围；异常输出指输出结果粒度过细、可逆识别风险过高或与授权输出形式不一致；链下失联指链下沙箱、接口系统或计算环境未按要求回写日志和结果摘要。</w:t>
      </w:r>
    </w:p>
    <w:p w14:paraId="49E86022">
      <w:pPr>
        <w:pStyle w:val="3"/>
      </w:pPr>
      <w:r>
        <w:rPr>
          <w:rFonts w:hint="eastAsia"/>
        </w:rPr>
        <w:t>针对不同异常，责任处置合约可触发分级反馈。轻微异常可触发告警和人工复核；中等异常可暂停接口、降低权限或要求补充说明；严重异常可冻结授权、启动审计、通知监管部门或进入争议处理状态。对于多次异常主体，系统还可形成信用评分或合规评级，影响其后续数据申请资格。</w:t>
      </w:r>
    </w:p>
    <w:p w14:paraId="628629AD">
      <w:pPr>
        <w:pStyle w:val="3"/>
      </w:pPr>
      <w:r>
        <w:rPr>
          <w:rFonts w:hint="eastAsia"/>
        </w:rPr>
        <w:t>责任反馈并不意味着所有责任都由代码自动裁判。公共数据治理涉及法律判断、行政裁量和事实认定，智能合约不能替代监管机构和司法程序。但合约可以把关键事实记录下来，形成可验证的责任证据链，从而降低调查成本，提高责任认定的客观性。</w:t>
      </w:r>
    </w:p>
    <w:bookmarkEnd w:id="16"/>
    <w:bookmarkEnd w:id="19"/>
    <w:p w14:paraId="40D8C716">
      <w:pPr>
        <w:pStyle w:val="4"/>
      </w:pPr>
      <w:bookmarkStart w:id="20" w:name="六典型场景一医疗公共数据的链上确权与适配路径"/>
      <w:r>
        <w:rPr>
          <w:rFonts w:hint="eastAsia"/>
        </w:rPr>
        <w:t>六、典型场景一：医疗公共数据的链上确权与适配路径</w:t>
      </w:r>
    </w:p>
    <w:p w14:paraId="53DDE246">
      <w:pPr>
        <w:pStyle w:val="5"/>
      </w:pPr>
      <w:bookmarkStart w:id="21" w:name="一医疗公共数据的权属复杂性"/>
      <w:r>
        <w:rPr>
          <w:rFonts w:hint="eastAsia"/>
        </w:rPr>
        <w:t>（一）医疗公共数据的权属复杂性</w:t>
      </w:r>
    </w:p>
    <w:p w14:paraId="420A36E9">
      <w:pPr>
        <w:pStyle w:val="23"/>
      </w:pPr>
      <w:r>
        <w:rPr>
          <w:rFonts w:hint="eastAsia"/>
        </w:rPr>
        <w:t>医疗公共数据是城市公共数据中敏感性最高、治理要求最严格的数据类型之一。其内容可能包括患者身份信息、诊疗记录、检验检查结果、处方信息、医保结算记录、公共卫生监测数据、远程问诊记录和健康管理数据。医疗数据同时具有个人权益属性、医疗机构业务属性、公共卫生属性和科研创新价值，因此其确权不能由任何单一主体完全吸收。</w:t>
      </w:r>
    </w:p>
    <w:p w14:paraId="64D5C6D4">
      <w:pPr>
        <w:pStyle w:val="3"/>
      </w:pPr>
      <w:r>
        <w:rPr>
          <w:rFonts w:hint="eastAsia"/>
        </w:rPr>
        <w:t>在权利结构上，患者对个人健康信息享有知情、查询、更正、授权和保护利益；医疗机构对诊疗过程中形成的业务记录承担持有、维护、质量管理和合规使用责任；卫健、医保等部门基于公共管理职责对相关数据享有依法汇聚、统计、监管和公共卫生分析的权限；科研机构和企业可在合法授权、伦理审查和安全处理基础上获得有限加工使用权；平台运营商则可能承担技术维护和接口服务责任，但不应因技术控制而当然取得数据经营权。</w:t>
      </w:r>
    </w:p>
    <w:bookmarkEnd w:id="21"/>
    <w:p w14:paraId="65432FCC">
      <w:pPr>
        <w:pStyle w:val="5"/>
      </w:pPr>
      <w:bookmarkStart w:id="22" w:name="二医疗场景中的echo流程嵌入"/>
      <w:r>
        <w:rPr>
          <w:rFonts w:hint="eastAsia"/>
        </w:rPr>
        <w:t>（二）医疗场景中的ECHO流程嵌入</w:t>
      </w:r>
    </w:p>
    <w:p w14:paraId="4F961036">
      <w:pPr>
        <w:pStyle w:val="23"/>
      </w:pPr>
      <w:r>
        <w:rPr>
          <w:rFonts w:hint="eastAsia"/>
        </w:rPr>
        <w:t>在医疗公共数据场景中，ECHO协议可嵌入四个关键流程节点。</w:t>
      </w:r>
    </w:p>
    <w:p w14:paraId="7C766690">
      <w:pPr>
        <w:pStyle w:val="3"/>
      </w:pPr>
      <w:r>
        <w:rPr>
          <w:rFonts w:hint="eastAsia"/>
        </w:rPr>
        <w:t>第一是数据生成与登记节点。患者就诊后，医院业务系统生成诊疗记录，系统对记录进行数据单元标识，形成元数据摘要和版本哈希。链上登记合约记录医疗机构持有责任、数据敏感等级、字段结构摘要和可授权范围。原始诊疗记录保留在医疗机构或区域健康平台，链上仅保存摘要和权利状态。</w:t>
      </w:r>
    </w:p>
    <w:p w14:paraId="44EAADD4">
      <w:pPr>
        <w:pStyle w:val="3"/>
      </w:pPr>
      <w:r>
        <w:rPr>
          <w:rFonts w:hint="eastAsia"/>
        </w:rPr>
        <w:t>第二是授权申请节点。科研机构、公共卫生部门或第三方服务平台如需使用相关数据，应提交用途声明、数据范围、处理方式、输出形式和安全环境说明。授权控制合约根据主体资质、伦理审批、数据等级、脱敏要求和用途类型进行校验。若申请用于疾病趋势统计，系统可授权脱敏聚合数据；若申请用于商业保险精准营销，则应触发拒绝或严格审查。</w:t>
      </w:r>
    </w:p>
    <w:p w14:paraId="54243558">
      <w:pPr>
        <w:pStyle w:val="3"/>
      </w:pPr>
      <w:r>
        <w:rPr>
          <w:rFonts w:hint="eastAsia"/>
        </w:rPr>
        <w:t>第三是沙箱计算节点。对于高敏数据，授权通过后，调用者不得直接下载原始数据，而是在数据沙箱或可信执行环境中运行分析任务。沙箱记录算法版本、输入数据摘要、输出结果哈希和操作日志，并将关键记录回写链上。这样可降低数据外泄风险，同时保留科研和公共卫生分析能力。</w:t>
      </w:r>
    </w:p>
    <w:p w14:paraId="5C64B782">
      <w:pPr>
        <w:pStyle w:val="3"/>
      </w:pPr>
      <w:r>
        <w:rPr>
          <w:rFonts w:hint="eastAsia"/>
        </w:rPr>
        <w:t>第四是审计反馈节点。若后续发现研究结果中存在可识别个人信息、超出授权用途的模型训练或未经许可的二次共享，行为日志合约可重构调用链条，责任处置合约可冻结相关授权并启动审计流程。</w:t>
      </w:r>
    </w:p>
    <w:bookmarkEnd w:id="22"/>
    <w:p w14:paraId="6EC89595">
      <w:pPr>
        <w:pStyle w:val="5"/>
      </w:pPr>
      <w:bookmarkStart w:id="23" w:name="三医疗场景适配性分析"/>
      <w:r>
        <w:rPr>
          <w:rFonts w:hint="eastAsia"/>
        </w:rPr>
        <w:t>（三）医疗场景适配性分析</w:t>
      </w:r>
    </w:p>
    <w:p w14:paraId="2A43B044">
      <w:pPr>
        <w:pStyle w:val="23"/>
      </w:pPr>
      <w:r>
        <w:rPr>
          <w:rFonts w:hint="eastAsia"/>
        </w:rPr>
        <w:t>医疗场景对ECHO协议的适配价值主要体现在三个方面。其一，ECHO协议能够将患者权益、医疗机构责任、政府监管权限和科研使用权分离表达，避免将医疗数据简单归属于某一机构。其二，ECHO协议可通过用途控制和沙箱计算减少明文数据流转，适应医疗数据高敏感性要求。其三，链上日志能够为医疗数据科研使用、公共卫生监测和平台服务提供责任追溯基础。</w:t>
      </w:r>
    </w:p>
    <w:p w14:paraId="45680E4A">
      <w:pPr>
        <w:pStyle w:val="3"/>
      </w:pPr>
      <w:r>
        <w:rPr>
          <w:rFonts w:hint="eastAsia"/>
        </w:rPr>
        <w:t>但医疗场景也对机制设计提出较高要求。首先，患者个人授权与公共卫生法定使用之间可能存在张力，需要制度层面对不同使用基础进行区分。其次，医疗数据标准化程度和质量差异较大，链上确权不能替代数据治理中的质量控制。再次，医疗数据加工结果可能形成算法模型和临床辅助决策工具，需进一步明确模型产品经营权、收益分配和风险责任。</w:t>
      </w:r>
    </w:p>
    <w:p w14:paraId="7A9DD2D5">
      <w:pPr>
        <w:pStyle w:val="3"/>
      </w:pPr>
      <w:r>
        <w:rPr>
          <w:rFonts w:hint="eastAsia"/>
        </w:rPr>
        <w:t>因此，在医疗场景中，本文建议采用“强身份认证、强用途限制、强沙箱控制、强审计反馈”的高安全配置。医疗原始数据原则上不出域，科研和产业使用优先采用脱敏、聚合、联邦学习或可信执行方式，链上记录授权与结果摘要，形成可审计闭环。</w:t>
      </w:r>
    </w:p>
    <w:bookmarkEnd w:id="20"/>
    <w:bookmarkEnd w:id="23"/>
    <w:p w14:paraId="2EC86370">
      <w:pPr>
        <w:pStyle w:val="4"/>
      </w:pPr>
      <w:bookmarkStart w:id="24" w:name="七典型场景二轨道交通公共数据的链上确权与适配路径"/>
      <w:r>
        <w:rPr>
          <w:rFonts w:hint="eastAsia"/>
        </w:rPr>
        <w:t>七、典型场景二：轨道交通公共数据的链上确权与适配路径</w:t>
      </w:r>
    </w:p>
    <w:p w14:paraId="52070024">
      <w:pPr>
        <w:pStyle w:val="5"/>
      </w:pPr>
      <w:bookmarkStart w:id="25" w:name="一轨道交通数据的治理特征"/>
      <w:r>
        <w:rPr>
          <w:rFonts w:hint="eastAsia"/>
        </w:rPr>
        <w:t>（一）轨道交通数据的治理特征</w:t>
      </w:r>
    </w:p>
    <w:p w14:paraId="31E4228E">
      <w:pPr>
        <w:pStyle w:val="23"/>
      </w:pPr>
      <w:r>
        <w:rPr>
          <w:rFonts w:hint="eastAsia"/>
        </w:rPr>
        <w:t>轨道交通数据是城市运行数据的重要组成部分，涵盖刷卡进出站记录、移动支付记录、客流流量、列车运行、站点拥堵、设备状态、安全监测、应急事件和多方式交通衔接等内容。与医疗数据相比，轨道交通数据在个体敏感性和公共运行价值之间呈现明显分层：个体出行轨迹具有较强隐私属性，而聚合客流、线路负载和设备运行数据则具有较高公共管理和产业开发价值。</w:t>
      </w:r>
    </w:p>
    <w:p w14:paraId="103E8E16">
      <w:pPr>
        <w:pStyle w:val="3"/>
      </w:pPr>
      <w:r>
        <w:rPr>
          <w:rFonts w:hint="eastAsia"/>
        </w:rPr>
        <w:t>轨道交通数据权属结构涉及交通主管部门、轨道运营企业、支付机构、平台技术服务商、城市运行中心、商业开发主体和乘客个人。运营企业通常负责数据采集和维护，交通主管部门基于公共管理职责进行监管和调度，支付机构可能掌握支付侧数据，第三方平台可能参与出行服务整合，商业主体则可能申请聚合客流数据用于商业选址、广告投放和城市消费分析。</w:t>
      </w:r>
    </w:p>
    <w:bookmarkEnd w:id="25"/>
    <w:p w14:paraId="2A781E66">
      <w:pPr>
        <w:pStyle w:val="5"/>
      </w:pPr>
      <w:bookmarkStart w:id="26" w:name="二轨道交通场景中的权利分层"/>
      <w:r>
        <w:rPr>
          <w:rFonts w:hint="eastAsia"/>
        </w:rPr>
        <w:t>（二）轨道交通场景中的权利分层</w:t>
      </w:r>
    </w:p>
    <w:p w14:paraId="74E128BB">
      <w:pPr>
        <w:pStyle w:val="23"/>
      </w:pPr>
      <w:r>
        <w:rPr>
          <w:rFonts w:hint="eastAsia"/>
        </w:rPr>
        <w:t>轨道交通数据适合采用分层确权与分级授权模型。第一层是个人轨迹数据，包括乘客进出站时间、站点、支付标识和连续出行链条。这类数据应归入高敏等级，严格限制访问和再识别，原则上不得向商业主体提供个体级数据。第二层是运营管理数据，包括列车运行状态、站点拥堵程度、设备监测和应急事件。这类数据主要服务于城市运行和公共安全，可由运营企业和主管部门在职责范围内共享。第三层是聚合分析数据，包括线路客流、时段热力、区域流动趋势和换乘结构。这类数据在充分脱敏和聚合后具有较高开发利用价值，可在合规条件下向研究机构或产业主体开放。第四层是数据产品和服务接口，如客流预测模型、出行优化接口和站点商业价值评估产品，其经营权应根据数据来源、加工贡献和公共价值回馈规则进行配置。</w:t>
      </w:r>
    </w:p>
    <w:p w14:paraId="0079D6CB">
      <w:pPr>
        <w:pStyle w:val="3"/>
      </w:pPr>
      <w:r>
        <w:rPr>
          <w:rFonts w:hint="eastAsia"/>
        </w:rPr>
        <w:t>在ECHO协议下，轨道交通数据可通过数据单元等级标签进行治理。个体轨迹数据绑定强隐私标签和禁止下载规则；运营管理数据绑定公共管理用途和应急优先规则；聚合分析数据绑定粒度限制、延迟发布和用途审计规则；数据产品绑定经营权、收益分配和再使用限制。</w:t>
      </w:r>
    </w:p>
    <w:bookmarkEnd w:id="26"/>
    <w:p w14:paraId="0C138A6D">
      <w:pPr>
        <w:pStyle w:val="5"/>
      </w:pPr>
      <w:bookmarkStart w:id="27" w:name="三轨道交通场景中的流程嵌入测试"/>
      <w:r>
        <w:rPr>
          <w:rFonts w:hint="eastAsia"/>
        </w:rPr>
        <w:t>（三）轨道交通场景中的流程嵌入测试</w:t>
      </w:r>
    </w:p>
    <w:p w14:paraId="0ECA6923">
      <w:pPr>
        <w:pStyle w:val="23"/>
      </w:pPr>
      <w:r>
        <w:rPr>
          <w:rFonts w:hint="eastAsia"/>
        </w:rPr>
        <w:t>以“第三方研究机构申请使用某城市轨道交通客流数据进行通勤规律分析”为例，ECHO协议流程可设计如下。</w:t>
      </w:r>
    </w:p>
    <w:p w14:paraId="2B9662D6">
      <w:pPr>
        <w:pStyle w:val="3"/>
      </w:pPr>
      <w:r>
        <w:rPr>
          <w:rFonts w:hint="eastAsia"/>
        </w:rPr>
        <w:t>首先，运营企业将轨道交通客流数据按站点、线路、时段和数据粒度登记为不同数据单元。数据登记合约记录数据来源、运营企业持有责任、交通主管部门监管权限、敏感等级和聚合规则。其次，研究机构提交申请，声明用途为城市通勤规律研究，申请数据范围为按小时聚合的站点进出站流量，不涉及个体轨迹。授权控制合约核验其研究资质、项目审批、数据等级和用途匹配性。再次，合约授权其在六个月内通过沙箱查询聚合数据，不允许下载明细数据，不允许将数据用于商业选址或广告分析。然后，研究机构在沙箱内运行统计模型，系统记录每次查询的站点、时段、参数摘要和输出哈希。最后，研究成果提交审计，若输出图表未达到聚合阈值或存在再识别风险，系统拒绝导出或要求重新聚合。</w:t>
      </w:r>
    </w:p>
    <w:p w14:paraId="220B3551">
      <w:pPr>
        <w:pStyle w:val="3"/>
      </w:pPr>
      <w:r>
        <w:rPr>
          <w:rFonts w:hint="eastAsia"/>
        </w:rPr>
        <w:t>该流程能够体现第3阶段研究中的“机制适配性分析与流程嵌入测试”。测试重点不是证明区块链能够提升计算性能，而是检验制度规则是否能够通过合约准确嵌入业务流程，包括申请、授权、调用、输出和审计五个环节。</w:t>
      </w:r>
    </w:p>
    <w:bookmarkEnd w:id="27"/>
    <w:p w14:paraId="29B69FCE">
      <w:pPr>
        <w:pStyle w:val="5"/>
      </w:pPr>
      <w:bookmarkStart w:id="28" w:name="四轨道交通场景适配性分析"/>
      <w:r>
        <w:rPr>
          <w:rFonts w:hint="eastAsia"/>
        </w:rPr>
        <w:t>（四）轨道交通场景适配性分析</w:t>
      </w:r>
    </w:p>
    <w:p w14:paraId="4C7DC75F">
      <w:pPr>
        <w:pStyle w:val="23"/>
      </w:pPr>
      <w:r>
        <w:rPr>
          <w:rFonts w:hint="eastAsia"/>
        </w:rPr>
        <w:t>轨道交通数据具有较强的实时性和高并发特征，因此链上治理机制不能把所有调用细节都写入主链，否则会影响系统效率。更可行的方式是采用链下高速处理与链上摘要存证相结合的方式：实时调度数据在业务系统内运行，关键授权、接口调用摘要和异常事件上链；高频低风险操作可批量生成哈希摘要后定期上链；高风险跨主体共享操作则实时触发合约校验。</w:t>
      </w:r>
    </w:p>
    <w:p w14:paraId="2F066A3F">
      <w:pPr>
        <w:pStyle w:val="3"/>
      </w:pPr>
      <w:r>
        <w:rPr>
          <w:rFonts w:hint="eastAsia"/>
        </w:rPr>
        <w:t>轨道交通场景还需要处理公共利益与商业开发的平衡。聚合客流数据具有商业价值，但其生成依赖公共基础设施和乘客出行行为，不宜完全由单一运营主体垄断收益。链上治理可以为收益分配提供基础，例如记录数据来源、加工主体、产品开发主体和调用次数，为公共收益返还、运营维护投入或公共服务优化提供依据。</w:t>
      </w:r>
    </w:p>
    <w:bookmarkEnd w:id="24"/>
    <w:bookmarkEnd w:id="28"/>
    <w:p w14:paraId="4E157CFF">
      <w:pPr>
        <w:pStyle w:val="4"/>
      </w:pPr>
      <w:bookmarkStart w:id="29" w:name="八典型场景三社区治理数据的链上确权与适配路径"/>
      <w:r>
        <w:rPr>
          <w:rFonts w:hint="eastAsia"/>
        </w:rPr>
        <w:t>八、典型场景三：社区治理数据的链上确权与适配路径</w:t>
      </w:r>
    </w:p>
    <w:p w14:paraId="58F48FF2">
      <w:pPr>
        <w:pStyle w:val="5"/>
      </w:pPr>
      <w:bookmarkStart w:id="30" w:name="一社区治理数据的碎片化与敏感性"/>
      <w:r>
        <w:rPr>
          <w:rFonts w:hint="eastAsia"/>
        </w:rPr>
        <w:t>（一）社区治理数据的碎片化与敏感性</w:t>
      </w:r>
    </w:p>
    <w:p w14:paraId="4F69D245">
      <w:pPr>
        <w:pStyle w:val="23"/>
      </w:pPr>
      <w:r>
        <w:rPr>
          <w:rFonts w:hint="eastAsia"/>
        </w:rPr>
        <w:t>社区治理数据是最贴近基层治理的数据类型，涉及居民基本信息、人口流动、房屋居住、网格事件、物业服务、养老服务、救助帮扶、矛盾调解、志愿服务、公共设施报修和突发事件响应等内容。其特点是来源分散、结构复杂、更新频繁、敏感程度不一，并且与居民日常生活高度相关。</w:t>
      </w:r>
    </w:p>
    <w:p w14:paraId="4343AA81">
      <w:pPr>
        <w:pStyle w:val="3"/>
      </w:pPr>
      <w:r>
        <w:rPr>
          <w:rFonts w:hint="eastAsia"/>
        </w:rPr>
        <w:t>社区数据确权的难点在于，多数数据并非由一个统一平台自然生成，而是由街道办、社区居委会、物业公司、网格员、社会组织、志愿者和居民本人在日常治理互动中共同形成。一些数据具有明显公共治理属性，如网格事件和公共设施报修；一些数据具有个人敏感属性，如困难家庭状况、独居老人信息、残障服务需求和矛盾纠纷记录；一些数据则处于公共服务与商业服务交界处，如物业维修、社区商业、养老服务和数字门禁记录。</w:t>
      </w:r>
    </w:p>
    <w:bookmarkEnd w:id="30"/>
    <w:p w14:paraId="0CF84B89">
      <w:pPr>
        <w:pStyle w:val="5"/>
      </w:pPr>
      <w:bookmarkStart w:id="31" w:name="二社区场景中的最小必要授权"/>
      <w:r>
        <w:rPr>
          <w:rFonts w:hint="eastAsia"/>
        </w:rPr>
        <w:t>（二）社区场景中的最小必要授权</w:t>
      </w:r>
    </w:p>
    <w:p w14:paraId="0CD49E6D">
      <w:pPr>
        <w:pStyle w:val="23"/>
      </w:pPr>
      <w:r>
        <w:rPr>
          <w:rFonts w:hint="eastAsia"/>
        </w:rPr>
        <w:t>社区治理数据应采用最小必要授权原则，即不同主体只能在完成其职责所必需的范围内访问相应数据。例如，社区工作人员可访问居民服务需求和政务办理进度，但未必可以访问完整医疗信息；物业公司可访问与维修、门禁和公共设施相关的数据，但不得访问救助帮扶、家庭困难和矛盾纠纷信息；社会组织参与养老服务时，可获得服务对象的必要联系方式和服务需求，但不得扩展使用至商业营销；街道管理部门可进行汇总统计和风险研判，但应避免不必要的个体明细扩散。</w:t>
      </w:r>
    </w:p>
    <w:p w14:paraId="4B37A1D9">
      <w:pPr>
        <w:pStyle w:val="3"/>
      </w:pPr>
      <w:r>
        <w:rPr>
          <w:rFonts w:hint="eastAsia"/>
        </w:rPr>
        <w:t>ECHO协议在社区场景中的核心价值，是将“基层协同”与“权限边界”同时编码。传统社区治理中，数据共享常依赖微信群、表格、纸质台账或部门系统导出，虽然提高了短期效率，却容易造成数据失控。通过链上授权和行为留痕，社区数据可以在协同治理中保持边界：谁查看了某类信息、用于何种任务、是否转交第三方、是否到期删除或终止使用，都可以被记录和审计。</w:t>
      </w:r>
    </w:p>
    <w:bookmarkEnd w:id="31"/>
    <w:p w14:paraId="0D3C3936">
      <w:pPr>
        <w:pStyle w:val="5"/>
      </w:pPr>
      <w:bookmarkStart w:id="32" w:name="三社区数据流程嵌入示例"/>
      <w:r>
        <w:rPr>
          <w:rFonts w:hint="eastAsia"/>
        </w:rPr>
        <w:t>（三）社区数据流程嵌入示例</w:t>
      </w:r>
    </w:p>
    <w:p w14:paraId="7B374D0E">
      <w:pPr>
        <w:pStyle w:val="23"/>
      </w:pPr>
      <w:r>
        <w:rPr>
          <w:rFonts w:hint="eastAsia"/>
        </w:rPr>
        <w:t>以“独居老人关怀服务数据共享”为例，社区居委会掌握独居老人名单、紧急联系人、健康风险标签和服务需求。社会组织受委托提供上门关怀服务，物业公司可能提供门禁异常提示，街道部门负责监督服务质量。该场景中，数据既涉及公共服务，也涉及个人敏感信息。</w:t>
      </w:r>
    </w:p>
    <w:p w14:paraId="36A6A963">
      <w:pPr>
        <w:pStyle w:val="3"/>
      </w:pPr>
      <w:r>
        <w:rPr>
          <w:rFonts w:hint="eastAsia"/>
        </w:rPr>
        <w:t>ECHO协议流程可设计为：首先，社区平台将独居老人服务数据登记为高敏社区服务数据单元，并标记数据来源、服务目的和可授权主体类型。其次，社会组织提交服务授权申请，声明用途为上门关怀和服务记录反馈。授权合约仅授予其特定服务对象的必要联系信息、服务时间安排和需求标签，不授予完整家庭情况、财产状况或其他政务记录。再次，社会组织每次查看服务对象信息或提交服务记录时，行为日志合约记录操作事件。服务周期结束后，授权自动终止，系统要求社会组织确认删除链下临时数据或停止访问接口。最后，街道部门可通过审计接口查看服务是否按授权范围执行，但不得无目的查看全部敏感明细。</w:t>
      </w:r>
    </w:p>
    <w:p w14:paraId="705E10D7">
      <w:pPr>
        <w:pStyle w:val="3"/>
      </w:pPr>
      <w:r>
        <w:rPr>
          <w:rFonts w:hint="eastAsia"/>
        </w:rPr>
        <w:t>该流程体现了社区数据链上治理的两个重点：一是授权粒度必须足够细，能够按照服务对象、服务任务和服务期限进行配置；二是责任链条必须足够清晰，能够区分社区、街道、物业和社会组织在不同数据操作中的责任。</w:t>
      </w:r>
    </w:p>
    <w:bookmarkEnd w:id="32"/>
    <w:p w14:paraId="3932A4E8">
      <w:pPr>
        <w:pStyle w:val="5"/>
      </w:pPr>
      <w:bookmarkStart w:id="33" w:name="四社区场景适配性分析"/>
      <w:r>
        <w:rPr>
          <w:rFonts w:hint="eastAsia"/>
        </w:rPr>
        <w:t>（四）社区场景适配性分析</w:t>
      </w:r>
    </w:p>
    <w:p w14:paraId="7AD89829">
      <w:pPr>
        <w:pStyle w:val="23"/>
      </w:pPr>
      <w:r>
        <w:rPr>
          <w:rFonts w:hint="eastAsia"/>
        </w:rPr>
        <w:t>社区场景对技术机制的要求并不一定是高性能，而是易用性和可解释性。基层工作人员不可能理解复杂的区块链底层逻辑，因此ECHO协议在社区平台中的呈现应以业务表单、权限模板和风险提示为主。合约规则应隐藏在后台，由系统根据角色和任务自动生成授权条件。例如，“养老探访任务”自动匹配联系方式访问权、服务记录填写权和到期终止规则；“物业维修任务”自动匹配房屋公共设施信息访问权，但排除救助帮扶信息。</w:t>
      </w:r>
    </w:p>
    <w:p w14:paraId="59DDD5DC">
      <w:pPr>
        <w:pStyle w:val="3"/>
      </w:pPr>
      <w:r>
        <w:rPr>
          <w:rFonts w:hint="eastAsia"/>
        </w:rPr>
        <w:t>社区场景还需要避免技术形式主义。若链上系统增加基层负担，导致工作人员重复录入、审批复杂或响应迟缓，则可能削弱治理效果。因此，社区数据ECHO机制应优先嵌入现有社区治理平台，以自动采集日志、自动匹配权限和自动生成审计报表为目标，而非另建孤立系统。</w:t>
      </w:r>
    </w:p>
    <w:bookmarkEnd w:id="29"/>
    <w:bookmarkEnd w:id="33"/>
    <w:p w14:paraId="2D44805A">
      <w:pPr>
        <w:pStyle w:val="4"/>
      </w:pPr>
      <w:bookmarkStart w:id="34" w:name="九制度适配性评估从原型机制到城市平台治理"/>
      <w:r>
        <w:rPr>
          <w:rFonts w:hint="eastAsia"/>
        </w:rPr>
        <w:t>九、制度适配性评估：从原型机制到城市平台治理</w:t>
      </w:r>
    </w:p>
    <w:p w14:paraId="74272CA9">
      <w:pPr>
        <w:pStyle w:val="5"/>
      </w:pPr>
      <w:bookmarkStart w:id="35" w:name="一评估维度"/>
      <w:r>
        <w:rPr>
          <w:rFonts w:hint="eastAsia"/>
        </w:rPr>
        <w:t>（一）评估维度</w:t>
      </w:r>
    </w:p>
    <w:p w14:paraId="1C98C0ED">
      <w:pPr>
        <w:pStyle w:val="23"/>
      </w:pPr>
      <w:r>
        <w:rPr>
          <w:rFonts w:hint="eastAsia"/>
        </w:rPr>
        <w:t>为检验第3阶段链上确权机制原型的有效性，本文提出五个制度适配性评估维度。</w:t>
      </w:r>
    </w:p>
    <w:p w14:paraId="1CDD3FD6">
      <w:pPr>
        <w:pStyle w:val="3"/>
      </w:pPr>
      <w:r>
        <w:rPr>
          <w:rFonts w:hint="eastAsia"/>
        </w:rPr>
        <w:t>第一是权利表达完整性，即合约模型是否能够充分表达持有权、加工使用权、经营权及其扩展权利束。如果模型只能记录所有者或管理员，而无法表达访问、用途、加工、衍生和审计等权能，则难以适应城市公共数据治理需求。</w:t>
      </w:r>
    </w:p>
    <w:p w14:paraId="20DBF79D">
      <w:pPr>
        <w:pStyle w:val="3"/>
      </w:pPr>
      <w:r>
        <w:rPr>
          <w:rFonts w:hint="eastAsia"/>
        </w:rPr>
        <w:t>第二是用途控制有效性，即系统是否能够在授权前和调用时识别用途，并将用途与数据等级、主体资质和处理方式绑定。用途控制是区分合法使用和不当使用的关键。</w:t>
      </w:r>
    </w:p>
    <w:p w14:paraId="55339C2F">
      <w:pPr>
        <w:pStyle w:val="3"/>
      </w:pPr>
      <w:r>
        <w:rPr>
          <w:rFonts w:hint="eastAsia"/>
        </w:rPr>
        <w:t>第三是流程嵌入兼容性，即合约规则是否能嵌入医疗、交通、社区等既有业务流程，而不是要求业务流程完全重构。城市公共数据平台通常由多个历史系统组成，机制设计必须适应现实复杂性。</w:t>
      </w:r>
    </w:p>
    <w:p w14:paraId="400C9856">
      <w:pPr>
        <w:pStyle w:val="3"/>
      </w:pPr>
      <w:r>
        <w:rPr>
          <w:rFonts w:hint="eastAsia"/>
        </w:rPr>
        <w:t>第四是责任追溯可验证性，即行为日志是否足以重构数据调用链条，是否能够支撑审计、监管和争议处理。若日志只记录笼统访问次数，而不能识别主体、用途、数据单元和输出摘要，则责任追溯能力不足。</w:t>
      </w:r>
    </w:p>
    <w:p w14:paraId="29B9855A">
      <w:pPr>
        <w:pStyle w:val="3"/>
      </w:pPr>
      <w:r>
        <w:rPr>
          <w:rFonts w:hint="eastAsia"/>
        </w:rPr>
        <w:t>第五是机制迁移可配置性，即同一协议框架能否在不同数据场景中通过参数配置实现迁移。例如，医疗场景强调强沙箱与伦理审查，交通场景强调分级聚合与高频摘要，社区场景强调细粒度任务授权和易用性。一个有效的城市公共数据治理机制应当提供统一协议框架和差异化配置能力。</w:t>
      </w:r>
    </w:p>
    <w:bookmarkEnd w:id="35"/>
    <w:p w14:paraId="05C6422C">
      <w:pPr>
        <w:pStyle w:val="5"/>
      </w:pPr>
      <w:bookmarkStart w:id="36" w:name="二三类场景的比较"/>
      <w:r>
        <w:rPr>
          <w:rFonts w:hint="eastAsia"/>
        </w:rPr>
        <w:t>（二）三类场景的比较</w:t>
      </w:r>
    </w:p>
    <w:p w14:paraId="0B002C60">
      <w:pPr>
        <w:pStyle w:val="23"/>
      </w:pPr>
      <w:r>
        <w:rPr>
          <w:rFonts w:hint="eastAsia"/>
        </w:rPr>
        <w:t>从医疗、交通和社区三类场景比较来看，ECHO协议的适配重点存在差异。</w:t>
      </w:r>
    </w:p>
    <w:p w14:paraId="0738A9EB">
      <w:pPr>
        <w:pStyle w:val="3"/>
      </w:pPr>
      <w:r>
        <w:rPr>
          <w:rFonts w:hint="eastAsia"/>
        </w:rPr>
        <w:t>医疗场景的核心是高敏数据保护与合规科研使用，其治理重点在于强身份、强授权、强脱敏和强审计。合约机制需要与伦理审查、患者权益保护、医疗机构责任和公共卫生职责相衔接。医疗场景适合采用数据不出域、隐私计算和结果审计模式。</w:t>
      </w:r>
    </w:p>
    <w:p w14:paraId="71FDCB6D">
      <w:pPr>
        <w:pStyle w:val="3"/>
      </w:pPr>
      <w:r>
        <w:rPr>
          <w:rFonts w:hint="eastAsia"/>
        </w:rPr>
        <w:t>交通场景的核心是运行效率、公共安全和聚合价值开发，其治理重点在于数据分层、实时性处理和商业开发边界。合约机制需要区分个体轨迹、运营数据、聚合数据和数据产品。交通场景适合采用链下高频处理、链上摘要存证和分级授权模式。</w:t>
      </w:r>
    </w:p>
    <w:p w14:paraId="268C592A">
      <w:pPr>
        <w:pStyle w:val="3"/>
      </w:pPr>
      <w:r>
        <w:rPr>
          <w:rFonts w:hint="eastAsia"/>
        </w:rPr>
        <w:t>社区场景的核心是基层协同和最小必要使用，其治理重点在于任务化授权、角色边界和到期终止。合约机制需要降低基层使用门槛，并与社区服务流程紧密嵌入。社区场景适合采用权限模板、自动日志和任务周期授权模式。</w:t>
      </w:r>
    </w:p>
    <w:p w14:paraId="2E170657">
      <w:pPr>
        <w:pStyle w:val="3"/>
      </w:pPr>
      <w:r>
        <w:rPr>
          <w:rFonts w:hint="eastAsia"/>
        </w:rPr>
        <w:t>由此可见，ECHO协议并非提供统一不变的技术模板，而是提供可配置的治理骨架。不同场景可以在主体身份、数据粒度、用途类型、授权期限、调用频率、输出限制和审计强度等参数上进行差异化设置。</w:t>
      </w:r>
    </w:p>
    <w:bookmarkEnd w:id="36"/>
    <w:p w14:paraId="4384DB44">
      <w:pPr>
        <w:pStyle w:val="5"/>
      </w:pPr>
      <w:bookmarkStart w:id="37" w:name="三原型测试中的关键发现"/>
      <w:r>
        <w:rPr>
          <w:rFonts w:hint="eastAsia"/>
        </w:rPr>
        <w:t>（三）原型测试中的关键发现</w:t>
      </w:r>
    </w:p>
    <w:p w14:paraId="3CB75F47">
      <w:pPr>
        <w:pStyle w:val="23"/>
      </w:pPr>
      <w:r>
        <w:rPr>
          <w:rFonts w:hint="eastAsia"/>
        </w:rPr>
        <w:t>基于第3阶段机制设计和流程嵌入测试，可以形成以下阶段性发现。</w:t>
      </w:r>
    </w:p>
    <w:p w14:paraId="7DD7C330">
      <w:pPr>
        <w:pStyle w:val="3"/>
      </w:pPr>
      <w:r>
        <w:rPr>
          <w:rFonts w:hint="eastAsia"/>
        </w:rPr>
        <w:t>第一，多权利分离比单一确权更适合城市公共数据。城市公共数据往往存在多个合法利益相关者，单纯确认某一主体为所有者不仅制度上存在困难，也可能在治理上造成封闭。将权利拆分为持有、访问、加工、共享、经营和审计等权能后，可以更灵活地配置不同主体的权限。</w:t>
      </w:r>
    </w:p>
    <w:p w14:paraId="680FA7A2">
      <w:pPr>
        <w:pStyle w:val="3"/>
      </w:pPr>
      <w:r>
        <w:rPr>
          <w:rFonts w:hint="eastAsia"/>
        </w:rPr>
        <w:t>第二，确权机制必须与用途控制绑定。没有用途约束的授权容易演变为概括许可，难以防止后续滥用。用途控制合约能够把数据调用限定在具体业务场景中，是实现公共数据合规流通的关键。</w:t>
      </w:r>
    </w:p>
    <w:p w14:paraId="2252172F">
      <w:pPr>
        <w:pStyle w:val="3"/>
      </w:pPr>
      <w:r>
        <w:rPr>
          <w:rFonts w:hint="eastAsia"/>
        </w:rPr>
        <w:t>第三，链上日志的价值不在于记录全部数据内容，而在于记录可验证的行为事实。城市公共数据治理不应追求所有数据上链，而应通过哈希摘要、元数据和事件日志实现低暴露、高可审计的治理效果。</w:t>
      </w:r>
    </w:p>
    <w:p w14:paraId="6A0A2BA7">
      <w:pPr>
        <w:pStyle w:val="3"/>
      </w:pPr>
      <w:r>
        <w:rPr>
          <w:rFonts w:hint="eastAsia"/>
        </w:rPr>
        <w:t>第四，制度规则需要通过协议层转译，不能直接等同于代码。法律和政策规则通常具有概括性和价值判断空间，智能合约则要求明确条件和状态转换。ECHO协议作为中间层，可以将制度中的主体、权利、用途、责任等要素转化为技术可识别的参数，同时保留人工审查和监管裁量接口。</w:t>
      </w:r>
    </w:p>
    <w:p w14:paraId="7A763BDA">
      <w:pPr>
        <w:pStyle w:val="3"/>
      </w:pPr>
      <w:r>
        <w:rPr>
          <w:rFonts w:hint="eastAsia"/>
        </w:rPr>
        <w:t>第五，场景适配决定机制成败。同一合约模型若不考虑业务流程差异，将难以落地。医疗、交通和社区的治理目标、数据风险和组织结构均不同，必须采用模块化和参数化设计。</w:t>
      </w:r>
    </w:p>
    <w:bookmarkEnd w:id="34"/>
    <w:bookmarkEnd w:id="37"/>
    <w:p w14:paraId="5D8EB8AF">
      <w:pPr>
        <w:pStyle w:val="4"/>
      </w:pPr>
      <w:bookmarkStart w:id="38" w:name="十多权利链上治理路径的实施方案"/>
      <w:r>
        <w:rPr>
          <w:rFonts w:hint="eastAsia"/>
        </w:rPr>
        <w:t>十、多权利链上治理路径的实施方案</w:t>
      </w:r>
    </w:p>
    <w:p w14:paraId="33549BC2">
      <w:pPr>
        <w:pStyle w:val="5"/>
      </w:pPr>
      <w:bookmarkStart w:id="39" w:name="一总体路径制度规则协议模型与平台系统三层协同"/>
      <w:r>
        <w:rPr>
          <w:rFonts w:hint="eastAsia"/>
        </w:rPr>
        <w:t>（一）总体路径：制度规则、协议模型与平台系统三层协同</w:t>
      </w:r>
    </w:p>
    <w:p w14:paraId="62416FFA">
      <w:pPr>
        <w:pStyle w:val="23"/>
      </w:pPr>
      <w:r>
        <w:rPr>
          <w:rFonts w:hint="eastAsia"/>
        </w:rPr>
        <w:t>城市公共数据多权利链上治理应采取三层协同路径。</w:t>
      </w:r>
    </w:p>
    <w:p w14:paraId="51F90EB5">
      <w:pPr>
        <w:pStyle w:val="3"/>
      </w:pPr>
      <w:r>
        <w:rPr>
          <w:rFonts w:hint="eastAsia"/>
        </w:rPr>
        <w:t>第一层是制度规则层。该层负责明确公共数据分类分级、权利束类型、主体责任、授权依据、用途边界、收益分配和争议处理规则。制度规则层应由地方数据主管部门、行业主管部门、公共机构和相关专家共同参与制定。</w:t>
      </w:r>
    </w:p>
    <w:p w14:paraId="677AF894">
      <w:pPr>
        <w:pStyle w:val="3"/>
      </w:pPr>
      <w:r>
        <w:rPr>
          <w:rFonts w:hint="eastAsia"/>
        </w:rPr>
        <w:t>第二层是协议模型层。该层以ECHO协议为核心，将制度规则转化为标准化数据结构、权利表达语言、合约模板和行为事件格式。协议模型层的作用是避免每个部门和平台各自定义确权规则，从而提高互操作性。</w:t>
      </w:r>
    </w:p>
    <w:p w14:paraId="7EAF3BB6">
      <w:pPr>
        <w:pStyle w:val="3"/>
      </w:pPr>
      <w:r>
        <w:rPr>
          <w:rFonts w:hint="eastAsia"/>
        </w:rPr>
        <w:t>第三层是平台系统层。该层负责在城市数据平台、行业数据平台和业务系统中具体实现链上登记、授权校验、沙箱调用、日志回写和审计报表。平台系统层应与现有政务云、公共数据平台、数据交易平台和行业业务系统兼容。</w:t>
      </w:r>
    </w:p>
    <w:p w14:paraId="11781081">
      <w:pPr>
        <w:pStyle w:val="3"/>
      </w:pPr>
      <w:r>
        <w:rPr>
          <w:rFonts w:hint="eastAsia"/>
        </w:rPr>
        <w:t>三层之间应形成闭环：制度规则规定治理要求，协议模型完成技术转译，平台系统执行和记录行为，审计反馈再推动制度规则优化。</w:t>
      </w:r>
    </w:p>
    <w:bookmarkEnd w:id="39"/>
    <w:p w14:paraId="73E2389D">
      <w:pPr>
        <w:pStyle w:val="5"/>
      </w:pPr>
      <w:bookmarkStart w:id="40" w:name="二分步实施机制"/>
      <w:r>
        <w:rPr>
          <w:rFonts w:hint="eastAsia"/>
        </w:rPr>
        <w:t>（二）分步实施机制</w:t>
      </w:r>
    </w:p>
    <w:p w14:paraId="292C4E0D">
      <w:pPr>
        <w:pStyle w:val="23"/>
      </w:pPr>
      <w:r>
        <w:rPr>
          <w:rFonts w:hint="eastAsia"/>
        </w:rPr>
        <w:t>第一步，建立城市公共数据权利目录。与传统数据目录不同，权利目录不仅记录数据名称、来源和开放属性，还记录持有主体、管理主体、可授权权利、禁止用途、可经营条件和审计要求。权利目录是多权利链上治理的入口。</w:t>
      </w:r>
    </w:p>
    <w:p w14:paraId="2954FB39">
      <w:pPr>
        <w:pStyle w:val="3"/>
      </w:pPr>
      <w:r>
        <w:rPr>
          <w:rFonts w:hint="eastAsia"/>
        </w:rPr>
        <w:t>第二步，制定数据单元标识规范。根据不同场景确定数据单元粒度，建立统一ID、元数据字段、哈希摘要和版本管理机制。没有稳定的数据标识，就无法实现权利绑定和行为追溯。</w:t>
      </w:r>
    </w:p>
    <w:p w14:paraId="697C52AC">
      <w:pPr>
        <w:pStyle w:val="3"/>
      </w:pPr>
      <w:r>
        <w:rPr>
          <w:rFonts w:hint="eastAsia"/>
        </w:rPr>
        <w:t>第三步，构建权利束模板。针对医疗、交通、社区等场景，形成可复用的权利束模板。例如，医疗科研使用模板、交通聚合数据开发模板、社区服务任务授权模板等。模板应包含用途、期限、主体资格、输出限制和审计强度。</w:t>
      </w:r>
    </w:p>
    <w:p w14:paraId="05119BC0">
      <w:pPr>
        <w:pStyle w:val="3"/>
      </w:pPr>
      <w:r>
        <w:rPr>
          <w:rFonts w:hint="eastAsia"/>
        </w:rPr>
        <w:t>第四步，部署智能合约模块。优先部署登记合约、授权合约、用途控制合约和日志合约，后续再逐步扩展收益分配合约、责任处置合约和争议处理合约。合约部署应采用联盟链或许可链架构，以适应公共数据治理中的可信节点管理要求。</w:t>
      </w:r>
    </w:p>
    <w:p w14:paraId="45D80469">
      <w:pPr>
        <w:pStyle w:val="3"/>
      </w:pPr>
      <w:r>
        <w:rPr>
          <w:rFonts w:hint="eastAsia"/>
        </w:rPr>
        <w:t>第五步，开展场景化试点。选择数据边界较清晰、业务流程较成熟、治理需求较强的场景进行试点。医疗场景可从脱敏科研数据使用开始，交通场景可从聚合客流数据共享开始，社区场景可从养老服务任务授权开始。试点不宜一开始覆盖全部数据，应采取小范围、可评估、可扩展路径。</w:t>
      </w:r>
    </w:p>
    <w:p w14:paraId="6F36F2EC">
      <w:pPr>
        <w:pStyle w:val="3"/>
      </w:pPr>
      <w:r>
        <w:rPr>
          <w:rFonts w:hint="eastAsia"/>
        </w:rPr>
        <w:t>第六步，建立审计和反馈机制。定期对授权记录、调用日志、异常事件和使用成果进行审计，形成制度反馈报告。通过审计结果优化权利目录、用途分类和合约参数。</w:t>
      </w:r>
    </w:p>
    <w:bookmarkEnd w:id="40"/>
    <w:p w14:paraId="1E29D3E5">
      <w:pPr>
        <w:pStyle w:val="5"/>
      </w:pPr>
      <w:bookmarkStart w:id="41" w:name="三组织治理安排"/>
      <w:r>
        <w:rPr>
          <w:rFonts w:hint="eastAsia"/>
        </w:rPr>
        <w:t>（三）组织治理安排</w:t>
      </w:r>
    </w:p>
    <w:p w14:paraId="5ECBBCC1">
      <w:pPr>
        <w:pStyle w:val="23"/>
      </w:pPr>
      <w:r>
        <w:rPr>
          <w:rFonts w:hint="eastAsia"/>
        </w:rPr>
        <w:t>技术机制必须嵌入组织治理结构。本文建议建立“数据主管部门—行业主管部门—数据持有单位—平台运营方—审计节点—使用主体”多元协同机制。</w:t>
      </w:r>
    </w:p>
    <w:p w14:paraId="2E3F051E">
      <w:pPr>
        <w:pStyle w:val="3"/>
      </w:pPr>
      <w:r>
        <w:rPr>
          <w:rFonts w:hint="eastAsia"/>
        </w:rPr>
        <w:t>数据主管部门负责统一规则、目录管理和跨部门协调；行业主管部门负责行业场景中的数据分类、授权标准和风险识别；数据持有单位负责数据质量、安全维护和初始权利声明；平台运营方负责技术系统运行、接口管理和日志回写；审计节点负责对链上记录和链下行为进行核验；使用主体则依据授权合规使用数据并承担相应责任。</w:t>
      </w:r>
    </w:p>
    <w:p w14:paraId="5240A300">
      <w:pPr>
        <w:pStyle w:val="3"/>
      </w:pPr>
      <w:r>
        <w:rPr>
          <w:rFonts w:hint="eastAsia"/>
        </w:rPr>
        <w:t>在联盟链治理中，上述主体可分别作为不同类型节点参与。政府数据主管部门可作为监管节点，行业主管部门和重要公共机构可作为验证节点，平台运营方可作为执行节点，审计机构可作为观察或审计节点。节点权限应根据职责配置，避免技术节点过度集中导致新的平台垄断。</w:t>
      </w:r>
    </w:p>
    <w:bookmarkEnd w:id="38"/>
    <w:bookmarkEnd w:id="41"/>
    <w:p w14:paraId="025D2431">
      <w:pPr>
        <w:pStyle w:val="4"/>
      </w:pPr>
      <w:bookmarkStart w:id="42" w:name="十一理论贡献与实践价值"/>
      <w:r>
        <w:rPr>
          <w:rFonts w:hint="eastAsia"/>
        </w:rPr>
        <w:t>十一、理论贡献与实践价值</w:t>
      </w:r>
    </w:p>
    <w:p w14:paraId="14C6EC94">
      <w:pPr>
        <w:pStyle w:val="5"/>
      </w:pPr>
      <w:bookmarkStart w:id="43" w:name="一理论贡献"/>
      <w:r>
        <w:rPr>
          <w:rFonts w:hint="eastAsia"/>
        </w:rPr>
        <w:t>（一）理论贡献</w:t>
      </w:r>
    </w:p>
    <w:p w14:paraId="14F492F6">
      <w:pPr>
        <w:pStyle w:val="23"/>
      </w:pPr>
      <w:r>
        <w:rPr>
          <w:rFonts w:hint="eastAsia"/>
        </w:rPr>
        <w:t>本文的理论贡献主要体现在三个方面。</w:t>
      </w:r>
    </w:p>
    <w:p w14:paraId="40BADCC5">
      <w:pPr>
        <w:pStyle w:val="3"/>
      </w:pPr>
      <w:r>
        <w:rPr>
          <w:rFonts w:hint="eastAsia"/>
        </w:rPr>
        <w:t>第一，本文将城市公共数据确权从单一产权归属问题转化为多权利束配置问题。通过区分基础权利、使用权利、衍生权利和治理权利，本文补充了三权分置框架在城市公共数据场景中的细化表达，有助于解释多主体共同生成、共同使用和共同承担责任的数据治理现实。</w:t>
      </w:r>
    </w:p>
    <w:p w14:paraId="147B64F2">
      <w:pPr>
        <w:pStyle w:val="3"/>
      </w:pPr>
      <w:r>
        <w:rPr>
          <w:rFonts w:hint="eastAsia"/>
        </w:rPr>
        <w:t>第二，本文提出ECHO协议作为制度规则向链上机制转译的中间框架。现有研究常将制度建构与区块链应用分开讨论，前者偏重规范分析，后者偏重技术原型。本文试图在二者之间建立协议层，使主体、数据单元、权利束、用途限制和行为日志能够形成统一表达。</w:t>
      </w:r>
    </w:p>
    <w:p w14:paraId="223842E9">
      <w:pPr>
        <w:pStyle w:val="3"/>
      </w:pPr>
      <w:r>
        <w:rPr>
          <w:rFonts w:hint="eastAsia"/>
        </w:rPr>
        <w:t>第三，本文将确权机制与责任追溯机制整合为动态治理闭环。确权不是目的本身，而是为了支撑合规使用、价值流通和责任认定。通过“主体—权属—行为—后果”的链条设计，本文强调公共数据确权应同时服务于权利配置与责任治理。</w:t>
      </w:r>
    </w:p>
    <w:bookmarkEnd w:id="43"/>
    <w:p w14:paraId="26652CF3">
      <w:pPr>
        <w:pStyle w:val="5"/>
      </w:pPr>
      <w:bookmarkStart w:id="44" w:name="二实践价值"/>
      <w:r>
        <w:rPr>
          <w:rFonts w:hint="eastAsia"/>
        </w:rPr>
        <w:t>（二）实践价值</w:t>
      </w:r>
    </w:p>
    <w:p w14:paraId="40313D6D">
      <w:pPr>
        <w:pStyle w:val="23"/>
      </w:pPr>
      <w:r>
        <w:rPr>
          <w:rFonts w:hint="eastAsia"/>
        </w:rPr>
        <w:t>在实践层面，本文提出的路径可为城市公共数据平台建设提供三类支持。</w:t>
      </w:r>
    </w:p>
    <w:p w14:paraId="1E3EB265">
      <w:pPr>
        <w:pStyle w:val="3"/>
      </w:pPr>
      <w:r>
        <w:rPr>
          <w:rFonts w:hint="eastAsia"/>
        </w:rPr>
        <w:t>第一，为公共数据授权提供可执行规则。通过智能合约和用途控制，公共数据授权可以从线下审批和人工记录转向自动校验和链上留痕，提高合规性和透明度。</w:t>
      </w:r>
    </w:p>
    <w:p w14:paraId="2040B23D">
      <w:pPr>
        <w:pStyle w:val="3"/>
      </w:pPr>
      <w:r>
        <w:rPr>
          <w:rFonts w:hint="eastAsia"/>
        </w:rPr>
        <w:t>第二，为跨部门数据共享提供可信凭证。链上确权和行为日志有助于降低部门间共享的不信任，明确数据使用后的责任边界，从而缓解“愿不愿共享”和“出了问题谁负责”的治理难题。</w:t>
      </w:r>
    </w:p>
    <w:p w14:paraId="15F4389E">
      <w:pPr>
        <w:pStyle w:val="3"/>
      </w:pPr>
      <w:r>
        <w:rPr>
          <w:rFonts w:hint="eastAsia"/>
        </w:rPr>
        <w:t>第三，为数据要素流通提供责任化基础。公共数据进入市场化利用时，必须解决公共利益保护、收益分配和滥用防控问题。多权利链上治理可记录数据来源、加工贡献和使用行为，为数据产品经营和收益分配提供证据基础。</w:t>
      </w:r>
    </w:p>
    <w:bookmarkEnd w:id="42"/>
    <w:bookmarkEnd w:id="44"/>
    <w:p w14:paraId="017CB09B">
      <w:pPr>
        <w:pStyle w:val="4"/>
      </w:pPr>
      <w:bookmarkStart w:id="45" w:name="十二风险与局限"/>
      <w:r>
        <w:rPr>
          <w:rFonts w:hint="eastAsia"/>
        </w:rPr>
        <w:t>十二、风险与局限</w:t>
      </w:r>
    </w:p>
    <w:p w14:paraId="61ED1402">
      <w:pPr>
        <w:pStyle w:val="23"/>
      </w:pPr>
      <w:r>
        <w:rPr>
          <w:rFonts w:hint="eastAsia"/>
        </w:rPr>
        <w:t>本文所提出的ECHO协议和链上治理路径仍处于阶段性研究原型阶段，存在若干局限。</w:t>
      </w:r>
    </w:p>
    <w:p w14:paraId="58328B3D">
      <w:pPr>
        <w:pStyle w:val="3"/>
      </w:pPr>
      <w:r>
        <w:rPr>
          <w:rFonts w:hint="eastAsia"/>
        </w:rPr>
        <w:t>第一，链上机制不能替代制度授权。智能合约只能执行已明确的规则，对于法律原则、公共利益衡量和复杂责任判断仍需依赖制度程序和人工审查。因此，链上治理应被理解为制度执行工具，而非独立的规则来源。</w:t>
      </w:r>
    </w:p>
    <w:p w14:paraId="06F70DB7">
      <w:pPr>
        <w:pStyle w:val="3"/>
      </w:pPr>
      <w:r>
        <w:rPr>
          <w:rFonts w:hint="eastAsia"/>
        </w:rPr>
        <w:t>第二，数据质量和标准化问题不能由确权机制单独解决。若原始数据存在不完整、不准确、不一致或标准不统一问题，即使完成链上确权，也可能影响后续使用效果。因此，确权机制应与数据质量治理、元数据管理和标准体系建设同步推进。</w:t>
      </w:r>
    </w:p>
    <w:p w14:paraId="37FE87A7">
      <w:pPr>
        <w:pStyle w:val="3"/>
      </w:pPr>
      <w:r>
        <w:rPr>
          <w:rFonts w:hint="eastAsia"/>
        </w:rPr>
        <w:t>第三，链上日志与隐私保护之间需要平衡。虽然本文主张原始数据不上链，但行为日志本身也可能暴露敏感业务信息。因此，日志上链应遵循最小必要原则，必要时对主体、接口和参数进行分级可见或加密处理。</w:t>
      </w:r>
    </w:p>
    <w:p w14:paraId="3C2C6655">
      <w:pPr>
        <w:pStyle w:val="3"/>
      </w:pPr>
      <w:r>
        <w:rPr>
          <w:rFonts w:hint="eastAsia"/>
        </w:rPr>
        <w:t>第四，跨平台互操作仍需进一步验证。城市公共数据平台通常存在多系统、多标准、多部门和多供应商问题。ECHO协议若要大规模推广，需要进一步形成统一接口规范、权利表达标准和合约模板库。</w:t>
      </w:r>
    </w:p>
    <w:p w14:paraId="0A15079F">
      <w:pPr>
        <w:pStyle w:val="3"/>
      </w:pPr>
      <w:r>
        <w:rPr>
          <w:rFonts w:hint="eastAsia"/>
        </w:rPr>
        <w:t>第五，收益分配机制尚需深化。本文主要聚焦确权、授权、用途控制和行为追溯，对数据产品经营中的收益分配、贡献计量和公共价值返还仅作初步讨论。后续研究可结合数据产品交易案例进一步展开。</w:t>
      </w:r>
    </w:p>
    <w:bookmarkEnd w:id="45"/>
    <w:p w14:paraId="2A59C0E9">
      <w:pPr>
        <w:pStyle w:val="4"/>
      </w:pPr>
      <w:bookmarkStart w:id="46" w:name="十三结论"/>
      <w:r>
        <w:rPr>
          <w:rFonts w:hint="eastAsia"/>
        </w:rPr>
        <w:t>十三、结论</w:t>
      </w:r>
    </w:p>
    <w:p w14:paraId="01E5B0B8">
      <w:pPr>
        <w:pStyle w:val="23"/>
      </w:pPr>
      <w:r>
        <w:rPr>
          <w:rFonts w:hint="eastAsia"/>
        </w:rPr>
        <w:t>城市公共数据确权是数据要素制度在城市治理层面的关键落点。面对公共数据多主体生成、多场景使用、多权利交织和多责任耦合的现实特征，确权机制不能停留于静态登记和单一权属判定，而应转向多权利束的结构化配置与动态责任治理。本文基于“数据二十条”的三权分置思路，结合前期形成的ECHO协议，提出了面向城市公共数据的多权利链上治理路径。</w:t>
      </w:r>
    </w:p>
    <w:p w14:paraId="3D3CB8A0">
      <w:pPr>
        <w:pStyle w:val="3"/>
      </w:pPr>
      <w:r>
        <w:rPr>
          <w:rFonts w:hint="eastAsia"/>
        </w:rPr>
        <w:t>本文的核心观点是：城市公共数据确权应以数据单元标识为基础，以权利束拆分为核心，以用途控制为关键，以链上日志为证据，以责任反馈为闭环。ECHO协议通过确权证据、合约控制、哈希留痕和操作审计，将制度规则转化为可执行、可限制、可追溯的技术机制，为公共数据可信流通提供了中间层方案。在医疗、轨道交通和社区治理三个典型场景中，该机制分别展现出高敏数据沙箱使用、聚合数据分级授权和基层任务化授权等不同适配路径，说明其具有一定的模块化和迁移潜力。</w:t>
      </w:r>
    </w:p>
    <w:p w14:paraId="3E391235">
      <w:pPr>
        <w:pStyle w:val="3"/>
      </w:pPr>
      <w:r>
        <w:rPr>
          <w:rFonts w:hint="eastAsia"/>
        </w:rPr>
        <w:t>作为第3阶段研究成果，本文重点完成了链上确权机制原型的制度化表达，形成了多权利分离、用途控制和行为追溯的合约逻辑，并围绕典型城市场景进行了流程嵌入分析。后续研究应进一步推进三个方向：一是在测试链环境中细化合约部署和权限调用测试，形成更完整的原型验证材料；二是结合具体城市平台或部门数据流程开展访谈与案例分析，增强经验支撑；三是深化数据产品经营权、收益分配和公共价值返还机制研究，使确权机制能够进一步服务于数据要素市场建设。</w:t>
      </w:r>
    </w:p>
    <w:p w14:paraId="40C04612">
      <w:r>
        <w:pict>
          <v:rect id="_x0000_i1026" o:spt="1" style="height:1.5pt;width:0pt;" coordsize="21600,21600" o:hr="t" o:hrstd="t" o:hralign="center">
            <v:path/>
            <v:fill focussize="0,0"/>
            <v:stroke/>
            <v:imagedata o:title=""/>
            <o:lock v:ext="edit"/>
            <w10:wrap type="none"/>
            <w10:anchorlock/>
          </v:rect>
        </w:pict>
      </w:r>
    </w:p>
    <w:bookmarkEnd w:id="46"/>
    <w:p w14:paraId="08D90641">
      <w:pPr>
        <w:pStyle w:val="4"/>
      </w:pPr>
      <w:bookmarkStart w:id="47" w:name="参考文献"/>
      <w:r>
        <w:rPr>
          <w:rFonts w:hint="eastAsia"/>
        </w:rPr>
        <w:t>参考文献</w:t>
      </w:r>
    </w:p>
    <w:p w14:paraId="1394ACA9">
      <w:pPr>
        <w:pStyle w:val="23"/>
      </w:pPr>
      <w:r>
        <w:t xml:space="preserve">[1] </w:t>
      </w:r>
      <w:r>
        <w:rPr>
          <w:rFonts w:hint="eastAsia"/>
        </w:rPr>
        <w:t>田晓萍.</w:t>
      </w:r>
      <w:r>
        <w:t xml:space="preserve"> </w:t>
      </w:r>
      <w:r>
        <w:rPr>
          <w:rFonts w:hint="eastAsia"/>
        </w:rPr>
        <w:t>贸易壁垒视角下的欧盟《一般数据保护条例》[J].</w:t>
      </w:r>
      <w:r>
        <w:t xml:space="preserve"> </w:t>
      </w:r>
      <w:r>
        <w:rPr>
          <w:rFonts w:hint="eastAsia"/>
        </w:rPr>
        <w:t>政法论丛,</w:t>
      </w:r>
      <w:r>
        <w:t xml:space="preserve"> 2019(04):123-135.</w:t>
      </w:r>
    </w:p>
    <w:p w14:paraId="73755624">
      <w:pPr>
        <w:pStyle w:val="3"/>
      </w:pPr>
      <w:r>
        <w:t xml:space="preserve">[2] </w:t>
      </w:r>
      <w:r>
        <w:rPr>
          <w:rFonts w:hint="eastAsia"/>
        </w:rPr>
        <w:t>周秀娟,</w:t>
      </w:r>
      <w:r>
        <w:t xml:space="preserve"> </w:t>
      </w:r>
      <w:r>
        <w:rPr>
          <w:rFonts w:hint="eastAsia"/>
        </w:rPr>
        <w:t>张一.</w:t>
      </w:r>
      <w:r>
        <w:t xml:space="preserve"> </w:t>
      </w:r>
      <w:r>
        <w:rPr>
          <w:rFonts w:hint="eastAsia"/>
        </w:rPr>
        <w:t>从“权益论”到“权利论”:企业数据集合的确权保护[J/OL].</w:t>
      </w:r>
      <w:r>
        <w:t xml:space="preserve"> </w:t>
      </w:r>
      <w:r>
        <w:rPr>
          <w:rFonts w:hint="eastAsia"/>
        </w:rPr>
        <w:t>行政与法,</w:t>
      </w:r>
      <w:r>
        <w:t xml:space="preserve"> 1-13[2025-05-20].</w:t>
      </w:r>
    </w:p>
    <w:p w14:paraId="347302AA">
      <w:pPr>
        <w:pStyle w:val="3"/>
      </w:pPr>
      <w:r>
        <w:t xml:space="preserve">[3] </w:t>
      </w:r>
      <w:r>
        <w:rPr>
          <w:rFonts w:hint="eastAsia"/>
        </w:rPr>
        <w:t>申卫星.</w:t>
      </w:r>
      <w:r>
        <w:t xml:space="preserve"> </w:t>
      </w:r>
      <w:r>
        <w:rPr>
          <w:rFonts w:hint="eastAsia"/>
        </w:rPr>
        <w:t>数据产权的力度和限度[J].</w:t>
      </w:r>
      <w:r>
        <w:t xml:space="preserve"> </w:t>
      </w:r>
      <w:r>
        <w:rPr>
          <w:rFonts w:hint="eastAsia"/>
        </w:rPr>
        <w:t>东方法学,</w:t>
      </w:r>
      <w:r>
        <w:t xml:space="preserve"> 2025(1):32-45.</w:t>
      </w:r>
    </w:p>
    <w:p w14:paraId="31AD6238">
      <w:pPr>
        <w:pStyle w:val="3"/>
      </w:pPr>
      <w:r>
        <w:t xml:space="preserve">[4] </w:t>
      </w:r>
      <w:r>
        <w:rPr>
          <w:rFonts w:hint="eastAsia"/>
        </w:rPr>
        <w:t>叶明,</w:t>
      </w:r>
      <w:r>
        <w:t xml:space="preserve"> </w:t>
      </w:r>
      <w:r>
        <w:rPr>
          <w:rFonts w:hint="eastAsia"/>
        </w:rPr>
        <w:t>朱佳佳.</w:t>
      </w:r>
      <w:r>
        <w:t xml:space="preserve"> </w:t>
      </w:r>
      <w:r>
        <w:rPr>
          <w:rFonts w:hint="eastAsia"/>
        </w:rPr>
        <w:t>公共数据“三权分置”路径的理论证成与具体展开[J].</w:t>
      </w:r>
      <w:r>
        <w:t xml:space="preserve"> </w:t>
      </w:r>
      <w:r>
        <w:rPr>
          <w:rFonts w:hint="eastAsia"/>
        </w:rPr>
        <w:t>中国海商法研究,</w:t>
      </w:r>
      <w:r>
        <w:t xml:space="preserve"> 2025,36(01):43-55.</w:t>
      </w:r>
    </w:p>
    <w:p w14:paraId="2F8D93EA">
      <w:pPr>
        <w:pStyle w:val="3"/>
      </w:pPr>
      <w:r>
        <w:t xml:space="preserve">[5] </w:t>
      </w:r>
      <w:r>
        <w:rPr>
          <w:rFonts w:hint="eastAsia"/>
        </w:rPr>
        <w:t>罗亚文.</w:t>
      </w:r>
      <w:r>
        <w:t xml:space="preserve"> </w:t>
      </w:r>
      <w:r>
        <w:rPr>
          <w:rFonts w:hint="eastAsia"/>
        </w:rPr>
        <w:t>数据产权登记制度：从实践探索到理论构建——基于确权与交易的视角[J].</w:t>
      </w:r>
      <w:r>
        <w:t xml:space="preserve"> </w:t>
      </w:r>
      <w:r>
        <w:rPr>
          <w:rFonts w:hint="eastAsia"/>
        </w:rPr>
        <w:t>理论与改革,</w:t>
      </w:r>
      <w:r>
        <w:t xml:space="preserve"> 2025(02):74-91.</w:t>
      </w:r>
    </w:p>
    <w:p w14:paraId="057954B3">
      <w:pPr>
        <w:pStyle w:val="3"/>
      </w:pPr>
      <w:r>
        <w:t xml:space="preserve">[6] </w:t>
      </w:r>
      <w:r>
        <w:rPr>
          <w:rFonts w:hint="eastAsia"/>
        </w:rPr>
        <w:t>刘鑫.</w:t>
      </w:r>
      <w:r>
        <w:t xml:space="preserve"> </w:t>
      </w:r>
      <w:r>
        <w:rPr>
          <w:rFonts w:hint="eastAsia"/>
        </w:rPr>
        <w:t>数据知识产权确权登记的规范理路与制度架构[J].</w:t>
      </w:r>
      <w:r>
        <w:t xml:space="preserve"> </w:t>
      </w:r>
      <w:r>
        <w:rPr>
          <w:rFonts w:hint="eastAsia"/>
        </w:rPr>
        <w:t>华中科技大学学报(社会科学版),</w:t>
      </w:r>
      <w:r>
        <w:t xml:space="preserve"> 2025,39(02):90-98.</w:t>
      </w:r>
    </w:p>
    <w:p w14:paraId="557549DB">
      <w:pPr>
        <w:pStyle w:val="3"/>
      </w:pPr>
      <w:r>
        <w:t xml:space="preserve">[7] </w:t>
      </w:r>
      <w:r>
        <w:rPr>
          <w:rFonts w:hint="eastAsia"/>
        </w:rPr>
        <w:t>汪小龙.</w:t>
      </w:r>
      <w:r>
        <w:t xml:space="preserve"> </w:t>
      </w:r>
      <w:r>
        <w:rPr>
          <w:rFonts w:hint="eastAsia"/>
        </w:rPr>
        <w:t>企业数据资产确权、管理与交易问题探究[J].</w:t>
      </w:r>
      <w:r>
        <w:t xml:space="preserve"> </w:t>
      </w:r>
      <w:r>
        <w:rPr>
          <w:rFonts w:hint="eastAsia"/>
        </w:rPr>
        <w:t>财会月刊,</w:t>
      </w:r>
      <w:r>
        <w:t xml:space="preserve"> 2025,46(02):78-83.</w:t>
      </w:r>
    </w:p>
    <w:p w14:paraId="35BCF8C3">
      <w:pPr>
        <w:pStyle w:val="3"/>
      </w:pPr>
      <w:r>
        <w:t xml:space="preserve">[8] </w:t>
      </w:r>
      <w:r>
        <w:rPr>
          <w:rFonts w:hint="eastAsia"/>
        </w:rPr>
        <w:t>孟倩.</w:t>
      </w:r>
      <w:r>
        <w:t xml:space="preserve"> </w:t>
      </w:r>
      <w:r>
        <w:rPr>
          <w:rFonts w:hint="eastAsia"/>
        </w:rPr>
        <w:t>数据财产权确权问题研究——从法律关系三要素的角度分析[J].</w:t>
      </w:r>
      <w:r>
        <w:t xml:space="preserve"> </w:t>
      </w:r>
      <w:r>
        <w:rPr>
          <w:rFonts w:hint="eastAsia"/>
        </w:rPr>
        <w:t>市场周刊,</w:t>
      </w:r>
      <w:r>
        <w:t xml:space="preserve"> 2025,38(13):167-170.</w:t>
      </w:r>
    </w:p>
    <w:p w14:paraId="20A79436">
      <w:pPr>
        <w:pStyle w:val="3"/>
      </w:pPr>
      <w:r>
        <w:t xml:space="preserve">[9] </w:t>
      </w:r>
      <w:r>
        <w:rPr>
          <w:rFonts w:hint="eastAsia"/>
        </w:rPr>
        <w:t>阮神裕.</w:t>
      </w:r>
      <w:r>
        <w:t xml:space="preserve"> </w:t>
      </w:r>
      <w:r>
        <w:rPr>
          <w:rFonts w:hint="eastAsia"/>
        </w:rPr>
        <w:t>数据可以占有吗?——兼论数据持有的法律构造[J].</w:t>
      </w:r>
      <w:r>
        <w:t xml:space="preserve"> </w:t>
      </w:r>
      <w:r>
        <w:rPr>
          <w:rFonts w:hint="eastAsia"/>
        </w:rPr>
        <w:t>华东政法大学学报,</w:t>
      </w:r>
      <w:r>
        <w:t xml:space="preserve"> 2025,28(02):20-33.</w:t>
      </w:r>
    </w:p>
    <w:p w14:paraId="3F5A91A2">
      <w:pPr>
        <w:pStyle w:val="3"/>
      </w:pPr>
      <w:r>
        <w:t xml:space="preserve">[10] </w:t>
      </w:r>
      <w:r>
        <w:rPr>
          <w:rFonts w:hint="eastAsia"/>
        </w:rPr>
        <w:t>王东初,</w:t>
      </w:r>
      <w:r>
        <w:t xml:space="preserve"> </w:t>
      </w:r>
      <w:r>
        <w:rPr>
          <w:rFonts w:hint="eastAsia"/>
        </w:rPr>
        <w:t>伏玉笋,</w:t>
      </w:r>
      <w:r>
        <w:t xml:space="preserve"> </w:t>
      </w:r>
      <w:r>
        <w:rPr>
          <w:rFonts w:hint="eastAsia"/>
        </w:rPr>
        <w:t>于亚.</w:t>
      </w:r>
      <w:r>
        <w:t xml:space="preserve"> </w:t>
      </w:r>
      <w:r>
        <w:rPr>
          <w:rFonts w:hint="eastAsia"/>
        </w:rPr>
        <w:t>基于区块链的工业数据资产可信确权与价值流转方案及其轻量化研究[J/OL].</w:t>
      </w:r>
      <w:r>
        <w:t xml:space="preserve"> </w:t>
      </w:r>
      <w:r>
        <w:rPr>
          <w:rFonts w:hint="eastAsia"/>
        </w:rPr>
        <w:t>电信科学,</w:t>
      </w:r>
      <w:r>
        <w:t xml:space="preserve"> 1-27[2025-05-20].</w:t>
      </w:r>
    </w:p>
    <w:p w14:paraId="12CBB158">
      <w:pPr>
        <w:pStyle w:val="3"/>
      </w:pPr>
      <w:r>
        <w:t xml:space="preserve">[11] </w:t>
      </w:r>
      <w:r>
        <w:rPr>
          <w:rFonts w:hint="eastAsia"/>
        </w:rPr>
        <w:t>兰亚杰,</w:t>
      </w:r>
      <w:r>
        <w:t xml:space="preserve"> </w:t>
      </w:r>
      <w:r>
        <w:rPr>
          <w:rFonts w:hint="eastAsia"/>
        </w:rPr>
        <w:t>马自强,</w:t>
      </w:r>
      <w:r>
        <w:t xml:space="preserve"> </w:t>
      </w:r>
      <w:r>
        <w:rPr>
          <w:rFonts w:hint="eastAsia"/>
        </w:rPr>
        <w:t>苗莉,</w:t>
      </w:r>
      <w:r>
        <w:t xml:space="preserve"> </w:t>
      </w:r>
      <w:r>
        <w:rPr>
          <w:rFonts w:hint="eastAsia"/>
        </w:rPr>
        <w:t>等.</w:t>
      </w:r>
      <w:r>
        <w:t xml:space="preserve"> </w:t>
      </w:r>
      <w:r>
        <w:rPr>
          <w:rFonts w:hint="eastAsia"/>
        </w:rPr>
        <w:t>基于区块链的图像数字版权保护系统[J].</w:t>
      </w:r>
      <w:r>
        <w:t xml:space="preserve"> </w:t>
      </w:r>
      <w:r>
        <w:rPr>
          <w:rFonts w:hint="eastAsia"/>
        </w:rPr>
        <w:t>应用科学学报,</w:t>
      </w:r>
      <w:r>
        <w:t xml:space="preserve"> 2025,43(02):315-333.</w:t>
      </w:r>
    </w:p>
    <w:p w14:paraId="558551A2">
      <w:pPr>
        <w:pStyle w:val="3"/>
      </w:pPr>
      <w:r>
        <w:t>[12] Balistri E, Casellato F, Giannelli C, et al. BlockHealth: Blockchain-based secure and peer-to-peer health information sharing with data protection and right to be forgotten[J]. ICT Express, 2021,7(3):308-315.</w:t>
      </w:r>
    </w:p>
    <w:p w14:paraId="35BCF871">
      <w:pPr>
        <w:pStyle w:val="3"/>
      </w:pPr>
      <w:r>
        <w:t>[13] Wang L, Huang S, Zuo L, et al. RCDS: a right-confirmable data-sharing model based on symbol mapping coding and blockchain[J]. Frontiers of Information Technology &amp; Electronic Engineering, 2023,24(8):1194-1213.</w:t>
      </w:r>
    </w:p>
    <w:p w14:paraId="5375DC65">
      <w:pPr>
        <w:pStyle w:val="3"/>
      </w:pPr>
      <w:r>
        <w:t>[14] Miao F, Fan W, Yang W, et al. The study of data-oriented and ownership-based security architecture in open internet environment[C]. Proceedings of the 3rd International Conference on Cryptography, Security and Privacy. 2019:121-129.</w:t>
      </w:r>
    </w:p>
    <w:p w14:paraId="6BD8ED5A">
      <w:pPr>
        <w:pStyle w:val="3"/>
      </w:pPr>
      <w:r>
        <w:t>[15] Fujiwara N, Yokoyama S. Ownership protection system for partial areas on image data using ethereum blockchain[J]. Computer Science and Information Systems, 2023,20(4):1687-1705.</w:t>
      </w:r>
    </w:p>
    <w:p w14:paraId="7D98CD29">
      <w:pPr>
        <w:pStyle w:val="3"/>
      </w:pPr>
      <w:r>
        <w:t>[16] Yuan G, Feng L, Ning J, et al. Survey on the application of blockchain in digital rights protection[C]. 2020 International Conference on Intelligent Computing and Human-Computer Interaction. IEEE, 2020:183-187.</w:t>
      </w:r>
    </w:p>
    <w:p w14:paraId="75A0F067">
      <w:pPr>
        <w:pStyle w:val="3"/>
      </w:pPr>
      <w:r>
        <w:t>[17] Qiu Z, Zhu Y F. Traceability anti-counterfeiting system based on the ownership of edge computing on the blockchain[J]. Journal of Ambient Intelligence and Humanized Computing, 2023,14(1):257-270.</w:t>
      </w:r>
    </w:p>
    <w:p w14:paraId="22721A36">
      <w:r>
        <w:pict>
          <v:rect id="_x0000_i1027" o:spt="1" style="height:1.5pt;width:0pt;" coordsize="21600,21600" o:hr="t" o:hrstd="t" o:hralign="center">
            <v:path/>
            <v:fill focussize="0,0"/>
            <v:stroke/>
            <v:imagedata o:title=""/>
            <o:lock v:ext="edit"/>
            <w10:wrap type="none"/>
            <w10:anchorlock/>
          </v:rect>
        </w:pict>
      </w:r>
    </w:p>
    <w:bookmarkEnd w:id="47"/>
    <w:p w14:paraId="05D77A2D">
      <w:pPr>
        <w:pStyle w:val="4"/>
      </w:pPr>
      <w:bookmarkStart w:id="48" w:name="附可进一步扩展为正式论文的修改方向"/>
      <w:r>
        <w:rPr>
          <w:rFonts w:hint="eastAsia"/>
        </w:rPr>
        <w:t>附：可进一步扩展为正式论文的修改方向</w:t>
      </w:r>
    </w:p>
    <w:p w14:paraId="05167CB4">
      <w:pPr>
        <w:numPr>
          <w:ilvl w:val="0"/>
          <w:numId w:val="1"/>
        </w:numPr>
      </w:pPr>
      <w:r>
        <w:rPr>
          <w:rFonts w:hint="eastAsia"/>
        </w:rPr>
        <w:t>在引言部分补充地方公共数据条例、公共数据授权运营实践与数据交易机构实践，以增强现实问题意识。</w:t>
      </w:r>
    </w:p>
    <w:p w14:paraId="17CECFA4">
      <w:pPr>
        <w:numPr>
          <w:ilvl w:val="0"/>
          <w:numId w:val="1"/>
        </w:numPr>
      </w:pPr>
      <w:r>
        <w:rPr>
          <w:rFonts w:hint="eastAsia"/>
        </w:rPr>
        <w:t>在第四、五部分增加合约伪代码、状态转换图和权利束表格，使机制设计更具技术可读性。</w:t>
      </w:r>
    </w:p>
    <w:p w14:paraId="058CCEC0">
      <w:pPr>
        <w:numPr>
          <w:ilvl w:val="0"/>
          <w:numId w:val="1"/>
        </w:numPr>
      </w:pPr>
      <w:r>
        <w:rPr>
          <w:rFonts w:hint="eastAsia"/>
        </w:rPr>
        <w:t>在医疗、交通和社区三类场景中补充案例访谈或模拟测试表，包括主体角色、数据单元、授权条件、调用结果和审计反馈。</w:t>
      </w:r>
    </w:p>
    <w:p w14:paraId="2A24C65B">
      <w:pPr>
        <w:numPr>
          <w:ilvl w:val="0"/>
          <w:numId w:val="1"/>
        </w:numPr>
      </w:pPr>
      <w:r>
        <w:rPr>
          <w:rFonts w:hint="eastAsia"/>
        </w:rPr>
        <w:t>在结论前增加“讨论”部分，将ECHO协议与数据空间、隐私计算、数据登记制度和数据交易制度进行比较。</w:t>
      </w:r>
    </w:p>
    <w:p w14:paraId="5DF8F208">
      <w:pPr>
        <w:numPr>
          <w:ilvl w:val="0"/>
          <w:numId w:val="1"/>
        </w:numPr>
      </w:pPr>
      <w:r>
        <w:rPr>
          <w:rFonts w:hint="eastAsia"/>
        </w:rPr>
        <w:t>后续若面向期刊投稿，可将题目进一步收敛为“城市公共数据确权的多权利链上治理机制研究——基于ECHO协议的制度技术融合框架”。</w:t>
      </w:r>
    </w:p>
    <w:bookmarkEnd w:id="0"/>
    <w:bookmarkEnd w:id="4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9C3E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2066</Words>
  <Characters>2082</Characters>
  <Lines>12</Lines>
  <Paragraphs>8</Paragraphs>
  <TotalTime>40</TotalTime>
  <ScaleCrop>false</ScaleCrop>
  <LinksUpToDate>false</LinksUpToDate>
  <CharactersWithSpaces>2082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2026-05-18T15:42:00Z</dcterms:created>
  <dc:creator>周雅婷</dc:creator>
  <cp:lastModifiedBy>周雅婷</cp:lastModifiedBy>
  <dcterms:modified xsi:type="dcterms:W3CDTF">2026-05-21T09:42:00Z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2A35723003874C2B88534A1585D537CC_13</vt:lpwstr>
  </property>
</Properties>
</file>