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4E79"/>
          <w:sz w:val="48"/>
        </w:rPr>
        <w:t>GitHub Copilot CLI</w:t>
        <w:br/>
        <w:t>Prompt-to-Skill Migration and Agent</w:t>
        <w:br/>
        <w:t>Workflow Recommendation</w:t>
      </w:r>
    </w:p>
    <w:p>
      <w:r>
        <w:rPr>
          <w:i/>
          <w:color w:val="606060"/>
          <w:sz w:val="22"/>
        </w:rPr>
        <w:t>Stakeholder briefing document</w:t>
      </w:r>
    </w:p>
    <w:tbl>
      <w:tblPr>
        <w:tblStyle w:val="TableGrid"/>
        <w:tblW w:type="auto" w:w="0"/>
        <w:jc w:val="center"/>
        <w:tblLook w:firstColumn="1" w:firstRow="1" w:lastColumn="0" w:lastRow="0" w:noHBand="0" w:noVBand="1" w:val="04A0"/>
      </w:tblPr>
      <w:tblGrid>
        <w:gridCol w:w="9936"/>
      </w:tblGrid>
      <w:tr>
        <w:tc>
          <w:tcPr>
            <w:tcW w:type="dxa" w:w="9936"/>
            <w:shd w:fill="F5F7FB"/>
            <w:tcMar>
              <w:top w:w="100" w:type="dxa"/>
              <w:start w:w="120" w:type="dxa"/>
              <w:bottom w:w="100" w:type="dxa"/>
              <w:end w:w="120" w:type="dxa"/>
            </w:tcMar>
            <w:vAlign w:val="center"/>
          </w:tcPr>
          <w:p>
            <w:r>
              <w:rPr>
                <w:b/>
                <w:color w:val="1F4E79"/>
                <w:sz w:val="24"/>
              </w:rPr>
              <w:t>Executive summary</w:t>
              <w:br/>
            </w:r>
            <w:r>
              <w:rPr>
                <w:sz w:val="21"/>
              </w:rPr>
              <w:t>The current workflow uses separate AI prompts across separate sessions to avoid context-window pressure. In GitHub Copilot CLI, slash-command behavior differs from IDE chat: skills are supported, while prompt files are not. The recommended model is a phase-based architecture: one agent per major workflow phase, reusable skills inside each agent, and file-based artifacts as the source of truth between phases.</w:t>
            </w:r>
          </w:p>
        </w:tc>
      </w:tr>
    </w:tbl>
    <w:p>
      <w:r>
        <w:rPr>
          <w:color w:val="606060"/>
          <w:sz w:val="20"/>
        </w:rPr>
        <w:t>Prepared for: Stakeholders</w:t>
        <w:br/>
        <w:t>Date: April 13, 2026</w:t>
      </w:r>
    </w:p>
    <w:p>
      <w:pPr>
        <w:spacing w:before="120" w:after="80"/>
      </w:pPr>
      <w:r>
        <w:rPr>
          <w:b/>
          <w:color w:val="1F4E79"/>
          <w:sz w:val="21"/>
        </w:rPr>
        <w:t>Key decisions at a glance</w:t>
      </w:r>
    </w:p>
    <w:tbl>
      <w:tblPr>
        <w:tblStyle w:val="TableGrid"/>
        <w:tblW w:type="auto" w:w="0"/>
        <w:jc w:val="center"/>
        <w:tblLook w:firstColumn="1" w:firstRow="1" w:lastColumn="0" w:lastRow="0" w:noHBand="0" w:noVBand="1" w:val="04A0"/>
      </w:tblPr>
      <w:tblGrid>
        <w:gridCol w:w="4968"/>
        <w:gridCol w:w="4968"/>
      </w:tblGrid>
      <w:tr>
        <w:tc>
          <w:tcPr>
            <w:tcW w:type="dxa" w:w="4968"/>
            <w:shd w:fill="D9E2F3"/>
            <w:tcMar>
              <w:top w:w="80" w:type="dxa"/>
              <w:start w:w="100" w:type="dxa"/>
              <w:bottom w:w="80" w:type="dxa"/>
              <w:end w:w="100" w:type="dxa"/>
            </w:tcMar>
            <w:vAlign w:val="center"/>
          </w:tcPr>
          <w:p>
            <w:r>
              <w:rPr>
                <w:b/>
                <w:color w:val="1F4E79"/>
              </w:rPr>
              <w:t>Decision Area</w:t>
            </w:r>
          </w:p>
        </w:tc>
        <w:tc>
          <w:tcPr>
            <w:tcW w:type="dxa" w:w="4968"/>
            <w:shd w:fill="D9E2F3"/>
            <w:tcMar>
              <w:top w:w="80" w:type="dxa"/>
              <w:start w:w="100" w:type="dxa"/>
              <w:bottom w:w="80" w:type="dxa"/>
              <w:end w:w="100" w:type="dxa"/>
            </w:tcMar>
            <w:vAlign w:val="center"/>
          </w:tcPr>
          <w:p>
            <w:r>
              <w:rPr>
                <w:b/>
                <w:color w:val="1F4E79"/>
              </w:rPr>
              <w:t>Recommendation</w:t>
            </w:r>
          </w:p>
        </w:tc>
      </w:tr>
      <w:tr>
        <w:tc>
          <w:tcPr>
            <w:tcW w:type="dxa" w:w="4968"/>
            <w:tcMar>
              <w:top w:w="80" w:type="dxa"/>
              <w:start w:w="100" w:type="dxa"/>
              <w:bottom w:w="80" w:type="dxa"/>
              <w:end w:w="100" w:type="dxa"/>
            </w:tcMar>
            <w:vAlign w:val="center"/>
          </w:tcPr>
          <w:p>
            <w:r>
              <w:t>Slash-command strategy</w:t>
            </w:r>
          </w:p>
        </w:tc>
        <w:tc>
          <w:tcPr>
            <w:tcW w:type="dxa" w:w="4968"/>
            <w:tcMar>
              <w:top w:w="80" w:type="dxa"/>
              <w:start w:w="100" w:type="dxa"/>
              <w:bottom w:w="80" w:type="dxa"/>
              <w:end w:w="100" w:type="dxa"/>
            </w:tcMar>
            <w:vAlign w:val="center"/>
          </w:tcPr>
          <w:p>
            <w:r>
              <w:t>Use skills for CLI slash workflows; do not rely on prompt files in Copilot CLI.</w:t>
            </w:r>
          </w:p>
        </w:tc>
      </w:tr>
      <w:tr>
        <w:tc>
          <w:tcPr>
            <w:tcW w:type="dxa" w:w="4968"/>
            <w:tcMar>
              <w:top w:w="80" w:type="dxa"/>
              <w:start w:w="100" w:type="dxa"/>
              <w:bottom w:w="80" w:type="dxa"/>
              <w:end w:w="100" w:type="dxa"/>
            </w:tcMar>
            <w:vAlign w:val="center"/>
          </w:tcPr>
          <w:p>
            <w:r>
              <w:t>Workflow architecture</w:t>
            </w:r>
          </w:p>
        </w:tc>
        <w:tc>
          <w:tcPr>
            <w:tcW w:type="dxa" w:w="4968"/>
            <w:tcMar>
              <w:top w:w="80" w:type="dxa"/>
              <w:start w:w="100" w:type="dxa"/>
              <w:bottom w:w="80" w:type="dxa"/>
              <w:end w:w="100" w:type="dxa"/>
            </w:tcMar>
            <w:vAlign w:val="center"/>
          </w:tcPr>
          <w:p>
            <w:r>
              <w:t>Use one focused agent per major phase rather than one long-running orchestrator session.</w:t>
            </w:r>
          </w:p>
        </w:tc>
      </w:tr>
      <w:tr>
        <w:tc>
          <w:tcPr>
            <w:tcW w:type="dxa" w:w="4968"/>
            <w:tcMar>
              <w:top w:w="80" w:type="dxa"/>
              <w:start w:w="100" w:type="dxa"/>
              <w:bottom w:w="80" w:type="dxa"/>
              <w:end w:w="100" w:type="dxa"/>
            </w:tcMar>
            <w:vAlign w:val="center"/>
          </w:tcPr>
          <w:p>
            <w:r>
              <w:t>State management</w:t>
            </w:r>
          </w:p>
        </w:tc>
        <w:tc>
          <w:tcPr>
            <w:tcW w:type="dxa" w:w="4968"/>
            <w:tcMar>
              <w:top w:w="80" w:type="dxa"/>
              <w:start w:w="100" w:type="dxa"/>
              <w:bottom w:w="80" w:type="dxa"/>
              <w:end w:w="100" w:type="dxa"/>
            </w:tcMar>
            <w:vAlign w:val="center"/>
          </w:tcPr>
          <w:p>
            <w:r>
              <w:t>Treat markdown and code artifacts on disk as the source of truth between sessions.</w:t>
            </w:r>
          </w:p>
        </w:tc>
      </w:tr>
      <w:tr>
        <w:tc>
          <w:tcPr>
            <w:tcW w:type="dxa" w:w="4968"/>
            <w:tcMar>
              <w:top w:w="80" w:type="dxa"/>
              <w:start w:w="100" w:type="dxa"/>
              <w:bottom w:w="80" w:type="dxa"/>
              <w:end w:w="100" w:type="dxa"/>
            </w:tcMar>
            <w:vAlign w:val="center"/>
          </w:tcPr>
          <w:p>
            <w:r>
              <w:t>Parallelism</w:t>
            </w:r>
          </w:p>
        </w:tc>
        <w:tc>
          <w:tcPr>
            <w:tcW w:type="dxa" w:w="4968"/>
            <w:tcMar>
              <w:top w:w="80" w:type="dxa"/>
              <w:start w:w="100" w:type="dxa"/>
              <w:bottom w:w="80" w:type="dxa"/>
              <w:end w:w="100" w:type="dxa"/>
            </w:tcMar>
            <w:vAlign w:val="center"/>
          </w:tcPr>
          <w:p>
            <w:r>
              <w:t>Use sub-agents selectively inside phases where parallel analysis provides clear value.</w:t>
            </w:r>
          </w:p>
        </w:tc>
      </w:tr>
    </w:tbl>
    <w:p>
      <w:r>
        <w:br w:type="page"/>
      </w:r>
    </w:p>
    <w:p>
      <w:pPr>
        <w:pStyle w:val="Heading1"/>
      </w:pPr>
      <w:r>
        <w:t>1. Current workflow and context</w:t>
      </w:r>
    </w:p>
    <w:p>
      <w:r>
        <w:t>The team currently uses a multi-phase AI-assisted test automation workflow built around prompt files. Each prompt is run in a separate session to keep the working context small, reduce compaction risk, and keep outputs clean and reviewable.</w:t>
      </w:r>
    </w:p>
    <w:p>
      <w:pPr>
        <w:spacing w:before="120" w:after="80"/>
      </w:pPr>
      <w:r>
        <w:rPr>
          <w:b/>
          <w:color w:val="1F4E79"/>
          <w:sz w:val="21"/>
        </w:rPr>
        <w:t>Current workflow stages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2F3"/>
            <w:tcMar>
              <w:top w:w="80" w:type="dxa"/>
              <w:start w:w="100" w:type="dxa"/>
              <w:bottom w:w="80" w:type="dxa"/>
              <w:end w:w="100" w:type="dxa"/>
            </w:tcMar>
            <w:vAlign w:val="center"/>
          </w:tcPr>
          <w:p>
            <w:r>
              <w:rPr>
                <w:b/>
                <w:color w:val="1F4E79"/>
              </w:rPr>
              <w:t>Phase</w:t>
            </w:r>
          </w:p>
        </w:tc>
        <w:tc>
          <w:tcPr>
            <w:tcW w:type="dxa" w:w="3312"/>
            <w:shd w:fill="D9E2F3"/>
            <w:tcMar>
              <w:top w:w="80" w:type="dxa"/>
              <w:start w:w="100" w:type="dxa"/>
              <w:bottom w:w="80" w:type="dxa"/>
              <w:end w:w="100" w:type="dxa"/>
            </w:tcMar>
            <w:vAlign w:val="center"/>
          </w:tcPr>
          <w:p>
            <w:r>
              <w:rPr>
                <w:b/>
                <w:color w:val="1F4E79"/>
              </w:rPr>
              <w:t>Purpose</w:t>
            </w:r>
          </w:p>
        </w:tc>
        <w:tc>
          <w:tcPr>
            <w:tcW w:type="dxa" w:w="3312"/>
            <w:shd w:fill="D9E2F3"/>
            <w:tcMar>
              <w:top w:w="80" w:type="dxa"/>
              <w:start w:w="100" w:type="dxa"/>
              <w:bottom w:w="80" w:type="dxa"/>
              <w:end w:w="100" w:type="dxa"/>
            </w:tcMar>
            <w:vAlign w:val="center"/>
          </w:tcPr>
          <w:p>
            <w:r>
              <w:rPr>
                <w:b/>
                <w:color w:val="1F4E79"/>
              </w:rPr>
              <w:t>Primary Output</w:t>
            </w:r>
          </w:p>
        </w:tc>
      </w:tr>
      <w:tr>
        <w:tc>
          <w:tcPr>
            <w:tcW w:type="dxa" w:w="3312"/>
            <w:tcMar>
              <w:top w:w="80" w:type="dxa"/>
              <w:start w:w="100" w:type="dxa"/>
              <w:bottom w:w="80" w:type="dxa"/>
              <w:end w:w="100" w:type="dxa"/>
            </w:tcMar>
            <w:vAlign w:val="center"/>
          </w:tcPr>
          <w:p>
            <w:r>
              <w:t>Pull Jira story</w:t>
            </w:r>
          </w:p>
        </w:tc>
        <w:tc>
          <w:tcPr>
            <w:tcW w:type="dxa" w:w="3312"/>
            <w:tcMar>
              <w:top w:w="80" w:type="dxa"/>
              <w:start w:w="100" w:type="dxa"/>
              <w:bottom w:w="80" w:type="dxa"/>
              <w:end w:w="100" w:type="dxa"/>
            </w:tcMar>
            <w:vAlign w:val="center"/>
          </w:tcPr>
          <w:p>
            <w:r>
              <w:t>Retrieve the Jira story by ID, pull context from MCP/Jira, and write the story into the AI docs folder.</w:t>
            </w:r>
          </w:p>
        </w:tc>
        <w:tc>
          <w:tcPr>
            <w:tcW w:type="dxa" w:w="3312"/>
            <w:tcMar>
              <w:top w:w="80" w:type="dxa"/>
              <w:start w:w="100" w:type="dxa"/>
              <w:bottom w:w="80" w:type="dxa"/>
              <w:end w:w="100" w:type="dxa"/>
            </w:tcMar>
            <w:vAlign w:val="center"/>
          </w:tcPr>
          <w:p>
            <w:r>
              <w:t>story markdown file</w:t>
            </w:r>
          </w:p>
        </w:tc>
      </w:tr>
      <w:tr>
        <w:tc>
          <w:tcPr>
            <w:tcW w:type="dxa" w:w="3312"/>
            <w:tcMar>
              <w:top w:w="80" w:type="dxa"/>
              <w:start w:w="100" w:type="dxa"/>
              <w:bottom w:w="80" w:type="dxa"/>
              <w:end w:w="100" w:type="dxa"/>
            </w:tcMar>
            <w:vAlign w:val="center"/>
          </w:tcPr>
          <w:p>
            <w:r>
              <w:t>Analyze story</w:t>
            </w:r>
          </w:p>
        </w:tc>
        <w:tc>
          <w:tcPr>
            <w:tcW w:type="dxa" w:w="3312"/>
            <w:tcMar>
              <w:top w:w="80" w:type="dxa"/>
              <w:start w:w="100" w:type="dxa"/>
              <w:bottom w:w="80" w:type="dxa"/>
              <w:end w:w="100" w:type="dxa"/>
            </w:tcMar>
            <w:vAlign w:val="center"/>
          </w:tcPr>
          <w:p>
            <w:r>
              <w:t>Analyze the story and artifacts, generate clarification questions, scenarios, traceability, acceptance criteria interpretation, and hard rules.</w:t>
            </w:r>
          </w:p>
        </w:tc>
        <w:tc>
          <w:tcPr>
            <w:tcW w:type="dxa" w:w="3312"/>
            <w:tcMar>
              <w:top w:w="80" w:type="dxa"/>
              <w:start w:w="100" w:type="dxa"/>
              <w:bottom w:w="80" w:type="dxa"/>
              <w:end w:w="100" w:type="dxa"/>
            </w:tcMar>
            <w:vAlign w:val="center"/>
          </w:tcPr>
          <w:p>
            <w:r>
              <w:t>story-analysis.md</w:t>
            </w:r>
          </w:p>
        </w:tc>
      </w:tr>
      <w:tr>
        <w:tc>
          <w:tcPr>
            <w:tcW w:type="dxa" w:w="3312"/>
            <w:tcMar>
              <w:top w:w="80" w:type="dxa"/>
              <w:start w:w="100" w:type="dxa"/>
              <w:bottom w:w="80" w:type="dxa"/>
              <w:end w:w="100" w:type="dxa"/>
            </w:tcMar>
            <w:vAlign w:val="center"/>
          </w:tcPr>
          <w:p>
            <w:r>
              <w:t>Clarify story</w:t>
            </w:r>
          </w:p>
        </w:tc>
        <w:tc>
          <w:tcPr>
            <w:tcW w:type="dxa" w:w="3312"/>
            <w:tcMar>
              <w:top w:w="80" w:type="dxa"/>
              <w:start w:w="100" w:type="dxa"/>
              <w:bottom w:w="80" w:type="dxa"/>
              <w:end w:w="100" w:type="dxa"/>
            </w:tcMar>
            <w:vAlign w:val="center"/>
          </w:tcPr>
          <w:p>
            <w:r>
              <w:t>Resolve ambiguities and update the story analysis with clarified context.</w:t>
            </w:r>
          </w:p>
        </w:tc>
        <w:tc>
          <w:tcPr>
            <w:tcW w:type="dxa" w:w="3312"/>
            <w:tcMar>
              <w:top w:w="80" w:type="dxa"/>
              <w:start w:w="100" w:type="dxa"/>
              <w:bottom w:w="80" w:type="dxa"/>
              <w:end w:w="100" w:type="dxa"/>
            </w:tcMar>
            <w:vAlign w:val="center"/>
          </w:tcPr>
          <w:p>
            <w:r>
              <w:t>updated story-analysis.md</w:t>
            </w:r>
          </w:p>
        </w:tc>
      </w:tr>
      <w:tr>
        <w:tc>
          <w:tcPr>
            <w:tcW w:type="dxa" w:w="3312"/>
            <w:tcMar>
              <w:top w:w="80" w:type="dxa"/>
              <w:start w:w="100" w:type="dxa"/>
              <w:bottom w:w="80" w:type="dxa"/>
              <w:end w:w="100" w:type="dxa"/>
            </w:tcMar>
            <w:vAlign w:val="center"/>
          </w:tcPr>
          <w:p>
            <w:r>
              <w:t>Create test plan</w:t>
            </w:r>
          </w:p>
        </w:tc>
        <w:tc>
          <w:tcPr>
            <w:tcW w:type="dxa" w:w="3312"/>
            <w:tcMar>
              <w:top w:w="80" w:type="dxa"/>
              <w:start w:w="100" w:type="dxa"/>
              <w:bottom w:w="80" w:type="dxa"/>
              <w:end w:w="100" w:type="dxa"/>
            </w:tcMar>
            <w:vAlign w:val="center"/>
          </w:tcPr>
          <w:p>
            <w:r>
              <w:t>Produce a finalized and structured test plan from the story, analysis, and artifacts.</w:t>
            </w:r>
          </w:p>
        </w:tc>
        <w:tc>
          <w:tcPr>
            <w:tcW w:type="dxa" w:w="3312"/>
            <w:tcMar>
              <w:top w:w="80" w:type="dxa"/>
              <w:start w:w="100" w:type="dxa"/>
              <w:bottom w:w="80" w:type="dxa"/>
              <w:end w:w="100" w:type="dxa"/>
            </w:tcMar>
            <w:vAlign w:val="center"/>
          </w:tcPr>
          <w:p>
            <w:r>
              <w:t>test-plan.md</w:t>
            </w:r>
          </w:p>
        </w:tc>
      </w:tr>
      <w:tr>
        <w:tc>
          <w:tcPr>
            <w:tcW w:type="dxa" w:w="3312"/>
            <w:tcMar>
              <w:top w:w="80" w:type="dxa"/>
              <w:start w:w="100" w:type="dxa"/>
              <w:bottom w:w="80" w:type="dxa"/>
              <w:end w:w="100" w:type="dxa"/>
            </w:tcMar>
            <w:vAlign w:val="center"/>
          </w:tcPr>
          <w:p>
            <w:r>
              <w:t>Generate Gherkin</w:t>
            </w:r>
          </w:p>
        </w:tc>
        <w:tc>
          <w:tcPr>
            <w:tcW w:type="dxa" w:w="3312"/>
            <w:tcMar>
              <w:top w:w="80" w:type="dxa"/>
              <w:start w:w="100" w:type="dxa"/>
              <w:bottom w:w="80" w:type="dxa"/>
              <w:end w:w="100" w:type="dxa"/>
            </w:tcMar>
            <w:vAlign w:val="center"/>
          </w:tcPr>
          <w:p>
            <w:r>
              <w:t>Scan feature folders and files, determine the best target location, and create or update .feature files.</w:t>
            </w:r>
          </w:p>
        </w:tc>
        <w:tc>
          <w:tcPr>
            <w:tcW w:type="dxa" w:w="3312"/>
            <w:tcMar>
              <w:top w:w="80" w:type="dxa"/>
              <w:start w:w="100" w:type="dxa"/>
              <w:bottom w:w="80" w:type="dxa"/>
              <w:end w:w="100" w:type="dxa"/>
            </w:tcMar>
            <w:vAlign w:val="center"/>
          </w:tcPr>
          <w:p>
            <w:r>
              <w:t>.feature file updates</w:t>
            </w:r>
          </w:p>
        </w:tc>
      </w:tr>
      <w:tr>
        <w:tc>
          <w:tcPr>
            <w:tcW w:type="dxa" w:w="3312"/>
            <w:tcMar>
              <w:top w:w="80" w:type="dxa"/>
              <w:start w:w="100" w:type="dxa"/>
              <w:bottom w:w="80" w:type="dxa"/>
              <w:end w:w="100" w:type="dxa"/>
            </w:tcMar>
            <w:vAlign w:val="center"/>
          </w:tcPr>
          <w:p>
            <w:r>
              <w:t>Plan step definitions</w:t>
            </w:r>
          </w:p>
        </w:tc>
        <w:tc>
          <w:tcPr>
            <w:tcW w:type="dxa" w:w="3312"/>
            <w:tcMar>
              <w:top w:w="80" w:type="dxa"/>
              <w:start w:w="100" w:type="dxa"/>
              <w:bottom w:w="80" w:type="dxa"/>
              <w:end w:w="100" w:type="dxa"/>
            </w:tcMar>
            <w:vAlign w:val="center"/>
          </w:tcPr>
          <w:p>
            <w:r>
              <w:t>Analyze the feature file and codebase, identify utilities and test type, and define the implementation path.</w:t>
            </w:r>
          </w:p>
        </w:tc>
        <w:tc>
          <w:tcPr>
            <w:tcW w:type="dxa" w:w="3312"/>
            <w:tcMar>
              <w:top w:w="80" w:type="dxa"/>
              <w:start w:w="100" w:type="dxa"/>
              <w:bottom w:w="80" w:type="dxa"/>
              <w:end w:w="100" w:type="dxa"/>
            </w:tcMar>
            <w:vAlign w:val="center"/>
          </w:tcPr>
          <w:p>
            <w:r>
              <w:t>implementation-plan.md</w:t>
            </w:r>
          </w:p>
        </w:tc>
      </w:tr>
    </w:tbl>
    <w:p>
      <w:pPr>
        <w:pStyle w:val="Heading1"/>
      </w:pPr>
      <w:r>
        <w:t>2. What changed with GitHub Copilot CLI</w:t>
      </w:r>
    </w:p>
    <w:p>
      <w:r>
        <w:t>Historically, reusable prompt files were easy to access in IDE experiences such as VS Code and IntelliJ. With GitHub Copilot CLI, the interaction model changes: slash-accessible workflows are centered on skills, not prompt files. This creates an architectural decision point for teams migrating established prompt-driven workflows into the terminal-first CLI experience.</w:t>
      </w:r>
    </w:p>
    <w:p>
      <w:pPr>
        <w:pStyle w:val="ListBullet"/>
        <w:spacing w:after="40"/>
      </w:pPr>
      <w:r>
        <w:t>Prompt files remain useful in supported IDE surfaces, but they are not the right primitive for CLI slash-command access.</w:t>
      </w:r>
    </w:p>
    <w:p>
      <w:pPr>
        <w:pStyle w:val="ListBullet"/>
        <w:spacing w:after="40"/>
      </w:pPr>
      <w:r>
        <w:t>Skills are the reusable, slash-accessible mechanism in Copilot CLI.</w:t>
      </w:r>
    </w:p>
    <w:p>
      <w:pPr>
        <w:pStyle w:val="ListBullet"/>
        <w:spacing w:after="40"/>
      </w:pPr>
      <w:r>
        <w:t>Agents introduce richer workflow behavior, but they should not be treated as a replacement for clean phase boundaries.</w:t>
      </w:r>
    </w:p>
    <w:p>
      <w:pPr>
        <w:pStyle w:val="Heading1"/>
      </w:pPr>
      <w:r>
        <w:t>3. Core interpretation</w:t>
      </w:r>
    </w:p>
    <w:p>
      <w:r>
        <w:t>The current process is best understood as a document-driven workflow rather than a memory-driven chat workflow. Sessions are intentionally disposable. Durable files on disk carry the state from one phase to the next.</w:t>
      </w:r>
    </w:p>
    <w:p>
      <w:pPr>
        <w:pStyle w:val="ListBullet"/>
        <w:spacing w:after="40"/>
      </w:pPr>
      <w:r>
        <w:t>Sessions are temporary execution containers.</w:t>
      </w:r>
    </w:p>
    <w:p>
      <w:pPr>
        <w:pStyle w:val="ListBullet"/>
        <w:spacing w:after="40"/>
      </w:pPr>
      <w:r>
        <w:t>Files and repository artifacts are the source of truth.</w:t>
      </w:r>
    </w:p>
    <w:p>
      <w:pPr>
        <w:pStyle w:val="ListBullet"/>
        <w:spacing w:after="40"/>
      </w:pPr>
      <w:r>
        <w:t>Agents should be phase specialists.</w:t>
      </w:r>
    </w:p>
    <w:p>
      <w:pPr>
        <w:pStyle w:val="ListBullet"/>
        <w:spacing w:after="40"/>
      </w:pPr>
      <w:r>
        <w:t>Skills should be reusable tactical capabilities invoked within those agents.</w:t>
      </w:r>
    </w:p>
    <w:p>
      <w:pPr>
        <w:pStyle w:val="Heading1"/>
      </w:pPr>
      <w:r>
        <w:t>4. Recommendation</w:t>
      </w:r>
    </w:p>
    <w:p>
      <w:r>
        <w:t>The recommended target architecture is a hybrid model: one agent per major workflow phase, reusable skills inside each agent, and checkpointed handoffs through markdown and code artifacts. This preserves the strengths of the existing process while aligning with Copilot CLI behavior and avoiding context-window growth.</w:t>
      </w:r>
      <w:r>
        <w:br/>
        <w:br w:type="page"/>
      </w:r>
    </w:p>
    <w:p>
      <w:pPr>
        <w:spacing w:before="120" w:after="80"/>
      </w:pPr>
      <w:r>
        <w:rPr>
          <w:b/>
          <w:color w:val="1F4E79"/>
          <w:sz w:val="21"/>
        </w:rPr>
        <w:t>Recommended operating model</w:t>
      </w:r>
    </w:p>
    <w:tbl>
      <w:tblPr>
        <w:tblStyle w:val="TableGrid"/>
        <w:tblW w:type="auto" w:w="0"/>
        <w:jc w:val="center"/>
        <w:tblLook w:firstColumn="1" w:firstRow="1" w:lastColumn="0" w:lastRow="0" w:noHBand="0" w:noVBand="1" w:val="04A0"/>
      </w:tblPr>
      <w:tblGrid>
        <w:gridCol w:w="4968"/>
        <w:gridCol w:w="4968"/>
      </w:tblGrid>
      <w:tr>
        <w:tc>
          <w:tcPr>
            <w:tcW w:type="dxa" w:w="4968"/>
            <w:shd w:fill="D9E2F3"/>
            <w:tcMar>
              <w:top w:w="80" w:type="dxa"/>
              <w:start w:w="100" w:type="dxa"/>
              <w:bottom w:w="80" w:type="dxa"/>
              <w:end w:w="100" w:type="dxa"/>
            </w:tcMar>
            <w:vAlign w:val="center"/>
          </w:tcPr>
          <w:p>
            <w:r>
              <w:rPr>
                <w:b/>
                <w:color w:val="1F4E79"/>
              </w:rPr>
              <w:t>Architectural Principle</w:t>
            </w:r>
          </w:p>
        </w:tc>
        <w:tc>
          <w:tcPr>
            <w:tcW w:type="dxa" w:w="4968"/>
            <w:shd w:fill="D9E2F3"/>
            <w:tcMar>
              <w:top w:w="80" w:type="dxa"/>
              <w:start w:w="100" w:type="dxa"/>
              <w:bottom w:w="80" w:type="dxa"/>
              <w:end w:w="100" w:type="dxa"/>
            </w:tcMar>
            <w:vAlign w:val="center"/>
          </w:tcPr>
          <w:p>
            <w:r>
              <w:rPr>
                <w:b/>
                <w:color w:val="1F4E79"/>
              </w:rPr>
              <w:t>Why it matters</w:t>
            </w:r>
          </w:p>
        </w:tc>
      </w:tr>
      <w:tr>
        <w:tc>
          <w:tcPr>
            <w:tcW w:type="dxa" w:w="4968"/>
            <w:tcMar>
              <w:top w:w="80" w:type="dxa"/>
              <w:start w:w="100" w:type="dxa"/>
              <w:bottom w:w="80" w:type="dxa"/>
              <w:end w:w="100" w:type="dxa"/>
            </w:tcMar>
            <w:vAlign w:val="center"/>
          </w:tcPr>
          <w:p>
            <w:r>
              <w:t>One agent per phase</w:t>
            </w:r>
          </w:p>
        </w:tc>
        <w:tc>
          <w:tcPr>
            <w:tcW w:type="dxa" w:w="4968"/>
            <w:tcMar>
              <w:top w:w="80" w:type="dxa"/>
              <w:start w:w="100" w:type="dxa"/>
              <w:bottom w:w="80" w:type="dxa"/>
              <w:end w:w="100" w:type="dxa"/>
            </w:tcMar>
            <w:vAlign w:val="center"/>
          </w:tcPr>
          <w:p>
            <w:r>
              <w:t>Keeps context lean, improves retryability, and preserves clean handoffs between sessions.</w:t>
            </w:r>
          </w:p>
        </w:tc>
      </w:tr>
      <w:tr>
        <w:tc>
          <w:tcPr>
            <w:tcW w:type="dxa" w:w="4968"/>
            <w:tcMar>
              <w:top w:w="80" w:type="dxa"/>
              <w:start w:w="100" w:type="dxa"/>
              <w:bottom w:w="80" w:type="dxa"/>
              <w:end w:w="100" w:type="dxa"/>
            </w:tcMar>
            <w:vAlign w:val="center"/>
          </w:tcPr>
          <w:p>
            <w:r>
              <w:t>Skills inside agents</w:t>
            </w:r>
          </w:p>
        </w:tc>
        <w:tc>
          <w:tcPr>
            <w:tcW w:type="dxa" w:w="4968"/>
            <w:tcMar>
              <w:top w:w="80" w:type="dxa"/>
              <w:start w:w="100" w:type="dxa"/>
              <w:bottom w:w="80" w:type="dxa"/>
              <w:end w:w="100" w:type="dxa"/>
            </w:tcMar>
            <w:vAlign w:val="center"/>
          </w:tcPr>
          <w:p>
            <w:r>
              <w:t>Encapsulates repeated operations such as pulling Jira data, scanning feature files, and writing outputs.</w:t>
            </w:r>
          </w:p>
        </w:tc>
      </w:tr>
      <w:tr>
        <w:tc>
          <w:tcPr>
            <w:tcW w:type="dxa" w:w="4968"/>
            <w:tcMar>
              <w:top w:w="80" w:type="dxa"/>
              <w:start w:w="100" w:type="dxa"/>
              <w:bottom w:w="80" w:type="dxa"/>
              <w:end w:w="100" w:type="dxa"/>
            </w:tcMar>
            <w:vAlign w:val="center"/>
          </w:tcPr>
          <w:p>
            <w:r>
              <w:t>File-based checkpoints</w:t>
            </w:r>
          </w:p>
        </w:tc>
        <w:tc>
          <w:tcPr>
            <w:tcW w:type="dxa" w:w="4968"/>
            <w:tcMar>
              <w:top w:w="80" w:type="dxa"/>
              <w:start w:w="100" w:type="dxa"/>
              <w:bottom w:w="80" w:type="dxa"/>
              <w:end w:w="100" w:type="dxa"/>
            </w:tcMar>
            <w:vAlign w:val="center"/>
          </w:tcPr>
          <w:p>
            <w:r>
              <w:t>Allows the workflow to continue across fresh sessions without relying on chat memory.</w:t>
            </w:r>
          </w:p>
        </w:tc>
      </w:tr>
      <w:tr>
        <w:tc>
          <w:tcPr>
            <w:tcW w:type="dxa" w:w="4968"/>
            <w:tcMar>
              <w:top w:w="80" w:type="dxa"/>
              <w:start w:w="100" w:type="dxa"/>
              <w:bottom w:w="80" w:type="dxa"/>
              <w:end w:w="100" w:type="dxa"/>
            </w:tcMar>
            <w:vAlign w:val="center"/>
          </w:tcPr>
          <w:p>
            <w:r>
              <w:t>Selective sub-agents</w:t>
            </w:r>
          </w:p>
        </w:tc>
        <w:tc>
          <w:tcPr>
            <w:tcW w:type="dxa" w:w="4968"/>
            <w:tcMar>
              <w:top w:w="80" w:type="dxa"/>
              <w:start w:w="100" w:type="dxa"/>
              <w:bottom w:w="80" w:type="dxa"/>
              <w:end w:w="100" w:type="dxa"/>
            </w:tcMar>
            <w:vAlign w:val="center"/>
          </w:tcPr>
          <w:p>
            <w:r>
              <w:t>Enables parallel analysis only where it creates measurable value, such as codebase or artifact scans.</w:t>
            </w:r>
          </w:p>
        </w:tc>
      </w:tr>
      <w:tr>
        <w:tc>
          <w:tcPr>
            <w:tcW w:type="dxa" w:w="4968"/>
            <w:tcMar>
              <w:top w:w="80" w:type="dxa"/>
              <w:start w:w="100" w:type="dxa"/>
              <w:bottom w:w="80" w:type="dxa"/>
              <w:end w:w="100" w:type="dxa"/>
            </w:tcMar>
            <w:vAlign w:val="center"/>
          </w:tcPr>
          <w:p>
            <w:r>
              <w:t>No giant orchestrator session</w:t>
            </w:r>
          </w:p>
        </w:tc>
        <w:tc>
          <w:tcPr>
            <w:tcW w:type="dxa" w:w="4968"/>
            <w:tcMar>
              <w:top w:w="80" w:type="dxa"/>
              <w:start w:w="100" w:type="dxa"/>
              <w:bottom w:w="80" w:type="dxa"/>
              <w:end w:w="100" w:type="dxa"/>
            </w:tcMar>
            <w:vAlign w:val="center"/>
          </w:tcPr>
          <w:p>
            <w:r>
              <w:t>Avoids token growth, drift, and debugging complexity across an end-to-end run.</w:t>
            </w:r>
          </w:p>
        </w:tc>
      </w:tr>
    </w:tbl>
    <w:p>
      <w:r>
        <w:br w:type="page"/>
      </w:r>
    </w:p>
    <w:p>
      <w:pPr>
        <w:pStyle w:val="Heading1"/>
      </w:pPr>
      <w:r>
        <w:t>5. Suggested phase-based agent architecture</w:t>
      </w:r>
    </w:p>
    <w:p>
      <w:r>
        <w:t>Each major phase should have a focused agent with a narrow responsibility, explicit inputs, explicit outputs, and a clear set of allowed skills.</w:t>
      </w:r>
    </w:p>
    <w:p>
      <w:pPr>
        <w:spacing w:before="120" w:after="80"/>
      </w:pPr>
      <w:r>
        <w:rPr>
          <w:b/>
          <w:color w:val="1F4E79"/>
          <w:sz w:val="21"/>
        </w:rPr>
        <w:t>Proposed agents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2F3"/>
            <w:tcMar>
              <w:top w:w="90" w:type="dxa"/>
              <w:start w:w="90" w:type="dxa"/>
              <w:bottom w:w="90" w:type="dxa"/>
              <w:end w:w="90" w:type="dxa"/>
            </w:tcMar>
            <w:vAlign w:val="center"/>
          </w:tcPr>
          <w:p>
            <w:r>
              <w:rPr>
                <w:b/>
                <w:color w:val="1F4E79"/>
              </w:rPr>
              <w:t>Agent</w:t>
            </w:r>
          </w:p>
        </w:tc>
        <w:tc>
          <w:tcPr>
            <w:tcW w:type="dxa" w:w="2484"/>
            <w:shd w:fill="D9E2F3"/>
            <w:tcMar>
              <w:top w:w="90" w:type="dxa"/>
              <w:start w:w="90" w:type="dxa"/>
              <w:bottom w:w="90" w:type="dxa"/>
              <w:end w:w="90" w:type="dxa"/>
            </w:tcMar>
            <w:vAlign w:val="center"/>
          </w:tcPr>
          <w:p>
            <w:r>
              <w:rPr>
                <w:b/>
                <w:color w:val="1F4E79"/>
              </w:rPr>
              <w:t>Primary Responsibility</w:t>
            </w:r>
          </w:p>
        </w:tc>
        <w:tc>
          <w:tcPr>
            <w:tcW w:type="dxa" w:w="2484"/>
            <w:shd w:fill="D9E2F3"/>
            <w:tcMar>
              <w:top w:w="90" w:type="dxa"/>
              <w:start w:w="90" w:type="dxa"/>
              <w:bottom w:w="90" w:type="dxa"/>
              <w:end w:w="90" w:type="dxa"/>
            </w:tcMar>
            <w:vAlign w:val="center"/>
          </w:tcPr>
          <w:p>
            <w:r>
              <w:rPr>
                <w:b/>
                <w:color w:val="1F4E79"/>
              </w:rPr>
              <w:t>Inputs</w:t>
            </w:r>
          </w:p>
        </w:tc>
        <w:tc>
          <w:tcPr>
            <w:tcW w:type="dxa" w:w="2484"/>
            <w:shd w:fill="D9E2F3"/>
            <w:tcMar>
              <w:top w:w="90" w:type="dxa"/>
              <w:start w:w="90" w:type="dxa"/>
              <w:bottom w:w="90" w:type="dxa"/>
              <w:end w:w="90" w:type="dxa"/>
            </w:tcMar>
            <w:vAlign w:val="center"/>
          </w:tcPr>
          <w:p>
            <w:r>
              <w:rPr>
                <w:b/>
                <w:color w:val="1F4E79"/>
              </w:rPr>
              <w:t>Outputs</w:t>
            </w:r>
          </w:p>
        </w:tc>
      </w:tr>
      <w:tr>
        <w:tc>
          <w:tcPr>
            <w:tcW w:type="dxa" w:w="2484"/>
            <w:tcMar>
              <w:top w:w="90" w:type="dxa"/>
              <w:start w:w="90" w:type="dxa"/>
              <w:bottom w:w="90" w:type="dxa"/>
              <w:end w:w="90" w:type="dxa"/>
            </w:tcMar>
            <w:vAlign w:val="center"/>
          </w:tcPr>
          <w:p>
            <w:r>
              <w:t>Story Intake Agent</w:t>
            </w:r>
          </w:p>
        </w:tc>
        <w:tc>
          <w:tcPr>
            <w:tcW w:type="dxa" w:w="2484"/>
            <w:tcMar>
              <w:top w:w="90" w:type="dxa"/>
              <w:start w:w="90" w:type="dxa"/>
              <w:bottom w:w="90" w:type="dxa"/>
              <w:end w:w="90" w:type="dxa"/>
            </w:tcMar>
            <w:vAlign w:val="center"/>
          </w:tcPr>
          <w:p>
            <w:r>
              <w:t>Pull the Jira story, normalize it, and prepare initial working files.</w:t>
            </w:r>
          </w:p>
        </w:tc>
        <w:tc>
          <w:tcPr>
            <w:tcW w:type="dxa" w:w="2484"/>
            <w:tcMar>
              <w:top w:w="90" w:type="dxa"/>
              <w:start w:w="90" w:type="dxa"/>
              <w:bottom w:w="90" w:type="dxa"/>
              <w:end w:w="90" w:type="dxa"/>
            </w:tcMar>
            <w:vAlign w:val="center"/>
          </w:tcPr>
          <w:p>
            <w:r>
              <w:t>Jira ID</w:t>
            </w:r>
          </w:p>
        </w:tc>
        <w:tc>
          <w:tcPr>
            <w:tcW w:type="dxa" w:w="2484"/>
            <w:tcMar>
              <w:top w:w="90" w:type="dxa"/>
              <w:start w:w="90" w:type="dxa"/>
              <w:bottom w:w="90" w:type="dxa"/>
              <w:end w:w="90" w:type="dxa"/>
            </w:tcMar>
            <w:vAlign w:val="center"/>
          </w:tcPr>
          <w:p>
            <w:r>
              <w:t>story.md, story-context.md</w:t>
            </w:r>
          </w:p>
        </w:tc>
      </w:tr>
      <w:tr>
        <w:tc>
          <w:tcPr>
            <w:tcW w:type="dxa" w:w="2484"/>
            <w:tcMar>
              <w:top w:w="90" w:type="dxa"/>
              <w:start w:w="90" w:type="dxa"/>
              <w:bottom w:w="90" w:type="dxa"/>
              <w:end w:w="90" w:type="dxa"/>
            </w:tcMar>
            <w:vAlign w:val="center"/>
          </w:tcPr>
          <w:p>
            <w:r>
              <w:t>Story Analysis Agent</w:t>
            </w:r>
          </w:p>
        </w:tc>
        <w:tc>
          <w:tcPr>
            <w:tcW w:type="dxa" w:w="2484"/>
            <w:tcMar>
              <w:top w:w="90" w:type="dxa"/>
              <w:start w:w="90" w:type="dxa"/>
              <w:bottom w:w="90" w:type="dxa"/>
              <w:end w:w="90" w:type="dxa"/>
            </w:tcMar>
            <w:vAlign w:val="center"/>
          </w:tcPr>
          <w:p>
            <w:r>
              <w:t>Analyze requirements, artifacts, assumptions, questions, and risk.</w:t>
            </w:r>
          </w:p>
        </w:tc>
        <w:tc>
          <w:tcPr>
            <w:tcW w:type="dxa" w:w="2484"/>
            <w:tcMar>
              <w:top w:w="90" w:type="dxa"/>
              <w:start w:w="90" w:type="dxa"/>
              <w:bottom w:w="90" w:type="dxa"/>
              <w:end w:w="90" w:type="dxa"/>
            </w:tcMar>
            <w:vAlign w:val="center"/>
          </w:tcPr>
          <w:p>
            <w:r>
              <w:t>story.md and supporting artifacts</w:t>
            </w:r>
          </w:p>
        </w:tc>
        <w:tc>
          <w:tcPr>
            <w:tcW w:type="dxa" w:w="2484"/>
            <w:tcMar>
              <w:top w:w="90" w:type="dxa"/>
              <w:start w:w="90" w:type="dxa"/>
              <w:bottom w:w="90" w:type="dxa"/>
              <w:end w:w="90" w:type="dxa"/>
            </w:tcMar>
            <w:vAlign w:val="center"/>
          </w:tcPr>
          <w:p>
            <w:r>
              <w:t>story-analysis.md</w:t>
            </w:r>
          </w:p>
        </w:tc>
      </w:tr>
      <w:tr>
        <w:tc>
          <w:tcPr>
            <w:tcW w:type="dxa" w:w="2484"/>
            <w:tcMar>
              <w:top w:w="90" w:type="dxa"/>
              <w:start w:w="90" w:type="dxa"/>
              <w:bottom w:w="90" w:type="dxa"/>
              <w:end w:w="90" w:type="dxa"/>
            </w:tcMar>
            <w:vAlign w:val="center"/>
          </w:tcPr>
          <w:p>
            <w:r>
              <w:t>Clarification Agent</w:t>
            </w:r>
          </w:p>
        </w:tc>
        <w:tc>
          <w:tcPr>
            <w:tcW w:type="dxa" w:w="2484"/>
            <w:tcMar>
              <w:top w:w="90" w:type="dxa"/>
              <w:start w:w="90" w:type="dxa"/>
              <w:bottom w:w="90" w:type="dxa"/>
              <w:end w:w="90" w:type="dxa"/>
            </w:tcMar>
            <w:vAlign w:val="center"/>
          </w:tcPr>
          <w:p>
            <w:r>
              <w:t>Resolve open questions and refine the analysis.</w:t>
            </w:r>
          </w:p>
        </w:tc>
        <w:tc>
          <w:tcPr>
            <w:tcW w:type="dxa" w:w="2484"/>
            <w:tcMar>
              <w:top w:w="90" w:type="dxa"/>
              <w:start w:w="90" w:type="dxa"/>
              <w:bottom w:w="90" w:type="dxa"/>
              <w:end w:w="90" w:type="dxa"/>
            </w:tcMar>
            <w:vAlign w:val="center"/>
          </w:tcPr>
          <w:p>
            <w:r>
              <w:t>story.md, story-analysis.md, clarification answers</w:t>
            </w:r>
          </w:p>
        </w:tc>
        <w:tc>
          <w:tcPr>
            <w:tcW w:type="dxa" w:w="2484"/>
            <w:tcMar>
              <w:top w:w="90" w:type="dxa"/>
              <w:start w:w="90" w:type="dxa"/>
              <w:bottom w:w="90" w:type="dxa"/>
              <w:end w:w="90" w:type="dxa"/>
            </w:tcMar>
            <w:vAlign w:val="center"/>
          </w:tcPr>
          <w:p>
            <w:r>
              <w:t>updated story-analysis.md, clarification-log.md</w:t>
            </w:r>
          </w:p>
        </w:tc>
      </w:tr>
      <w:tr>
        <w:tc>
          <w:tcPr>
            <w:tcW w:type="dxa" w:w="2484"/>
            <w:tcMar>
              <w:top w:w="90" w:type="dxa"/>
              <w:start w:w="90" w:type="dxa"/>
              <w:bottom w:w="90" w:type="dxa"/>
              <w:end w:w="90" w:type="dxa"/>
            </w:tcMar>
            <w:vAlign w:val="center"/>
          </w:tcPr>
          <w:p>
            <w:r>
              <w:t>Test Planning Agent</w:t>
            </w:r>
          </w:p>
        </w:tc>
        <w:tc>
          <w:tcPr>
            <w:tcW w:type="dxa" w:w="2484"/>
            <w:tcMar>
              <w:top w:w="90" w:type="dxa"/>
              <w:start w:w="90" w:type="dxa"/>
              <w:bottom w:w="90" w:type="dxa"/>
              <w:end w:w="90" w:type="dxa"/>
            </w:tcMar>
            <w:vAlign w:val="center"/>
          </w:tcPr>
          <w:p>
            <w:r>
              <w:t>Create a finalized automation-oriented test plan.</w:t>
            </w:r>
          </w:p>
        </w:tc>
        <w:tc>
          <w:tcPr>
            <w:tcW w:type="dxa" w:w="2484"/>
            <w:tcMar>
              <w:top w:w="90" w:type="dxa"/>
              <w:start w:w="90" w:type="dxa"/>
              <w:bottom w:w="90" w:type="dxa"/>
              <w:end w:w="90" w:type="dxa"/>
            </w:tcMar>
            <w:vAlign w:val="center"/>
          </w:tcPr>
          <w:p>
            <w:r>
              <w:t>story.md, story-analysis.md, artifacts</w:t>
            </w:r>
          </w:p>
        </w:tc>
        <w:tc>
          <w:tcPr>
            <w:tcW w:type="dxa" w:w="2484"/>
            <w:tcMar>
              <w:top w:w="90" w:type="dxa"/>
              <w:start w:w="90" w:type="dxa"/>
              <w:bottom w:w="90" w:type="dxa"/>
              <w:end w:w="90" w:type="dxa"/>
            </w:tcMar>
            <w:vAlign w:val="center"/>
          </w:tcPr>
          <w:p>
            <w:r>
              <w:t>test-plan.md</w:t>
            </w:r>
          </w:p>
        </w:tc>
      </w:tr>
      <w:tr>
        <w:tc>
          <w:tcPr>
            <w:tcW w:type="dxa" w:w="2484"/>
            <w:tcMar>
              <w:top w:w="90" w:type="dxa"/>
              <w:start w:w="90" w:type="dxa"/>
              <w:bottom w:w="90" w:type="dxa"/>
              <w:end w:w="90" w:type="dxa"/>
            </w:tcMar>
            <w:vAlign w:val="center"/>
          </w:tcPr>
          <w:p>
            <w:r>
              <w:t>Gherkin Generation Agent</w:t>
            </w:r>
          </w:p>
        </w:tc>
        <w:tc>
          <w:tcPr>
            <w:tcW w:type="dxa" w:w="2484"/>
            <w:tcMar>
              <w:top w:w="90" w:type="dxa"/>
              <w:start w:w="90" w:type="dxa"/>
              <w:bottom w:w="90" w:type="dxa"/>
              <w:end w:w="90" w:type="dxa"/>
            </w:tcMar>
            <w:vAlign w:val="center"/>
          </w:tcPr>
          <w:p>
            <w:r>
              <w:t>Determine the correct feature target and write or update scenarios.</w:t>
            </w:r>
          </w:p>
        </w:tc>
        <w:tc>
          <w:tcPr>
            <w:tcW w:type="dxa" w:w="2484"/>
            <w:tcMar>
              <w:top w:w="90" w:type="dxa"/>
              <w:start w:w="90" w:type="dxa"/>
              <w:bottom w:w="90" w:type="dxa"/>
              <w:end w:w="90" w:type="dxa"/>
            </w:tcMar>
            <w:vAlign w:val="center"/>
          </w:tcPr>
          <w:p>
            <w:r>
              <w:t>story.md, story-analysis.md, test-plan.md, existing feature files</w:t>
            </w:r>
          </w:p>
        </w:tc>
        <w:tc>
          <w:tcPr>
            <w:tcW w:type="dxa" w:w="2484"/>
            <w:tcMar>
              <w:top w:w="90" w:type="dxa"/>
              <w:start w:w="90" w:type="dxa"/>
              <w:bottom w:w="90" w:type="dxa"/>
              <w:end w:w="90" w:type="dxa"/>
            </w:tcMar>
            <w:vAlign w:val="center"/>
          </w:tcPr>
          <w:p>
            <w:r>
              <w:t>feature file updates, decision log</w:t>
            </w:r>
          </w:p>
        </w:tc>
      </w:tr>
      <w:tr>
        <w:tc>
          <w:tcPr>
            <w:tcW w:type="dxa" w:w="2484"/>
            <w:tcMar>
              <w:top w:w="90" w:type="dxa"/>
              <w:start w:w="90" w:type="dxa"/>
              <w:bottom w:w="90" w:type="dxa"/>
              <w:end w:w="90" w:type="dxa"/>
            </w:tcMar>
            <w:vAlign w:val="center"/>
          </w:tcPr>
          <w:p>
            <w:r>
              <w:t>Step Definition Planning Agent</w:t>
            </w:r>
          </w:p>
        </w:tc>
        <w:tc>
          <w:tcPr>
            <w:tcW w:type="dxa" w:w="2484"/>
            <w:tcMar>
              <w:top w:w="90" w:type="dxa"/>
              <w:start w:w="90" w:type="dxa"/>
              <w:bottom w:w="90" w:type="dxa"/>
              <w:end w:w="90" w:type="dxa"/>
            </w:tcMar>
            <w:vAlign w:val="center"/>
          </w:tcPr>
          <w:p>
            <w:r>
              <w:t>Plan implementation by locating step definitions, utilities, and test layers.</w:t>
            </w:r>
          </w:p>
        </w:tc>
        <w:tc>
          <w:tcPr>
            <w:tcW w:type="dxa" w:w="2484"/>
            <w:tcMar>
              <w:top w:w="90" w:type="dxa"/>
              <w:start w:w="90" w:type="dxa"/>
              <w:bottom w:w="90" w:type="dxa"/>
              <w:end w:w="90" w:type="dxa"/>
            </w:tcMar>
            <w:vAlign w:val="center"/>
          </w:tcPr>
          <w:p>
            <w:r>
              <w:t>story.md, story-analysis.md, test-plan.md, feature file, codebase</w:t>
            </w:r>
          </w:p>
        </w:tc>
        <w:tc>
          <w:tcPr>
            <w:tcW w:type="dxa" w:w="2484"/>
            <w:tcMar>
              <w:top w:w="90" w:type="dxa"/>
              <w:start w:w="90" w:type="dxa"/>
              <w:bottom w:w="90" w:type="dxa"/>
              <w:end w:w="90" w:type="dxa"/>
            </w:tcMar>
            <w:vAlign w:val="center"/>
          </w:tcPr>
          <w:p>
            <w:r>
              <w:t>implementation-plan.md</w:t>
            </w:r>
          </w:p>
        </w:tc>
      </w:tr>
    </w:tbl>
    <w:p>
      <w:pPr>
        <w:pStyle w:val="Heading1"/>
      </w:pPr>
      <w:r>
        <w:t>6. Role of skills and sub-agents</w:t>
      </w:r>
    </w:p>
    <w:p>
      <w:r>
        <w:t>Agents and skills should not be treated as competing concepts. The cleaner model is to let an agent own the phase-level reasoning, while skills provide repeatable capabilities within that phase. Sub-agents should be used inside a phase only when parallel work is useful enough to justify the added coordination.</w:t>
      </w:r>
    </w:p>
    <w:p>
      <w:pPr>
        <w:pStyle w:val="ListBullet"/>
        <w:spacing w:after="40"/>
      </w:pPr>
      <w:r>
        <w:t>Use skills for repeatable operations: Jira retrieval, artifact loading, feature-file scanning, file writing, utility discovery, and output formatting.</w:t>
      </w:r>
    </w:p>
    <w:p>
      <w:pPr>
        <w:pStyle w:val="ListBullet"/>
        <w:spacing w:after="40"/>
      </w:pPr>
      <w:r>
        <w:t>Use sub-agents selectively for artifact comparison, framework search, and candidate target evaluation.</w:t>
      </w:r>
    </w:p>
    <w:p>
      <w:pPr>
        <w:pStyle w:val="ListBullet"/>
        <w:spacing w:after="40"/>
      </w:pPr>
      <w:r>
        <w:t>Avoid using sub-agents for simple linear phases that already fit cleanly in one focused session.</w:t>
      </w:r>
    </w:p>
    <w:p>
      <w:pPr>
        <w:pStyle w:val="Heading1"/>
      </w:pPr>
      <w:r>
        <w:t>7. What not to do</w:t>
      </w:r>
    </w:p>
    <w:p>
      <w:pPr>
        <w:pStyle w:val="ListBullet"/>
        <w:spacing w:after="40"/>
      </w:pPr>
      <w:r>
        <w:t>Do not migrate every existing prompt directly into a skill without redesigning the responsibility and I/O contract.</w:t>
      </w:r>
    </w:p>
    <w:p>
      <w:pPr>
        <w:pStyle w:val="ListBullet"/>
        <w:spacing w:after="40"/>
      </w:pPr>
      <w:r>
        <w:t>Do not depend on one long-running orchestrator session to carry the full pipeline context.</w:t>
      </w:r>
    </w:p>
    <w:p>
      <w:pPr>
        <w:pStyle w:val="ListBullet"/>
        <w:spacing w:after="40"/>
      </w:pPr>
      <w:r>
        <w:t>Do not rely on chat memory as the handoff mechanism between phases.</w:t>
      </w:r>
    </w:p>
    <w:p>
      <w:pPr>
        <w:pStyle w:val="ListBullet"/>
        <w:spacing w:after="40"/>
      </w:pPr>
      <w:r>
        <w:t>Do not allow multiple phases to update the same artifact without clear ownership rules.</w:t>
      </w:r>
    </w:p>
    <w:p>
      <w:r>
        <w:br w:type="page"/>
      </w:r>
    </w:p>
    <w:p>
      <w:pPr>
        <w:pStyle w:val="Heading1"/>
      </w:pPr>
      <w:r>
        <w:t>8. Action items</w:t>
      </w:r>
    </w:p>
    <w:p>
      <w:r>
        <w:t>The migration should be handled incrementally, starting with responsibilities and artifacts before introducing broader automation complexity.</w:t>
      </w:r>
    </w:p>
    <w:p>
      <w:pPr>
        <w:spacing w:before="120" w:after="80"/>
      </w:pPr>
      <w:r>
        <w:rPr>
          <w:b/>
          <w:color w:val="1F4E79"/>
          <w:sz w:val="21"/>
        </w:rPr>
        <w:t>Recommended rollout plan</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2F3"/>
            <w:tcMar>
              <w:top w:w="80" w:type="dxa"/>
              <w:start w:w="100" w:type="dxa"/>
              <w:bottom w:w="80" w:type="dxa"/>
              <w:end w:w="100" w:type="dxa"/>
            </w:tcMar>
            <w:vAlign w:val="center"/>
          </w:tcPr>
          <w:p>
            <w:r>
              <w:rPr>
                <w:b/>
                <w:color w:val="1F4E79"/>
              </w:rPr>
              <w:t>Immediate</w:t>
            </w:r>
          </w:p>
        </w:tc>
        <w:tc>
          <w:tcPr>
            <w:tcW w:type="dxa" w:w="3312"/>
            <w:shd w:fill="D9E2F3"/>
            <w:tcMar>
              <w:top w:w="80" w:type="dxa"/>
              <w:start w:w="100" w:type="dxa"/>
              <w:bottom w:w="80" w:type="dxa"/>
              <w:end w:w="100" w:type="dxa"/>
            </w:tcMar>
            <w:vAlign w:val="center"/>
          </w:tcPr>
          <w:p>
            <w:r>
              <w:rPr>
                <w:b/>
                <w:color w:val="1F4E79"/>
              </w:rPr>
              <w:t>Next</w:t>
            </w:r>
          </w:p>
        </w:tc>
        <w:tc>
          <w:tcPr>
            <w:tcW w:type="dxa" w:w="3312"/>
            <w:shd w:fill="D9E2F3"/>
            <w:tcMar>
              <w:top w:w="80" w:type="dxa"/>
              <w:start w:w="100" w:type="dxa"/>
              <w:bottom w:w="80" w:type="dxa"/>
              <w:end w:w="100" w:type="dxa"/>
            </w:tcMar>
            <w:vAlign w:val="center"/>
          </w:tcPr>
          <w:p>
            <w:r>
              <w:rPr>
                <w:b/>
                <w:color w:val="1F4E79"/>
              </w:rPr>
              <w:t>After validation</w:t>
            </w:r>
          </w:p>
        </w:tc>
      </w:tr>
      <w:tr>
        <w:tc>
          <w:tcPr>
            <w:tcW w:type="dxa" w:w="3312"/>
            <w:tcMar>
              <w:top w:w="90" w:type="dxa"/>
              <w:start w:w="100" w:type="dxa"/>
              <w:bottom w:w="90" w:type="dxa"/>
              <w:end w:w="100" w:type="dxa"/>
            </w:tcMar>
            <w:vAlign w:val="top"/>
          </w:tcPr>
          <w:p>
            <w:pPr>
              <w:pStyle w:val="ListBullet"/>
              <w:spacing w:after="40"/>
            </w:pPr>
            <w:r/>
            <w:r>
              <w:t>Inventory all current prompts and map each one to a workflow phase.</w:t>
            </w:r>
          </w:p>
          <w:p>
            <w:pPr>
              <w:pStyle w:val="ListBullet"/>
              <w:spacing w:after="40"/>
            </w:pPr>
            <w:r>
              <w:t>Define the source-of-truth artifact for every phase.</w:t>
            </w:r>
          </w:p>
          <w:p>
            <w:pPr>
              <w:pStyle w:val="ListBullet"/>
              <w:spacing w:after="40"/>
            </w:pPr>
            <w:r>
              <w:t>Define ownership: which agent may create or update which files.</w:t>
            </w:r>
          </w:p>
        </w:tc>
        <w:tc>
          <w:tcPr>
            <w:tcW w:type="dxa" w:w="3312"/>
            <w:tcMar>
              <w:top w:w="90" w:type="dxa"/>
              <w:start w:w="100" w:type="dxa"/>
              <w:bottom w:w="90" w:type="dxa"/>
              <w:end w:w="100" w:type="dxa"/>
            </w:tcMar>
            <w:vAlign w:val="top"/>
          </w:tcPr>
          <w:p>
            <w:pPr>
              <w:pStyle w:val="ListBullet"/>
              <w:spacing w:after="40"/>
            </w:pPr>
            <w:r/>
            <w:r>
              <w:t>Convert repeated operational logic into skills rather than full end-to-end workflows.</w:t>
            </w:r>
          </w:p>
          <w:p>
            <w:pPr>
              <w:pStyle w:val="ListBullet"/>
              <w:spacing w:after="40"/>
            </w:pPr>
            <w:r>
              <w:t>Draft one agent specification per phase, including purpose, inputs, outputs, rules, and allowed skills.</w:t>
            </w:r>
          </w:p>
          <w:p>
            <w:pPr>
              <w:pStyle w:val="ListBullet"/>
              <w:spacing w:after="40"/>
            </w:pPr>
            <w:r>
              <w:t>Standardize file structures for story, analysis, test plan, and implementation outputs.</w:t>
            </w:r>
          </w:p>
        </w:tc>
        <w:tc>
          <w:tcPr>
            <w:tcW w:type="dxa" w:w="3312"/>
            <w:tcMar>
              <w:top w:w="90" w:type="dxa"/>
              <w:start w:w="100" w:type="dxa"/>
              <w:bottom w:w="90" w:type="dxa"/>
              <w:end w:w="100" w:type="dxa"/>
            </w:tcMar>
            <w:vAlign w:val="top"/>
          </w:tcPr>
          <w:p>
            <w:pPr>
              <w:pStyle w:val="ListBullet"/>
              <w:spacing w:after="40"/>
            </w:pPr>
            <w:r/>
            <w:r>
              <w:t>Pilot the first two agents: Story Intake and Story Analysis.</w:t>
            </w:r>
          </w:p>
          <w:p>
            <w:pPr>
              <w:pStyle w:val="ListBullet"/>
              <w:spacing w:after="40"/>
            </w:pPr>
            <w:r>
              <w:t>Validate whether the second agent can operate from files alone without relying on prior session memory.</w:t>
            </w:r>
          </w:p>
          <w:p>
            <w:pPr>
              <w:pStyle w:val="ListBullet"/>
              <w:spacing w:after="40"/>
            </w:pPr>
            <w:r>
              <w:t>Only then add later phases, selective sub-agents, and a lightweight external orchestrator.</w:t>
            </w:r>
          </w:p>
        </w:tc>
      </w:tr>
    </w:tbl>
    <w:p>
      <w:pPr>
        <w:pStyle w:val="Heading1"/>
      </w:pPr>
      <w:r>
        <w:t>9. Final recommendation</w:t>
      </w:r>
    </w:p>
    <w:p>
      <w:r>
        <w:rPr>
          <w:b/>
        </w:rPr>
        <w:t>Build phase-specific agents that use reusable skills internally, keep markdown and repository files as durable handoff artifacts, and introduce sub-agents only where parallel analysis clearly improves results. This provides the best balance of scalability, CLI compatibility, and operational control.</w:t>
      </w:r>
    </w:p>
    <w:sectPr w:rsidR="00FC693F" w:rsidRPr="0006063C" w:rsidSect="00034616">
      <w:pgSz w:w="12240" w:h="15840"/>
      <w:pgMar w:top="1080"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ptos" w:hAnsi="Aptos"/>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w:hAnsi="Apto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1F1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