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Aptos Display" w:hAnsi="Aptos Display"/>
          <w:b/>
          <w:color w:val="1F4E79"/>
          <w:sz w:val="44"/>
        </w:rPr>
        <w:t>Modernizing the Test Automation Platform</w:t>
      </w:r>
    </w:p>
    <w:p>
      <w:pPr>
        <w:spacing w:before="0" w:after="360" w:line="276" w:lineRule="auto"/>
        <w:jc w:val="center"/>
      </w:pPr>
      <w:r>
        <w:rPr>
          <w:i w:val="0"/>
          <w:color w:val="444444"/>
          <w:sz w:val="26"/>
        </w:rPr>
        <w:t>Stakeholder Brief and Recommendation</w:t>
      </w:r>
    </w:p>
    <w:tbl>
      <w:tblPr>
        <w:tblW w:type="auto" w:w="0"/>
        <w:jc w:val="center"/>
        <w:tblLayout w:type="fixed"/>
        <w:tblLook w:firstColumn="1" w:firstRow="1" w:lastColumn="0" w:lastRow="0" w:noHBand="0" w:noVBand="1" w:val="04A0"/>
      </w:tblPr>
      <w:tblGrid>
        <w:gridCol w:w="9216"/>
      </w:tblGrid>
      <w:tr>
        <w:tc>
          <w:tcPr>
            <w:tcW w:type="dxa" w:w="9936"/>
            <w:shd w:fill="EAF2F8"/>
            <w:tcMar>
              <w:top w:w="120" w:type="dxa"/>
              <w:start w:w="180" w:type="dxa"/>
              <w:bottom w:w="120" w:type="dxa"/>
              <w:end w:w="180" w:type="dxa"/>
            </w:tcMar>
          </w:tcPr>
          <w:p>
            <w:pPr>
              <w:spacing w:before="0" w:after="0" w:line="283" w:lineRule="auto"/>
              <w:jc w:val="left"/>
            </w:pPr>
            <w:r>
              <w:rPr>
                <w:color w:val="2D2D2D"/>
                <w:sz w:val="21"/>
              </w:rPr>
              <w:t>Purpose: explain why the current monolithic automation framework is no longer scaling effectively, and propose a modular target model that improves execution speed, maintainability, parallelism, ownership, and AI-assisted development.</w:t>
            </w:r>
          </w:p>
        </w:tc>
      </w:tr>
    </w:tbl>
    <w:p>
      <w:pPr>
        <w:spacing w:before="0" w:after="40" w:line="276" w:lineRule="auto"/>
      </w:pPr>
    </w:p>
    <w:p>
      <w:pPr>
        <w:spacing w:before="0" w:after="40" w:line="276" w:lineRule="auto"/>
      </w:pPr>
    </w:p>
    <w:tbl>
      <w:tblPr>
        <w:tblW w:type="auto" w:w="0"/>
        <w:jc w:val="center"/>
        <w:tblLayout w:type="fixed"/>
        <w:tblLook w:firstColumn="1" w:firstRow="1" w:lastColumn="0" w:lastRow="0" w:noHBand="0" w:noVBand="1" w:val="04A0"/>
      </w:tblPr>
      <w:tblGrid>
        <w:gridCol w:w="9216"/>
      </w:tblGrid>
      <w:tr>
        <w:tc>
          <w:tcPr>
            <w:tcW w:type="dxa" w:w="9936"/>
            <w:shd w:fill="1F4E79"/>
            <w:tcMar>
              <w:top w:w="60" w:type="dxa"/>
              <w:start w:w="160" w:type="dxa"/>
              <w:bottom w:w="60" w:type="dxa"/>
              <w:end w:w="160" w:type="dxa"/>
            </w:tcMar>
          </w:tcPr>
          <w:p>
            <w:pPr>
              <w:spacing w:before="0" w:after="0" w:line="276" w:lineRule="auto"/>
            </w:pPr>
            <w:r>
              <w:rPr>
                <w:b/>
                <w:color w:val="FFFFFF"/>
                <w:sz w:val="21"/>
              </w:rPr>
              <w:t>Key message</w:t>
            </w:r>
          </w:p>
        </w:tc>
      </w:tr>
      <w:tr>
        <w:tc>
          <w:tcPr>
            <w:tcW w:type="dxa" w:w="9936"/>
            <w:shd w:fill="F7FAFD"/>
            <w:tcMar>
              <w:top w:w="120" w:type="dxa"/>
              <w:start w:w="160" w:type="dxa"/>
              <w:bottom w:w="120" w:type="dxa"/>
              <w:end w:w="160" w:type="dxa"/>
            </w:tcMar>
          </w:tcPr>
          <w:p>
            <w:pPr>
              <w:spacing w:before="0" w:after="0" w:line="283" w:lineRule="auto"/>
            </w:pPr>
            <w:r>
              <w:rPr>
                <w:sz w:val="22"/>
              </w:rPr>
              <w:t>The current Java-based automation framework has evolved into a large shared test monolith. It now slows IDE performance, increases execution time, limits parallelization, and raises the cost of adding and maintaining tests. A modular model - service-level test repositories for major domains, a separate UI layer, and Python-based data validation for CSV and database testing - will better align tooling to the work and improve team velocity.</w:t>
            </w:r>
          </w:p>
        </w:tc>
      </w:tr>
    </w:tbl>
    <w:p>
      <w:r>
        <w:br w:type="page"/>
      </w:r>
    </w:p>
    <w:p>
      <w:pPr>
        <w:spacing w:before="80" w:after="120" w:line="276" w:lineRule="auto"/>
      </w:pPr>
      <w:r>
        <w:rPr>
          <w:rFonts w:ascii="Aptos Display" w:hAnsi="Aptos Display"/>
          <w:b/>
          <w:color w:val="1F4E79"/>
          <w:sz w:val="30"/>
        </w:rPr>
        <w:t>1. Executive Summary</w:t>
      </w:r>
    </w:p>
    <w:p>
      <w:pPr>
        <w:spacing w:before="0" w:after="80" w:line="283" w:lineRule="auto"/>
      </w:pPr>
      <w:r>
        <w:t>The automation framework has delivered value for several years by providing a common approach for UI, service, database, and other test types. However, continued growth has created a scaling problem: the framework now acts as a single large codebase carrying too many responsibilities. As a result, engineers experience slower IDE responsiveness, longer test execution times, difficulty running in parallel, and increased maintenance overhead.</w:t>
      </w:r>
    </w:p>
    <w:p>
      <w:pPr>
        <w:spacing w:before="0" w:after="80" w:line="283" w:lineRule="auto"/>
      </w:pPr>
      <w:r>
        <w:t>The recommendation is not a full rewrite. The recommendation is a controlled modularization strategy. Major services with substantial test volume should move toward dedicated repositories or independently buildable test suites. CSV and database-oriented validations should move to a Python-based data-validation layer using pytest. UI automation should remain separate because it has different runtime behavior, dependencies, and ownership needs.</w:t>
      </w:r>
    </w:p>
    <w:p>
      <w:pPr>
        <w:spacing w:before="80" w:after="120" w:line="276" w:lineRule="auto"/>
      </w:pPr>
      <w:r>
        <w:rPr>
          <w:rFonts w:ascii="Aptos Display" w:hAnsi="Aptos Display"/>
          <w:b/>
          <w:color w:val="1F4E79"/>
          <w:sz w:val="30"/>
        </w:rPr>
        <w:t>2. Current State and Observed Challenges</w:t>
      </w:r>
    </w:p>
    <w:p>
      <w:pPr>
        <w:pStyle w:val="ListBullet"/>
        <w:spacing w:before="0" w:after="20" w:line="276" w:lineRule="auto"/>
      </w:pPr>
      <w:r>
        <w:rPr>
          <w:sz w:val="21"/>
        </w:rPr>
        <w:t>The framework has been in use for multiple years and continues to grow as new service, database, and UI tests are added.</w:t>
      </w:r>
    </w:p>
    <w:p>
      <w:pPr>
        <w:pStyle w:val="ListBullet"/>
        <w:spacing w:before="0" w:after="20" w:line="276" w:lineRule="auto"/>
      </w:pPr>
      <w:r>
        <w:rPr>
          <w:sz w:val="21"/>
        </w:rPr>
        <w:t>Development experience is degrading: the IDE is becoming slower as indexing and project loading increase.</w:t>
      </w:r>
    </w:p>
    <w:p>
      <w:pPr>
        <w:pStyle w:val="ListBullet"/>
        <w:spacing w:before="0" w:after="20" w:line="276" w:lineRule="auto"/>
      </w:pPr>
      <w:r>
        <w:rPr>
          <w:sz w:val="21"/>
        </w:rPr>
        <w:t>Execution time is degrading: what should be a lightweight test often incurs startup and framework overhead.</w:t>
      </w:r>
    </w:p>
    <w:p>
      <w:pPr>
        <w:pStyle w:val="ListBullet"/>
        <w:spacing w:before="0" w:after="20" w:line="276" w:lineRule="auto"/>
      </w:pPr>
      <w:r>
        <w:rPr>
          <w:sz w:val="21"/>
        </w:rPr>
        <w:t>Parallel execution is constrained because too many tests share the same runners, dependencies, state, or infrastructure assumptions.</w:t>
      </w:r>
    </w:p>
    <w:p>
      <w:pPr>
        <w:pStyle w:val="ListBullet"/>
        <w:spacing w:before="0" w:after="20" w:line="276" w:lineRule="auto"/>
      </w:pPr>
      <w:r>
        <w:rPr>
          <w:sz w:val="21"/>
        </w:rPr>
        <w:t>The framework is becoming harder for engineers and AI coding tools to navigate safely because logic is spread across a large, highly coupled codebase.</w:t>
      </w:r>
    </w:p>
    <w:p>
      <w:pPr>
        <w:spacing w:before="80" w:after="120" w:line="276" w:lineRule="auto"/>
      </w:pPr>
      <w:r>
        <w:rPr>
          <w:rFonts w:ascii="Aptos Display" w:hAnsi="Aptos Display"/>
          <w:b/>
          <w:color w:val="1F4E79"/>
          <w:sz w:val="30"/>
        </w:rPr>
        <w:t>3. Why the Current Model No Longer Scales</w:t>
      </w:r>
    </w:p>
    <w:tbl>
      <w:tblPr>
        <w:tblStyle w:val="TableGrid"/>
        <w:tblW w:type="auto" w:w="0"/>
        <w:jc w:val="center"/>
        <w:tblLayout w:type="fixed"/>
        <w:tblLook w:firstColumn="1" w:firstRow="1" w:lastColumn="0" w:lastRow="0" w:noHBand="0" w:noVBand="1" w:val="04A0"/>
      </w:tblPr>
      <w:tblGrid>
        <w:gridCol w:w="3168"/>
        <w:gridCol w:w="6336"/>
      </w:tblGrid>
      <w:tr>
        <w:tc>
          <w:tcPr>
            <w:tcW w:type="dxa" w:w="4968"/>
            <w:shd w:fill="D9EAF7"/>
            <w:tcMar>
              <w:top w:w="90" w:type="dxa"/>
              <w:start w:w="110" w:type="dxa"/>
              <w:bottom w:w="90" w:type="dxa"/>
              <w:end w:w="110" w:type="dxa"/>
            </w:tcMar>
          </w:tcPr>
          <w:p>
            <w:pPr>
              <w:jc w:val="center"/>
            </w:pPr>
            <w:r>
              <w:rPr>
                <w:b/>
                <w:sz w:val="20"/>
              </w:rPr>
              <w:t>Monolithic characteristic</w:t>
            </w:r>
          </w:p>
        </w:tc>
        <w:tc>
          <w:tcPr>
            <w:tcW w:type="dxa" w:w="4968"/>
            <w:shd w:fill="D9EAF7"/>
            <w:tcMar>
              <w:top w:w="90" w:type="dxa"/>
              <w:start w:w="110" w:type="dxa"/>
              <w:bottom w:w="90" w:type="dxa"/>
              <w:end w:w="110" w:type="dxa"/>
            </w:tcMar>
          </w:tcPr>
          <w:p>
            <w:pPr>
              <w:jc w:val="center"/>
            </w:pPr>
            <w:r>
              <w:rPr>
                <w:b/>
                <w:sz w:val="20"/>
              </w:rPr>
              <w:t>Impact on delivery and maintenance</w:t>
            </w:r>
          </w:p>
        </w:tc>
      </w:tr>
      <w:tr>
        <w:tc>
          <w:tcPr>
            <w:tcW w:type="dxa" w:w="3168"/>
            <w:tcMar>
              <w:top w:w="80" w:type="dxa"/>
              <w:start w:w="120" w:type="dxa"/>
              <w:bottom w:w="80" w:type="dxa"/>
              <w:end w:w="120" w:type="dxa"/>
            </w:tcMar>
            <w:vAlign w:val="center"/>
          </w:tcPr>
          <w:p>
            <w:pPr>
              <w:spacing w:before="0" w:after="0" w:line="269" w:lineRule="auto"/>
              <w:jc w:val="left"/>
            </w:pPr>
            <w:r>
              <w:rPr>
                <w:sz w:val="20"/>
              </w:rPr>
              <w:t>Too many concerns in one codebase</w:t>
            </w:r>
          </w:p>
        </w:tc>
        <w:tc>
          <w:tcPr>
            <w:tcW w:type="dxa" w:w="6336"/>
            <w:tcMar>
              <w:top w:w="80" w:type="dxa"/>
              <w:start w:w="120" w:type="dxa"/>
              <w:bottom w:w="80" w:type="dxa"/>
              <w:end w:w="120" w:type="dxa"/>
            </w:tcMar>
            <w:vAlign w:val="center"/>
          </w:tcPr>
          <w:p>
            <w:pPr>
              <w:spacing w:before="0" w:after="0" w:line="269" w:lineRule="auto"/>
              <w:jc w:val="left"/>
            </w:pPr>
            <w:r>
              <w:rPr>
                <w:sz w:val="20"/>
              </w:rPr>
              <w:t>UI, service, database, and file/data testing all inherit the cost of the same framework and dependency graph.</w:t>
            </w:r>
          </w:p>
        </w:tc>
      </w:tr>
      <w:tr>
        <w:tc>
          <w:tcPr>
            <w:tcW w:type="dxa" w:w="3168"/>
            <w:tcMar>
              <w:top w:w="80" w:type="dxa"/>
              <w:start w:w="120" w:type="dxa"/>
              <w:bottom w:w="80" w:type="dxa"/>
              <w:end w:w="120" w:type="dxa"/>
            </w:tcMar>
            <w:vAlign w:val="center"/>
          </w:tcPr>
          <w:p>
            <w:pPr>
              <w:spacing w:before="0" w:after="0" w:line="269" w:lineRule="auto"/>
              <w:jc w:val="left"/>
            </w:pPr>
            <w:r>
              <w:rPr>
                <w:sz w:val="20"/>
              </w:rPr>
              <w:t>Shared abstractions for every problem</w:t>
            </w:r>
          </w:p>
        </w:tc>
        <w:tc>
          <w:tcPr>
            <w:tcW w:type="dxa" w:w="6336"/>
            <w:tcMar>
              <w:top w:w="80" w:type="dxa"/>
              <w:start w:w="120" w:type="dxa"/>
              <w:bottom w:w="80" w:type="dxa"/>
              <w:end w:w="120" w:type="dxa"/>
            </w:tcMar>
            <w:vAlign w:val="center"/>
          </w:tcPr>
          <w:p>
            <w:pPr>
              <w:spacing w:before="0" w:after="0" w:line="269" w:lineRule="auto"/>
              <w:jc w:val="left"/>
            </w:pPr>
            <w:r>
              <w:rPr>
                <w:sz w:val="20"/>
              </w:rPr>
              <w:t>Simple validations such as CSV comparison must pass through layers of boilerplate that add little business value.</w:t>
            </w:r>
          </w:p>
        </w:tc>
      </w:tr>
      <w:tr>
        <w:tc>
          <w:tcPr>
            <w:tcW w:type="dxa" w:w="3168"/>
            <w:tcMar>
              <w:top w:w="80" w:type="dxa"/>
              <w:start w:w="120" w:type="dxa"/>
              <w:bottom w:w="80" w:type="dxa"/>
              <w:end w:w="120" w:type="dxa"/>
            </w:tcMar>
            <w:vAlign w:val="center"/>
          </w:tcPr>
          <w:p>
            <w:pPr>
              <w:spacing w:before="0" w:after="0" w:line="269" w:lineRule="auto"/>
              <w:jc w:val="left"/>
            </w:pPr>
            <w:r>
              <w:rPr>
                <w:sz w:val="20"/>
              </w:rPr>
              <w:t>Large codebase and deep coupling</w:t>
            </w:r>
          </w:p>
        </w:tc>
        <w:tc>
          <w:tcPr>
            <w:tcW w:type="dxa" w:w="6336"/>
            <w:tcMar>
              <w:top w:w="80" w:type="dxa"/>
              <w:start w:w="120" w:type="dxa"/>
              <w:bottom w:w="80" w:type="dxa"/>
              <w:end w:w="120" w:type="dxa"/>
            </w:tcMar>
            <w:vAlign w:val="center"/>
          </w:tcPr>
          <w:p>
            <w:pPr>
              <w:spacing w:before="0" w:after="0" w:line="269" w:lineRule="auto"/>
              <w:jc w:val="left"/>
            </w:pPr>
            <w:r>
              <w:rPr>
                <w:sz w:val="20"/>
              </w:rPr>
              <w:t>The IDE becomes slower, onboarding becomes harder, and routine changes carry more risk.</w:t>
            </w:r>
          </w:p>
        </w:tc>
      </w:tr>
      <w:tr>
        <w:tc>
          <w:tcPr>
            <w:tcW w:type="dxa" w:w="3168"/>
            <w:tcMar>
              <w:top w:w="80" w:type="dxa"/>
              <w:start w:w="120" w:type="dxa"/>
              <w:bottom w:w="80" w:type="dxa"/>
              <w:end w:w="120" w:type="dxa"/>
            </w:tcMar>
            <w:vAlign w:val="center"/>
          </w:tcPr>
          <w:p>
            <w:pPr>
              <w:spacing w:before="0" w:after="0" w:line="269" w:lineRule="auto"/>
              <w:jc w:val="left"/>
            </w:pPr>
            <w:r>
              <w:rPr>
                <w:sz w:val="20"/>
              </w:rPr>
              <w:t>Limited isolation</w:t>
            </w:r>
          </w:p>
        </w:tc>
        <w:tc>
          <w:tcPr>
            <w:tcW w:type="dxa" w:w="6336"/>
            <w:tcMar>
              <w:top w:w="80" w:type="dxa"/>
              <w:start w:w="120" w:type="dxa"/>
              <w:bottom w:w="80" w:type="dxa"/>
              <w:end w:w="120" w:type="dxa"/>
            </w:tcMar>
            <w:vAlign w:val="center"/>
          </w:tcPr>
          <w:p>
            <w:pPr>
              <w:spacing w:before="0" w:after="0" w:line="269" w:lineRule="auto"/>
              <w:jc w:val="left"/>
            </w:pPr>
            <w:r>
              <w:rPr>
                <w:sz w:val="20"/>
              </w:rPr>
              <w:t>Running in parallel becomes harder because suites are not naturally separated by domain or ownership.</w:t>
            </w:r>
          </w:p>
        </w:tc>
      </w:tr>
      <w:tr>
        <w:tc>
          <w:tcPr>
            <w:tcW w:type="dxa" w:w="3168"/>
            <w:tcMar>
              <w:top w:w="80" w:type="dxa"/>
              <w:start w:w="120" w:type="dxa"/>
              <w:bottom w:w="80" w:type="dxa"/>
              <w:end w:w="120" w:type="dxa"/>
            </w:tcMar>
            <w:vAlign w:val="center"/>
          </w:tcPr>
          <w:p>
            <w:pPr>
              <w:spacing w:before="0" w:after="0" w:line="269" w:lineRule="auto"/>
              <w:jc w:val="left"/>
            </w:pPr>
            <w:r>
              <w:rPr>
                <w:sz w:val="20"/>
              </w:rPr>
              <w:t>Growing maintenance tax</w:t>
            </w:r>
          </w:p>
        </w:tc>
        <w:tc>
          <w:tcPr>
            <w:tcW w:type="dxa" w:w="6336"/>
            <w:tcMar>
              <w:top w:w="80" w:type="dxa"/>
              <w:start w:w="120" w:type="dxa"/>
              <w:bottom w:w="80" w:type="dxa"/>
              <w:end w:w="120" w:type="dxa"/>
            </w:tcMar>
            <w:vAlign w:val="center"/>
          </w:tcPr>
          <w:p>
            <w:pPr>
              <w:spacing w:before="0" w:after="0" w:line="269" w:lineRule="auto"/>
              <w:jc w:val="left"/>
            </w:pPr>
            <w:r>
              <w:rPr>
                <w:sz w:val="20"/>
              </w:rPr>
              <w:t>More time is spent maintaining framework plumbing, conventions, and dependencies instead of improving test coverage and feedback speed.</w:t>
            </w:r>
          </w:p>
        </w:tc>
      </w:tr>
    </w:tbl>
    <w:p/>
    <w:p>
      <w:pPr>
        <w:spacing w:before="80" w:after="120" w:line="276" w:lineRule="auto"/>
      </w:pPr>
      <w:r>
        <w:rPr>
          <w:rFonts w:ascii="Aptos Display" w:hAnsi="Aptos Display"/>
          <w:b/>
          <w:color w:val="1F4E79"/>
          <w:sz w:val="30"/>
        </w:rPr>
        <w:t>4. Target Operating Model</w:t>
      </w:r>
    </w:p>
    <w:p>
      <w:pPr>
        <w:pStyle w:val="ListBullet"/>
        <w:spacing w:before="0" w:after="20" w:line="276" w:lineRule="auto"/>
      </w:pPr>
      <w:r>
        <w:rPr>
          <w:sz w:val="21"/>
        </w:rPr>
        <w:t>Service-level test repositories or independently buildable suites for major services and domains with significant test volume.</w:t>
      </w:r>
    </w:p>
    <w:p>
      <w:pPr>
        <w:pStyle w:val="ListBullet"/>
        <w:spacing w:before="0" w:after="20" w:line="276" w:lineRule="auto"/>
      </w:pPr>
      <w:r>
        <w:rPr>
          <w:sz w:val="21"/>
        </w:rPr>
        <w:t>A dedicated UI automation layer so browser-based workflows are isolated from service and data-validation concerns.</w:t>
      </w:r>
    </w:p>
    <w:p>
      <w:pPr>
        <w:pStyle w:val="ListBullet"/>
        <w:spacing w:before="0" w:after="20" w:line="276" w:lineRule="auto"/>
      </w:pPr>
      <w:r>
        <w:rPr>
          <w:sz w:val="21"/>
        </w:rPr>
        <w:t>A Python-based data-validation layer for CSV comparisons, export/import checks, reconciliation tests, and database-oriented validations.</w:t>
      </w:r>
    </w:p>
    <w:p>
      <w:pPr>
        <w:pStyle w:val="ListBullet"/>
        <w:spacing w:before="0" w:after="20" w:line="276" w:lineRule="auto"/>
      </w:pPr>
      <w:r>
        <w:rPr>
          <w:sz w:val="21"/>
        </w:rPr>
        <w:t>A minimal shared foundation for only the essentials, such as authentication helpers, common environment standards, CI templates, and a small set of reusable utilities.</w:t>
      </w:r>
    </w:p>
    <w:p>
      <w:pPr>
        <w:spacing w:before="80" w:after="120" w:line="276" w:lineRule="auto"/>
      </w:pPr>
      <w:r>
        <w:rPr>
          <w:rFonts w:ascii="Aptos Display" w:hAnsi="Aptos Display"/>
          <w:b/>
          <w:color w:val="1F4E79"/>
          <w:sz w:val="30"/>
        </w:rPr>
        <w:t>5. Recommended Test Placement Rules</w:t>
      </w:r>
    </w:p>
    <w:tbl>
      <w:tblPr>
        <w:tblStyle w:val="TableGrid"/>
        <w:tblW w:type="auto" w:w="0"/>
        <w:jc w:val="center"/>
        <w:tblLayout w:type="fixed"/>
        <w:tblLook w:firstColumn="1" w:firstRow="1" w:lastColumn="0" w:lastRow="0" w:noHBand="0" w:noVBand="1" w:val="04A0"/>
      </w:tblPr>
      <w:tblGrid>
        <w:gridCol w:w="3600"/>
        <w:gridCol w:w="5904"/>
      </w:tblGrid>
      <w:tr>
        <w:tc>
          <w:tcPr>
            <w:tcW w:type="dxa" w:w="4968"/>
            <w:shd w:fill="D9EAF7"/>
            <w:tcMar>
              <w:top w:w="90" w:type="dxa"/>
              <w:start w:w="110" w:type="dxa"/>
              <w:bottom w:w="90" w:type="dxa"/>
              <w:end w:w="110" w:type="dxa"/>
            </w:tcMar>
          </w:tcPr>
          <w:p>
            <w:pPr>
              <w:jc w:val="center"/>
            </w:pPr>
            <w:r>
              <w:rPr>
                <w:b/>
                <w:sz w:val="20"/>
              </w:rPr>
              <w:t>Test category</w:t>
            </w:r>
          </w:p>
        </w:tc>
        <w:tc>
          <w:tcPr>
            <w:tcW w:type="dxa" w:w="4968"/>
            <w:shd w:fill="D9EAF7"/>
            <w:tcMar>
              <w:top w:w="90" w:type="dxa"/>
              <w:start w:w="110" w:type="dxa"/>
              <w:bottom w:w="90" w:type="dxa"/>
              <w:end w:w="110" w:type="dxa"/>
            </w:tcMar>
          </w:tcPr>
          <w:p>
            <w:pPr>
              <w:jc w:val="center"/>
            </w:pPr>
            <w:r>
              <w:rPr>
                <w:b/>
                <w:sz w:val="20"/>
              </w:rPr>
              <w:t>Recommended home</w:t>
            </w:r>
          </w:p>
        </w:tc>
      </w:tr>
      <w:tr>
        <w:tc>
          <w:tcPr>
            <w:tcW w:type="dxa" w:w="3600"/>
            <w:tcMar>
              <w:top w:w="80" w:type="dxa"/>
              <w:start w:w="120" w:type="dxa"/>
              <w:bottom w:w="80" w:type="dxa"/>
              <w:end w:w="120" w:type="dxa"/>
            </w:tcMar>
            <w:vAlign w:val="center"/>
          </w:tcPr>
          <w:p>
            <w:pPr>
              <w:spacing w:before="0" w:after="0" w:line="269" w:lineRule="auto"/>
            </w:pPr>
            <w:r>
              <w:rPr>
                <w:sz w:val="20"/>
              </w:rPr>
              <w:t>User journeys and browser behavior</w:t>
            </w:r>
          </w:p>
        </w:tc>
        <w:tc>
          <w:tcPr>
            <w:tcW w:type="dxa" w:w="5904"/>
            <w:tcMar>
              <w:top w:w="80" w:type="dxa"/>
              <w:start w:w="120" w:type="dxa"/>
              <w:bottom w:w="80" w:type="dxa"/>
              <w:end w:w="120" w:type="dxa"/>
            </w:tcMar>
            <w:vAlign w:val="center"/>
          </w:tcPr>
          <w:p>
            <w:pPr>
              <w:spacing w:before="0" w:after="0" w:line="269" w:lineRule="auto"/>
            </w:pPr>
            <w:r>
              <w:rPr>
                <w:sz w:val="20"/>
              </w:rPr>
              <w:t>Dedicated UI automation repository or suite</w:t>
            </w:r>
          </w:p>
        </w:tc>
      </w:tr>
      <w:tr>
        <w:tc>
          <w:tcPr>
            <w:tcW w:type="dxa" w:w="3600"/>
            <w:tcMar>
              <w:top w:w="80" w:type="dxa"/>
              <w:start w:w="120" w:type="dxa"/>
              <w:bottom w:w="80" w:type="dxa"/>
              <w:end w:w="120" w:type="dxa"/>
            </w:tcMar>
            <w:vAlign w:val="center"/>
          </w:tcPr>
          <w:p>
            <w:pPr>
              <w:spacing w:before="0" w:after="0" w:line="269" w:lineRule="auto"/>
            </w:pPr>
            <w:r>
              <w:rPr>
                <w:sz w:val="20"/>
              </w:rPr>
              <w:t>Service contracts and service-specific integration tests</w:t>
            </w:r>
          </w:p>
        </w:tc>
        <w:tc>
          <w:tcPr>
            <w:tcW w:type="dxa" w:w="5904"/>
            <w:tcMar>
              <w:top w:w="80" w:type="dxa"/>
              <w:start w:w="120" w:type="dxa"/>
              <w:bottom w:w="80" w:type="dxa"/>
              <w:end w:w="120" w:type="dxa"/>
            </w:tcMar>
            <w:vAlign w:val="center"/>
          </w:tcPr>
          <w:p>
            <w:pPr>
              <w:spacing w:before="0" w:after="0" w:line="269" w:lineRule="auto"/>
            </w:pPr>
            <w:r>
              <w:rPr>
                <w:sz w:val="20"/>
              </w:rPr>
              <w:t>Repository or independently buildable suite aligned to the service/domain</w:t>
            </w:r>
          </w:p>
        </w:tc>
      </w:tr>
      <w:tr>
        <w:tc>
          <w:tcPr>
            <w:tcW w:type="dxa" w:w="3600"/>
            <w:tcMar>
              <w:top w:w="80" w:type="dxa"/>
              <w:start w:w="120" w:type="dxa"/>
              <w:bottom w:w="80" w:type="dxa"/>
              <w:end w:w="120" w:type="dxa"/>
            </w:tcMar>
            <w:vAlign w:val="center"/>
          </w:tcPr>
          <w:p>
            <w:pPr>
              <w:spacing w:before="0" w:after="0" w:line="269" w:lineRule="auto"/>
            </w:pPr>
            <w:r>
              <w:rPr>
                <w:sz w:val="20"/>
              </w:rPr>
              <w:t>CSV comparisons, export/import validation, reconciliation checks</w:t>
            </w:r>
          </w:p>
        </w:tc>
        <w:tc>
          <w:tcPr>
            <w:tcW w:type="dxa" w:w="5904"/>
            <w:tcMar>
              <w:top w:w="80" w:type="dxa"/>
              <w:start w:w="120" w:type="dxa"/>
              <w:bottom w:w="80" w:type="dxa"/>
              <w:end w:w="120" w:type="dxa"/>
            </w:tcMar>
            <w:vAlign w:val="center"/>
          </w:tcPr>
          <w:p>
            <w:pPr>
              <w:spacing w:before="0" w:after="0" w:line="269" w:lineRule="auto"/>
            </w:pPr>
            <w:r>
              <w:rPr>
                <w:sz w:val="20"/>
              </w:rPr>
              <w:t>Python data-validation repository using pytest</w:t>
            </w:r>
          </w:p>
        </w:tc>
      </w:tr>
      <w:tr>
        <w:tc>
          <w:tcPr>
            <w:tcW w:type="dxa" w:w="3600"/>
            <w:tcMar>
              <w:top w:w="80" w:type="dxa"/>
              <w:start w:w="120" w:type="dxa"/>
              <w:bottom w:w="80" w:type="dxa"/>
              <w:end w:w="120" w:type="dxa"/>
            </w:tcMar>
            <w:vAlign w:val="center"/>
          </w:tcPr>
          <w:p>
            <w:pPr>
              <w:spacing w:before="0" w:after="0" w:line="269" w:lineRule="auto"/>
            </w:pPr>
            <w:r>
              <w:rPr>
                <w:sz w:val="20"/>
              </w:rPr>
              <w:t>Database validation and query/result comparison</w:t>
            </w:r>
          </w:p>
        </w:tc>
        <w:tc>
          <w:tcPr>
            <w:tcW w:type="dxa" w:w="5904"/>
            <w:tcMar>
              <w:top w:w="80" w:type="dxa"/>
              <w:start w:w="120" w:type="dxa"/>
              <w:bottom w:w="80" w:type="dxa"/>
              <w:end w:w="120" w:type="dxa"/>
            </w:tcMar>
            <w:vAlign w:val="center"/>
          </w:tcPr>
          <w:p>
            <w:pPr>
              <w:spacing w:before="0" w:after="0" w:line="269" w:lineRule="auto"/>
            </w:pPr>
            <w:r>
              <w:rPr>
                <w:sz w:val="20"/>
              </w:rPr>
              <w:t>Python data-validation repository using pytest</w:t>
            </w:r>
          </w:p>
        </w:tc>
      </w:tr>
      <w:tr>
        <w:tc>
          <w:tcPr>
            <w:tcW w:type="dxa" w:w="3600"/>
            <w:tcMar>
              <w:top w:w="80" w:type="dxa"/>
              <w:start w:w="120" w:type="dxa"/>
              <w:bottom w:w="80" w:type="dxa"/>
              <w:end w:w="120" w:type="dxa"/>
            </w:tcMar>
            <w:vAlign w:val="center"/>
          </w:tcPr>
          <w:p>
            <w:pPr>
              <w:spacing w:before="0" w:after="0" w:line="269" w:lineRule="auto"/>
            </w:pPr>
            <w:r>
              <w:rPr>
                <w:sz w:val="20"/>
              </w:rPr>
              <w:t>Small number of cross-system end-to-end acceptance flows</w:t>
            </w:r>
          </w:p>
        </w:tc>
        <w:tc>
          <w:tcPr>
            <w:tcW w:type="dxa" w:w="5904"/>
            <w:tcMar>
              <w:top w:w="80" w:type="dxa"/>
              <w:start w:w="120" w:type="dxa"/>
              <w:bottom w:w="80" w:type="dxa"/>
              <w:end w:w="120" w:type="dxa"/>
            </w:tcMar>
            <w:vAlign w:val="center"/>
          </w:tcPr>
          <w:p>
            <w:pPr>
              <w:spacing w:before="0" w:after="0" w:line="269" w:lineRule="auto"/>
            </w:pPr>
            <w:r>
              <w:rPr>
                <w:sz w:val="20"/>
              </w:rPr>
              <w:t>Dedicated E2E layer kept intentionally small</w:t>
            </w:r>
          </w:p>
        </w:tc>
      </w:tr>
    </w:tbl>
    <w:p>
      <w:r>
        <w:br w:type="page"/>
      </w:r>
    </w:p>
    <w:p>
      <w:pPr>
        <w:spacing w:before="80" w:after="120" w:line="276" w:lineRule="auto"/>
      </w:pPr>
      <w:r>
        <w:rPr>
          <w:rFonts w:ascii="Aptos Display" w:hAnsi="Aptos Display"/>
          <w:b/>
          <w:color w:val="1F4E79"/>
          <w:sz w:val="30"/>
        </w:rPr>
        <w:t>6. Expected Benefits</w:t>
      </w:r>
    </w:p>
    <w:p>
      <w:pPr>
        <w:pStyle w:val="ListBullet"/>
        <w:spacing w:before="0" w:after="20" w:line="276" w:lineRule="auto"/>
      </w:pPr>
      <w:r>
        <w:rPr>
          <w:sz w:val="21"/>
        </w:rPr>
        <w:t>Faster local development and debugging because engineers open and work within smaller, more focused repositories.</w:t>
      </w:r>
    </w:p>
    <w:p>
      <w:pPr>
        <w:pStyle w:val="ListBullet"/>
        <w:spacing w:before="0" w:after="20" w:line="276" w:lineRule="auto"/>
      </w:pPr>
      <w:r>
        <w:rPr>
          <w:sz w:val="21"/>
        </w:rPr>
        <w:t>Better execution speed because tests no longer pay the startup and orchestration cost of the entire framework.</w:t>
      </w:r>
    </w:p>
    <w:p>
      <w:pPr>
        <w:pStyle w:val="ListBullet"/>
        <w:spacing w:before="0" w:after="20" w:line="276" w:lineRule="auto"/>
      </w:pPr>
      <w:r>
        <w:rPr>
          <w:sz w:val="21"/>
        </w:rPr>
        <w:t>Improved parallelization because suites are separated by service boundary and runtime concern.</w:t>
      </w:r>
    </w:p>
    <w:p>
      <w:pPr>
        <w:pStyle w:val="ListBullet"/>
        <w:spacing w:before="0" w:after="20" w:line="276" w:lineRule="auto"/>
      </w:pPr>
      <w:r>
        <w:rPr>
          <w:sz w:val="21"/>
        </w:rPr>
        <w:t>Clearer ownership because teams can own their service-level tests without navigating an enterprise-scale shared test monolith.</w:t>
      </w:r>
    </w:p>
    <w:p>
      <w:pPr>
        <w:pStyle w:val="ListBullet"/>
        <w:spacing w:before="0" w:after="20" w:line="276" w:lineRule="auto"/>
      </w:pPr>
      <w:r>
        <w:rPr>
          <w:sz w:val="21"/>
        </w:rPr>
        <w:t>Lower maintenance cost because the code is closer to the test logic and there is less framework ceremony.</w:t>
      </w:r>
    </w:p>
    <w:p>
      <w:pPr>
        <w:pStyle w:val="ListBullet"/>
        <w:spacing w:before="0" w:after="20" w:line="276" w:lineRule="auto"/>
      </w:pPr>
      <w:r>
        <w:rPr>
          <w:sz w:val="21"/>
        </w:rPr>
        <w:t>Better fit for AI-assisted development because smaller and less coupled codebases are easier for AI tools to understand, modify, and validate safely.</w:t>
      </w:r>
    </w:p>
    <w:p>
      <w:pPr>
        <w:spacing w:before="80" w:after="120" w:line="276" w:lineRule="auto"/>
      </w:pPr>
      <w:r>
        <w:rPr>
          <w:rFonts w:ascii="Aptos Display" w:hAnsi="Aptos Display"/>
          <w:b/>
          <w:color w:val="1F4E79"/>
          <w:sz w:val="30"/>
        </w:rPr>
        <w:t>7. Why Python for CSV and Database-Oriented Testing</w:t>
      </w:r>
    </w:p>
    <w:p>
      <w:pPr>
        <w:spacing w:before="0" w:after="80" w:line="283" w:lineRule="auto"/>
      </w:pPr>
      <w:r>
        <w:t>CSV comparison, data reconciliation, and many database checks are data-validation problems rather than BDD or UI-automation problems. A Python stack using pytest is more natural for this work because it reduces abstraction, shortens the path from input to assertion, and typically provides faster feedback. It also makes it easier to create clear diff outputs and simpler maintenance workflows.</w:t>
      </w:r>
    </w:p>
    <w:tbl>
      <w:tblPr>
        <w:tblStyle w:val="TableGrid"/>
        <w:tblW w:type="auto" w:w="0"/>
        <w:jc w:val="center"/>
        <w:tblLayout w:type="fixed"/>
        <w:tblLook w:firstColumn="1" w:firstRow="1" w:lastColumn="0" w:lastRow="0" w:noHBand="0" w:noVBand="1" w:val="04A0"/>
      </w:tblPr>
      <w:tblGrid>
        <w:gridCol w:w="3168"/>
        <w:gridCol w:w="3096"/>
        <w:gridCol w:w="3096"/>
      </w:tblGrid>
      <w:tr>
        <w:tc>
          <w:tcPr>
            <w:tcW w:type="dxa" w:w="3312"/>
            <w:shd w:fill="D9EAF7"/>
            <w:tcMar>
              <w:top w:w="90" w:type="dxa"/>
              <w:start w:w="100" w:type="dxa"/>
              <w:bottom w:w="90" w:type="dxa"/>
              <w:end w:w="100" w:type="dxa"/>
            </w:tcMar>
          </w:tcPr>
          <w:p>
            <w:pPr>
              <w:jc w:val="center"/>
            </w:pPr>
            <w:r>
              <w:rPr>
                <w:b/>
                <w:sz w:val="19"/>
              </w:rPr>
              <w:t>Evaluation area</w:t>
            </w:r>
          </w:p>
        </w:tc>
        <w:tc>
          <w:tcPr>
            <w:tcW w:type="dxa" w:w="3312"/>
            <w:shd w:fill="D9EAF7"/>
            <w:tcMar>
              <w:top w:w="90" w:type="dxa"/>
              <w:start w:w="100" w:type="dxa"/>
              <w:bottom w:w="90" w:type="dxa"/>
              <w:end w:w="100" w:type="dxa"/>
            </w:tcMar>
          </w:tcPr>
          <w:p>
            <w:pPr>
              <w:jc w:val="center"/>
            </w:pPr>
            <w:r>
              <w:rPr>
                <w:b/>
                <w:sz w:val="19"/>
              </w:rPr>
              <w:t>Current heavy Java path</w:t>
            </w:r>
          </w:p>
        </w:tc>
        <w:tc>
          <w:tcPr>
            <w:tcW w:type="dxa" w:w="3312"/>
            <w:shd w:fill="D9EAF7"/>
            <w:tcMar>
              <w:top w:w="90" w:type="dxa"/>
              <w:start w:w="100" w:type="dxa"/>
              <w:bottom w:w="90" w:type="dxa"/>
              <w:end w:w="100" w:type="dxa"/>
            </w:tcMar>
          </w:tcPr>
          <w:p>
            <w:pPr>
              <w:jc w:val="center"/>
            </w:pPr>
            <w:r>
              <w:rPr>
                <w:b/>
                <w:sz w:val="19"/>
              </w:rPr>
              <w:t>Proposed Python path</w:t>
            </w:r>
          </w:p>
        </w:tc>
      </w:tr>
      <w:tr>
        <w:tc>
          <w:tcPr>
            <w:tcW w:type="dxa" w:w="3168"/>
            <w:tcMar>
              <w:top w:w="80" w:type="dxa"/>
              <w:start w:w="100" w:type="dxa"/>
              <w:bottom w:w="80" w:type="dxa"/>
              <w:end w:w="100" w:type="dxa"/>
            </w:tcMar>
            <w:vAlign w:val="center"/>
          </w:tcPr>
          <w:p>
            <w:pPr>
              <w:spacing w:before="0" w:after="0" w:line="264" w:lineRule="auto"/>
            </w:pPr>
            <w:r>
              <w:rPr>
                <w:sz w:val="19"/>
              </w:rPr>
              <w:t>Adding a new CSV check</w:t>
            </w:r>
          </w:p>
        </w:tc>
        <w:tc>
          <w:tcPr>
            <w:tcW w:type="dxa" w:w="3096"/>
            <w:tcMar>
              <w:top w:w="80" w:type="dxa"/>
              <w:start w:w="100" w:type="dxa"/>
              <w:bottom w:w="80" w:type="dxa"/>
              <w:end w:w="100" w:type="dxa"/>
            </w:tcMar>
            <w:vAlign w:val="center"/>
          </w:tcPr>
          <w:p>
            <w:pPr>
              <w:spacing w:before="0" w:after="0" w:line="264" w:lineRule="auto"/>
            </w:pPr>
            <w:r>
              <w:rPr>
                <w:sz w:val="19"/>
              </w:rPr>
              <w:t>Often requires working through multiple framework layers</w:t>
            </w:r>
          </w:p>
        </w:tc>
        <w:tc>
          <w:tcPr>
            <w:tcW w:type="dxa" w:w="3096"/>
            <w:tcMar>
              <w:top w:w="80" w:type="dxa"/>
              <w:start w:w="100" w:type="dxa"/>
              <w:bottom w:w="80" w:type="dxa"/>
              <w:end w:w="100" w:type="dxa"/>
            </w:tcMar>
            <w:vAlign w:val="center"/>
          </w:tcPr>
          <w:p>
            <w:pPr>
              <w:spacing w:before="0" w:after="0" w:line="264" w:lineRule="auto"/>
            </w:pPr>
            <w:r>
              <w:rPr>
                <w:sz w:val="19"/>
              </w:rPr>
              <w:t>Usually direct test code with lightweight fixtures</w:t>
            </w:r>
          </w:p>
        </w:tc>
      </w:tr>
      <w:tr>
        <w:tc>
          <w:tcPr>
            <w:tcW w:type="dxa" w:w="3168"/>
            <w:tcMar>
              <w:top w:w="80" w:type="dxa"/>
              <w:start w:w="100" w:type="dxa"/>
              <w:bottom w:w="80" w:type="dxa"/>
              <w:end w:w="100" w:type="dxa"/>
            </w:tcMar>
            <w:vAlign w:val="center"/>
          </w:tcPr>
          <w:p>
            <w:pPr>
              <w:spacing w:before="0" w:after="0" w:line="264" w:lineRule="auto"/>
            </w:pPr>
            <w:r>
              <w:rPr>
                <w:sz w:val="19"/>
              </w:rPr>
              <w:t>Debugging failures</w:t>
            </w:r>
          </w:p>
        </w:tc>
        <w:tc>
          <w:tcPr>
            <w:tcW w:type="dxa" w:w="3096"/>
            <w:tcMar>
              <w:top w:w="80" w:type="dxa"/>
              <w:start w:w="100" w:type="dxa"/>
              <w:bottom w:w="80" w:type="dxa"/>
              <w:end w:w="100" w:type="dxa"/>
            </w:tcMar>
            <w:vAlign w:val="center"/>
          </w:tcPr>
          <w:p>
            <w:pPr>
              <w:spacing w:before="0" w:after="0" w:line="264" w:lineRule="auto"/>
            </w:pPr>
            <w:r>
              <w:rPr>
                <w:sz w:val="19"/>
              </w:rPr>
              <w:t>Logic may be spread across abstractions and helper classes</w:t>
            </w:r>
          </w:p>
        </w:tc>
        <w:tc>
          <w:tcPr>
            <w:tcW w:type="dxa" w:w="3096"/>
            <w:tcMar>
              <w:top w:w="80" w:type="dxa"/>
              <w:start w:w="100" w:type="dxa"/>
              <w:bottom w:w="80" w:type="dxa"/>
              <w:end w:w="100" w:type="dxa"/>
            </w:tcMar>
            <w:vAlign w:val="center"/>
          </w:tcPr>
          <w:p>
            <w:pPr>
              <w:spacing w:before="0" w:after="0" w:line="264" w:lineRule="auto"/>
            </w:pPr>
            <w:r>
              <w:rPr>
                <w:sz w:val="19"/>
              </w:rPr>
              <w:t>Assertions and diff logic can stay close together</w:t>
            </w:r>
          </w:p>
        </w:tc>
      </w:tr>
      <w:tr>
        <w:tc>
          <w:tcPr>
            <w:tcW w:type="dxa" w:w="3168"/>
            <w:tcMar>
              <w:top w:w="80" w:type="dxa"/>
              <w:start w:w="100" w:type="dxa"/>
              <w:bottom w:w="80" w:type="dxa"/>
              <w:end w:w="100" w:type="dxa"/>
            </w:tcMar>
            <w:vAlign w:val="center"/>
          </w:tcPr>
          <w:p>
            <w:pPr>
              <w:spacing w:before="0" w:after="0" w:line="264" w:lineRule="auto"/>
            </w:pPr>
            <w:r>
              <w:rPr>
                <w:sz w:val="19"/>
              </w:rPr>
              <w:t>AI-assisted coding</w:t>
            </w:r>
          </w:p>
        </w:tc>
        <w:tc>
          <w:tcPr>
            <w:tcW w:type="dxa" w:w="3096"/>
            <w:tcMar>
              <w:top w:w="80" w:type="dxa"/>
              <w:start w:w="100" w:type="dxa"/>
              <w:bottom w:w="80" w:type="dxa"/>
              <w:end w:w="100" w:type="dxa"/>
            </w:tcMar>
            <w:vAlign w:val="center"/>
          </w:tcPr>
          <w:p>
            <w:pPr>
              <w:spacing w:before="0" w:after="0" w:line="264" w:lineRule="auto"/>
            </w:pPr>
            <w:r>
              <w:rPr>
                <w:sz w:val="19"/>
              </w:rPr>
              <w:t>Large and coupled codebase is harder to modify safely</w:t>
            </w:r>
          </w:p>
        </w:tc>
        <w:tc>
          <w:tcPr>
            <w:tcW w:type="dxa" w:w="3096"/>
            <w:tcMar>
              <w:top w:w="80" w:type="dxa"/>
              <w:start w:w="100" w:type="dxa"/>
              <w:bottom w:w="80" w:type="dxa"/>
              <w:end w:w="100" w:type="dxa"/>
            </w:tcMar>
            <w:vAlign w:val="center"/>
          </w:tcPr>
          <w:p>
            <w:pPr>
              <w:spacing w:before="0" w:after="0" w:line="264" w:lineRule="auto"/>
            </w:pPr>
            <w:r>
              <w:rPr>
                <w:sz w:val="19"/>
              </w:rPr>
              <w:t>Smaller and more direct code is easier for AI to maintain</w:t>
            </w:r>
          </w:p>
        </w:tc>
      </w:tr>
    </w:tbl>
    <w:p/>
    <w:p>
      <w:pPr>
        <w:spacing w:before="80" w:after="120" w:line="276" w:lineRule="auto"/>
      </w:pPr>
      <w:r>
        <w:rPr>
          <w:rFonts w:ascii="Aptos Display" w:hAnsi="Aptos Display"/>
          <w:b/>
          <w:color w:val="1F4E79"/>
          <w:sz w:val="30"/>
        </w:rPr>
        <w:t>8. Phased Migration Approach</w:t>
      </w:r>
    </w:p>
    <w:p>
      <w:pPr>
        <w:pStyle w:val="ListBullet"/>
        <w:spacing w:before="0" w:after="20" w:line="276" w:lineRule="auto"/>
      </w:pPr>
      <w:r>
        <w:rPr>
          <w:sz w:val="21"/>
        </w:rPr>
        <w:t>Phase 1 - Stop the growth of the monolith: route all new CSV and database-heavy validations to a new Python data-validation repository.</w:t>
      </w:r>
    </w:p>
    <w:p>
      <w:pPr>
        <w:pStyle w:val="ListBullet"/>
        <w:spacing w:before="0" w:after="20" w:line="276" w:lineRule="auto"/>
      </w:pPr>
      <w:r>
        <w:rPr>
          <w:sz w:val="21"/>
        </w:rPr>
        <w:t>Phase 2 - Select one high-pain service area: extract a large or slow service suite into its own repository or independently buildable suite.</w:t>
      </w:r>
    </w:p>
    <w:p>
      <w:pPr>
        <w:pStyle w:val="ListBullet"/>
        <w:spacing w:before="0" w:after="20" w:line="276" w:lineRule="auto"/>
      </w:pPr>
      <w:r>
        <w:rPr>
          <w:sz w:val="21"/>
        </w:rPr>
        <w:t>Phase 3 - Establish lightweight shared standards: create CI templates, naming conventions, and a minimal reusable utility layer.</w:t>
      </w:r>
    </w:p>
    <w:p>
      <w:pPr>
        <w:pStyle w:val="ListBullet"/>
        <w:spacing w:before="0" w:after="20" w:line="276" w:lineRule="auto"/>
      </w:pPr>
      <w:r>
        <w:rPr>
          <w:sz w:val="21"/>
        </w:rPr>
        <w:t>Phase 4 - Incrementally extract additional high-value domains: prioritize based on pain, ownership clarity, and ease of isolation.</w:t>
      </w:r>
    </w:p>
    <w:p>
      <w:pPr>
        <w:pStyle w:val="ListBullet"/>
        <w:spacing w:before="0" w:after="20" w:line="276" w:lineRule="auto"/>
      </w:pPr>
      <w:r>
        <w:rPr>
          <w:sz w:val="21"/>
        </w:rPr>
        <w:t>Phase 5 - Reduce the original framework to a smaller core: keep only what still belongs together and retire duplicated or no-longer-useful abstractions.</w:t>
      </w:r>
    </w:p>
    <w:p>
      <w:pPr>
        <w:spacing w:before="80" w:after="120" w:line="276" w:lineRule="auto"/>
      </w:pPr>
      <w:r>
        <w:rPr>
          <w:rFonts w:ascii="Aptos Display" w:hAnsi="Aptos Display"/>
          <w:b/>
          <w:color w:val="1F4E79"/>
          <w:sz w:val="30"/>
        </w:rPr>
        <w:t>9. Risks and Mitigations</w:t>
      </w:r>
    </w:p>
    <w:tbl>
      <w:tblPr>
        <w:tblStyle w:val="TableGrid"/>
        <w:tblW w:type="auto" w:w="0"/>
        <w:jc w:val="center"/>
        <w:tblLayout w:type="fixed"/>
        <w:tblLook w:firstColumn="1" w:firstRow="1" w:lastColumn="0" w:lastRow="0" w:noHBand="0" w:noVBand="1" w:val="04A0"/>
      </w:tblPr>
      <w:tblGrid>
        <w:gridCol w:w="3312"/>
        <w:gridCol w:w="6192"/>
      </w:tblGrid>
      <w:tr>
        <w:tc>
          <w:tcPr>
            <w:tcW w:type="dxa" w:w="4968"/>
            <w:shd w:fill="D9EAF7"/>
            <w:tcMar>
              <w:top w:w="90" w:type="dxa"/>
              <w:start w:w="110" w:type="dxa"/>
              <w:bottom w:w="90" w:type="dxa"/>
              <w:end w:w="110" w:type="dxa"/>
            </w:tcMar>
          </w:tcPr>
          <w:p>
            <w:pPr>
              <w:jc w:val="center"/>
            </w:pPr>
            <w:r>
              <w:rPr>
                <w:b/>
                <w:sz w:val="20"/>
              </w:rPr>
              <w:t>Risk</w:t>
            </w:r>
          </w:p>
        </w:tc>
        <w:tc>
          <w:tcPr>
            <w:tcW w:type="dxa" w:w="4968"/>
            <w:shd w:fill="D9EAF7"/>
            <w:tcMar>
              <w:top w:w="90" w:type="dxa"/>
              <w:start w:w="110" w:type="dxa"/>
              <w:bottom w:w="90" w:type="dxa"/>
              <w:end w:w="110" w:type="dxa"/>
            </w:tcMar>
          </w:tcPr>
          <w:p>
            <w:pPr>
              <w:jc w:val="center"/>
            </w:pPr>
            <w:r>
              <w:rPr>
                <w:b/>
                <w:sz w:val="20"/>
              </w:rPr>
              <w:t>Mitigation</w:t>
            </w:r>
          </w:p>
        </w:tc>
      </w:tr>
      <w:tr>
        <w:tc>
          <w:tcPr>
            <w:tcW w:type="dxa" w:w="3312"/>
            <w:tcMar>
              <w:top w:w="80" w:type="dxa"/>
              <w:start w:w="120" w:type="dxa"/>
              <w:bottom w:w="80" w:type="dxa"/>
              <w:end w:w="120" w:type="dxa"/>
            </w:tcMar>
            <w:vAlign w:val="center"/>
          </w:tcPr>
          <w:p>
            <w:pPr>
              <w:spacing w:before="0" w:after="0" w:line="269" w:lineRule="auto"/>
            </w:pPr>
            <w:r>
              <w:rPr>
                <w:sz w:val="20"/>
              </w:rPr>
              <w:t>Perceived fragmentation</w:t>
            </w:r>
          </w:p>
        </w:tc>
        <w:tc>
          <w:tcPr>
            <w:tcW w:type="dxa" w:w="6192"/>
            <w:tcMar>
              <w:top w:w="80" w:type="dxa"/>
              <w:start w:w="120" w:type="dxa"/>
              <w:bottom w:w="80" w:type="dxa"/>
              <w:end w:w="120" w:type="dxa"/>
            </w:tcMar>
            <w:vAlign w:val="center"/>
          </w:tcPr>
          <w:p>
            <w:pPr>
              <w:spacing w:before="0" w:after="0" w:line="269" w:lineRule="auto"/>
            </w:pPr>
            <w:r>
              <w:rPr>
                <w:sz w:val="20"/>
              </w:rPr>
              <w:t>Define clear placement rules by test type and domain so the model remains simple and intentional.</w:t>
            </w:r>
          </w:p>
        </w:tc>
      </w:tr>
      <w:tr>
        <w:tc>
          <w:tcPr>
            <w:tcW w:type="dxa" w:w="3312"/>
            <w:tcMar>
              <w:top w:w="80" w:type="dxa"/>
              <w:start w:w="120" w:type="dxa"/>
              <w:bottom w:w="80" w:type="dxa"/>
              <w:end w:w="120" w:type="dxa"/>
            </w:tcMar>
            <w:vAlign w:val="center"/>
          </w:tcPr>
          <w:p>
            <w:pPr>
              <w:spacing w:before="0" w:after="0" w:line="269" w:lineRule="auto"/>
            </w:pPr>
            <w:r>
              <w:rPr>
                <w:sz w:val="20"/>
              </w:rPr>
              <w:t>Duplicate utilities across repos</w:t>
            </w:r>
          </w:p>
        </w:tc>
        <w:tc>
          <w:tcPr>
            <w:tcW w:type="dxa" w:w="6192"/>
            <w:tcMar>
              <w:top w:w="80" w:type="dxa"/>
              <w:start w:w="120" w:type="dxa"/>
              <w:bottom w:w="80" w:type="dxa"/>
              <w:end w:w="120" w:type="dxa"/>
            </w:tcMar>
            <w:vAlign w:val="center"/>
          </w:tcPr>
          <w:p>
            <w:pPr>
              <w:spacing w:before="0" w:after="0" w:line="269" w:lineRule="auto"/>
            </w:pPr>
            <w:r>
              <w:rPr>
                <w:sz w:val="20"/>
              </w:rPr>
              <w:t>Allow limited duplication at first and centralize only utilities that prove to be truly common.</w:t>
            </w:r>
          </w:p>
        </w:tc>
      </w:tr>
      <w:tr>
        <w:tc>
          <w:tcPr>
            <w:tcW w:type="dxa" w:w="3312"/>
            <w:tcMar>
              <w:top w:w="80" w:type="dxa"/>
              <w:start w:w="120" w:type="dxa"/>
              <w:bottom w:w="80" w:type="dxa"/>
              <w:end w:w="120" w:type="dxa"/>
            </w:tcMar>
            <w:vAlign w:val="center"/>
          </w:tcPr>
          <w:p>
            <w:pPr>
              <w:spacing w:before="0" w:after="0" w:line="269" w:lineRule="auto"/>
            </w:pPr>
            <w:r>
              <w:rPr>
                <w:sz w:val="20"/>
              </w:rPr>
              <w:t>Migration effort</w:t>
            </w:r>
          </w:p>
        </w:tc>
        <w:tc>
          <w:tcPr>
            <w:tcW w:type="dxa" w:w="6192"/>
            <w:tcMar>
              <w:top w:w="80" w:type="dxa"/>
              <w:start w:w="120" w:type="dxa"/>
              <w:bottom w:w="80" w:type="dxa"/>
              <w:end w:w="120" w:type="dxa"/>
            </w:tcMar>
            <w:vAlign w:val="center"/>
          </w:tcPr>
          <w:p>
            <w:pPr>
              <w:spacing w:before="0" w:after="0" w:line="269" w:lineRule="auto"/>
            </w:pPr>
            <w:r>
              <w:rPr>
                <w:sz w:val="20"/>
              </w:rPr>
              <w:t>Avoid a big-bang rewrite; use a pilot-based extraction approach with measurable outcomes.</w:t>
            </w:r>
          </w:p>
        </w:tc>
      </w:tr>
      <w:tr>
        <w:tc>
          <w:tcPr>
            <w:tcW w:type="dxa" w:w="3312"/>
            <w:tcMar>
              <w:top w:w="80" w:type="dxa"/>
              <w:start w:w="120" w:type="dxa"/>
              <w:bottom w:w="80" w:type="dxa"/>
              <w:end w:w="120" w:type="dxa"/>
            </w:tcMar>
            <w:vAlign w:val="center"/>
          </w:tcPr>
          <w:p>
            <w:pPr>
              <w:spacing w:before="0" w:after="0" w:line="269" w:lineRule="auto"/>
            </w:pPr>
            <w:r>
              <w:rPr>
                <w:sz w:val="20"/>
              </w:rPr>
              <w:t>Inconsistent standards</w:t>
            </w:r>
          </w:p>
        </w:tc>
        <w:tc>
          <w:tcPr>
            <w:tcW w:type="dxa" w:w="6192"/>
            <w:tcMar>
              <w:top w:w="80" w:type="dxa"/>
              <w:start w:w="120" w:type="dxa"/>
              <w:bottom w:w="80" w:type="dxa"/>
              <w:end w:w="120" w:type="dxa"/>
            </w:tcMar>
            <w:vAlign w:val="center"/>
          </w:tcPr>
          <w:p>
            <w:pPr>
              <w:spacing w:before="0" w:after="0" w:line="269" w:lineRule="auto"/>
            </w:pPr>
            <w:r>
              <w:rPr>
                <w:sz w:val="20"/>
              </w:rPr>
              <w:t>Use templates, CI patterns, and lightweight governance rather than rebuilding a heavy shared framework.</w:t>
            </w:r>
          </w:p>
        </w:tc>
      </w:tr>
    </w:tbl>
    <w:p>
      <w:pPr>
        <w:spacing w:before="80" w:after="120" w:line="276" w:lineRule="auto"/>
      </w:pPr>
      <w:r>
        <w:rPr>
          <w:rFonts w:ascii="Aptos Display" w:hAnsi="Aptos Display"/>
          <w:b/>
          <w:color w:val="1F4E79"/>
          <w:sz w:val="30"/>
        </w:rPr>
        <w:t>10. Success Measures</w:t>
      </w:r>
    </w:p>
    <w:p>
      <w:pPr>
        <w:pStyle w:val="ListBullet"/>
        <w:spacing w:before="0" w:after="20" w:line="276" w:lineRule="auto"/>
      </w:pPr>
      <w:r>
        <w:rPr>
          <w:sz w:val="21"/>
        </w:rPr>
        <w:t>Reduced time to add a new test in the target area.</w:t>
      </w:r>
    </w:p>
    <w:p>
      <w:pPr>
        <w:pStyle w:val="ListBullet"/>
        <w:spacing w:before="0" w:after="20" w:line="276" w:lineRule="auto"/>
      </w:pPr>
      <w:r>
        <w:rPr>
          <w:sz w:val="21"/>
        </w:rPr>
        <w:t>Reduced local execution time and improved CI runtime for extracted suites.</w:t>
      </w:r>
    </w:p>
    <w:p>
      <w:pPr>
        <w:pStyle w:val="ListBullet"/>
        <w:spacing w:before="0" w:after="20" w:line="276" w:lineRule="auto"/>
      </w:pPr>
      <w:r>
        <w:rPr>
          <w:sz w:val="21"/>
        </w:rPr>
        <w:t>Improved IDE responsiveness and project load time for engineers working in the extracted repos.</w:t>
      </w:r>
    </w:p>
    <w:p>
      <w:pPr>
        <w:pStyle w:val="ListBullet"/>
        <w:spacing w:before="0" w:after="20" w:line="276" w:lineRule="auto"/>
      </w:pPr>
      <w:r>
        <w:rPr>
          <w:sz w:val="21"/>
        </w:rPr>
        <w:t>Ability to execute more suites in parallel without environment collisions.</w:t>
      </w:r>
    </w:p>
    <w:p>
      <w:pPr>
        <w:pStyle w:val="ListBullet"/>
        <w:spacing w:before="0" w:after="20" w:line="276" w:lineRule="auto"/>
      </w:pPr>
      <w:r>
        <w:rPr>
          <w:sz w:val="21"/>
        </w:rPr>
        <w:t>Reduced maintenance effort for CSV and database validations.</w:t>
      </w:r>
    </w:p>
    <w:p>
      <w:pPr>
        <w:pStyle w:val="ListBullet"/>
        <w:spacing w:before="0" w:after="20" w:line="276" w:lineRule="auto"/>
      </w:pPr>
      <w:r>
        <w:rPr>
          <w:sz w:val="21"/>
        </w:rPr>
        <w:t>Improved success rate for AI-generated or AI-maintained changes because the codebases are smaller and clearer.</w:t>
      </w:r>
    </w:p>
    <w:p>
      <w:pPr>
        <w:spacing w:before="80" w:after="120" w:line="276" w:lineRule="auto"/>
      </w:pPr>
      <w:r>
        <w:rPr>
          <w:rFonts w:ascii="Aptos Display" w:hAnsi="Aptos Display"/>
          <w:b/>
          <w:color w:val="1F4E79"/>
          <w:sz w:val="30"/>
        </w:rPr>
        <w:t>11. Decisions Requested</w:t>
      </w:r>
    </w:p>
    <w:p>
      <w:pPr>
        <w:spacing w:before="0" w:after="40" w:line="283" w:lineRule="auto"/>
      </w:pPr>
      <w:r>
        <w:rPr>
          <w:b w:val="0"/>
        </w:rPr>
        <w:t xml:space="preserve">Approval is requested for a staged modernization effort rather than a full rewrite. The immediate decisions are: </w:t>
      </w:r>
    </w:p>
    <w:p>
      <w:pPr>
        <w:pStyle w:val="ListBullet"/>
        <w:spacing w:before="0" w:after="20" w:line="276" w:lineRule="auto"/>
      </w:pPr>
      <w:r>
        <w:rPr>
          <w:sz w:val="21"/>
        </w:rPr>
        <w:t>Approve a Python pytest repository for all new CSV and database-oriented validations.</w:t>
      </w:r>
    </w:p>
    <w:p>
      <w:pPr>
        <w:pStyle w:val="ListBullet"/>
        <w:spacing w:before="0" w:after="20" w:line="276" w:lineRule="auto"/>
      </w:pPr>
      <w:r>
        <w:rPr>
          <w:sz w:val="21"/>
        </w:rPr>
        <w:t>Approve one pilot extraction of a major service/domain from the current framework.</w:t>
      </w:r>
    </w:p>
    <w:p>
      <w:pPr>
        <w:pStyle w:val="ListBullet"/>
        <w:spacing w:before="0" w:after="20" w:line="276" w:lineRule="auto"/>
      </w:pPr>
      <w:r>
        <w:rPr>
          <w:sz w:val="21"/>
        </w:rPr>
        <w:t>Approve a lightweight architecture standard for future test placement by concern and domain.</w:t>
      </w:r>
    </w:p>
    <w:p>
      <w:pPr>
        <w:spacing w:before="80" w:after="120" w:line="276" w:lineRule="auto"/>
      </w:pPr>
      <w:r>
        <w:rPr>
          <w:rFonts w:ascii="Aptos Display" w:hAnsi="Aptos Display"/>
          <w:b/>
          <w:color w:val="1F4E79"/>
          <w:sz w:val="30"/>
        </w:rPr>
        <w:t>12. Conclusion</w:t>
      </w:r>
    </w:p>
    <w:p>
      <w:pPr>
        <w:spacing w:before="0" w:after="80" w:line="283" w:lineRule="auto"/>
      </w:pPr>
      <w:r>
        <w:t>The current automation framework has reached the point where further growth in a single shared codebase will continue to reduce speed and increase cost. A modular architecture is the most practical path forward. It preserves what still works, avoids the risk of a full rewrite, and aligns each category of testing with the tooling and ownership model that best supports fast feedback, maintainability, and long-term scalability.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