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t>QUESTION 1</w:t>
      </w:r>
    </w:p>
    <w:p w:rsidR="00D14C57" w:rsidRPr="00D14C57" w:rsidRDefault="00D14C57" w:rsidP="00D14C57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>In PAC-learning, what do </w:t>
      </w:r>
      <w:r w:rsidRPr="00D14C57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ε</w:t>
      </w:r>
      <w:r w:rsidRPr="00D14C57">
        <w:rPr>
          <w:rFonts w:ascii="inherit" w:eastAsia="Times New Roman" w:hAnsi="inherit" w:cs="Arial"/>
          <w:color w:val="444444"/>
          <w:sz w:val="20"/>
          <w:szCs w:val="20"/>
        </w:rPr>
        <w:t> and </w:t>
      </w:r>
      <w:r w:rsidRPr="00D14C57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δ represent?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6473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4" type="#_x0000_t75" style="width:20.25pt;height:17.25pt" o:ole="">
                  <v:imagedata r:id="rId5" o:title=""/>
                </v:shape>
                <w:control r:id="rId6" w:name="DefaultOcxName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ε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confidence in the approximation. </w:t>
            </w: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δ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derivative of the error function.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83" type="#_x0000_t75" style="width:20.25pt;height:17.25pt" o:ole="">
                  <v:imagedata r:id="rId5" o:title=""/>
                </v:shape>
                <w:control r:id="rId7" w:name="DefaultOcxName1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ε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an error bound. </w:t>
            </w: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δ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bias.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82" type="#_x0000_t75" style="width:20.25pt;height:17.25pt" o:ole="">
                  <v:imagedata r:id="rId5" o:title=""/>
                </v:shape>
                <w:control r:id="rId8" w:name="DefaultOcxName2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ε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sample complexity. </w:t>
            </w: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δ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likelihood of the model.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81" type="#_x0000_t75" style="width:20.25pt;height:17.25pt" o:ole="">
                  <v:imagedata r:id="rId5" o:title=""/>
                </v:shape>
                <w:control r:id="rId9" w:name="DefaultOcxName3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ε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statistical bias. </w:t>
            </w: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δ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variance in the estimate.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80" type="#_x0000_t75" style="width:20.25pt;height:17.25pt" o:ole="">
                  <v:imagedata r:id="rId5" o:title=""/>
                </v:shape>
                <w:control r:id="rId10" w:name="DefaultOcxName4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ε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error in the approximation. </w:t>
            </w:r>
            <w:proofErr w:type="gramStart"/>
            <w:r w:rsidRPr="00D14C57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δ</w:t>
            </w:r>
            <w:proofErr w:type="gram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is the confidence in that approximation.</w: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D14C57" w:rsidRP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 (or E?)</w:t>
      </w:r>
      <w:proofErr w:type="gramEnd"/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t>QUESTION 2</w:t>
      </w:r>
    </w:p>
    <w:p w:rsidR="00D14C57" w:rsidRPr="00D14C57" w:rsidRDefault="00D14C57" w:rsidP="00D14C57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 xml:space="preserve">Tree-augmented Naïve </w:t>
      </w:r>
      <w:proofErr w:type="spellStart"/>
      <w:r w:rsidRPr="00D14C57">
        <w:rPr>
          <w:rFonts w:ascii="inherit" w:eastAsia="Times New Roman" w:hAnsi="inherit" w:cs="Arial"/>
          <w:color w:val="444444"/>
          <w:sz w:val="20"/>
          <w:szCs w:val="20"/>
        </w:rPr>
        <w:t>Bayes</w:t>
      </w:r>
      <w:proofErr w:type="spellEnd"/>
      <w:r w:rsidRPr="00D14C57">
        <w:rPr>
          <w:rFonts w:ascii="inherit" w:eastAsia="Times New Roman" w:hAnsi="inherit" w:cs="Arial"/>
          <w:color w:val="444444"/>
          <w:sz w:val="20"/>
          <w:szCs w:val="20"/>
        </w:rPr>
        <w:t xml:space="preserve"> attempts to improve classification accuracy by relaxing the underlying assumptions of the basic Naïve </w:t>
      </w:r>
      <w:proofErr w:type="spellStart"/>
      <w:r w:rsidRPr="00D14C57">
        <w:rPr>
          <w:rFonts w:ascii="inherit" w:eastAsia="Times New Roman" w:hAnsi="inherit" w:cs="Arial"/>
          <w:color w:val="444444"/>
          <w:sz w:val="20"/>
          <w:szCs w:val="20"/>
        </w:rPr>
        <w:t>Bayes</w:t>
      </w:r>
      <w:proofErr w:type="spellEnd"/>
      <w:r w:rsidRPr="00D14C57">
        <w:rPr>
          <w:rFonts w:ascii="inherit" w:eastAsia="Times New Roman" w:hAnsi="inherit" w:cs="Arial"/>
          <w:color w:val="444444"/>
          <w:sz w:val="20"/>
          <w:szCs w:val="20"/>
        </w:rPr>
        <w:t xml:space="preserve"> model. Which of the following modifications that TAN applies will guarantee it always performs better than Naïve </w:t>
      </w:r>
      <w:proofErr w:type="spellStart"/>
      <w:r w:rsidRPr="00D14C57">
        <w:rPr>
          <w:rFonts w:ascii="inherit" w:eastAsia="Times New Roman" w:hAnsi="inherit" w:cs="Arial"/>
          <w:color w:val="444444"/>
          <w:sz w:val="20"/>
          <w:szCs w:val="20"/>
        </w:rPr>
        <w:t>Bayes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7845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9" type="#_x0000_t75" style="width:20.25pt;height:17.25pt" o:ole="">
                  <v:imagedata r:id="rId5" o:title=""/>
                </v:shape>
                <w:control r:id="rId11" w:name="DefaultOcxName5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Using mutual information to detect dependencies.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8" type="#_x0000_t75" style="width:20.25pt;height:17.25pt" o:ole="">
                  <v:imagedata r:id="rId5" o:title=""/>
                </v:shape>
                <w:control r:id="rId12" w:name="DefaultOcxName6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There is no relaxation that can guarantee improved performance.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7" type="#_x0000_t75" style="width:20.25pt;height:17.25pt" o:ole="">
                  <v:imagedata r:id="rId5" o:title=""/>
                </v:shape>
                <w:control r:id="rId13" w:name="DefaultOcxName7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Naïve </w:t>
            </w:r>
            <w:proofErr w:type="spellStart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Bayes</w:t>
            </w:r>
            <w:proofErr w:type="spell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 is so simplistic that any reasonable relaxation will guarantee improved performance.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6" type="#_x0000_t75" style="width:20.25pt;height:17.25pt" o:ole="">
                  <v:imagedata r:id="rId5" o:title=""/>
                </v:shape>
                <w:control r:id="rId14" w:name="DefaultOcxName8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Introducing attribute dependencies.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5" type="#_x0000_t75" style="width:20.25pt;height:17.25pt" o:ole="">
                  <v:imagedata r:id="rId5" o:title=""/>
                </v:shape>
                <w:control r:id="rId15" w:name="DefaultOcxName9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Learning model structure by finding the maximum spanning tree.</w: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401178" w:rsidRPr="00D14C57" w:rsidRDefault="00401178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</w:t>
      </w:r>
      <w:r w:rsidR="005941B9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br/>
        <w:t>Try D</w:t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t>QUESTION 3</w:t>
      </w:r>
    </w:p>
    <w:p w:rsidR="00D14C57" w:rsidRPr="00D14C57" w:rsidRDefault="00D14C57" w:rsidP="00D14C57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>What is the purpose of adding a regularization term to a loss function?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7584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4" type="#_x0000_t75" style="width:20.25pt;height:17.25pt" o:ole="">
                  <v:imagedata r:id="rId5" o:title=""/>
                </v:shape>
                <w:control r:id="rId16" w:name="DefaultOcxName10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Regularization makes the loss function convex.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3" type="#_x0000_t75" style="width:20.25pt;height:17.25pt" o:ole="">
                  <v:imagedata r:id="rId5" o:title=""/>
                </v:shape>
                <w:control r:id="rId17" w:name="DefaultOcxName11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Regularization enables multi-objective optimization.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2" type="#_x0000_t75" style="width:20.25pt;height:17.25pt" o:ole="">
                  <v:imagedata r:id="rId5" o:title=""/>
                </v:shape>
                <w:control r:id="rId18" w:name="DefaultOcxName1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Regularization </w:t>
            </w:r>
            <w:proofErr w:type="spellStart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smooths</w:t>
            </w:r>
            <w:proofErr w:type="spell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 out the loss function to avoid pathological cases.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1" type="#_x0000_t75" style="width:20.25pt;height:17.25pt" o:ole="">
                  <v:imagedata r:id="rId5" o:title=""/>
                </v:shape>
                <w:control r:id="rId19" w:name="DefaultOcxName1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Regularization introduces a bias to help overcome limitations of the chosen model type.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70" type="#_x0000_t75" style="width:20.25pt;height:17.25pt" o:ole="">
                  <v:imagedata r:id="rId5" o:title=""/>
                </v:shape>
                <w:control r:id="rId20" w:name="DefaultOcxName1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Regularization penalizes the loss function based on model complexity to minimize </w:t>
            </w:r>
            <w:proofErr w:type="spellStart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overfitting</w:t>
            </w:r>
            <w:proofErr w:type="spell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.</w: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</w:t>
      </w:r>
    </w:p>
    <w:p w:rsidR="007D6044" w:rsidRPr="00D14C57" w:rsidRDefault="007D6044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Def E</w:t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lastRenderedPageBreak/>
        <w:t>QUESTION 4</w:t>
      </w:r>
    </w:p>
    <w:p w:rsidR="00D14C57" w:rsidRPr="00D14C57" w:rsidRDefault="00D14C57" w:rsidP="00D14C57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>Which of the following best describes a learning situation where the learner queries a teacher or oracle with a specific example and revises the current hypothesis based on the answer?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2224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9" type="#_x0000_t75" style="width:20.25pt;height:17.25pt" o:ole="">
                  <v:imagedata r:id="rId5" o:title=""/>
                </v:shape>
                <w:control r:id="rId21" w:name="DefaultOcxName1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Supervised learning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8" type="#_x0000_t75" style="width:20.25pt;height:17.25pt" o:ole="">
                  <v:imagedata r:id="rId5" o:title=""/>
                </v:shape>
                <w:control r:id="rId22" w:name="DefaultOcxName1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Unsupervised learning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7" type="#_x0000_t75" style="width:20.25pt;height:17.25pt" o:ole="">
                  <v:imagedata r:id="rId5" o:title=""/>
                </v:shape>
                <w:control r:id="rId23" w:name="DefaultOcxName1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Teacher-annotated learning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6" type="#_x0000_t75" style="width:20.25pt;height:17.25pt" o:ole="">
                  <v:imagedata r:id="rId5" o:title=""/>
                </v:shape>
                <w:control r:id="rId24" w:name="DefaultOcxName1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Active learning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5" type="#_x0000_t75" style="width:20.25pt;height:17.25pt" o:ole="">
                  <v:imagedata r:id="rId5" o:title=""/>
                </v:shape>
                <w:control r:id="rId25" w:name="DefaultOcxName1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Helpful teacher learning</w: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D14C57" w:rsidRP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</w:t>
      </w:r>
      <w:r w:rsidR="0040117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(try A)</w:t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D14C57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5</w:t>
      </w:r>
    </w:p>
    <w:p w:rsidR="00D14C57" w:rsidRPr="00401178" w:rsidRDefault="00D14C57" w:rsidP="00401178">
      <w:pPr>
        <w:numPr>
          <w:ilvl w:val="0"/>
          <w:numId w:val="5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>Which of the following is an example of representation bias</w:t>
      </w:r>
      <w:r w:rsidRPr="00401178">
        <w:rPr>
          <w:rFonts w:ascii="inherit" w:eastAsia="Times New Roman" w:hAnsi="inherit" w:cs="Arial"/>
          <w:color w:val="444444"/>
          <w:sz w:val="20"/>
          <w:szCs w:val="20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2758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4" type="#_x0000_t75" style="width:20.25pt;height:17.25pt" o:ole="">
                  <v:imagedata r:id="rId5" o:title=""/>
                </v:shape>
                <w:control r:id="rId26" w:name="DefaultOcxName2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Empirical risk minimization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3" type="#_x0000_t75" style="width:20.25pt;height:17.25pt" o:ole="">
                  <v:imagedata r:id="rId5" o:title=""/>
                </v:shape>
                <w:control r:id="rId27" w:name="DefaultOcxName2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Least squares regression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2" type="#_x0000_t75" style="width:20.25pt;height:17.25pt" o:ole="">
                  <v:imagedata r:id="rId5" o:title=""/>
                </v:shape>
                <w:control r:id="rId28" w:name="DefaultOcxName2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Lagrange multipliers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1" type="#_x0000_t75" style="width:20.25pt;height:17.25pt" o:ole="">
                  <v:imagedata r:id="rId5" o:title=""/>
                </v:shape>
                <w:control r:id="rId29" w:name="DefaultOcxName2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Maximum </w:t>
            </w:r>
            <w:r w:rsidRPr="00D14C57">
              <w:rPr>
                <w:rFonts w:ascii="inherit" w:eastAsia="Times New Roman" w:hAnsi="inherit" w:cs="Arial"/>
                <w:i/>
                <w:iCs/>
                <w:sz w:val="20"/>
              </w:rPr>
              <w:t>a posteriori</w:t>
            </w: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 hypothesis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60" type="#_x0000_t75" style="width:20.25pt;height:17.25pt" o:ole="">
                  <v:imagedata r:id="rId5" o:title=""/>
                </v:shape>
                <w:control r:id="rId30" w:name="DefaultOcxName2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Univariate</w:t>
            </w:r>
            <w:proofErr w:type="spell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 decisions</w:t>
            </w:r>
          </w:p>
        </w:tc>
      </w:tr>
    </w:tbl>
    <w:p w:rsidR="00D14C57" w:rsidRPr="00401178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40117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9A5914" w:rsidRPr="00D14C57" w:rsidRDefault="009A5914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40117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</w:t>
      </w:r>
      <w:r w:rsidR="0097263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t>QUESTION 6</w:t>
      </w:r>
    </w:p>
    <w:p w:rsidR="00D14C57" w:rsidRPr="00D14C57" w:rsidRDefault="00D14C57" w:rsidP="00D14C57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 xml:space="preserve">What does </w:t>
      </w:r>
      <w:proofErr w:type="spellStart"/>
      <w:r w:rsidRPr="00D14C57">
        <w:rPr>
          <w:rFonts w:ascii="inherit" w:eastAsia="Times New Roman" w:hAnsi="inherit" w:cs="Arial"/>
          <w:color w:val="444444"/>
          <w:sz w:val="20"/>
          <w:szCs w:val="20"/>
        </w:rPr>
        <w:t>Bayes</w:t>
      </w:r>
      <w:proofErr w:type="spellEnd"/>
      <w:r w:rsidRPr="00D14C57">
        <w:rPr>
          <w:rFonts w:ascii="inherit" w:eastAsia="Times New Roman" w:hAnsi="inherit" w:cs="Arial"/>
          <w:color w:val="444444"/>
          <w:sz w:val="20"/>
          <w:szCs w:val="20"/>
        </w:rPr>
        <w:t xml:space="preserve"> Decision Theory attempt to optimize when making a decision?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3057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9" type="#_x0000_t75" style="width:20.25pt;height:17.25pt" o:ole="">
                  <v:imagedata r:id="rId5" o:title=""/>
                </v:shape>
                <w:control r:id="rId31" w:name="DefaultOcxName2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Recall.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8" type="#_x0000_t75" style="width:20.25pt;height:17.25pt" o:ole="">
                  <v:imagedata r:id="rId5" o:title=""/>
                </v:shape>
                <w:control r:id="rId32" w:name="DefaultOcxName2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Area under the precision-recall curve.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7" type="#_x0000_t75" style="width:20.25pt;height:17.25pt" o:ole="">
                  <v:imagedata r:id="rId5" o:title=""/>
                </v:shape>
                <w:control r:id="rId33" w:name="DefaultOcxName2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Expected Risk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6" type="#_x0000_t75" style="width:20.25pt;height:17.25pt" o:ole="">
                  <v:imagedata r:id="rId5" o:title=""/>
                </v:shape>
                <w:control r:id="rId34" w:name="DefaultOcxName2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Precision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5" type="#_x0000_t75" style="width:20.25pt;height:17.25pt" o:ole="">
                  <v:imagedata r:id="rId5" o:title=""/>
                </v:shape>
                <w:control r:id="rId35" w:name="DefaultOcxName2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Expected error.</w: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lastRenderedPageBreak/>
        <w:t>D</w:t>
      </w:r>
    </w:p>
    <w:p w:rsidR="005941B9" w:rsidRPr="00D14C57" w:rsidRDefault="005941B9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Try C</w:t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t>QUESTION 7</w:t>
      </w:r>
    </w:p>
    <w:p w:rsidR="00D14C57" w:rsidRPr="00D14C57" w:rsidRDefault="00D14C57" w:rsidP="00D14C57">
      <w:pPr>
        <w:numPr>
          <w:ilvl w:val="0"/>
          <w:numId w:val="7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>Which of the following is an example of preference bias?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2608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4" type="#_x0000_t75" style="width:20.25pt;height:17.25pt" o:ole="">
                  <v:imagedata r:id="rId5" o:title=""/>
                </v:shape>
                <w:control r:id="rId36" w:name="DefaultOcxName3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No free lunch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3" type="#_x0000_t75" style="width:20.25pt;height:17.25pt" o:ole="">
                  <v:imagedata r:id="rId5" o:title=""/>
                </v:shape>
                <w:control r:id="rId37" w:name="DefaultOcxName3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Maximum likelihood estimation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2" type="#_x0000_t75" style="width:20.25pt;height:17.25pt" o:ole="">
                  <v:imagedata r:id="rId5" o:title=""/>
                </v:shape>
                <w:control r:id="rId38" w:name="DefaultOcxName3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Linear </w:t>
            </w:r>
            <w:proofErr w:type="spellStart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discriminant</w:t>
            </w:r>
            <w:proofErr w:type="spellEnd"/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1" type="#_x0000_t75" style="width:20.25pt;height:17.25pt" o:ole="">
                  <v:imagedata r:id="rId5" o:title=""/>
                </v:shape>
                <w:control r:id="rId39" w:name="DefaultOcxName3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Nested </w:t>
            </w:r>
            <w:proofErr w:type="spellStart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hypercubes</w:t>
            </w:r>
            <w:proofErr w:type="spellEnd"/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50" type="#_x0000_t75" style="width:20.25pt;height:17.25pt" o:ole="">
                  <v:imagedata r:id="rId5" o:title=""/>
                </v:shape>
                <w:control r:id="rId40" w:name="DefaultOcxName3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Conditional independence</w: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9A5914" w:rsidRDefault="009A5914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</w:t>
      </w:r>
    </w:p>
    <w:p w:rsidR="0097263D" w:rsidRDefault="0097263D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Not</w:t>
      </w:r>
      <w:proofErr w:type="spellEnd"/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A)</w:t>
      </w:r>
    </w:p>
    <w:p w:rsidR="005941B9" w:rsidRPr="00D14C57" w:rsidRDefault="005941B9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 like B</w:t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t>QUESTION 8</w:t>
      </w:r>
    </w:p>
    <w:p w:rsidR="00D14C57" w:rsidRPr="00D14C57" w:rsidRDefault="00D14C57" w:rsidP="00D14C57">
      <w:pPr>
        <w:numPr>
          <w:ilvl w:val="0"/>
          <w:numId w:val="8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>Na</w:t>
      </w:r>
      <w:r w:rsidRPr="00D14C57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ïve</w:t>
      </w:r>
      <w:r w:rsidRPr="00D14C57">
        <w:rPr>
          <w:rFonts w:ascii="inherit" w:eastAsia="Times New Roman" w:hAnsi="inherit" w:cs="Arial"/>
          <w:color w:val="444444"/>
          <w:sz w:val="20"/>
          <w:szCs w:val="20"/>
        </w:rPr>
        <w:t> </w:t>
      </w:r>
      <w:proofErr w:type="spellStart"/>
      <w:r w:rsidRPr="00D14C57">
        <w:rPr>
          <w:rFonts w:ascii="inherit" w:eastAsia="Times New Roman" w:hAnsi="inherit" w:cs="Arial"/>
          <w:color w:val="444444"/>
          <w:sz w:val="20"/>
          <w:szCs w:val="20"/>
        </w:rPr>
        <w:t>Bayes</w:t>
      </w:r>
      <w:proofErr w:type="spellEnd"/>
      <w:r w:rsidRPr="00D14C57">
        <w:rPr>
          <w:rFonts w:ascii="inherit" w:eastAsia="Times New Roman" w:hAnsi="inherit" w:cs="Arial"/>
          <w:color w:val="444444"/>
          <w:sz w:val="20"/>
          <w:szCs w:val="20"/>
        </w:rPr>
        <w:t xml:space="preserve"> exploits which of the following as a defining property?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4735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9" type="#_x0000_t75" style="width:20.25pt;height:17.25pt" o:ole="">
                  <v:imagedata r:id="rId5" o:title=""/>
                </v:shape>
                <w:control r:id="rId41" w:name="DefaultOcxName3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Simple counting.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8" type="#_x0000_t75" style="width:20.25pt;height:17.25pt" o:ole="">
                  <v:imagedata r:id="rId5" o:title=""/>
                </v:shape>
                <w:control r:id="rId42" w:name="DefaultOcxName3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Attributes being conditionally independent given the class.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7" type="#_x0000_t75" style="width:20.25pt;height:17.25pt" o:ole="">
                  <v:imagedata r:id="rId5" o:title=""/>
                </v:shape>
                <w:control r:id="rId43" w:name="DefaultOcxName3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The class being independent given the attributes.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6" type="#_x0000_t75" style="width:20.25pt;height:17.25pt" o:ole="">
                  <v:imagedata r:id="rId5" o:title=""/>
                </v:shape>
                <w:control r:id="rId44" w:name="DefaultOcxName38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Attribute independence.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5" type="#_x0000_t75" style="width:20.25pt;height:17.25pt" o:ole="">
                  <v:imagedata r:id="rId5" o:title=""/>
                </v:shape>
                <w:control r:id="rId45" w:name="DefaultOcxName3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Class independence.</w: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9A5914" w:rsidRDefault="009A5914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</w:t>
      </w:r>
    </w:p>
    <w:p w:rsidR="005941B9" w:rsidRPr="00D14C57" w:rsidRDefault="005941B9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Nah, B</w:t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D14C57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9</w:t>
      </w:r>
    </w:p>
    <w:p w:rsidR="00D14C57" w:rsidRPr="00D14C57" w:rsidRDefault="00D14C57" w:rsidP="00D14C57">
      <w:pPr>
        <w:numPr>
          <w:ilvl w:val="0"/>
          <w:numId w:val="9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 xml:space="preserve">Which of the following corresponds to </w:t>
      </w:r>
      <w:proofErr w:type="spellStart"/>
      <w:r w:rsidRPr="00D14C57">
        <w:rPr>
          <w:rFonts w:ascii="inherit" w:eastAsia="Times New Roman" w:hAnsi="inherit" w:cs="Arial"/>
          <w:color w:val="444444"/>
          <w:sz w:val="20"/>
          <w:szCs w:val="20"/>
        </w:rPr>
        <w:t>Bayes</w:t>
      </w:r>
      <w:proofErr w:type="spellEnd"/>
      <w:r w:rsidRPr="00D14C57">
        <w:rPr>
          <w:rFonts w:ascii="inherit" w:eastAsia="Times New Roman" w:hAnsi="inherit" w:cs="Arial"/>
          <w:color w:val="444444"/>
          <w:sz w:val="20"/>
          <w:szCs w:val="20"/>
        </w:rPr>
        <w:t>' Rule?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510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4" type="#_x0000_t75" style="width:20.25pt;height:17.25pt" o:ole="">
                  <v:imagedata r:id="rId5" o:title=""/>
                </v:shape>
                <w:control r:id="rId46" w:name="DefaultOcxName4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pict>
                <v:shape id="_x0000_i1025" type="#_x0000_t75" alt="P left parenthesis h comma D right parenthesis equals P left parenthesis h vertical line D right parenthesis P left parenthesis D right parenthesis" style="width:24pt;height:24pt"/>
              </w:pic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3" type="#_x0000_t75" style="width:20.25pt;height:17.25pt" o:ole="">
                  <v:imagedata r:id="rId5" o:title=""/>
                </v:shape>
                <w:control r:id="rId47" w:name="DefaultOcxName4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pict>
                <v:shape id="_x0000_i1026" type="#_x0000_t75" alt="P left parenthesis h vertical line D right parenthesis equals fraction numerator P left parenthesis D vertical line h right parenthesis P left parenthesis h right parenthesis over denominator P left parenthesis D right parenthesis end fraction" style="width:24pt;height:24pt"/>
              </w:pic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object w:dxaOrig="405" w:dyaOrig="345">
                <v:shape id="_x0000_i1142" type="#_x0000_t75" style="width:20.25pt;height:17.25pt" o:ole="">
                  <v:imagedata r:id="rId5" o:title=""/>
                </v:shape>
                <w:control r:id="rId48" w:name="DefaultOcxName4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pict>
                <v:shape id="_x0000_i1027" type="#_x0000_t75" alt="P left parenthesis h vertical line D right parenthesis equals fraction numerator P left parenthesis D vertical line h right parenthesis P left parenthesis D right parenthesis over denominator P left parenthesis h right parenthesis end fraction" style="width:24pt;height:24pt"/>
              </w:pic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1" type="#_x0000_t75" style="width:20.25pt;height:17.25pt" o:ole="">
                  <v:imagedata r:id="rId5" o:title=""/>
                </v:shape>
                <w:control r:id="rId49" w:name="DefaultOcxName4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pict>
                <v:shape id="_x0000_i1028" type="#_x0000_t75" alt="P left parenthesis h vertical line D right parenthesis equals P left parenthesis D vertical line h right parenthesis P left parenthesis h right parenthesis" style="width:24pt;height:24pt"/>
              </w:pic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40" type="#_x0000_t75" style="width:20.25pt;height:17.25pt" o:ole="">
                  <v:imagedata r:id="rId5" o:title=""/>
                </v:shape>
                <w:control r:id="rId50" w:name="DefaultOcxName4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pict>
                <v:shape id="_x0000_i1029" type="#_x0000_t75" alt="P left parenthesis h vertical line D right parenthesis equals fraction numerator P left parenthesis h comma D right parenthesis over denominator P left parenthesis D right parenthesis end fraction" style="width:24pt;height:24pt"/>
              </w:pict>
            </w:r>
          </w:p>
        </w:tc>
      </w:tr>
    </w:tbl>
    <w:p w:rsid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D14C57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10 points   </w:t>
      </w:r>
    </w:p>
    <w:p w:rsidR="00D14C57" w:rsidRPr="00D14C57" w:rsidRDefault="00D14C57" w:rsidP="00D14C5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</w:t>
      </w:r>
    </w:p>
    <w:p w:rsidR="00D14C57" w:rsidRPr="00D14C57" w:rsidRDefault="00D14C57" w:rsidP="00D14C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401178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  <w:highlight w:val="yellow"/>
        </w:rPr>
        <w:t>QUESTION 10</w:t>
      </w:r>
    </w:p>
    <w:p w:rsidR="00D14C57" w:rsidRPr="00D14C57" w:rsidRDefault="00D14C57" w:rsidP="00D14C57">
      <w:pPr>
        <w:numPr>
          <w:ilvl w:val="0"/>
          <w:numId w:val="10"/>
        </w:numPr>
        <w:shd w:val="clear" w:color="auto" w:fill="FFFFFF"/>
        <w:spacing w:after="30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D14C57">
        <w:rPr>
          <w:rFonts w:ascii="inherit" w:eastAsia="Times New Roman" w:hAnsi="inherit" w:cs="Arial"/>
          <w:color w:val="444444"/>
          <w:sz w:val="20"/>
          <w:szCs w:val="20"/>
        </w:rPr>
        <w:t>What assumptions are generally made when doing maximum likelihood estimation?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5"/>
        <w:gridCol w:w="5641"/>
      </w:tblGrid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39" type="#_x0000_t75" style="width:20.25pt;height:17.25pt" o:ole="">
                  <v:imagedata r:id="rId5" o:title=""/>
                </v:shape>
                <w:control r:id="rId51" w:name="DefaultOcxName4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The data is noise free.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38" type="#_x0000_t75" style="width:20.25pt;height:17.25pt" o:ole="">
                  <v:imagedata r:id="rId5" o:title=""/>
                </v:shape>
                <w:control r:id="rId52" w:name="DefaultOcxName4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 xml:space="preserve">The data is </w:t>
            </w:r>
            <w:proofErr w:type="spellStart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i.i.d</w:t>
            </w:r>
            <w:proofErr w:type="spellEnd"/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37" type="#_x0000_t75" style="width:20.25pt;height:17.25pt" o:ole="">
                  <v:imagedata r:id="rId5" o:title=""/>
                </v:shape>
                <w:control r:id="rId53" w:name="DefaultOcxName4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The data is drawn according to a normal distribution.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36" type="#_x0000_t75" style="width:20.25pt;height:17.25pt" o:ole="">
                  <v:imagedata r:id="rId5" o:title=""/>
                </v:shape>
                <w:control r:id="rId54" w:name="DefaultOcxName4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Any noise in the data is distributed according to a normal distribution.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object w:dxaOrig="405" w:dyaOrig="345">
                <v:shape id="_x0000_i1135" type="#_x0000_t75" style="width:20.25pt;height:17.25pt" o:ole="">
                  <v:imagedata r:id="rId5" o:title=""/>
                </v:shape>
                <w:control r:id="rId55" w:name="DefaultOcxName4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D14C57">
              <w:rPr>
                <w:rFonts w:ascii="inherit" w:eastAsia="Times New Roman" w:hAnsi="inherit" w:cs="Times New Roman"/>
                <w:sz w:val="21"/>
                <w:szCs w:val="21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D14C57">
              <w:rPr>
                <w:rFonts w:ascii="inherit" w:eastAsia="Times New Roman" w:hAnsi="inherit" w:cs="Arial"/>
                <w:sz w:val="20"/>
                <w:szCs w:val="20"/>
              </w:rPr>
              <w:t>The data is counted to derive the target parameters.</w:t>
            </w:r>
          </w:p>
        </w:tc>
      </w:tr>
      <w:tr w:rsidR="00D14C57" w:rsidRPr="00D14C57" w:rsidTr="00D14C57">
        <w:tc>
          <w:tcPr>
            <w:tcW w:w="0" w:type="auto"/>
            <w:vAlign w:val="center"/>
            <w:hideMark/>
          </w:tcPr>
          <w:p w:rsid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:rsidR="009A5914" w:rsidRPr="00D14C57" w:rsidRDefault="009A5914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14C57" w:rsidRPr="00D14C57" w:rsidRDefault="00D14C57" w:rsidP="00D14C57">
            <w:pPr>
              <w:spacing w:after="30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</w:tbl>
    <w:p w:rsidR="00330984" w:rsidRDefault="009A5914">
      <w:r>
        <w:t>D</w:t>
      </w:r>
    </w:p>
    <w:p w:rsidR="005941B9" w:rsidRDefault="005941B9">
      <w:proofErr w:type="gramStart"/>
      <w:r>
        <w:t>Its</w:t>
      </w:r>
      <w:proofErr w:type="gramEnd"/>
      <w:r>
        <w:t xml:space="preserve"> B</w:t>
      </w:r>
    </w:p>
    <w:sectPr w:rsidR="005941B9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74AE"/>
    <w:multiLevelType w:val="multilevel"/>
    <w:tmpl w:val="0B58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363C6"/>
    <w:multiLevelType w:val="multilevel"/>
    <w:tmpl w:val="CD68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2325F1"/>
    <w:multiLevelType w:val="multilevel"/>
    <w:tmpl w:val="79EA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B0C2B"/>
    <w:multiLevelType w:val="multilevel"/>
    <w:tmpl w:val="E368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38650F"/>
    <w:multiLevelType w:val="multilevel"/>
    <w:tmpl w:val="5BF2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F704A"/>
    <w:multiLevelType w:val="multilevel"/>
    <w:tmpl w:val="180A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C968A0"/>
    <w:multiLevelType w:val="multilevel"/>
    <w:tmpl w:val="1E20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EB16B5"/>
    <w:multiLevelType w:val="multilevel"/>
    <w:tmpl w:val="91B8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DC1EC3"/>
    <w:multiLevelType w:val="multilevel"/>
    <w:tmpl w:val="C244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404A95"/>
    <w:multiLevelType w:val="multilevel"/>
    <w:tmpl w:val="B3F8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C57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01178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5941B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7D6044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7263D"/>
    <w:rsid w:val="00980C38"/>
    <w:rsid w:val="00983251"/>
    <w:rsid w:val="009A5914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CF6091"/>
    <w:rsid w:val="00D05A95"/>
    <w:rsid w:val="00D06C32"/>
    <w:rsid w:val="00D14C57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paragraph" w:styleId="Heading3">
    <w:name w:val="heading 3"/>
    <w:basedOn w:val="Normal"/>
    <w:link w:val="Heading3Char"/>
    <w:uiPriority w:val="9"/>
    <w:qFormat/>
    <w:rsid w:val="00D14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C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1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D1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4C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08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80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1685238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470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81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8423541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26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101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8960903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74439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138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8125545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2172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668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5988308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7402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71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9229517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585138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99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8799740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9186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816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3009624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043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073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2510891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34639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31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8763129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2020-09-12T23:09:00Z</dcterms:created>
  <dcterms:modified xsi:type="dcterms:W3CDTF">2020-09-13T00:56:00Z</dcterms:modified>
</cp:coreProperties>
</file>