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36AC" w:rsidRDefault="009E36AC">
      <w:r>
        <w:t>CALCULATIONS</w:t>
      </w:r>
    </w:p>
    <w:p w:rsidR="009E36AC" w:rsidRDefault="009E36AC"/>
    <w:p w:rsidR="009E36AC" w:rsidRDefault="009E36AC"/>
    <w:p w:rsidR="00330984" w:rsidRDefault="00BE4C14">
      <w:r>
        <w:t>Based on the above assumptions of COCOMO parameters, we can map the effort multiplier ratings into the effort multiplier chart. Each selected value is highlighted and the effort multiplier value is shown in the rightmost column.</w:t>
      </w:r>
    </w:p>
    <w:tbl>
      <w:tblPr>
        <w:tblStyle w:val="TableGrid"/>
        <w:tblW w:w="0" w:type="auto"/>
        <w:tblLook w:val="04A0"/>
      </w:tblPr>
      <w:tblGrid>
        <w:gridCol w:w="1197"/>
        <w:gridCol w:w="1197"/>
        <w:gridCol w:w="1197"/>
        <w:gridCol w:w="1197"/>
        <w:gridCol w:w="1197"/>
        <w:gridCol w:w="1197"/>
        <w:gridCol w:w="1197"/>
        <w:gridCol w:w="1197"/>
      </w:tblGrid>
      <w:tr w:rsidR="00BE4C14" w:rsidTr="00BE7F71">
        <w:tc>
          <w:tcPr>
            <w:tcW w:w="1197" w:type="dxa"/>
          </w:tcPr>
          <w:p w:rsidR="00BE4C14" w:rsidRDefault="00BE4C14">
            <w:r>
              <w:t>Attributes</w:t>
            </w:r>
          </w:p>
        </w:tc>
        <w:tc>
          <w:tcPr>
            <w:tcW w:w="1197" w:type="dxa"/>
          </w:tcPr>
          <w:p w:rsidR="00BE4C14" w:rsidRDefault="00BE4C14">
            <w:r>
              <w:t>Very Low</w:t>
            </w:r>
          </w:p>
        </w:tc>
        <w:tc>
          <w:tcPr>
            <w:tcW w:w="1197" w:type="dxa"/>
            <w:tcBorders>
              <w:bottom w:val="single" w:sz="4" w:space="0" w:color="auto"/>
            </w:tcBorders>
          </w:tcPr>
          <w:p w:rsidR="00BE4C14" w:rsidRDefault="00BE4C14">
            <w:r>
              <w:t>Low</w:t>
            </w:r>
          </w:p>
        </w:tc>
        <w:tc>
          <w:tcPr>
            <w:tcW w:w="1197" w:type="dxa"/>
          </w:tcPr>
          <w:p w:rsidR="00BE4C14" w:rsidRDefault="00BE4C14">
            <w:r>
              <w:t>Nominal</w:t>
            </w:r>
          </w:p>
        </w:tc>
        <w:tc>
          <w:tcPr>
            <w:tcW w:w="1197" w:type="dxa"/>
          </w:tcPr>
          <w:p w:rsidR="00BE4C14" w:rsidRDefault="00BE4C14">
            <w:r>
              <w:t>High</w:t>
            </w:r>
          </w:p>
        </w:tc>
        <w:tc>
          <w:tcPr>
            <w:tcW w:w="1197" w:type="dxa"/>
          </w:tcPr>
          <w:p w:rsidR="00BE4C14" w:rsidRDefault="00BE4C14">
            <w:r>
              <w:t>Very High</w:t>
            </w:r>
          </w:p>
        </w:tc>
        <w:tc>
          <w:tcPr>
            <w:tcW w:w="1197" w:type="dxa"/>
          </w:tcPr>
          <w:p w:rsidR="00BE4C14" w:rsidRDefault="00BE4C14">
            <w:r>
              <w:t>Extra High</w:t>
            </w:r>
          </w:p>
        </w:tc>
        <w:tc>
          <w:tcPr>
            <w:tcW w:w="1197" w:type="dxa"/>
          </w:tcPr>
          <w:p w:rsidR="00BE4C14" w:rsidRDefault="00BE4C14">
            <w:r>
              <w:t>Multiplier</w:t>
            </w:r>
          </w:p>
        </w:tc>
      </w:tr>
      <w:tr w:rsidR="00BE4C14" w:rsidTr="00BE7F71">
        <w:tc>
          <w:tcPr>
            <w:tcW w:w="1197" w:type="dxa"/>
          </w:tcPr>
          <w:p w:rsidR="00BE4C14" w:rsidRDefault="00BE4C14">
            <w:r>
              <w:t>RELY</w:t>
            </w:r>
          </w:p>
        </w:tc>
        <w:tc>
          <w:tcPr>
            <w:tcW w:w="1197" w:type="dxa"/>
          </w:tcPr>
          <w:p w:rsidR="00BE4C14" w:rsidRDefault="00BE4C14">
            <w:r>
              <w:t>.75</w:t>
            </w:r>
          </w:p>
        </w:tc>
        <w:tc>
          <w:tcPr>
            <w:tcW w:w="1197" w:type="dxa"/>
            <w:shd w:val="solid" w:color="FFFF00" w:fill="auto"/>
          </w:tcPr>
          <w:p w:rsidR="00BE4C14" w:rsidRDefault="00BE4C14">
            <w:r>
              <w:t>.88</w:t>
            </w:r>
          </w:p>
        </w:tc>
        <w:tc>
          <w:tcPr>
            <w:tcW w:w="1197" w:type="dxa"/>
            <w:tcBorders>
              <w:bottom w:val="single" w:sz="4" w:space="0" w:color="auto"/>
            </w:tcBorders>
          </w:tcPr>
          <w:p w:rsidR="00BE4C14" w:rsidRDefault="00BE4C14">
            <w:r>
              <w:t>1.00</w:t>
            </w:r>
          </w:p>
        </w:tc>
        <w:tc>
          <w:tcPr>
            <w:tcW w:w="1197" w:type="dxa"/>
          </w:tcPr>
          <w:p w:rsidR="00BE4C14" w:rsidRDefault="00BE4C14">
            <w:r>
              <w:t>1.15</w:t>
            </w:r>
          </w:p>
        </w:tc>
        <w:tc>
          <w:tcPr>
            <w:tcW w:w="1197" w:type="dxa"/>
          </w:tcPr>
          <w:p w:rsidR="00BE4C14" w:rsidRDefault="00BE4C14">
            <w:r>
              <w:t>1.40</w:t>
            </w:r>
          </w:p>
        </w:tc>
        <w:tc>
          <w:tcPr>
            <w:tcW w:w="1197" w:type="dxa"/>
          </w:tcPr>
          <w:p w:rsidR="00BE4C14" w:rsidRDefault="00BE4C14"/>
        </w:tc>
        <w:tc>
          <w:tcPr>
            <w:tcW w:w="1197" w:type="dxa"/>
          </w:tcPr>
          <w:p w:rsidR="00BE4C14" w:rsidRDefault="00BE7F71">
            <w:r>
              <w:t>.88</w:t>
            </w:r>
          </w:p>
        </w:tc>
      </w:tr>
      <w:tr w:rsidR="00BE4C14" w:rsidTr="00BE7F71">
        <w:tc>
          <w:tcPr>
            <w:tcW w:w="1197" w:type="dxa"/>
          </w:tcPr>
          <w:p w:rsidR="00BE4C14" w:rsidRDefault="00BE4C14">
            <w:r>
              <w:t>DATA</w:t>
            </w:r>
          </w:p>
        </w:tc>
        <w:tc>
          <w:tcPr>
            <w:tcW w:w="1197" w:type="dxa"/>
          </w:tcPr>
          <w:p w:rsidR="00BE4C14" w:rsidRDefault="00BE4C14"/>
        </w:tc>
        <w:tc>
          <w:tcPr>
            <w:tcW w:w="1197" w:type="dxa"/>
          </w:tcPr>
          <w:p w:rsidR="00BE4C14" w:rsidRDefault="00BE4C14">
            <w:r>
              <w:t>0.94</w:t>
            </w:r>
          </w:p>
        </w:tc>
        <w:tc>
          <w:tcPr>
            <w:tcW w:w="1197" w:type="dxa"/>
            <w:tcBorders>
              <w:bottom w:val="single" w:sz="4" w:space="0" w:color="auto"/>
            </w:tcBorders>
            <w:shd w:val="solid" w:color="FFFF00" w:fill="auto"/>
          </w:tcPr>
          <w:p w:rsidR="00BE4C14" w:rsidRDefault="00BE4C14">
            <w:r>
              <w:t>1.00</w:t>
            </w:r>
          </w:p>
        </w:tc>
        <w:tc>
          <w:tcPr>
            <w:tcW w:w="1197" w:type="dxa"/>
          </w:tcPr>
          <w:p w:rsidR="00BE4C14" w:rsidRDefault="00BE4C14">
            <w:r>
              <w:t>1.08</w:t>
            </w:r>
          </w:p>
        </w:tc>
        <w:tc>
          <w:tcPr>
            <w:tcW w:w="1197" w:type="dxa"/>
          </w:tcPr>
          <w:p w:rsidR="00BE4C14" w:rsidRDefault="00BE4C14">
            <w:r>
              <w:t>1.16</w:t>
            </w:r>
          </w:p>
        </w:tc>
        <w:tc>
          <w:tcPr>
            <w:tcW w:w="1197" w:type="dxa"/>
          </w:tcPr>
          <w:p w:rsidR="00BE4C14" w:rsidRDefault="00BE4C14"/>
        </w:tc>
        <w:tc>
          <w:tcPr>
            <w:tcW w:w="1197" w:type="dxa"/>
          </w:tcPr>
          <w:p w:rsidR="00BE4C14" w:rsidRDefault="00BE7F71">
            <w:r>
              <w:t>1.00</w:t>
            </w:r>
          </w:p>
        </w:tc>
      </w:tr>
      <w:tr w:rsidR="00BE4C14" w:rsidTr="00BE7F71">
        <w:tc>
          <w:tcPr>
            <w:tcW w:w="1197" w:type="dxa"/>
          </w:tcPr>
          <w:p w:rsidR="00BE4C14" w:rsidRDefault="00BE4C14">
            <w:r>
              <w:t>CPLX</w:t>
            </w:r>
          </w:p>
        </w:tc>
        <w:tc>
          <w:tcPr>
            <w:tcW w:w="1197" w:type="dxa"/>
          </w:tcPr>
          <w:p w:rsidR="00BE4C14" w:rsidRDefault="00BE4C14">
            <w:r>
              <w:t>.70</w:t>
            </w:r>
          </w:p>
        </w:tc>
        <w:tc>
          <w:tcPr>
            <w:tcW w:w="1197" w:type="dxa"/>
          </w:tcPr>
          <w:p w:rsidR="00BE4C14" w:rsidRDefault="00BE4C14">
            <w:r>
              <w:t>.85</w:t>
            </w:r>
          </w:p>
        </w:tc>
        <w:tc>
          <w:tcPr>
            <w:tcW w:w="1197" w:type="dxa"/>
            <w:tcBorders>
              <w:bottom w:val="single" w:sz="4" w:space="0" w:color="auto"/>
            </w:tcBorders>
            <w:shd w:val="solid" w:color="FFFF00" w:fill="auto"/>
          </w:tcPr>
          <w:p w:rsidR="00BE4C14" w:rsidRDefault="00BE4C14">
            <w:r>
              <w:t>1.00</w:t>
            </w:r>
          </w:p>
        </w:tc>
        <w:tc>
          <w:tcPr>
            <w:tcW w:w="1197" w:type="dxa"/>
          </w:tcPr>
          <w:p w:rsidR="00BE4C14" w:rsidRDefault="00BE4C14">
            <w:r>
              <w:t>1.15</w:t>
            </w:r>
          </w:p>
        </w:tc>
        <w:tc>
          <w:tcPr>
            <w:tcW w:w="1197" w:type="dxa"/>
          </w:tcPr>
          <w:p w:rsidR="00BE4C14" w:rsidRDefault="00BE4C14">
            <w:r>
              <w:t>1.30</w:t>
            </w:r>
          </w:p>
        </w:tc>
        <w:tc>
          <w:tcPr>
            <w:tcW w:w="1197" w:type="dxa"/>
          </w:tcPr>
          <w:p w:rsidR="00BE4C14" w:rsidRDefault="00BE4C14">
            <w:r>
              <w:t>1.65</w:t>
            </w:r>
          </w:p>
        </w:tc>
        <w:tc>
          <w:tcPr>
            <w:tcW w:w="1197" w:type="dxa"/>
          </w:tcPr>
          <w:p w:rsidR="00BE4C14" w:rsidRDefault="00BE7F71">
            <w:r>
              <w:t>1.00</w:t>
            </w:r>
          </w:p>
        </w:tc>
      </w:tr>
      <w:tr w:rsidR="00BE4C14" w:rsidTr="00BE7F71">
        <w:tc>
          <w:tcPr>
            <w:tcW w:w="1197" w:type="dxa"/>
          </w:tcPr>
          <w:p w:rsidR="00BE4C14" w:rsidRDefault="00BE4C14">
            <w:r>
              <w:t>TIME</w:t>
            </w:r>
          </w:p>
        </w:tc>
        <w:tc>
          <w:tcPr>
            <w:tcW w:w="1197" w:type="dxa"/>
          </w:tcPr>
          <w:p w:rsidR="00BE4C14" w:rsidRDefault="00BE4C14"/>
        </w:tc>
        <w:tc>
          <w:tcPr>
            <w:tcW w:w="1197" w:type="dxa"/>
          </w:tcPr>
          <w:p w:rsidR="00BE4C14" w:rsidRDefault="00BE4C14"/>
        </w:tc>
        <w:tc>
          <w:tcPr>
            <w:tcW w:w="1197" w:type="dxa"/>
            <w:tcBorders>
              <w:bottom w:val="single" w:sz="4" w:space="0" w:color="auto"/>
            </w:tcBorders>
            <w:shd w:val="solid" w:color="FFFF00" w:fill="auto"/>
          </w:tcPr>
          <w:p w:rsidR="00BE4C14" w:rsidRDefault="00BE4C14">
            <w:r>
              <w:t>1.00</w:t>
            </w:r>
          </w:p>
        </w:tc>
        <w:tc>
          <w:tcPr>
            <w:tcW w:w="1197" w:type="dxa"/>
          </w:tcPr>
          <w:p w:rsidR="00BE4C14" w:rsidRDefault="00BE4C14">
            <w:r>
              <w:t>1.11</w:t>
            </w:r>
          </w:p>
        </w:tc>
        <w:tc>
          <w:tcPr>
            <w:tcW w:w="1197" w:type="dxa"/>
          </w:tcPr>
          <w:p w:rsidR="00BE4C14" w:rsidRDefault="00BE4C14">
            <w:r>
              <w:t>1.30</w:t>
            </w:r>
          </w:p>
        </w:tc>
        <w:tc>
          <w:tcPr>
            <w:tcW w:w="1197" w:type="dxa"/>
          </w:tcPr>
          <w:p w:rsidR="00BE4C14" w:rsidRDefault="00BE4C14">
            <w:r>
              <w:t>1.66</w:t>
            </w:r>
          </w:p>
        </w:tc>
        <w:tc>
          <w:tcPr>
            <w:tcW w:w="1197" w:type="dxa"/>
          </w:tcPr>
          <w:p w:rsidR="00BE4C14" w:rsidRDefault="00BE7F71">
            <w:r>
              <w:t>1.00</w:t>
            </w:r>
          </w:p>
        </w:tc>
      </w:tr>
      <w:tr w:rsidR="00BE4C14" w:rsidTr="00BE7F71">
        <w:tc>
          <w:tcPr>
            <w:tcW w:w="1197" w:type="dxa"/>
          </w:tcPr>
          <w:p w:rsidR="00BE4C14" w:rsidRDefault="00BE4C14">
            <w:r>
              <w:t>STOR</w:t>
            </w:r>
          </w:p>
        </w:tc>
        <w:tc>
          <w:tcPr>
            <w:tcW w:w="1197" w:type="dxa"/>
          </w:tcPr>
          <w:p w:rsidR="00BE4C14" w:rsidRDefault="00BE4C14"/>
        </w:tc>
        <w:tc>
          <w:tcPr>
            <w:tcW w:w="1197" w:type="dxa"/>
          </w:tcPr>
          <w:p w:rsidR="00BE4C14" w:rsidRDefault="00BE4C14"/>
        </w:tc>
        <w:tc>
          <w:tcPr>
            <w:tcW w:w="1197" w:type="dxa"/>
            <w:tcBorders>
              <w:bottom w:val="single" w:sz="4" w:space="0" w:color="auto"/>
            </w:tcBorders>
            <w:shd w:val="solid" w:color="FFFF00" w:fill="auto"/>
          </w:tcPr>
          <w:p w:rsidR="00BE4C14" w:rsidRDefault="00BE4C14">
            <w:r>
              <w:t>1.00</w:t>
            </w:r>
          </w:p>
        </w:tc>
        <w:tc>
          <w:tcPr>
            <w:tcW w:w="1197" w:type="dxa"/>
          </w:tcPr>
          <w:p w:rsidR="00BE4C14" w:rsidRDefault="00BE4C14">
            <w:r>
              <w:t>1.06</w:t>
            </w:r>
          </w:p>
        </w:tc>
        <w:tc>
          <w:tcPr>
            <w:tcW w:w="1197" w:type="dxa"/>
          </w:tcPr>
          <w:p w:rsidR="00BE4C14" w:rsidRDefault="00BE4C14">
            <w:r>
              <w:t>1.21</w:t>
            </w:r>
          </w:p>
        </w:tc>
        <w:tc>
          <w:tcPr>
            <w:tcW w:w="1197" w:type="dxa"/>
          </w:tcPr>
          <w:p w:rsidR="00BE4C14" w:rsidRDefault="00BE4C14">
            <w:r>
              <w:t>1.56</w:t>
            </w:r>
          </w:p>
        </w:tc>
        <w:tc>
          <w:tcPr>
            <w:tcW w:w="1197" w:type="dxa"/>
          </w:tcPr>
          <w:p w:rsidR="00BE4C14" w:rsidRDefault="00BE7F71">
            <w:r>
              <w:t>1.00</w:t>
            </w:r>
          </w:p>
        </w:tc>
      </w:tr>
      <w:tr w:rsidR="00BE4C14" w:rsidTr="00BE7F71">
        <w:tc>
          <w:tcPr>
            <w:tcW w:w="1197" w:type="dxa"/>
          </w:tcPr>
          <w:p w:rsidR="00BE4C14" w:rsidRDefault="00BE4C14">
            <w:r>
              <w:t>VIRT</w:t>
            </w:r>
          </w:p>
        </w:tc>
        <w:tc>
          <w:tcPr>
            <w:tcW w:w="1197" w:type="dxa"/>
          </w:tcPr>
          <w:p w:rsidR="00BE4C14" w:rsidRDefault="00BE4C14"/>
        </w:tc>
        <w:tc>
          <w:tcPr>
            <w:tcW w:w="1197" w:type="dxa"/>
            <w:tcBorders>
              <w:bottom w:val="single" w:sz="4" w:space="0" w:color="auto"/>
            </w:tcBorders>
          </w:tcPr>
          <w:p w:rsidR="00BE4C14" w:rsidRDefault="00BE4C14">
            <w:r>
              <w:t>.87</w:t>
            </w:r>
          </w:p>
        </w:tc>
        <w:tc>
          <w:tcPr>
            <w:tcW w:w="1197" w:type="dxa"/>
            <w:shd w:val="solid" w:color="FFFF00" w:fill="auto"/>
          </w:tcPr>
          <w:p w:rsidR="00BE4C14" w:rsidRDefault="00BE4C14">
            <w:r>
              <w:t>1.00</w:t>
            </w:r>
          </w:p>
        </w:tc>
        <w:tc>
          <w:tcPr>
            <w:tcW w:w="1197" w:type="dxa"/>
          </w:tcPr>
          <w:p w:rsidR="00BE4C14" w:rsidRDefault="00BE4C14">
            <w:r>
              <w:t>1.15</w:t>
            </w:r>
          </w:p>
        </w:tc>
        <w:tc>
          <w:tcPr>
            <w:tcW w:w="1197" w:type="dxa"/>
          </w:tcPr>
          <w:p w:rsidR="00BE4C14" w:rsidRDefault="00BE4C14">
            <w:r>
              <w:t>1.30</w:t>
            </w:r>
          </w:p>
        </w:tc>
        <w:tc>
          <w:tcPr>
            <w:tcW w:w="1197" w:type="dxa"/>
          </w:tcPr>
          <w:p w:rsidR="00BE4C14" w:rsidRDefault="00BE4C14"/>
        </w:tc>
        <w:tc>
          <w:tcPr>
            <w:tcW w:w="1197" w:type="dxa"/>
          </w:tcPr>
          <w:p w:rsidR="00BE4C14" w:rsidRDefault="00BE7F71">
            <w:r>
              <w:t>1.00</w:t>
            </w:r>
          </w:p>
        </w:tc>
      </w:tr>
      <w:tr w:rsidR="00BE4C14" w:rsidTr="00BE7F71">
        <w:tc>
          <w:tcPr>
            <w:tcW w:w="1197" w:type="dxa"/>
          </w:tcPr>
          <w:p w:rsidR="00BE4C14" w:rsidRDefault="00BE4C14">
            <w:r>
              <w:t>TURN</w:t>
            </w:r>
          </w:p>
        </w:tc>
        <w:tc>
          <w:tcPr>
            <w:tcW w:w="1197" w:type="dxa"/>
          </w:tcPr>
          <w:p w:rsidR="00BE4C14" w:rsidRDefault="00BE4C14"/>
        </w:tc>
        <w:tc>
          <w:tcPr>
            <w:tcW w:w="1197" w:type="dxa"/>
            <w:shd w:val="solid" w:color="FFFF00" w:fill="auto"/>
          </w:tcPr>
          <w:p w:rsidR="00BE4C14" w:rsidRDefault="00BE4C14">
            <w:r>
              <w:t>.87</w:t>
            </w:r>
          </w:p>
        </w:tc>
        <w:tc>
          <w:tcPr>
            <w:tcW w:w="1197" w:type="dxa"/>
            <w:tcBorders>
              <w:bottom w:val="single" w:sz="4" w:space="0" w:color="auto"/>
            </w:tcBorders>
          </w:tcPr>
          <w:p w:rsidR="00BE4C14" w:rsidRDefault="00BE4C14">
            <w:r>
              <w:t>1.00</w:t>
            </w:r>
          </w:p>
        </w:tc>
        <w:tc>
          <w:tcPr>
            <w:tcW w:w="1197" w:type="dxa"/>
          </w:tcPr>
          <w:p w:rsidR="00BE4C14" w:rsidRDefault="00BE4C14">
            <w:r>
              <w:t>1.07</w:t>
            </w:r>
          </w:p>
        </w:tc>
        <w:tc>
          <w:tcPr>
            <w:tcW w:w="1197" w:type="dxa"/>
          </w:tcPr>
          <w:p w:rsidR="00BE4C14" w:rsidRDefault="00BE4C14">
            <w:r>
              <w:t>1.15</w:t>
            </w:r>
          </w:p>
        </w:tc>
        <w:tc>
          <w:tcPr>
            <w:tcW w:w="1197" w:type="dxa"/>
          </w:tcPr>
          <w:p w:rsidR="00BE4C14" w:rsidRDefault="00BE4C14"/>
        </w:tc>
        <w:tc>
          <w:tcPr>
            <w:tcW w:w="1197" w:type="dxa"/>
          </w:tcPr>
          <w:p w:rsidR="00BE4C14" w:rsidRDefault="00BE7F71">
            <w:r>
              <w:t>.87</w:t>
            </w:r>
          </w:p>
        </w:tc>
      </w:tr>
      <w:tr w:rsidR="00BE4C14" w:rsidTr="00BE7F71">
        <w:tc>
          <w:tcPr>
            <w:tcW w:w="1197" w:type="dxa"/>
          </w:tcPr>
          <w:p w:rsidR="00BE4C14" w:rsidRDefault="00BE4C14">
            <w:r>
              <w:t>ACAP</w:t>
            </w:r>
          </w:p>
        </w:tc>
        <w:tc>
          <w:tcPr>
            <w:tcW w:w="1197" w:type="dxa"/>
          </w:tcPr>
          <w:p w:rsidR="00BE4C14" w:rsidRDefault="00BE4C14">
            <w:r>
              <w:t>1.46</w:t>
            </w:r>
          </w:p>
        </w:tc>
        <w:tc>
          <w:tcPr>
            <w:tcW w:w="1197" w:type="dxa"/>
          </w:tcPr>
          <w:p w:rsidR="00BE4C14" w:rsidRDefault="00BE4C14">
            <w:r>
              <w:t>1.19</w:t>
            </w:r>
          </w:p>
        </w:tc>
        <w:tc>
          <w:tcPr>
            <w:tcW w:w="1197" w:type="dxa"/>
            <w:tcBorders>
              <w:bottom w:val="single" w:sz="4" w:space="0" w:color="auto"/>
            </w:tcBorders>
            <w:shd w:val="solid" w:color="FFFF00" w:fill="auto"/>
          </w:tcPr>
          <w:p w:rsidR="00BE4C14" w:rsidRDefault="00BE4C14">
            <w:r>
              <w:t>1.00</w:t>
            </w:r>
          </w:p>
        </w:tc>
        <w:tc>
          <w:tcPr>
            <w:tcW w:w="1197" w:type="dxa"/>
          </w:tcPr>
          <w:p w:rsidR="00BE4C14" w:rsidRDefault="00BE4C14">
            <w:r>
              <w:t>.86</w:t>
            </w:r>
          </w:p>
        </w:tc>
        <w:tc>
          <w:tcPr>
            <w:tcW w:w="1197" w:type="dxa"/>
          </w:tcPr>
          <w:p w:rsidR="00BE4C14" w:rsidRDefault="00BE4C14">
            <w:r>
              <w:t>.71</w:t>
            </w:r>
          </w:p>
        </w:tc>
        <w:tc>
          <w:tcPr>
            <w:tcW w:w="1197" w:type="dxa"/>
          </w:tcPr>
          <w:p w:rsidR="00BE4C14" w:rsidRDefault="00BE4C14"/>
        </w:tc>
        <w:tc>
          <w:tcPr>
            <w:tcW w:w="1197" w:type="dxa"/>
          </w:tcPr>
          <w:p w:rsidR="00BE4C14" w:rsidRDefault="00BE7F71">
            <w:r>
              <w:t>1.00</w:t>
            </w:r>
          </w:p>
        </w:tc>
      </w:tr>
      <w:tr w:rsidR="00BE4C14" w:rsidTr="00BE7F71">
        <w:tc>
          <w:tcPr>
            <w:tcW w:w="1197" w:type="dxa"/>
          </w:tcPr>
          <w:p w:rsidR="00BE4C14" w:rsidRDefault="00BE4C14">
            <w:r>
              <w:t>AEXP</w:t>
            </w:r>
          </w:p>
        </w:tc>
        <w:tc>
          <w:tcPr>
            <w:tcW w:w="1197" w:type="dxa"/>
          </w:tcPr>
          <w:p w:rsidR="00BE4C14" w:rsidRDefault="00BE7F71">
            <w:r>
              <w:t>1.29</w:t>
            </w:r>
          </w:p>
        </w:tc>
        <w:tc>
          <w:tcPr>
            <w:tcW w:w="1197" w:type="dxa"/>
          </w:tcPr>
          <w:p w:rsidR="00BE4C14" w:rsidRDefault="00BE7F71">
            <w:r>
              <w:t>1.13</w:t>
            </w:r>
          </w:p>
        </w:tc>
        <w:tc>
          <w:tcPr>
            <w:tcW w:w="1197" w:type="dxa"/>
            <w:tcBorders>
              <w:bottom w:val="single" w:sz="4" w:space="0" w:color="auto"/>
            </w:tcBorders>
            <w:shd w:val="solid" w:color="FFFF00" w:fill="auto"/>
          </w:tcPr>
          <w:p w:rsidR="00BE4C14" w:rsidRDefault="00BE7F71">
            <w:r>
              <w:t>1.00</w:t>
            </w:r>
          </w:p>
        </w:tc>
        <w:tc>
          <w:tcPr>
            <w:tcW w:w="1197" w:type="dxa"/>
          </w:tcPr>
          <w:p w:rsidR="00BE4C14" w:rsidRDefault="00BE7F71">
            <w:r>
              <w:t>.91</w:t>
            </w:r>
          </w:p>
        </w:tc>
        <w:tc>
          <w:tcPr>
            <w:tcW w:w="1197" w:type="dxa"/>
          </w:tcPr>
          <w:p w:rsidR="00BE4C14" w:rsidRDefault="00BE7F71">
            <w:r>
              <w:t>.82</w:t>
            </w:r>
          </w:p>
        </w:tc>
        <w:tc>
          <w:tcPr>
            <w:tcW w:w="1197" w:type="dxa"/>
          </w:tcPr>
          <w:p w:rsidR="00BE4C14" w:rsidRDefault="00BE4C14"/>
        </w:tc>
        <w:tc>
          <w:tcPr>
            <w:tcW w:w="1197" w:type="dxa"/>
          </w:tcPr>
          <w:p w:rsidR="00BE4C14" w:rsidRDefault="00BE7F71">
            <w:r>
              <w:t>1.00</w:t>
            </w:r>
          </w:p>
        </w:tc>
      </w:tr>
      <w:tr w:rsidR="00BE4C14" w:rsidTr="00BE7F71">
        <w:tc>
          <w:tcPr>
            <w:tcW w:w="1197" w:type="dxa"/>
          </w:tcPr>
          <w:p w:rsidR="00BE4C14" w:rsidRDefault="00BE4C14">
            <w:r>
              <w:t>PCAP</w:t>
            </w:r>
          </w:p>
        </w:tc>
        <w:tc>
          <w:tcPr>
            <w:tcW w:w="1197" w:type="dxa"/>
          </w:tcPr>
          <w:p w:rsidR="00BE4C14" w:rsidRDefault="00BE7F71">
            <w:r>
              <w:t>1.42</w:t>
            </w:r>
          </w:p>
        </w:tc>
        <w:tc>
          <w:tcPr>
            <w:tcW w:w="1197" w:type="dxa"/>
          </w:tcPr>
          <w:p w:rsidR="00BE4C14" w:rsidRDefault="00BE7F71">
            <w:r>
              <w:t>1.17</w:t>
            </w:r>
          </w:p>
        </w:tc>
        <w:tc>
          <w:tcPr>
            <w:tcW w:w="1197" w:type="dxa"/>
            <w:tcBorders>
              <w:bottom w:val="single" w:sz="4" w:space="0" w:color="auto"/>
            </w:tcBorders>
            <w:shd w:val="solid" w:color="FFFF00" w:fill="auto"/>
          </w:tcPr>
          <w:p w:rsidR="00BE4C14" w:rsidRDefault="00BE7F71">
            <w:r>
              <w:t>1.00</w:t>
            </w:r>
          </w:p>
        </w:tc>
        <w:tc>
          <w:tcPr>
            <w:tcW w:w="1197" w:type="dxa"/>
          </w:tcPr>
          <w:p w:rsidR="00BE4C14" w:rsidRDefault="00BE7F71">
            <w:r>
              <w:t>.86</w:t>
            </w:r>
          </w:p>
        </w:tc>
        <w:tc>
          <w:tcPr>
            <w:tcW w:w="1197" w:type="dxa"/>
          </w:tcPr>
          <w:p w:rsidR="00BE4C14" w:rsidRDefault="00BE7F71">
            <w:r>
              <w:t>.70</w:t>
            </w:r>
          </w:p>
        </w:tc>
        <w:tc>
          <w:tcPr>
            <w:tcW w:w="1197" w:type="dxa"/>
          </w:tcPr>
          <w:p w:rsidR="00BE4C14" w:rsidRDefault="00BE4C14"/>
        </w:tc>
        <w:tc>
          <w:tcPr>
            <w:tcW w:w="1197" w:type="dxa"/>
          </w:tcPr>
          <w:p w:rsidR="00BE4C14" w:rsidRDefault="00BE7F71">
            <w:r>
              <w:t>1.00</w:t>
            </w:r>
          </w:p>
        </w:tc>
      </w:tr>
      <w:tr w:rsidR="00BE4C14" w:rsidTr="00BE7F71">
        <w:tc>
          <w:tcPr>
            <w:tcW w:w="1197" w:type="dxa"/>
          </w:tcPr>
          <w:p w:rsidR="00BE4C14" w:rsidRDefault="00BE4C14">
            <w:r>
              <w:t>VEXP</w:t>
            </w:r>
          </w:p>
        </w:tc>
        <w:tc>
          <w:tcPr>
            <w:tcW w:w="1197" w:type="dxa"/>
          </w:tcPr>
          <w:p w:rsidR="00BE4C14" w:rsidRDefault="00BE7F71">
            <w:r>
              <w:t>1.21</w:t>
            </w:r>
          </w:p>
        </w:tc>
        <w:tc>
          <w:tcPr>
            <w:tcW w:w="1197" w:type="dxa"/>
          </w:tcPr>
          <w:p w:rsidR="00BE4C14" w:rsidRDefault="00BE7F71">
            <w:r>
              <w:t>1.10</w:t>
            </w:r>
          </w:p>
        </w:tc>
        <w:tc>
          <w:tcPr>
            <w:tcW w:w="1197" w:type="dxa"/>
            <w:shd w:val="solid" w:color="FFFF00" w:fill="auto"/>
          </w:tcPr>
          <w:p w:rsidR="00BE4C14" w:rsidRDefault="00BE7F71">
            <w:r>
              <w:t>1.00</w:t>
            </w:r>
          </w:p>
        </w:tc>
        <w:tc>
          <w:tcPr>
            <w:tcW w:w="1197" w:type="dxa"/>
            <w:tcBorders>
              <w:bottom w:val="single" w:sz="4" w:space="0" w:color="auto"/>
            </w:tcBorders>
          </w:tcPr>
          <w:p w:rsidR="00BE4C14" w:rsidRDefault="00BE7F71">
            <w:r>
              <w:t>.90</w:t>
            </w:r>
          </w:p>
        </w:tc>
        <w:tc>
          <w:tcPr>
            <w:tcW w:w="1197" w:type="dxa"/>
          </w:tcPr>
          <w:p w:rsidR="00BE4C14" w:rsidRDefault="00BE4C14"/>
        </w:tc>
        <w:tc>
          <w:tcPr>
            <w:tcW w:w="1197" w:type="dxa"/>
          </w:tcPr>
          <w:p w:rsidR="00BE4C14" w:rsidRDefault="00BE4C14"/>
        </w:tc>
        <w:tc>
          <w:tcPr>
            <w:tcW w:w="1197" w:type="dxa"/>
          </w:tcPr>
          <w:p w:rsidR="00BE4C14" w:rsidRDefault="00BE7F71">
            <w:r>
              <w:t>1.00</w:t>
            </w:r>
          </w:p>
        </w:tc>
      </w:tr>
      <w:tr w:rsidR="00BE4C14" w:rsidTr="00BE7F71">
        <w:tc>
          <w:tcPr>
            <w:tcW w:w="1197" w:type="dxa"/>
          </w:tcPr>
          <w:p w:rsidR="00BE4C14" w:rsidRDefault="00BE4C14">
            <w:r>
              <w:t>LEXP</w:t>
            </w:r>
          </w:p>
        </w:tc>
        <w:tc>
          <w:tcPr>
            <w:tcW w:w="1197" w:type="dxa"/>
          </w:tcPr>
          <w:p w:rsidR="00BE4C14" w:rsidRDefault="00BE7F71">
            <w:r>
              <w:t>1.14</w:t>
            </w:r>
          </w:p>
        </w:tc>
        <w:tc>
          <w:tcPr>
            <w:tcW w:w="1197" w:type="dxa"/>
          </w:tcPr>
          <w:p w:rsidR="00BE4C14" w:rsidRDefault="00BE7F71">
            <w:r>
              <w:t>1.07</w:t>
            </w:r>
          </w:p>
        </w:tc>
        <w:tc>
          <w:tcPr>
            <w:tcW w:w="1197" w:type="dxa"/>
          </w:tcPr>
          <w:p w:rsidR="00BE4C14" w:rsidRDefault="00BE7F71">
            <w:r>
              <w:t>1.00</w:t>
            </w:r>
          </w:p>
        </w:tc>
        <w:tc>
          <w:tcPr>
            <w:tcW w:w="1197" w:type="dxa"/>
            <w:tcBorders>
              <w:bottom w:val="single" w:sz="4" w:space="0" w:color="auto"/>
            </w:tcBorders>
            <w:shd w:val="solid" w:color="FFFF00" w:fill="auto"/>
          </w:tcPr>
          <w:p w:rsidR="00BE4C14" w:rsidRDefault="00BE7F71">
            <w:r>
              <w:t>.95</w:t>
            </w:r>
          </w:p>
        </w:tc>
        <w:tc>
          <w:tcPr>
            <w:tcW w:w="1197" w:type="dxa"/>
          </w:tcPr>
          <w:p w:rsidR="00BE4C14" w:rsidRDefault="00BE4C14"/>
        </w:tc>
        <w:tc>
          <w:tcPr>
            <w:tcW w:w="1197" w:type="dxa"/>
          </w:tcPr>
          <w:p w:rsidR="00BE4C14" w:rsidRDefault="00BE4C14"/>
        </w:tc>
        <w:tc>
          <w:tcPr>
            <w:tcW w:w="1197" w:type="dxa"/>
          </w:tcPr>
          <w:p w:rsidR="00BE4C14" w:rsidRDefault="00BE7F71">
            <w:r>
              <w:t>.95</w:t>
            </w:r>
          </w:p>
        </w:tc>
      </w:tr>
      <w:tr w:rsidR="00BE4C14" w:rsidTr="00BE7F71">
        <w:tc>
          <w:tcPr>
            <w:tcW w:w="1197" w:type="dxa"/>
          </w:tcPr>
          <w:p w:rsidR="00BE4C14" w:rsidRDefault="00BE4C14">
            <w:r>
              <w:t>MODP</w:t>
            </w:r>
          </w:p>
        </w:tc>
        <w:tc>
          <w:tcPr>
            <w:tcW w:w="1197" w:type="dxa"/>
          </w:tcPr>
          <w:p w:rsidR="00BE4C14" w:rsidRDefault="00BE7F71">
            <w:r>
              <w:t>1.24</w:t>
            </w:r>
          </w:p>
        </w:tc>
        <w:tc>
          <w:tcPr>
            <w:tcW w:w="1197" w:type="dxa"/>
          </w:tcPr>
          <w:p w:rsidR="00BE4C14" w:rsidRDefault="00BE7F71">
            <w:r>
              <w:t>1.10</w:t>
            </w:r>
          </w:p>
        </w:tc>
        <w:tc>
          <w:tcPr>
            <w:tcW w:w="1197" w:type="dxa"/>
            <w:tcBorders>
              <w:bottom w:val="single" w:sz="4" w:space="0" w:color="auto"/>
            </w:tcBorders>
          </w:tcPr>
          <w:p w:rsidR="00BE4C14" w:rsidRDefault="00BE7F71">
            <w:r>
              <w:t>1.00</w:t>
            </w:r>
          </w:p>
        </w:tc>
        <w:tc>
          <w:tcPr>
            <w:tcW w:w="1197" w:type="dxa"/>
            <w:shd w:val="solid" w:color="FFFF00" w:fill="auto"/>
          </w:tcPr>
          <w:p w:rsidR="00BE4C14" w:rsidRDefault="00BE7F71">
            <w:r>
              <w:t>.91</w:t>
            </w:r>
          </w:p>
        </w:tc>
        <w:tc>
          <w:tcPr>
            <w:tcW w:w="1197" w:type="dxa"/>
          </w:tcPr>
          <w:p w:rsidR="00BE4C14" w:rsidRDefault="00BE7F71">
            <w:r>
              <w:t>.82</w:t>
            </w:r>
          </w:p>
        </w:tc>
        <w:tc>
          <w:tcPr>
            <w:tcW w:w="1197" w:type="dxa"/>
          </w:tcPr>
          <w:p w:rsidR="00BE4C14" w:rsidRDefault="00BE4C14"/>
        </w:tc>
        <w:tc>
          <w:tcPr>
            <w:tcW w:w="1197" w:type="dxa"/>
          </w:tcPr>
          <w:p w:rsidR="00BE4C14" w:rsidRDefault="00BE7F71">
            <w:r>
              <w:t>.91</w:t>
            </w:r>
          </w:p>
        </w:tc>
      </w:tr>
      <w:tr w:rsidR="00BE4C14" w:rsidTr="00BE7F71">
        <w:tc>
          <w:tcPr>
            <w:tcW w:w="1197" w:type="dxa"/>
          </w:tcPr>
          <w:p w:rsidR="00BE4C14" w:rsidRDefault="00BE4C14">
            <w:r>
              <w:t>TOOL</w:t>
            </w:r>
          </w:p>
        </w:tc>
        <w:tc>
          <w:tcPr>
            <w:tcW w:w="1197" w:type="dxa"/>
          </w:tcPr>
          <w:p w:rsidR="00BE4C14" w:rsidRDefault="00BE7F71">
            <w:r>
              <w:t>1.24</w:t>
            </w:r>
          </w:p>
        </w:tc>
        <w:tc>
          <w:tcPr>
            <w:tcW w:w="1197" w:type="dxa"/>
          </w:tcPr>
          <w:p w:rsidR="00BE4C14" w:rsidRDefault="00BE7F71">
            <w:r>
              <w:t>1.10</w:t>
            </w:r>
          </w:p>
        </w:tc>
        <w:tc>
          <w:tcPr>
            <w:tcW w:w="1197" w:type="dxa"/>
            <w:tcBorders>
              <w:bottom w:val="single" w:sz="4" w:space="0" w:color="auto"/>
            </w:tcBorders>
            <w:shd w:val="solid" w:color="FFFF00" w:fill="auto"/>
          </w:tcPr>
          <w:p w:rsidR="00BE4C14" w:rsidRDefault="00BE7F71">
            <w:r>
              <w:t>1.00</w:t>
            </w:r>
          </w:p>
        </w:tc>
        <w:tc>
          <w:tcPr>
            <w:tcW w:w="1197" w:type="dxa"/>
          </w:tcPr>
          <w:p w:rsidR="00BE4C14" w:rsidRDefault="00BE7F71">
            <w:r>
              <w:t>.91</w:t>
            </w:r>
          </w:p>
        </w:tc>
        <w:tc>
          <w:tcPr>
            <w:tcW w:w="1197" w:type="dxa"/>
          </w:tcPr>
          <w:p w:rsidR="00BE4C14" w:rsidRDefault="00BE7F71">
            <w:r>
              <w:t>.83</w:t>
            </w:r>
          </w:p>
        </w:tc>
        <w:tc>
          <w:tcPr>
            <w:tcW w:w="1197" w:type="dxa"/>
          </w:tcPr>
          <w:p w:rsidR="00BE4C14" w:rsidRDefault="00BE4C14"/>
        </w:tc>
        <w:tc>
          <w:tcPr>
            <w:tcW w:w="1197" w:type="dxa"/>
          </w:tcPr>
          <w:p w:rsidR="00BE4C14" w:rsidRDefault="00BE7F71">
            <w:r>
              <w:t>1.00</w:t>
            </w:r>
          </w:p>
        </w:tc>
      </w:tr>
      <w:tr w:rsidR="00BE4C14" w:rsidTr="00BE7F71">
        <w:tc>
          <w:tcPr>
            <w:tcW w:w="1197" w:type="dxa"/>
          </w:tcPr>
          <w:p w:rsidR="00BE4C14" w:rsidRDefault="00BE4C14">
            <w:r>
              <w:t>SCED</w:t>
            </w:r>
          </w:p>
        </w:tc>
        <w:tc>
          <w:tcPr>
            <w:tcW w:w="1197" w:type="dxa"/>
          </w:tcPr>
          <w:p w:rsidR="00BE4C14" w:rsidRDefault="00BE7F71">
            <w:r>
              <w:t>1.23</w:t>
            </w:r>
          </w:p>
        </w:tc>
        <w:tc>
          <w:tcPr>
            <w:tcW w:w="1197" w:type="dxa"/>
          </w:tcPr>
          <w:p w:rsidR="00BE4C14" w:rsidRDefault="00BE7F71">
            <w:r>
              <w:t>1.08</w:t>
            </w:r>
          </w:p>
        </w:tc>
        <w:tc>
          <w:tcPr>
            <w:tcW w:w="1197" w:type="dxa"/>
            <w:shd w:val="solid" w:color="FFFF00" w:fill="auto"/>
          </w:tcPr>
          <w:p w:rsidR="00BE4C14" w:rsidRDefault="00BE7F71">
            <w:r>
              <w:t>1.00</w:t>
            </w:r>
          </w:p>
        </w:tc>
        <w:tc>
          <w:tcPr>
            <w:tcW w:w="1197" w:type="dxa"/>
          </w:tcPr>
          <w:p w:rsidR="00BE4C14" w:rsidRDefault="00BE7F71">
            <w:r>
              <w:t>1.04</w:t>
            </w:r>
          </w:p>
        </w:tc>
        <w:tc>
          <w:tcPr>
            <w:tcW w:w="1197" w:type="dxa"/>
          </w:tcPr>
          <w:p w:rsidR="00BE4C14" w:rsidRDefault="00BE7F71">
            <w:r>
              <w:t>1.10</w:t>
            </w:r>
          </w:p>
        </w:tc>
        <w:tc>
          <w:tcPr>
            <w:tcW w:w="1197" w:type="dxa"/>
          </w:tcPr>
          <w:p w:rsidR="00BE4C14" w:rsidRDefault="00BE4C14"/>
        </w:tc>
        <w:tc>
          <w:tcPr>
            <w:tcW w:w="1197" w:type="dxa"/>
          </w:tcPr>
          <w:p w:rsidR="00BE4C14" w:rsidRDefault="00BE7F71">
            <w:r>
              <w:t>1.00</w:t>
            </w:r>
          </w:p>
        </w:tc>
      </w:tr>
    </w:tbl>
    <w:p w:rsidR="00BE7F71" w:rsidRDefault="00BE7F71">
      <w:pPr>
        <w:rPr>
          <w:i/>
          <w:sz w:val="20"/>
        </w:rPr>
      </w:pPr>
      <w:r w:rsidRPr="00BE7F71">
        <w:rPr>
          <w:i/>
          <w:sz w:val="20"/>
        </w:rPr>
        <w:t>Table N: Mapping COCOMO parameters to Effort Multiplier Ratings</w:t>
      </w:r>
    </w:p>
    <w:p w:rsidR="00BE4C14" w:rsidRDefault="00BE7F71" w:rsidP="00BE7F71">
      <w:r>
        <w:t xml:space="preserve">To get the total effort multiplier rating for the project we can simply take the product of each effort multiplier rating. We can use this effort multiplier rating to compute staff months and time to develop for each of the three builds, since the multipliers will likely not change much between the three builds. The result of the product of all of the effort multipliers is 0.66. </w:t>
      </w:r>
    </w:p>
    <w:p w:rsidR="00BE7F71" w:rsidRDefault="00BE7F71" w:rsidP="00BE7F71">
      <w:r>
        <w:t xml:space="preserve">As </w:t>
      </w:r>
      <w:r w:rsidR="005B7171">
        <w:t>discussed in the above sections, we are usin</w:t>
      </w:r>
      <w:r w:rsidR="004C69C6">
        <w:t>g the organic development model</w:t>
      </w:r>
      <w:r w:rsidR="005B7171">
        <w:t xml:space="preserve"> and we are using the detailed model for each of the three builds. We can consult the following lookup table to determine the equations to use for the staff months and time for development, as well as the average staffing for the duration of each build. </w:t>
      </w:r>
    </w:p>
    <w:p w:rsidR="005B7171" w:rsidRDefault="005B7171" w:rsidP="00BE7F71">
      <w:r>
        <w:rPr>
          <w:noProof/>
        </w:rPr>
        <w:lastRenderedPageBreak/>
        <w:drawing>
          <wp:inline distT="0" distB="0" distL="0" distR="0">
            <wp:extent cx="4467225" cy="284797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4467225" cy="2847975"/>
                    </a:xfrm>
                    <a:prstGeom prst="rect">
                      <a:avLst/>
                    </a:prstGeom>
                    <a:noFill/>
                    <a:ln w="9525">
                      <a:noFill/>
                      <a:miter lim="800000"/>
                      <a:headEnd/>
                      <a:tailEnd/>
                    </a:ln>
                  </pic:spPr>
                </pic:pic>
              </a:graphicData>
            </a:graphic>
          </wp:inline>
        </w:drawing>
      </w:r>
    </w:p>
    <w:p w:rsidR="005B7171" w:rsidRDefault="005B7171" w:rsidP="00BE7F71">
      <w:pPr>
        <w:rPr>
          <w:i/>
          <w:sz w:val="20"/>
        </w:rPr>
      </w:pPr>
      <w:r w:rsidRPr="005B7171">
        <w:rPr>
          <w:i/>
          <w:sz w:val="20"/>
        </w:rPr>
        <w:t>Table N+1: Equation lookup table</w:t>
      </w:r>
    </w:p>
    <w:p w:rsidR="005B7171" w:rsidRDefault="005B7171" w:rsidP="005B7171">
      <w:r>
        <w:t>Using the organic model and the detailed equations we see that we can use the following two equations to compute staff months and development time. The equation for computing the average staffing is trivial, but is shown below as well.</w:t>
      </w:r>
    </w:p>
    <w:p w:rsidR="005B7171" w:rsidRDefault="005B7171" w:rsidP="005B7171">
      <w:pPr>
        <w:rPr>
          <w:rFonts w:eastAsiaTheme="minorEastAsia"/>
        </w:rPr>
      </w:pPr>
      <m:oMathPara>
        <m:oMath>
          <m:r>
            <w:rPr>
              <w:rFonts w:ascii="Cambria Math" w:hAnsi="Cambria Math"/>
            </w:rPr>
            <m:t>SM=3.2*PEM*</m:t>
          </m:r>
          <m:d>
            <m:dPr>
              <m:ctrlPr>
                <w:rPr>
                  <w:rFonts w:ascii="Cambria Math" w:hAnsi="Cambria Math"/>
                  <w:i/>
                </w:rPr>
              </m:ctrlPr>
            </m:dPr>
            <m:e>
              <m:r>
                <w:rPr>
                  <w:rFonts w:ascii="Cambria Math" w:hAnsi="Cambria Math"/>
                </w:rPr>
                <m:t>KDS</m:t>
              </m:r>
              <m:sSup>
                <m:sSupPr>
                  <m:ctrlPr>
                    <w:rPr>
                      <w:rFonts w:ascii="Cambria Math" w:hAnsi="Cambria Math"/>
                      <w:i/>
                    </w:rPr>
                  </m:ctrlPr>
                </m:sSupPr>
                <m:e>
                  <m:r>
                    <w:rPr>
                      <w:rFonts w:ascii="Cambria Math" w:hAnsi="Cambria Math"/>
                    </w:rPr>
                    <m:t>I</m:t>
                  </m:r>
                </m:e>
                <m:sup>
                  <m:r>
                    <w:rPr>
                      <w:rFonts w:ascii="Cambria Math" w:hAnsi="Cambria Math"/>
                    </w:rPr>
                    <m:t>1.05</m:t>
                  </m:r>
                </m:sup>
              </m:sSup>
            </m:e>
          </m:d>
          <m:r>
            <w:rPr>
              <w:rFonts w:ascii="Cambria Math" w:hAnsi="Cambria Math"/>
            </w:rPr>
            <m:t xml:space="preserve">         (Eq.1)</m:t>
          </m:r>
        </m:oMath>
      </m:oMathPara>
    </w:p>
    <w:p w:rsidR="005B7171" w:rsidRDefault="005B7171" w:rsidP="005B7171">
      <w:pP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DEV</m:t>
              </m:r>
            </m:sub>
          </m:sSub>
          <m:r>
            <w:rPr>
              <w:rFonts w:ascii="Cambria Math" w:hAnsi="Cambria Math"/>
            </w:rPr>
            <m:t>=2.5*</m:t>
          </m:r>
          <m:d>
            <m:dPr>
              <m:ctrlPr>
                <w:rPr>
                  <w:rFonts w:ascii="Cambria Math" w:hAnsi="Cambria Math"/>
                  <w:i/>
                </w:rPr>
              </m:ctrlPr>
            </m:dPr>
            <m:e>
              <m:r>
                <w:rPr>
                  <w:rFonts w:ascii="Cambria Math" w:hAnsi="Cambria Math"/>
                </w:rPr>
                <m:t>S</m:t>
              </m:r>
              <m:sSup>
                <m:sSupPr>
                  <m:ctrlPr>
                    <w:rPr>
                      <w:rFonts w:ascii="Cambria Math" w:hAnsi="Cambria Math"/>
                      <w:i/>
                    </w:rPr>
                  </m:ctrlPr>
                </m:sSupPr>
                <m:e>
                  <m:r>
                    <w:rPr>
                      <w:rFonts w:ascii="Cambria Math" w:hAnsi="Cambria Math"/>
                    </w:rPr>
                    <m:t>M</m:t>
                  </m:r>
                </m:e>
                <m:sup>
                  <m:r>
                    <w:rPr>
                      <w:rFonts w:ascii="Cambria Math" w:hAnsi="Cambria Math"/>
                    </w:rPr>
                    <m:t>0.38</m:t>
                  </m:r>
                </m:sup>
              </m:sSup>
            </m:e>
          </m:d>
          <m:r>
            <w:rPr>
              <w:rFonts w:ascii="Cambria Math" w:hAnsi="Cambria Math"/>
            </w:rPr>
            <m:t xml:space="preserve">         (Eq.2)</m:t>
          </m:r>
        </m:oMath>
      </m:oMathPara>
    </w:p>
    <w:p w:rsidR="005B7171" w:rsidRDefault="005B7171" w:rsidP="005B7171">
      <w:pPr>
        <w:rPr>
          <w:rFonts w:eastAsiaTheme="minorEastAsia"/>
        </w:rPr>
      </w:pPr>
      <m:oMathPara>
        <m:oMath>
          <m:r>
            <w:rPr>
              <w:rFonts w:ascii="Cambria Math" w:hAnsi="Cambria Math"/>
            </w:rPr>
            <m:t>AvgStaffing=</m:t>
          </m:r>
          <m:f>
            <m:fPr>
              <m:ctrlPr>
                <w:rPr>
                  <w:rFonts w:ascii="Cambria Math" w:hAnsi="Cambria Math"/>
                  <w:i/>
                </w:rPr>
              </m:ctrlPr>
            </m:fPr>
            <m:num>
              <m:r>
                <w:rPr>
                  <w:rFonts w:ascii="Cambria Math" w:hAnsi="Cambria Math"/>
                </w:rPr>
                <m:t>SM</m:t>
              </m:r>
            </m:num>
            <m:den>
              <m:sSub>
                <m:sSubPr>
                  <m:ctrlPr>
                    <w:rPr>
                      <w:rFonts w:ascii="Cambria Math" w:hAnsi="Cambria Math"/>
                      <w:i/>
                    </w:rPr>
                  </m:ctrlPr>
                </m:sSubPr>
                <m:e>
                  <m:r>
                    <w:rPr>
                      <w:rFonts w:ascii="Cambria Math" w:hAnsi="Cambria Math"/>
                    </w:rPr>
                    <m:t>T</m:t>
                  </m:r>
                </m:e>
                <m:sub>
                  <m:r>
                    <w:rPr>
                      <w:rFonts w:ascii="Cambria Math" w:hAnsi="Cambria Math"/>
                    </w:rPr>
                    <m:t>DEV</m:t>
                  </m:r>
                </m:sub>
              </m:sSub>
            </m:den>
          </m:f>
          <m:r>
            <w:rPr>
              <w:rFonts w:ascii="Cambria Math" w:hAnsi="Cambria Math"/>
            </w:rPr>
            <m:t xml:space="preserve">          (Eq.3)</m:t>
          </m:r>
        </m:oMath>
      </m:oMathPara>
    </w:p>
    <w:p w:rsidR="006A3B94" w:rsidRDefault="006A3B94" w:rsidP="005B7171">
      <w:pPr>
        <w:rPr>
          <w:rFonts w:eastAsiaTheme="minorEastAsia"/>
        </w:rPr>
      </w:pPr>
      <w:r>
        <w:rPr>
          <w:rFonts w:eastAsiaTheme="minorEastAsia"/>
        </w:rPr>
        <w:t xml:space="preserve">The only remaining item to collect is the lines of code to write for each of the builds. We can take each of the tasks provided in the case study and sum the lines of code for each task </w:t>
      </w:r>
      <w:proofErr w:type="gramStart"/>
      <w:r>
        <w:rPr>
          <w:rFonts w:eastAsiaTheme="minorEastAsia"/>
        </w:rPr>
        <w:t>into a total lines</w:t>
      </w:r>
      <w:proofErr w:type="gramEnd"/>
      <w:r>
        <w:rPr>
          <w:rFonts w:eastAsiaTheme="minorEastAsia"/>
        </w:rPr>
        <w:t xml:space="preserve"> of code for each build. This information was also collected in the SDP. The total </w:t>
      </w:r>
      <w:proofErr w:type="gramStart"/>
      <w:r>
        <w:rPr>
          <w:rFonts w:eastAsiaTheme="minorEastAsia"/>
        </w:rPr>
        <w:t>lines of code for each build is</w:t>
      </w:r>
      <w:proofErr w:type="gramEnd"/>
      <w:r>
        <w:rPr>
          <w:rFonts w:eastAsiaTheme="minorEastAsia"/>
        </w:rPr>
        <w:t xml:space="preserve"> shown in the table below:</w:t>
      </w:r>
    </w:p>
    <w:tbl>
      <w:tblPr>
        <w:tblStyle w:val="TableGrid"/>
        <w:tblW w:w="0" w:type="auto"/>
        <w:tblLook w:val="04A0"/>
      </w:tblPr>
      <w:tblGrid>
        <w:gridCol w:w="4788"/>
        <w:gridCol w:w="4788"/>
      </w:tblGrid>
      <w:tr w:rsidR="006A3B94" w:rsidTr="006A3B94">
        <w:tc>
          <w:tcPr>
            <w:tcW w:w="4788" w:type="dxa"/>
          </w:tcPr>
          <w:p w:rsidR="006A3B94" w:rsidRDefault="006A3B94" w:rsidP="005B7171">
            <w:r>
              <w:t>Build</w:t>
            </w:r>
          </w:p>
        </w:tc>
        <w:tc>
          <w:tcPr>
            <w:tcW w:w="4788" w:type="dxa"/>
          </w:tcPr>
          <w:p w:rsidR="006A3B94" w:rsidRDefault="006A3B94" w:rsidP="005B7171">
            <w:r>
              <w:t>Lines of Code</w:t>
            </w:r>
          </w:p>
        </w:tc>
      </w:tr>
      <w:tr w:rsidR="006A3B94" w:rsidTr="006A3B94">
        <w:tc>
          <w:tcPr>
            <w:tcW w:w="4788" w:type="dxa"/>
          </w:tcPr>
          <w:p w:rsidR="006A3B94" w:rsidRDefault="006A3B94" w:rsidP="005B7171">
            <w:r>
              <w:t>1</w:t>
            </w:r>
          </w:p>
        </w:tc>
        <w:tc>
          <w:tcPr>
            <w:tcW w:w="4788" w:type="dxa"/>
          </w:tcPr>
          <w:p w:rsidR="006A3B94" w:rsidRDefault="006A3B94" w:rsidP="005B7171">
            <w:r>
              <w:t>11000</w:t>
            </w:r>
          </w:p>
        </w:tc>
      </w:tr>
      <w:tr w:rsidR="006A3B94" w:rsidTr="006A3B94">
        <w:tc>
          <w:tcPr>
            <w:tcW w:w="4788" w:type="dxa"/>
          </w:tcPr>
          <w:p w:rsidR="006A3B94" w:rsidRDefault="006A3B94" w:rsidP="005B7171">
            <w:r>
              <w:t>2</w:t>
            </w:r>
          </w:p>
        </w:tc>
        <w:tc>
          <w:tcPr>
            <w:tcW w:w="4788" w:type="dxa"/>
          </w:tcPr>
          <w:p w:rsidR="006A3B94" w:rsidRDefault="006A3B94" w:rsidP="005B7171">
            <w:r>
              <w:t>13200</w:t>
            </w:r>
          </w:p>
        </w:tc>
      </w:tr>
      <w:tr w:rsidR="006A3B94" w:rsidTr="006A3B94">
        <w:tc>
          <w:tcPr>
            <w:tcW w:w="4788" w:type="dxa"/>
          </w:tcPr>
          <w:p w:rsidR="006A3B94" w:rsidRDefault="006A3B94" w:rsidP="005B7171">
            <w:r>
              <w:t>3</w:t>
            </w:r>
          </w:p>
        </w:tc>
        <w:tc>
          <w:tcPr>
            <w:tcW w:w="4788" w:type="dxa"/>
          </w:tcPr>
          <w:p w:rsidR="006A3B94" w:rsidRDefault="006A3B94" w:rsidP="005B7171">
            <w:r>
              <w:t>7800</w:t>
            </w:r>
          </w:p>
        </w:tc>
      </w:tr>
    </w:tbl>
    <w:p w:rsidR="006A3B94" w:rsidRDefault="006A3B94" w:rsidP="005B7171">
      <w:pPr>
        <w:rPr>
          <w:i/>
          <w:sz w:val="20"/>
        </w:rPr>
      </w:pPr>
      <w:r>
        <w:rPr>
          <w:i/>
          <w:sz w:val="20"/>
        </w:rPr>
        <w:t>Table N+2: Summary of lines of code to be delivered for each build</w:t>
      </w:r>
    </w:p>
    <w:p w:rsidR="006A3B94" w:rsidRDefault="006A3B94" w:rsidP="005B7171">
      <w:r>
        <w:t>With the above information we can compute the number of staff months, the time to develop, and the average staffing for each of the builds. The results for each of the builds are shown in the below table:</w:t>
      </w:r>
    </w:p>
    <w:tbl>
      <w:tblPr>
        <w:tblStyle w:val="TableGrid"/>
        <w:tblW w:w="0" w:type="auto"/>
        <w:tblLook w:val="04A0"/>
      </w:tblPr>
      <w:tblGrid>
        <w:gridCol w:w="2394"/>
        <w:gridCol w:w="2394"/>
        <w:gridCol w:w="2394"/>
        <w:gridCol w:w="2394"/>
      </w:tblGrid>
      <w:tr w:rsidR="006A3B94" w:rsidTr="006A3B94">
        <w:tc>
          <w:tcPr>
            <w:tcW w:w="2394" w:type="dxa"/>
          </w:tcPr>
          <w:p w:rsidR="006A3B94" w:rsidRDefault="006A3B94" w:rsidP="005B7171">
            <w:r>
              <w:t>Build</w:t>
            </w:r>
          </w:p>
        </w:tc>
        <w:tc>
          <w:tcPr>
            <w:tcW w:w="2394" w:type="dxa"/>
          </w:tcPr>
          <w:p w:rsidR="006A3B94" w:rsidRDefault="006A3B94" w:rsidP="005B7171">
            <w:r>
              <w:t>1</w:t>
            </w:r>
          </w:p>
        </w:tc>
        <w:tc>
          <w:tcPr>
            <w:tcW w:w="2394" w:type="dxa"/>
          </w:tcPr>
          <w:p w:rsidR="006A3B94" w:rsidRDefault="006A3B94" w:rsidP="005B7171">
            <w:r>
              <w:t>2</w:t>
            </w:r>
          </w:p>
        </w:tc>
        <w:tc>
          <w:tcPr>
            <w:tcW w:w="2394" w:type="dxa"/>
          </w:tcPr>
          <w:p w:rsidR="006A3B94" w:rsidRDefault="006A3B94" w:rsidP="005B7171">
            <w:r>
              <w:t>3</w:t>
            </w:r>
          </w:p>
        </w:tc>
      </w:tr>
      <w:tr w:rsidR="006A3B94" w:rsidTr="006A3B94">
        <w:tc>
          <w:tcPr>
            <w:tcW w:w="2394" w:type="dxa"/>
          </w:tcPr>
          <w:p w:rsidR="006A3B94" w:rsidRDefault="006A3B94" w:rsidP="005B7171">
            <w:r>
              <w:t>SM</w:t>
            </w:r>
          </w:p>
        </w:tc>
        <w:tc>
          <w:tcPr>
            <w:tcW w:w="2394" w:type="dxa"/>
          </w:tcPr>
          <w:p w:rsidR="006A3B94" w:rsidRDefault="006A3B94" w:rsidP="005B7171">
            <w:r>
              <w:t>26.27</w:t>
            </w:r>
          </w:p>
        </w:tc>
        <w:tc>
          <w:tcPr>
            <w:tcW w:w="2394" w:type="dxa"/>
          </w:tcPr>
          <w:p w:rsidR="006A3B94" w:rsidRDefault="006A3B94" w:rsidP="005B7171">
            <w:r>
              <w:t>31.81</w:t>
            </w:r>
          </w:p>
        </w:tc>
        <w:tc>
          <w:tcPr>
            <w:tcW w:w="2394" w:type="dxa"/>
          </w:tcPr>
          <w:p w:rsidR="006A3B94" w:rsidRDefault="006A3B94" w:rsidP="005B7171">
            <w:r>
              <w:t>18.31</w:t>
            </w:r>
          </w:p>
        </w:tc>
      </w:tr>
      <w:tr w:rsidR="006A3B94" w:rsidTr="006A3B94">
        <w:tc>
          <w:tcPr>
            <w:tcW w:w="2394" w:type="dxa"/>
          </w:tcPr>
          <w:p w:rsidR="006A3B94" w:rsidRPr="006A3B94" w:rsidRDefault="006A3B94" w:rsidP="005B7171">
            <w:pPr>
              <w:rPr>
                <w:vertAlign w:val="subscript"/>
              </w:rPr>
            </w:pPr>
            <w:r>
              <w:t>T</w:t>
            </w:r>
            <w:r>
              <w:rPr>
                <w:vertAlign w:val="subscript"/>
              </w:rPr>
              <w:t>DEV</w:t>
            </w:r>
          </w:p>
        </w:tc>
        <w:tc>
          <w:tcPr>
            <w:tcW w:w="2394" w:type="dxa"/>
          </w:tcPr>
          <w:p w:rsidR="006A3B94" w:rsidRDefault="006A3B94" w:rsidP="005B7171">
            <w:r>
              <w:t>8.66</w:t>
            </w:r>
          </w:p>
        </w:tc>
        <w:tc>
          <w:tcPr>
            <w:tcW w:w="2394" w:type="dxa"/>
          </w:tcPr>
          <w:p w:rsidR="006A3B94" w:rsidRDefault="006A3B94" w:rsidP="005B7171">
            <w:r>
              <w:t>9.31</w:t>
            </w:r>
          </w:p>
        </w:tc>
        <w:tc>
          <w:tcPr>
            <w:tcW w:w="2394" w:type="dxa"/>
          </w:tcPr>
          <w:p w:rsidR="006A3B94" w:rsidRDefault="006A3B94" w:rsidP="005B7171">
            <w:r>
              <w:t>7.55</w:t>
            </w:r>
          </w:p>
        </w:tc>
      </w:tr>
      <w:tr w:rsidR="006A3B94" w:rsidTr="006A3B94">
        <w:tc>
          <w:tcPr>
            <w:tcW w:w="2394" w:type="dxa"/>
          </w:tcPr>
          <w:p w:rsidR="006A3B94" w:rsidRDefault="006A3B94" w:rsidP="005B7171">
            <w:r>
              <w:lastRenderedPageBreak/>
              <w:t>Avg. Staff</w:t>
            </w:r>
          </w:p>
        </w:tc>
        <w:tc>
          <w:tcPr>
            <w:tcW w:w="2394" w:type="dxa"/>
          </w:tcPr>
          <w:p w:rsidR="006A3B94" w:rsidRDefault="006A3B94" w:rsidP="005B7171">
            <w:r>
              <w:t>3.03</w:t>
            </w:r>
          </w:p>
        </w:tc>
        <w:tc>
          <w:tcPr>
            <w:tcW w:w="2394" w:type="dxa"/>
          </w:tcPr>
          <w:p w:rsidR="006A3B94" w:rsidRDefault="006A3B94" w:rsidP="005B7171">
            <w:r>
              <w:t>3.42</w:t>
            </w:r>
          </w:p>
        </w:tc>
        <w:tc>
          <w:tcPr>
            <w:tcW w:w="2394" w:type="dxa"/>
          </w:tcPr>
          <w:p w:rsidR="006A3B94" w:rsidRDefault="006A3B94" w:rsidP="005B7171">
            <w:r>
              <w:t>2.43</w:t>
            </w:r>
          </w:p>
        </w:tc>
      </w:tr>
    </w:tbl>
    <w:p w:rsidR="006A3B94" w:rsidRDefault="006A3B94" w:rsidP="005B7171">
      <w:pPr>
        <w:rPr>
          <w:i/>
          <w:sz w:val="20"/>
        </w:rPr>
      </w:pPr>
      <w:r>
        <w:rPr>
          <w:i/>
          <w:sz w:val="20"/>
        </w:rPr>
        <w:t xml:space="preserve">Table N+3: Tabulated </w:t>
      </w:r>
      <w:r w:rsidR="009E36AC">
        <w:rPr>
          <w:i/>
          <w:sz w:val="20"/>
        </w:rPr>
        <w:t>results for staff months, development time and average staffing</w:t>
      </w:r>
    </w:p>
    <w:p w:rsidR="009E36AC" w:rsidRDefault="009E36AC" w:rsidP="005B7171"/>
    <w:p w:rsidR="009E36AC" w:rsidRDefault="009E36AC" w:rsidP="005B7171"/>
    <w:p w:rsidR="009E36AC" w:rsidRDefault="009E36AC" w:rsidP="005B7171">
      <w:r>
        <w:t>APPROACH</w:t>
      </w:r>
    </w:p>
    <w:p w:rsidR="004C69C6" w:rsidRDefault="004C69C6" w:rsidP="005B7171">
      <w:r>
        <w:t>The approach taken to compute the effort, schedule and staffing profile for the BOE was to use the COCOMO Model. The process for the COCOMO model was discussed in the first three sections, however a more generalized approach can be written as:</w:t>
      </w:r>
    </w:p>
    <w:p w:rsidR="00856438" w:rsidRDefault="00856438" w:rsidP="004C69C6">
      <w:pPr>
        <w:pStyle w:val="ListParagraph"/>
        <w:numPr>
          <w:ilvl w:val="0"/>
          <w:numId w:val="1"/>
        </w:numPr>
      </w:pPr>
      <w:r>
        <w:t>Tabulate effort multipliers and produce project effort multiplier</w:t>
      </w:r>
    </w:p>
    <w:p w:rsidR="004C69C6" w:rsidRDefault="004C69C6" w:rsidP="004C69C6">
      <w:pPr>
        <w:pStyle w:val="ListParagraph"/>
        <w:numPr>
          <w:ilvl w:val="0"/>
          <w:numId w:val="1"/>
        </w:numPr>
      </w:pPr>
      <w:r>
        <w:t>Select a development model (organic, semi-detached, and embedded)</w:t>
      </w:r>
    </w:p>
    <w:p w:rsidR="004C69C6" w:rsidRDefault="004C69C6" w:rsidP="004C69C6">
      <w:pPr>
        <w:pStyle w:val="ListParagraph"/>
        <w:numPr>
          <w:ilvl w:val="0"/>
          <w:numId w:val="1"/>
        </w:numPr>
      </w:pPr>
      <w:r>
        <w:t>Choose an equation mode (basic, intermediate, advanced)</w:t>
      </w:r>
    </w:p>
    <w:p w:rsidR="004C69C6" w:rsidRDefault="004C69C6" w:rsidP="004C69C6">
      <w:pPr>
        <w:pStyle w:val="ListParagraph"/>
        <w:numPr>
          <w:ilvl w:val="0"/>
          <w:numId w:val="1"/>
        </w:numPr>
      </w:pPr>
      <w:r>
        <w:t>Collect lines of code estimate for project (or each build if using advanced equation mode)</w:t>
      </w:r>
    </w:p>
    <w:p w:rsidR="004C69C6" w:rsidRDefault="004C69C6" w:rsidP="004C69C6">
      <w:pPr>
        <w:pStyle w:val="ListParagraph"/>
        <w:numPr>
          <w:ilvl w:val="0"/>
          <w:numId w:val="1"/>
        </w:numPr>
      </w:pPr>
      <w:r>
        <w:t>Compute applicable parameters</w:t>
      </w:r>
    </w:p>
    <w:p w:rsidR="00856438" w:rsidRPr="009E36AC" w:rsidRDefault="00856438" w:rsidP="00856438">
      <w:r>
        <w:t>As a team we met to discuss the input parameters to the COCOMO model (organic/semi-detached/embedded, basic/intermediate/advanced, effort multipliers, etc.). Each of the input parameters was debated and each team member shared their own understanding to get an appropriate value for each of the parameters. Once the parameters were determined, a spreadsheet was created to automatically compute the product of the effort multipliers and the staffing parameters. Finally the team split up to write a human-readable document to summarize the results.</w:t>
      </w:r>
    </w:p>
    <w:sectPr w:rsidR="00856438" w:rsidRPr="009E36AC" w:rsidSect="0033098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6F7373"/>
    <w:multiLevelType w:val="hybridMultilevel"/>
    <w:tmpl w:val="8D52E4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E4C14"/>
    <w:rsid w:val="000015A1"/>
    <w:rsid w:val="000279CA"/>
    <w:rsid w:val="00046988"/>
    <w:rsid w:val="000615FB"/>
    <w:rsid w:val="000B795B"/>
    <w:rsid w:val="000D69B7"/>
    <w:rsid w:val="000E4CCC"/>
    <w:rsid w:val="00104E59"/>
    <w:rsid w:val="00135294"/>
    <w:rsid w:val="0015052F"/>
    <w:rsid w:val="00181175"/>
    <w:rsid w:val="001A4292"/>
    <w:rsid w:val="001D1BE4"/>
    <w:rsid w:val="001D7762"/>
    <w:rsid w:val="00236347"/>
    <w:rsid w:val="00263E2A"/>
    <w:rsid w:val="00293B08"/>
    <w:rsid w:val="002A3893"/>
    <w:rsid w:val="002C31D2"/>
    <w:rsid w:val="002E56EF"/>
    <w:rsid w:val="003119FA"/>
    <w:rsid w:val="00330984"/>
    <w:rsid w:val="00335E2C"/>
    <w:rsid w:val="0034670B"/>
    <w:rsid w:val="00360645"/>
    <w:rsid w:val="0037541D"/>
    <w:rsid w:val="00381B99"/>
    <w:rsid w:val="0038699A"/>
    <w:rsid w:val="00386F90"/>
    <w:rsid w:val="00387BF7"/>
    <w:rsid w:val="00392FC2"/>
    <w:rsid w:val="003E6808"/>
    <w:rsid w:val="003F3BDE"/>
    <w:rsid w:val="00400576"/>
    <w:rsid w:val="00412421"/>
    <w:rsid w:val="0044630D"/>
    <w:rsid w:val="00450AF7"/>
    <w:rsid w:val="0045170C"/>
    <w:rsid w:val="00470891"/>
    <w:rsid w:val="00494C45"/>
    <w:rsid w:val="004A5AEF"/>
    <w:rsid w:val="004C69C6"/>
    <w:rsid w:val="004F2505"/>
    <w:rsid w:val="005433C4"/>
    <w:rsid w:val="00567619"/>
    <w:rsid w:val="005B7171"/>
    <w:rsid w:val="00602E56"/>
    <w:rsid w:val="006335FC"/>
    <w:rsid w:val="00637074"/>
    <w:rsid w:val="00647CAB"/>
    <w:rsid w:val="006503EF"/>
    <w:rsid w:val="0065718B"/>
    <w:rsid w:val="00683B98"/>
    <w:rsid w:val="006A3B94"/>
    <w:rsid w:val="006A7653"/>
    <w:rsid w:val="006B4DB2"/>
    <w:rsid w:val="006E5BB3"/>
    <w:rsid w:val="006E76EC"/>
    <w:rsid w:val="00736452"/>
    <w:rsid w:val="00746323"/>
    <w:rsid w:val="00747915"/>
    <w:rsid w:val="00764BD0"/>
    <w:rsid w:val="007662FC"/>
    <w:rsid w:val="00786FCF"/>
    <w:rsid w:val="007972CF"/>
    <w:rsid w:val="007B2EEC"/>
    <w:rsid w:val="007C30EF"/>
    <w:rsid w:val="0083132D"/>
    <w:rsid w:val="008336B6"/>
    <w:rsid w:val="00841CCF"/>
    <w:rsid w:val="00856438"/>
    <w:rsid w:val="00864A2B"/>
    <w:rsid w:val="00865681"/>
    <w:rsid w:val="00887A2A"/>
    <w:rsid w:val="008B1591"/>
    <w:rsid w:val="008D6AA0"/>
    <w:rsid w:val="008F5056"/>
    <w:rsid w:val="009151B5"/>
    <w:rsid w:val="00933EEA"/>
    <w:rsid w:val="00980C38"/>
    <w:rsid w:val="00983251"/>
    <w:rsid w:val="009B0329"/>
    <w:rsid w:val="009D1E0B"/>
    <w:rsid w:val="009E0DF8"/>
    <w:rsid w:val="009E36AC"/>
    <w:rsid w:val="00A13089"/>
    <w:rsid w:val="00A25701"/>
    <w:rsid w:val="00A60CAD"/>
    <w:rsid w:val="00A775C1"/>
    <w:rsid w:val="00A84F41"/>
    <w:rsid w:val="00A939C9"/>
    <w:rsid w:val="00AC0D28"/>
    <w:rsid w:val="00AD2B3E"/>
    <w:rsid w:val="00AE19CD"/>
    <w:rsid w:val="00B06663"/>
    <w:rsid w:val="00B458D6"/>
    <w:rsid w:val="00B8107B"/>
    <w:rsid w:val="00BB6450"/>
    <w:rsid w:val="00BD0EF0"/>
    <w:rsid w:val="00BE4C14"/>
    <w:rsid w:val="00BE7F71"/>
    <w:rsid w:val="00C60AEC"/>
    <w:rsid w:val="00C7458E"/>
    <w:rsid w:val="00C74A69"/>
    <w:rsid w:val="00C94648"/>
    <w:rsid w:val="00CA4B7C"/>
    <w:rsid w:val="00CB0B16"/>
    <w:rsid w:val="00CD2C0E"/>
    <w:rsid w:val="00CD6C8D"/>
    <w:rsid w:val="00CF4821"/>
    <w:rsid w:val="00D05A95"/>
    <w:rsid w:val="00D06C32"/>
    <w:rsid w:val="00D80566"/>
    <w:rsid w:val="00DA55AA"/>
    <w:rsid w:val="00DB63DC"/>
    <w:rsid w:val="00DC34BD"/>
    <w:rsid w:val="00DF2DC7"/>
    <w:rsid w:val="00E20FDC"/>
    <w:rsid w:val="00E23B6E"/>
    <w:rsid w:val="00E32B70"/>
    <w:rsid w:val="00E40D1A"/>
    <w:rsid w:val="00E63C90"/>
    <w:rsid w:val="00E66FEC"/>
    <w:rsid w:val="00EE1FC3"/>
    <w:rsid w:val="00EE35D0"/>
    <w:rsid w:val="00EF2349"/>
    <w:rsid w:val="00F0215F"/>
    <w:rsid w:val="00F07E09"/>
    <w:rsid w:val="00F1317E"/>
    <w:rsid w:val="00F216DC"/>
    <w:rsid w:val="00F453F1"/>
    <w:rsid w:val="00FA4F96"/>
    <w:rsid w:val="00FB4C5C"/>
    <w:rsid w:val="00FF11E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098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E4C1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B71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171"/>
    <w:rPr>
      <w:rFonts w:ascii="Tahoma" w:hAnsi="Tahoma" w:cs="Tahoma"/>
      <w:sz w:val="16"/>
      <w:szCs w:val="16"/>
    </w:rPr>
  </w:style>
  <w:style w:type="character" w:styleId="PlaceholderText">
    <w:name w:val="Placeholder Text"/>
    <w:basedOn w:val="DefaultParagraphFont"/>
    <w:uiPriority w:val="99"/>
    <w:semiHidden/>
    <w:rsid w:val="005B7171"/>
    <w:rPr>
      <w:color w:val="808080"/>
    </w:rPr>
  </w:style>
  <w:style w:type="paragraph" w:styleId="ListParagraph">
    <w:name w:val="List Paragraph"/>
    <w:basedOn w:val="Normal"/>
    <w:uiPriority w:val="34"/>
    <w:qFormat/>
    <w:rsid w:val="004C69C6"/>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3</Pages>
  <Words>593</Words>
  <Characters>3384</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Raritan Valley Community College</Company>
  <LinksUpToDate>false</LinksUpToDate>
  <CharactersWithSpaces>3970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dc:creator>
  <cp:lastModifiedBy>Brian</cp:lastModifiedBy>
  <cp:revision>2</cp:revision>
  <dcterms:created xsi:type="dcterms:W3CDTF">2020-07-03T20:21:00Z</dcterms:created>
  <dcterms:modified xsi:type="dcterms:W3CDTF">2020-07-03T21:20:00Z</dcterms:modified>
</cp:coreProperties>
</file>