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Default="00F31E63">
      <w:r w:rsidRPr="00F31E63">
        <w:drawing>
          <wp:inline distT="0" distB="0" distL="0" distR="0">
            <wp:extent cx="5943600" cy="40417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/>
    <w:p w:rsidR="00F31E63" w:rsidRDefault="00F31E63">
      <w:r w:rsidRPr="00F31E63">
        <w:lastRenderedPageBreak/>
        <w:drawing>
          <wp:inline distT="0" distB="0" distL="0" distR="0">
            <wp:extent cx="5943600" cy="404177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31E63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1E63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288D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31E63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from%20desktop\SCHOOL\TE%20211\Financial%20Analysi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from%20desktop\SCHOOL\TE%20211\Financial%20Analysi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Geneva"/>
                <a:ea typeface="Geneva"/>
                <a:cs typeface="Geneva"/>
              </a:defRPr>
            </a:pPr>
            <a:r>
              <a:rPr lang="en-US"/>
              <a:t>Period Cash Flow</a:t>
            </a:r>
          </a:p>
        </c:rich>
      </c:tx>
      <c:layout>
        <c:manualLayout>
          <c:xMode val="edge"/>
          <c:yMode val="edge"/>
          <c:x val="0.42175354751779021"/>
          <c:y val="1.9575993367801501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8.8790233074361818E-2"/>
          <c:y val="0.12234910277324638"/>
          <c:w val="0.90899001109877986"/>
          <c:h val="0.75693311582381761"/>
        </c:manualLayout>
      </c:layout>
      <c:barChart>
        <c:barDir val="col"/>
        <c:grouping val="clustered"/>
        <c:ser>
          <c:idx val="0"/>
          <c:order val="0"/>
          <c:tx>
            <c:strRef>
              <c:f>'Anterior Paddle Distractor'!$A$13</c:f>
              <c:strCache>
                <c:ptCount val="1"/>
                <c:pt idx="0">
                  <c:v>Period Cash Flow</c:v>
                </c:pt>
              </c:strCache>
            </c:strRef>
          </c:tx>
          <c:spPr>
            <a:solidFill>
              <a:srgbClr val="00B050"/>
            </a:solidFill>
            <a:ln w="12700">
              <a:solidFill>
                <a:srgbClr val="000000"/>
              </a:solidFill>
              <a:prstDash val="solid"/>
            </a:ln>
          </c:spPr>
          <c:val>
            <c:numRef>
              <c:f>'Anterior Paddle Distractor'!$B$13:$Y$13</c:f>
              <c:numCache>
                <c:formatCode>0</c:formatCode>
                <c:ptCount val="24"/>
                <c:pt idx="0">
                  <c:v>-23</c:v>
                </c:pt>
                <c:pt idx="1">
                  <c:v>-23</c:v>
                </c:pt>
                <c:pt idx="2">
                  <c:v>-30</c:v>
                </c:pt>
                <c:pt idx="3">
                  <c:v>-30</c:v>
                </c:pt>
                <c:pt idx="4">
                  <c:v>-45</c:v>
                </c:pt>
                <c:pt idx="5">
                  <c:v>-105</c:v>
                </c:pt>
                <c:pt idx="6">
                  <c:v>-75</c:v>
                </c:pt>
                <c:pt idx="7">
                  <c:v>-15</c:v>
                </c:pt>
                <c:pt idx="8">
                  <c:v>92.5</c:v>
                </c:pt>
                <c:pt idx="9">
                  <c:v>92.5</c:v>
                </c:pt>
                <c:pt idx="10">
                  <c:v>92.5</c:v>
                </c:pt>
                <c:pt idx="11">
                  <c:v>92.5</c:v>
                </c:pt>
                <c:pt idx="12">
                  <c:v>92.5</c:v>
                </c:pt>
                <c:pt idx="13">
                  <c:v>92.5</c:v>
                </c:pt>
                <c:pt idx="14">
                  <c:v>92.5</c:v>
                </c:pt>
                <c:pt idx="15">
                  <c:v>92.5</c:v>
                </c:pt>
                <c:pt idx="16">
                  <c:v>75</c:v>
                </c:pt>
                <c:pt idx="17">
                  <c:v>50</c:v>
                </c:pt>
                <c:pt idx="18">
                  <c:v>25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</c:ser>
        <c:ser>
          <c:idx val="1"/>
          <c:order val="1"/>
          <c:tx>
            <c:strRef>
              <c:f>'Anterior Paddle Distractor'!$A$14</c:f>
              <c:strCache>
                <c:ptCount val="1"/>
                <c:pt idx="0">
                  <c:v>PV Time Period 0</c:v>
                </c:pt>
              </c:strCache>
            </c:strRef>
          </c:tx>
          <c:spPr>
            <a:solidFill>
              <a:srgbClr val="1F497D"/>
            </a:solidFill>
            <a:ln w="12700">
              <a:solidFill>
                <a:srgbClr val="000000"/>
              </a:solidFill>
              <a:prstDash val="solid"/>
            </a:ln>
          </c:spPr>
          <c:val>
            <c:numRef>
              <c:f>'Anterior Paddle Distractor'!$B$14:$Y$14</c:f>
              <c:numCache>
                <c:formatCode>0</c:formatCode>
                <c:ptCount val="24"/>
                <c:pt idx="0">
                  <c:v>-22.439024390243901</c:v>
                </c:pt>
                <c:pt idx="1">
                  <c:v>-21.891731112433078</c:v>
                </c:pt>
                <c:pt idx="2">
                  <c:v>-27.85798232759247</c:v>
                </c:pt>
                <c:pt idx="3">
                  <c:v>-27.178519343992647</c:v>
                </c:pt>
                <c:pt idx="4">
                  <c:v>-39.773442942428289</c:v>
                </c:pt>
                <c:pt idx="5">
                  <c:v>-90.541170925852995</c:v>
                </c:pt>
                <c:pt idx="6">
                  <c:v>-63.094892631256428</c:v>
                </c:pt>
                <c:pt idx="7">
                  <c:v>-12.311198562196378</c:v>
                </c:pt>
                <c:pt idx="8">
                  <c:v>74.067373463620498</c:v>
                </c:pt>
                <c:pt idx="9">
                  <c:v>72.260852159629735</c:v>
                </c:pt>
                <c:pt idx="10">
                  <c:v>70.498392350858268</c:v>
                </c:pt>
                <c:pt idx="11">
                  <c:v>68.778919366691014</c:v>
                </c:pt>
                <c:pt idx="12">
                  <c:v>67.101384747991233</c:v>
                </c:pt>
                <c:pt idx="13">
                  <c:v>65.464765607796366</c:v>
                </c:pt>
                <c:pt idx="14">
                  <c:v>63.868064007606172</c:v>
                </c:pt>
                <c:pt idx="15">
                  <c:v>62.310306348884097</c:v>
                </c:pt>
                <c:pt idx="16">
                  <c:v>49.289629280593878</c:v>
                </c:pt>
                <c:pt idx="17">
                  <c:v>32.058295467052922</c:v>
                </c:pt>
                <c:pt idx="18">
                  <c:v>15.638192910757523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</c:ser>
        <c:axId val="68150400"/>
        <c:axId val="68152320"/>
      </c:barChart>
      <c:catAx>
        <c:axId val="68150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Geneva"/>
                    <a:ea typeface="Geneva"/>
                    <a:cs typeface="Geneva"/>
                  </a:defRPr>
                </a:pPr>
                <a:r>
                  <a:rPr lang="en-US"/>
                  <a:t>Periods</a:t>
                </a:r>
              </a:p>
            </c:rich>
          </c:tx>
          <c:layout>
            <c:manualLayout>
              <c:xMode val="edge"/>
              <c:yMode val="edge"/>
              <c:x val="0.51609319222797678"/>
              <c:y val="0.89722672280643778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Geneva"/>
                <a:ea typeface="Geneva"/>
                <a:cs typeface="Geneva"/>
              </a:defRPr>
            </a:pPr>
            <a:endParaRPr lang="en-US"/>
          </a:p>
        </c:txPr>
        <c:crossAx val="68152320"/>
        <c:crosses val="autoZero"/>
        <c:auto val="1"/>
        <c:lblAlgn val="ctr"/>
        <c:lblOffset val="100"/>
        <c:tickLblSkip val="1"/>
        <c:tickMarkSkip val="1"/>
      </c:catAx>
      <c:valAx>
        <c:axId val="6815232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Geneva"/>
                    <a:ea typeface="Geneva"/>
                    <a:cs typeface="Geneva"/>
                  </a:defRPr>
                </a:pPr>
                <a:r>
                  <a:rPr lang="en-US"/>
                  <a:t>$ in Period</a:t>
                </a:r>
              </a:p>
            </c:rich>
          </c:tx>
          <c:layout>
            <c:manualLayout>
              <c:xMode val="edge"/>
              <c:yMode val="edge"/>
              <c:x val="2.3307414113342778E-2"/>
              <c:y val="0.44861336140321911"/>
            </c:manualLayout>
          </c:layout>
          <c:spPr>
            <a:noFill/>
            <a:ln w="25400">
              <a:noFill/>
            </a:ln>
          </c:spPr>
        </c:title>
        <c:numFmt formatCode="0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Geneva"/>
                <a:ea typeface="Geneva"/>
                <a:cs typeface="Geneva"/>
              </a:defRPr>
            </a:pPr>
            <a:endParaRPr lang="en-US"/>
          </a:p>
        </c:txPr>
        <c:crossAx val="681504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40249332135622085"/>
          <c:y val="0.95543905635648818"/>
          <c:w val="0.25645594434385566"/>
          <c:h val="3.6697247706422076E-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Geneva"/>
              <a:ea typeface="Geneva"/>
              <a:cs typeface="Geneva"/>
            </a:defRPr>
          </a:pPr>
          <a:endParaRPr lang="en-US"/>
        </a:p>
      </c:txPr>
    </c:legend>
    <c:plotVisOnly val="1"/>
    <c:dispBlanksAs val="gap"/>
  </c:chart>
  <c:spPr>
    <a:noFill/>
    <a:ln w="9525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Geneva"/>
          <a:ea typeface="Geneva"/>
          <a:cs typeface="Geneva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Cash Flow for Aesculap  Anterior Paddle Distractor</a:t>
            </a:r>
          </a:p>
        </c:rich>
      </c:tx>
      <c:layout>
        <c:manualLayout>
          <c:xMode val="edge"/>
          <c:yMode val="edge"/>
          <c:x val="0.30479540659021875"/>
          <c:y val="1.7397309281293967E-2"/>
        </c:manualLayout>
      </c:layout>
    </c:title>
    <c:plotArea>
      <c:layout>
        <c:manualLayout>
          <c:layoutTarget val="inner"/>
          <c:xMode val="edge"/>
          <c:yMode val="edge"/>
          <c:x val="8.5460599334073267E-2"/>
          <c:y val="0.12234910277324638"/>
          <c:w val="0.90344062153163152"/>
          <c:h val="0.80587275693311622"/>
        </c:manualLayout>
      </c:layout>
      <c:lineChart>
        <c:grouping val="standard"/>
        <c:ser>
          <c:idx val="0"/>
          <c:order val="0"/>
          <c:tx>
            <c:strRef>
              <c:f>'Anterior Paddle Distractor'!$A$15</c:f>
              <c:strCache>
                <c:ptCount val="1"/>
                <c:pt idx="0">
                  <c:v>Cumul. Disc. Cash Flow</c:v>
                </c:pt>
              </c:strCache>
            </c:strRef>
          </c:tx>
          <c:val>
            <c:numRef>
              <c:f>'Anterior Paddle Distractor'!$B$15:$Y$15</c:f>
              <c:numCache>
                <c:formatCode>0</c:formatCode>
                <c:ptCount val="24"/>
                <c:pt idx="0">
                  <c:v>-22.439024390243901</c:v>
                </c:pt>
                <c:pt idx="1">
                  <c:v>-44.330755502676979</c:v>
                </c:pt>
                <c:pt idx="2">
                  <c:v>-72.188737830269403</c:v>
                </c:pt>
                <c:pt idx="3">
                  <c:v>-99.367257174262093</c:v>
                </c:pt>
                <c:pt idx="4">
                  <c:v>-139.14070011669037</c:v>
                </c:pt>
                <c:pt idx="5">
                  <c:v>-229.68187104254338</c:v>
                </c:pt>
                <c:pt idx="6">
                  <c:v>-292.77676367379979</c:v>
                </c:pt>
                <c:pt idx="7">
                  <c:v>-305.0879622359962</c:v>
                </c:pt>
                <c:pt idx="8">
                  <c:v>-231.02058877237565</c:v>
                </c:pt>
                <c:pt idx="9">
                  <c:v>-158.75973661274588</c:v>
                </c:pt>
                <c:pt idx="10">
                  <c:v>-88.261344261887601</c:v>
                </c:pt>
                <c:pt idx="11">
                  <c:v>-19.482424895196555</c:v>
                </c:pt>
                <c:pt idx="12">
                  <c:v>47.618959852794681</c:v>
                </c:pt>
                <c:pt idx="13">
                  <c:v>113.08372546059104</c:v>
                </c:pt>
                <c:pt idx="14">
                  <c:v>176.95178946819723</c:v>
                </c:pt>
                <c:pt idx="15">
                  <c:v>239.26209581708136</c:v>
                </c:pt>
                <c:pt idx="16">
                  <c:v>288.55172509767516</c:v>
                </c:pt>
                <c:pt idx="17">
                  <c:v>320.61002056472825</c:v>
                </c:pt>
                <c:pt idx="18">
                  <c:v>336.24821347548561</c:v>
                </c:pt>
                <c:pt idx="19">
                  <c:v>336.24821347548561</c:v>
                </c:pt>
                <c:pt idx="20">
                  <c:v>336.24821347548561</c:v>
                </c:pt>
                <c:pt idx="21">
                  <c:v>336.24821347548561</c:v>
                </c:pt>
                <c:pt idx="22">
                  <c:v>336.24821347548561</c:v>
                </c:pt>
                <c:pt idx="23">
                  <c:v>336.24821347548561</c:v>
                </c:pt>
              </c:numCache>
            </c:numRef>
          </c:val>
        </c:ser>
        <c:ser>
          <c:idx val="1"/>
          <c:order val="1"/>
          <c:tx>
            <c:strRef>
              <c:f>'Anterior Paddle Distractor'!$A$13</c:f>
              <c:strCache>
                <c:ptCount val="1"/>
                <c:pt idx="0">
                  <c:v>Period Cash Flow</c:v>
                </c:pt>
              </c:strCache>
            </c:strRef>
          </c:tx>
          <c:val>
            <c:numRef>
              <c:f>'Anterior Paddle Distractor'!$B$14:$Y$14</c:f>
              <c:numCache>
                <c:formatCode>0</c:formatCode>
                <c:ptCount val="24"/>
                <c:pt idx="0">
                  <c:v>-22.439024390243901</c:v>
                </c:pt>
                <c:pt idx="1">
                  <c:v>-21.891731112433078</c:v>
                </c:pt>
                <c:pt idx="2">
                  <c:v>-27.85798232759247</c:v>
                </c:pt>
                <c:pt idx="3">
                  <c:v>-27.178519343992647</c:v>
                </c:pt>
                <c:pt idx="4">
                  <c:v>-39.773442942428289</c:v>
                </c:pt>
                <c:pt idx="5">
                  <c:v>-90.541170925852995</c:v>
                </c:pt>
                <c:pt idx="6">
                  <c:v>-63.094892631256428</c:v>
                </c:pt>
                <c:pt idx="7">
                  <c:v>-12.311198562196378</c:v>
                </c:pt>
                <c:pt idx="8">
                  <c:v>74.067373463620498</c:v>
                </c:pt>
                <c:pt idx="9">
                  <c:v>72.260852159629735</c:v>
                </c:pt>
                <c:pt idx="10">
                  <c:v>70.498392350858268</c:v>
                </c:pt>
                <c:pt idx="11">
                  <c:v>68.778919366691014</c:v>
                </c:pt>
                <c:pt idx="12">
                  <c:v>67.101384747991233</c:v>
                </c:pt>
                <c:pt idx="13">
                  <c:v>65.464765607796366</c:v>
                </c:pt>
                <c:pt idx="14">
                  <c:v>63.868064007606172</c:v>
                </c:pt>
                <c:pt idx="15">
                  <c:v>62.310306348884097</c:v>
                </c:pt>
                <c:pt idx="16">
                  <c:v>49.289629280593878</c:v>
                </c:pt>
                <c:pt idx="17">
                  <c:v>32.058295467052922</c:v>
                </c:pt>
                <c:pt idx="18">
                  <c:v>15.638192910757523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</c:ser>
        <c:marker val="1"/>
        <c:axId val="114982912"/>
        <c:axId val="114984832"/>
      </c:lineChart>
      <c:catAx>
        <c:axId val="114982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Period</a:t>
                </a:r>
              </a:p>
            </c:rich>
          </c:tx>
          <c:layout>
            <c:manualLayout>
              <c:xMode val="edge"/>
              <c:yMode val="edge"/>
              <c:x val="0.5149834378991397"/>
              <c:y val="0.94616636223224326"/>
            </c:manualLayout>
          </c:layout>
        </c:title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14984832"/>
        <c:crosses val="autoZero"/>
        <c:auto val="1"/>
        <c:lblAlgn val="ctr"/>
        <c:lblOffset val="100"/>
      </c:catAx>
      <c:valAx>
        <c:axId val="1149848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Cumulative $ (in thousands)</a:t>
                </a:r>
              </a:p>
            </c:rich>
          </c:tx>
          <c:layout>
            <c:manualLayout>
              <c:xMode val="edge"/>
              <c:yMode val="edge"/>
              <c:x val="1.220870118507914E-2"/>
              <c:y val="0.46329518443222095"/>
            </c:manualLayout>
          </c:layout>
        </c:title>
        <c:numFmt formatCode="0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14982912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12923351158645274"/>
          <c:y val="0.14043697519461443"/>
          <c:w val="0.18291740938799794"/>
          <c:h val="7.8999184734935696E-2"/>
        </c:manualLayout>
      </c:layout>
      <c:overlay val="1"/>
    </c:legend>
    <c:plotVisOnly val="1"/>
    <c:dispBlanksAs val="gap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>Raritan Valley Community College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2016-09-26T22:27:00Z</dcterms:created>
  <dcterms:modified xsi:type="dcterms:W3CDTF">2016-09-26T22:28:00Z</dcterms:modified>
</cp:coreProperties>
</file>