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d2d2a553010a6cfa6e6bd30a68f652a8e97195"/>
    <w:p>
      <w:pPr>
        <w:pStyle w:val="Heading1"/>
      </w:pPr>
      <w:r>
        <w:t xml:space="preserve">DWS IQ × LUT PhD Interlock Roadmap 2026–2030</w:t>
      </w:r>
    </w:p>
    <w:p>
      <w:r>
        <w:pict>
          <v:rect style="width:0;height:1.5pt" o:hralign="center" o:hrstd="t" o:hr="t"/>
        </w:pict>
      </w:r>
    </w:p>
    <w:bookmarkEnd w:id="20"/>
    <w:bookmarkStart w:id="29" w:name="version-and-agent-history"/>
    <w:p>
      <w:pPr>
        <w:pStyle w:val="Heading1"/>
      </w:pPr>
      <w:r>
        <w:t xml:space="preserve">VERSION AND AGENT HISTORY</w:t>
      </w:r>
    </w:p>
    <w:p>
      <w:pPr>
        <w:pStyle w:val="FirstParagraph"/>
      </w:pPr>
      <w:r>
        <w:t xml:space="preserve">Version: 1.1</w:t>
      </w:r>
    </w:p>
    <w:p>
      <w:pPr>
        <w:pStyle w:val="BodyText"/>
      </w:pPr>
      <w:r>
        <w:t xml:space="preserve">Sessions &amp; Modifications:</w:t>
      </w:r>
    </w:p>
    <w:p>
      <w:pPr>
        <w:numPr>
          <w:ilvl w:val="0"/>
          <w:numId w:val="1001"/>
        </w:numPr>
      </w:pPr>
      <w:r>
        <w:t xml:space="preserve">Version: 1.1 | Tool: Claude Code | Session: session_01T3cDnVQrtyrBNvLT9KeyeW | Date: 05.08.2026 | Changes: Added</w:t>
      </w:r>
      <w:r>
        <w:t xml:space="preserve"> </w:t>
      </w:r>
      <w:r>
        <w:t xml:space="preserve">“</w:t>
      </w:r>
      <w:r>
        <w:t xml:space="preserve">Applicant eligibility — settled</w:t>
      </w:r>
      <w:r>
        <w:t xml:space="preserve">”</w:t>
      </w:r>
      <w:r>
        <w:t xml:space="preserve"> </w:t>
      </w:r>
      <w:r>
        <w:t xml:space="preserve">(HIC fact: LUT DI tuotantotalous 07/2007 — alumnus; Metropolia thesis is NOT a gate, do not re-ask) and the</w:t>
      </w:r>
      <w:r>
        <w:t xml:space="preserve"> </w:t>
      </w:r>
      <w:r>
        <w:t xml:space="preserve">“</w:t>
      </w:r>
      <w:r>
        <w:t xml:space="preserve">Application readiness</w:t>
      </w:r>
      <w:r>
        <w:t xml:space="preserve">”</w:t>
      </w:r>
      <w:r>
        <w:t xml:space="preserve"> </w:t>
      </w:r>
      <w:r>
        <w:t xml:space="preserve">gap table against LUT Studyinfo requirements (research plan sent 14.07 awaiting acceptance + GenAI disclosure; study-plan template and commitment form missing; Smolander working session booked Tue 11.08.2026 12:00, calendared with reminders). Sources: lut.fi/elut admission pages, 05.08.2026.</w:t>
      </w:r>
    </w:p>
    <w:p>
      <w:pPr>
        <w:numPr>
          <w:ilvl w:val="0"/>
          <w:numId w:val="1001"/>
        </w:numPr>
      </w:pPr>
      <w:r>
        <w:t xml:space="preserve">Version: 1.0 | Tool: Claude Code | Session: session_01T3cDnVQrtyrBNvLT9KeyeW | Date: 05.08.2026 | Changes: Initial creation — four-year LUT doctorate mapped onto the DWS IQ 7→8→9 version roadmap; mutual-reinforcement plan (product supplies the testbed, doctorate supplies the proof); per-year article plan; success criteria and risks for both tracks. Anchored to Strategy_Loop.md v1.4 §14.</w:t>
      </w:r>
    </w:p>
    <w:p>
      <w:pPr>
        <w:pStyle w:val="FirstParagraph"/>
      </w:pPr>
      <w:r>
        <w:t xml:space="preserve">Document Status:</w:t>
      </w:r>
    </w:p>
    <w:p>
      <w:pPr>
        <w:numPr>
          <w:ilvl w:val="0"/>
          <w:numId w:val="1002"/>
        </w:numPr>
        <w:pStyle w:val="Compact"/>
      </w:pPr>
      <w:r>
        <w:t xml:space="preserve">Created: 05.08.2026</w:t>
      </w:r>
    </w:p>
    <w:p>
      <w:pPr>
        <w:numPr>
          <w:ilvl w:val="0"/>
          <w:numId w:val="1002"/>
        </w:numPr>
        <w:pStyle w:val="Compact"/>
      </w:pPr>
      <w:r>
        <w:t xml:space="preserve">Last Modified: 05.08.2026</w:t>
      </w:r>
    </w:p>
    <w:p>
      <w:pPr>
        <w:numPr>
          <w:ilvl w:val="0"/>
          <w:numId w:val="1002"/>
        </w:numPr>
        <w:pStyle w:val="Compact"/>
      </w:pPr>
      <w:r>
        <w:t xml:space="preserve">Language: English</w:t>
      </w:r>
    </w:p>
    <w:p>
      <w:pPr>
        <w:numPr>
          <w:ilvl w:val="0"/>
          <w:numId w:val="1002"/>
        </w:numPr>
        <w:pStyle w:val="Compact"/>
      </w:pPr>
      <w:r>
        <w:t xml:space="preserve">Publication Status: DRAFT — planning document, pending supervisor alignment</w:t>
      </w:r>
    </w:p>
    <w:p>
      <w:pPr>
        <w:numPr>
          <w:ilvl w:val="0"/>
          <w:numId w:val="1002"/>
        </w:numPr>
        <w:pStyle w:val="Compact"/>
      </w:pPr>
      <w:r>
        <w:t xml:space="preserve">Document Type: Internal Roadmap / Academic-Product Interlock Plan</w:t>
      </w:r>
    </w:p>
    <w:p>
      <w:pPr>
        <w:numPr>
          <w:ilvl w:val="0"/>
          <w:numId w:val="1002"/>
        </w:numPr>
        <w:pStyle w:val="Compact"/>
      </w:pPr>
      <w:r>
        <w:t xml:space="preserve">Owner: Risto Anton Päärni, Founder, CEO, Lifetime Oy</w:t>
      </w:r>
    </w:p>
    <w:p>
      <w:r>
        <w:pict>
          <v:rect style="width:0;height:1.5pt" o:hralign="center" o:hrstd="t" o:hr="t"/>
        </w:pict>
      </w:r>
    </w:p>
    <w:bookmarkStart w:id="21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The LUT doctorate (4 years, 2027–2030) and the DWS IQ version roadmap</w:t>
      </w:r>
      <w:r>
        <w:t xml:space="preserve"> </w:t>
      </w:r>
      <w:r>
        <w:t xml:space="preserve">(7 → 8 → 9, 2026–2031) are the same programme viewed from two sides: each DWS</w:t>
      </w:r>
      <w:r>
        <w:t xml:space="preserve"> </w:t>
      </w:r>
      <w:r>
        <w:t xml:space="preserve">version supplies the production testbed that makes the research questions</w:t>
      </w:r>
      <w:r>
        <w:t xml:space="preserve"> </w:t>
      </w:r>
      <w:r>
        <w:t xml:space="preserve">falsifiable, and each dissertation article supplies the independent,</w:t>
      </w:r>
      <w:r>
        <w:t xml:space="preserve"> </w:t>
      </w:r>
      <w:r>
        <w:t xml:space="preserve">peer-reviewed proof that</w:t>
      </w:r>
      <w:r>
        <w:t xml:space="preserve"> </w:t>
      </w:r>
      <w:r>
        <w:t xml:space="preserve">“</w:t>
      </w:r>
      <w:r>
        <w:t xml:space="preserve">doctorate-level intelligence</w:t>
      </w:r>
      <w:r>
        <w:t xml:space="preserve">”</w:t>
      </w:r>
      <w:r>
        <w:t xml:space="preserve"> </w:t>
      </w:r>
      <w:r>
        <w:t xml:space="preserve">is a certified property</w:t>
      </w:r>
      <w:r>
        <w:t xml:space="preserve"> </w:t>
      </w:r>
      <w:r>
        <w:t xml:space="preserve">of the product, not a marketing claim.</w:t>
      </w:r>
    </w:p>
    <w:bookmarkEnd w:id="21"/>
    <w:bookmarkStart w:id="22" w:name="why-the-interlock-wins-on-both-causes"/>
    <w:p>
      <w:pPr>
        <w:pStyle w:val="Heading2"/>
      </w:pPr>
      <w:r>
        <w:t xml:space="preserve">Why the interlock wins on both causes</w:t>
      </w:r>
    </w:p>
    <w:p>
      <w:pPr>
        <w:pStyle w:val="FirstParagraph"/>
      </w:pPr>
      <w:r>
        <w:rPr>
          <w:bCs/>
          <w:b/>
        </w:rPr>
        <w:t xml:space="preserve">Product → PhD (the testbed direction):</w:t>
      </w:r>
    </w:p>
    <w:p>
      <w:pPr>
        <w:numPr>
          <w:ilvl w:val="0"/>
          <w:numId w:val="1003"/>
        </w:numPr>
        <w:pStyle w:val="Compact"/>
      </w:pPr>
      <w:r>
        <w:t xml:space="preserve">DWS 7’s paying industrial customers (target: 16 by Q4 2027) are the empirical</w:t>
      </w:r>
      <w:r>
        <w:t xml:space="preserve"> </w:t>
      </w:r>
      <w:r>
        <w:t xml:space="preserve">case base no competing doctoral candidate has — real MGD/CRC data, Article 12</w:t>
      </w:r>
      <w:r>
        <w:t xml:space="preserve"> </w:t>
      </w:r>
      <w:r>
        <w:t xml:space="preserve">lineage, audit-grade decision records from regulated EU industry.</w:t>
      </w:r>
    </w:p>
    <w:p>
      <w:pPr>
        <w:numPr>
          <w:ilvl w:val="0"/>
          <w:numId w:val="1003"/>
        </w:numPr>
        <w:pStyle w:val="Compact"/>
      </w:pPr>
      <w:r>
        <w:t xml:space="preserve">The Strategy Loop’s own discipline (</w:t>
      </w:r>
      <w:r>
        <w:t xml:space="preserve">“</w:t>
      </w:r>
      <w:r>
        <w:t xml:space="preserve">independently reproduce Level 4–5 claims</w:t>
      </w:r>
      <w:r>
        <w:t xml:space="preserve"> </w:t>
      </w:r>
      <w:r>
        <w:t xml:space="preserve">annually</w:t>
      </w:r>
      <w:r>
        <w:t xml:space="preserve">”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 </w:t>
      </w:r>
      <w:r>
        <w:t xml:space="preserve">§6)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an academic validation cycle — the</w:t>
      </w:r>
      <w:r>
        <w:t xml:space="preserve"> </w:t>
      </w:r>
      <w:r>
        <w:t xml:space="preserve">doctorate makes it externally credentialed instead of self-run.</w:t>
      </w:r>
    </w:p>
    <w:p>
      <w:pPr>
        <w:numPr>
          <w:ilvl w:val="0"/>
          <w:numId w:val="1003"/>
        </w:numPr>
        <w:pStyle w:val="Compact"/>
      </w:pPr>
      <w:r>
        <w:t xml:space="preserve">KYA’s four falsifiability gates (</w:t>
      </w:r>
      <w:r>
        <w:rPr>
          <w:rStyle w:val="VerbatimChar"/>
        </w:rPr>
        <w:t xml:space="preserve">standards/kya-open/SPEC.md</w:t>
      </w:r>
      <w:r>
        <w:t xml:space="preserve"> </w:t>
      </w:r>
      <w:r>
        <w:t xml:space="preserve">§0.6) cannot be</w:t>
      </w:r>
      <w:r>
        <w:t xml:space="preserve"> </w:t>
      </w:r>
      <w:r>
        <w:t xml:space="preserve">cleared by Lifetime Oy alone by design. The university channel is the realistic</w:t>
      </w:r>
      <w:r>
        <w:t xml:space="preserve"> </w:t>
      </w:r>
      <w:r>
        <w:t xml:space="preserve">source of gate #1 (independent implementations built by parties with no</w:t>
      </w:r>
      <w:r>
        <w:t xml:space="preserve"> </w:t>
      </w:r>
      <w:r>
        <w:t xml:space="preserve">commercial relationship) and gate #2 (a conformance suite an implementation</w:t>
      </w:r>
      <w:r>
        <w:t xml:space="preserve"> </w:t>
      </w:r>
      <w:r>
        <w:t xml:space="preserve">can fail, built as reviewed research instrumentation).</w:t>
      </w:r>
    </w:p>
    <w:p>
      <w:pPr>
        <w:pStyle w:val="FirstParagraph"/>
      </w:pPr>
      <w:r>
        <w:rPr>
          <w:bCs/>
          <w:b/>
        </w:rPr>
        <w:t xml:space="preserve">PhD → Product (the proof direction):</w:t>
      </w:r>
    </w:p>
    <w:p>
      <w:pPr>
        <w:numPr>
          <w:ilvl w:val="0"/>
          <w:numId w:val="1004"/>
        </w:numPr>
        <w:pStyle w:val="Compact"/>
      </w:pPr>
      <w:r>
        <w:t xml:space="preserve">Peer-reviewed articles become first-class Evidence Room artifacts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Strategy_Loop.md</w:t>
      </w:r>
      <w:r>
        <w:t xml:space="preserve"> </w:t>
      </w:r>
      <w:r>
        <w:t xml:space="preserve">§7): a published, citable answer to</w:t>
      </w:r>
      <w:r>
        <w:t xml:space="preserve"> </w:t>
      </w:r>
      <w:r>
        <w:t xml:space="preserve">“</w:t>
      </w:r>
      <w:r>
        <w:t xml:space="preserve">why is this</w:t>
      </w:r>
      <w:r>
        <w:t xml:space="preserve"> </w:t>
      </w:r>
      <w:r>
        <w:t xml:space="preserve">doctorate-level?</w:t>
      </w:r>
      <w:r>
        <w:t xml:space="preserve">”</w:t>
      </w:r>
      <w:r>
        <w:t xml:space="preserve"> </w:t>
      </w:r>
      <w:r>
        <w:t xml:space="preserve">that any enterprise buyer — R03/R04 research leaders,</w:t>
      </w:r>
      <w:r>
        <w:t xml:space="preserve"> </w:t>
      </w:r>
      <w:r>
        <w:t xml:space="preserve">R13/R15 technical approvers — can verify without trusting our own materials.</w:t>
      </w:r>
    </w:p>
    <w:p>
      <w:pPr>
        <w:numPr>
          <w:ilvl w:val="0"/>
          <w:numId w:val="1004"/>
        </w:numPr>
        <w:pStyle w:val="Compact"/>
      </w:pPr>
      <w:r>
        <w:t xml:space="preserve">The §4 intelligence maturity model’s Level 4 (</w:t>
      </w:r>
      <w:r>
        <w:t xml:space="preserve">“</w:t>
      </w:r>
      <w:r>
        <w:t xml:space="preserve">survives independent</w:t>
      </w:r>
      <w:r>
        <w:t xml:space="preserve"> </w:t>
      </w:r>
      <w:r>
        <w:t xml:space="preserve">reproduction, adversarial review, expert baseline</w:t>
      </w:r>
      <w:r>
        <w:t xml:space="preserve">”</w:t>
      </w:r>
      <w:r>
        <w:t xml:space="preserve">) is literally what the</w:t>
      </w:r>
      <w:r>
        <w:t xml:space="preserve"> </w:t>
      </w:r>
      <w:r>
        <w:t xml:space="preserve">doctoral process certifies. The dissertation is the catalog gate’s external</w:t>
      </w:r>
      <w:r>
        <w:t xml:space="preserve"> </w:t>
      </w:r>
      <w:r>
        <w:t xml:space="preserve">auditor.</w:t>
      </w:r>
    </w:p>
    <w:p>
      <w:pPr>
        <w:numPr>
          <w:ilvl w:val="0"/>
          <w:numId w:val="1004"/>
        </w:numPr>
        <w:pStyle w:val="Compact"/>
      </w:pPr>
      <w:r>
        <w:t xml:space="preserve">Enrolled doctoral status unlocks funding lanes closed to a plain company:</w:t>
      </w:r>
      <w:r>
        <w:t xml:space="preserve"> </w:t>
      </w:r>
      <w:r>
        <w:t xml:space="preserve">Finnish foundations requiring a supervisor statement, Business Finland</w:t>
      </w:r>
      <w:r>
        <w:t xml:space="preserve"> </w:t>
      </w:r>
      <w:r>
        <w:t xml:space="preserve">research tracks, EU instruments with academic-partner requirements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docs/lut/fundraising-roadmap-2026-2027.md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apuraha-deadline-calendar-2026.md</w:t>
      </w:r>
      <w:r>
        <w:t xml:space="preserve">).</w:t>
      </w:r>
    </w:p>
    <w:bookmarkEnd w:id="22"/>
    <w:bookmarkStart w:id="25" w:name="the-four-year-map"/>
    <w:p>
      <w:pPr>
        <w:pStyle w:val="Heading2"/>
      </w:pPr>
      <w:r>
        <w:t xml:space="preserve">The four-year map</w:t>
      </w:r>
    </w:p>
    <w:p>
      <w:pPr>
        <w:pStyle w:val="FirstParagraph"/>
      </w:pPr>
      <w:r>
        <w:t xml:space="preserve">LUT industrial doctorate, part-time alongside the CEO role, article-based</w:t>
      </w:r>
      <w:r>
        <w:t xml:space="preserve"> </w:t>
      </w:r>
      <w:r>
        <w:t xml:space="preserve">dissertation (target: 4 publications + kappa). Supervision discussions with</w:t>
      </w:r>
      <w:r>
        <w:t xml:space="preserve"> </w:t>
      </w:r>
      <w:r>
        <w:t xml:space="preserve">Prof. Kari Smolander are in progress; the RQ set is in his inbox (lock rule:</w:t>
      </w:r>
      <w:r>
        <w:t xml:space="preserve"> </w:t>
      </w:r>
      <w:r>
        <w:t xml:space="preserve">changes to it are an external act requiring a HIC decision — PR #1745).</w:t>
      </w:r>
    </w:p>
    <w:bookmarkStart w:id="23" w:name="X192d4cc1b632b7a1d0df3273d90c29ca0ca02ea"/>
    <w:p>
      <w:pPr>
        <w:pStyle w:val="Heading3"/>
      </w:pPr>
      <w:r>
        <w:t xml:space="preserve">Applicant eligibility — settled (HIC, 05.08.2026)</w:t>
      </w:r>
    </w:p>
    <w:p>
      <w:pPr>
        <w:pStyle w:val="FirstParagraph"/>
      </w:pPr>
      <w:r>
        <w:t xml:space="preserve">The applicant</w:t>
      </w:r>
      <w:r>
        <w:t xml:space="preserve"> </w:t>
      </w:r>
      <w:r>
        <w:rPr>
          <w:bCs/>
          <w:b/>
        </w:rPr>
        <w:t xml:space="preserve">graduated from LUT in 07/2007 with a Master’s degree</w:t>
      </w:r>
      <w:r>
        <w:rPr>
          <w:bCs/>
          <w:b/>
        </w:rPr>
        <w:t xml:space="preserve"> </w:t>
      </w:r>
      <w:r>
        <w:rPr>
          <w:bCs/>
          <w:b/>
        </w:rPr>
        <w:t xml:space="preserve">(DI) in Industrial Management (tuotantotalous)</w:t>
      </w:r>
      <w:r>
        <w:t xml:space="preserve"> </w:t>
      </w:r>
      <w:r>
        <w:t xml:space="preserve">— a LUT alumnus applying back</w:t>
      </w:r>
      <w:r>
        <w:t xml:space="preserve"> </w:t>
      </w:r>
      <w:r>
        <w:t xml:space="preserve">to the alma mater. LUT’s degree prerequisite for doctoral admission is met by</w:t>
      </w:r>
      <w:r>
        <w:t xml:space="preserve"> </w:t>
      </w:r>
      <w:r>
        <w:t xml:space="preserve">this 2007 degree; the Metropolia master’s thesis living in this repo is a</w:t>
      </w:r>
      <w:r>
        <w:t xml:space="preserve"> </w:t>
      </w:r>
      <w:r>
        <w:t xml:space="preserve">separate, independent track and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gate for the LUT application. Do</w:t>
      </w:r>
      <w:r>
        <w:t xml:space="preserve"> </w:t>
      </w:r>
      <w:r>
        <w:t xml:space="preserve">not re-ask this. Remaining eligibility to-do is administrative only: obtain</w:t>
      </w:r>
      <w:r>
        <w:t xml:space="preserve"> </w:t>
      </w:r>
      <w:r>
        <w:t xml:space="preserve">degree certificate + transcript copies for the Studyinfo attachment set (LUT</w:t>
      </w:r>
      <w:r>
        <w:t xml:space="preserve"> </w:t>
      </w:r>
      <w:r>
        <w:t xml:space="preserve">registry can reissue if the 2007 paper copies aren’t at hand).</w:t>
      </w:r>
    </w:p>
    <w:bookmarkEnd w:id="23"/>
    <w:bookmarkStart w:id="24" w:name="Xecadeac537934ff8550ac2560555f02465c2834"/>
    <w:p>
      <w:pPr>
        <w:pStyle w:val="Heading3"/>
      </w:pPr>
      <w:r>
        <w:t xml:space="preserve">Application readiness — state as of 05.08.2026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7"/>
        <w:gridCol w:w="1804"/>
        <w:gridCol w:w="4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LUT Studyinfo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plan, supervisor-accepted before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10-page plan v1.1 sent to Smolander 14.07 (6 RQs, DSR)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acceptance; mandatory GenAI-use disclosure section not yet written; RQ5 v3 memo unsent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Doctoral study plan (LUT self-funded template)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Template-fill after RQs settle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supervisor commitment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exist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Smolander working session — booked Tue 11.08.2026 12:00</w:t>
            </w:r>
            <w:r>
              <w:t xml:space="preserve"> </w:t>
            </w:r>
            <w:r>
              <w:t xml:space="preserve">(calendared, with the 15.8 Liikesivistysrahasto statement 4 days after)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Degree certificate + transcript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 DI tuotantotalous 07/2007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copies if not at hand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Studyinfo.fi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act, after the above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0"/>
        <w:gridCol w:w="2868"/>
        <w:gridCol w:w="2346"/>
        <w:gridCol w:w="24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 PhD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DWS IQ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interlock 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Y0 · 2026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Supervision agreement; enrollment application; live funding windows (Liikesivistysrahasto closes 15.8.2026, Nokia Foundation 3.8–15.9.2026 — both need the supervisor statement)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DWS 7 Phase 2 execution; Q1-approved Intelligence Product Gate rollout from Q4 2026; first three evaluated decision workflows (90-day programme)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plan finalized against the</w:t>
            </w:r>
            <w:r>
              <w:t xml:space="preserve"> </w:t>
            </w:r>
            <w:r>
              <w:rPr>
                <w:iCs/>
                <w:i/>
              </w:rPr>
              <w:t xml:space="preserve">running</w:t>
            </w:r>
            <w:r>
              <w:t xml:space="preserve"> </w:t>
            </w:r>
            <w:r>
              <w:t xml:space="preserve">testbed; the three gold-case decision workflows double as the dissertation’s baseline datasets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Y1 ·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Enrollment + Article I: runtime assurance / KYA governance evidence from production (design-science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DWS 7 GA push → 16 paying customers, €72K MRR target, ISO 27001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I’s empirical section = DWS 7 pilot evidence; the article’s method section = the reproducibility protocol the Evidence Room ships to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Y2 ·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II: cross-industry ontology / carbon-ledger intelligence — what single-vertical tools cannot produce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DWS 8 start: double-entry carbon ledger, 18-source data mesh, cross-vertical network 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DWS 8’s multi-customer ledger is Article II’s dataset; Article II’s review process pressure-tests the ledger’s evidence claims before auditors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Y3 ·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III: multi-vertical evaluation — cost-of-safety curves, calibration, human-override rates across 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DWS 8 GA (Q4 2029); Phase 3B post-quantum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§5 Product Gate scores (0–3, ≥24/30) become Article III’s measurement instrument — the catalog audit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Y4 ·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IV + kappa; pre-examination; defense target end-2030/early-2031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DWS 9 start: post-quantum sovereign platform, q-day-gated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Defense timed to DWS 9 launch: the dissertation retrospectively certifies versions 7–8 while DWS 9 sells forward on that certified base</w:t>
            </w:r>
          </w:p>
        </w:tc>
      </w:tr>
    </w:tbl>
    <w:bookmarkEnd w:id="24"/>
    <w:bookmarkEnd w:id="25"/>
    <w:bookmarkStart w:id="26" w:name="Xd76cb31ca57a7ae1944249175e056d5dfca473d"/>
    <w:p>
      <w:pPr>
        <w:pStyle w:val="Heading2"/>
      </w:pPr>
      <w:r>
        <w:t xml:space="preserve">Success criteria — both tracks, one scoreboard</w:t>
      </w:r>
    </w:p>
    <w:p>
      <w:pPr>
        <w:pStyle w:val="FirstParagraph"/>
      </w:pPr>
      <w:r>
        <w:t xml:space="preserve">The strategy works when each row is true on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sides; a row true on one</w:t>
      </w:r>
      <w:r>
        <w:t xml:space="preserve"> </w:t>
      </w:r>
      <w:r>
        <w:t xml:space="preserve">side only is a drift warning: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1"/>
        <w:gridCol w:w="2073"/>
        <w:gridCol w:w="41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Falsifiable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accepted at peer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evidence pack passes a customer/auditor review (MGD counted, Article 12 lineage intact)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co-authors / reviewers reproduce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KYA gate #1–#2 progress: an implementation not built by Lifetime, a conformance suite that can 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discovery (post-doctorate level)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novel validated finding per dissertation 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 validated discovery per quarter changes an enterprise decision (</w:t>
            </w:r>
            <w:r>
              <w:rPr>
                <w:rStyle w:val="VerbatimChar"/>
              </w:rPr>
              <w:t xml:space="preserve">Strategy_Loop.md</w:t>
            </w:r>
            <w:r>
              <w:t xml:space="preserve"> </w:t>
            </w:r>
            <w:r>
              <w:t xml:space="preserve">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grants + doctoral funding secured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growth carries the company without diluting for research time</w:t>
            </w:r>
          </w:p>
        </w:tc>
      </w:tr>
    </w:tbl>
    <w:bookmarkEnd w:id="26"/>
    <w:bookmarkStart w:id="27" w:name="risks-and-their-controls"/>
    <w:p>
      <w:pPr>
        <w:pStyle w:val="Heading2"/>
      </w:pPr>
      <w:r>
        <w:t xml:space="preserve">Risks and their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Over-scoping</w:t>
      </w:r>
      <w:r>
        <w:t xml:space="preserve"> </w:t>
      </w:r>
      <w:r>
        <w:t xml:space="preserve">— the dominant failure mode named by the supervisory review</w:t>
      </w:r>
      <w:r>
        <w:t xml:space="preserve"> </w:t>
      </w:r>
      <w:r>
        <w:t xml:space="preserve">(PR #1712). Control: articles map 1:1 to already-planned DWS version</w:t>
      </w:r>
      <w:r>
        <w:t xml:space="preserve"> </w:t>
      </w:r>
      <w:r>
        <w:t xml:space="preserve">deliverables; no article requires work the product roadmap doesn’t fund.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Founder bandwidth</w:t>
      </w:r>
      <w:r>
        <w:t xml:space="preserve"> </w:t>
      </w:r>
      <w:r>
        <w:t xml:space="preserve">(CEO + doctorate). Control: the interlock is designed</w:t>
      </w:r>
      <w:r>
        <w:t xml:space="preserve"> </w:t>
      </w:r>
      <w:r>
        <w:t xml:space="preserve">so the same artifact serves both sides once — evidence packs, evaluation</w:t>
      </w:r>
      <w:r>
        <w:t xml:space="preserve"> </w:t>
      </w:r>
      <w:r>
        <w:t xml:space="preserve">runs, and gate audits are produced for customers and</w:t>
      </w:r>
      <w:r>
        <w:t xml:space="preserve"> </w:t>
      </w:r>
      <w:r>
        <w:rPr>
          <w:iCs/>
          <w:i/>
        </w:rPr>
        <w:t xml:space="preserve">reused</w:t>
      </w:r>
      <w:r>
        <w:t xml:space="preserve"> </w:t>
      </w:r>
      <w:r>
        <w:t xml:space="preserve">in articles,</w:t>
      </w:r>
      <w:r>
        <w:t xml:space="preserve"> </w:t>
      </w:r>
      <w:r>
        <w:t xml:space="preserve">never duplicated.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Funding window misses.</w:t>
      </w:r>
      <w:r>
        <w:t xml:space="preserve"> </w:t>
      </w:r>
      <w:r>
        <w:t xml:space="preserve">Both live 2026 windows require the supervisor</w:t>
      </w:r>
      <w:r>
        <w:t xml:space="preserve"> </w:t>
      </w:r>
      <w:r>
        <w:t xml:space="preserve">statement — the critical path is the Smolander working session, not the</w:t>
      </w:r>
      <w:r>
        <w:t xml:space="preserve"> </w:t>
      </w:r>
      <w:r>
        <w:t xml:space="preserve">writing. Next windows otherwise fall to 2027 (</w:t>
      </w:r>
      <w:r>
        <w:rPr>
          <w:rStyle w:val="VerbatimChar"/>
        </w:rPr>
        <w:t xml:space="preserve">apuraha-deadline-calendar-2026.md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Thesis-lock discipline.</w:t>
      </w:r>
      <w:r>
        <w:t xml:space="preserve"> </w:t>
      </w:r>
      <w:r>
        <w:t xml:space="preserve">The RQ set sits in the supervisor’s inbox;</w:t>
      </w:r>
      <w:r>
        <w:t xml:space="preserve"> </w:t>
      </w:r>
      <w:r>
        <w:t xml:space="preserve">revisions are RED-zone (HIC + external act). This roadmap deliberately cites</w:t>
      </w:r>
      <w:r>
        <w:t xml:space="preserve"> </w:t>
      </w:r>
      <w:r>
        <w:t xml:space="preserve">RQs by role (assurance / ontology / evaluation) rather than renumbering them.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DWS 9 slippage is acceptable; Y4 is not coupled to it.</w:t>
      </w:r>
      <w:r>
        <w:t xml:space="preserve"> </w:t>
      </w:r>
      <w:r>
        <w:t xml:space="preserve">The defense</w:t>
      </w:r>
      <w:r>
        <w:t xml:space="preserve"> </w:t>
      </w:r>
      <w:r>
        <w:t xml:space="preserve">depends on Articles I–III evidence from versions 7–8 only; DWS 9 timing is</w:t>
      </w:r>
      <w:r>
        <w:t xml:space="preserve"> </w:t>
      </w:r>
      <w:r>
        <w:t xml:space="preserve">q-day-gated by design and the dissertation must not wait on it.</w:t>
      </w:r>
    </w:p>
    <w:bookmarkEnd w:id="27"/>
    <w:bookmarkStart w:id="28" w:name="standing-references"/>
    <w:p>
      <w:pPr>
        <w:pStyle w:val="Heading2"/>
      </w:pPr>
      <w:r>
        <w:t xml:space="preserve">Standing references</w:t>
      </w:r>
    </w:p>
    <w:p>
      <w:pPr>
        <w:numPr>
          <w:ilvl w:val="0"/>
          <w:numId w:val="1006"/>
        </w:numPr>
        <w:pStyle w:val="Compact"/>
      </w:pPr>
      <w:r>
        <w:t xml:space="preserve">Version roadmaps:</w:t>
      </w:r>
      <w:r>
        <w:t xml:space="preserve"> </w:t>
      </w:r>
      <w:r>
        <w:rPr>
          <w:rStyle w:val="VerbatimChar"/>
        </w:rPr>
        <w:t xml:space="preserve">DWS7_ROADMAP.md</w:t>
      </w:r>
      <w:r>
        <w:t xml:space="preserve"> </w:t>
      </w:r>
      <w:r>
        <w:t xml:space="preserve">(Q1 2026–Q4 2027),</w:t>
      </w:r>
      <w:r>
        <w:t xml:space="preserve"> </w:t>
      </w:r>
      <w:r>
        <w:rPr>
          <w:rStyle w:val="VerbatimChar"/>
        </w:rPr>
        <w:t xml:space="preserve">DWS8_ROADMAP.md</w:t>
      </w:r>
      <w:r>
        <w:t xml:space="preserve"> </w:t>
      </w:r>
      <w:r>
        <w:t xml:space="preserve">(Q1 2028–Q4 2029),</w:t>
      </w:r>
      <w:r>
        <w:t xml:space="preserve"> </w:t>
      </w:r>
      <w:r>
        <w:rPr>
          <w:rStyle w:val="VerbatimChar"/>
        </w:rPr>
        <w:t xml:space="preserve">DWS9_ROADMAP.md</w:t>
      </w:r>
      <w:r>
        <w:t xml:space="preserve"> </w:t>
      </w:r>
      <w:r>
        <w:t xml:space="preserve">(2030+, q-day-gated),</w:t>
      </w:r>
      <w:r>
        <w:t xml:space="preserve"> </w:t>
      </w:r>
      <w:r>
        <w:rPr>
          <w:rStyle w:val="VerbatimChar"/>
        </w:rPr>
        <w:t xml:space="preserve">AEGIS_ROADMAP.md</w:t>
      </w:r>
    </w:p>
    <w:p>
      <w:pPr>
        <w:numPr>
          <w:ilvl w:val="0"/>
          <w:numId w:val="1006"/>
        </w:numPr>
        <w:pStyle w:val="Compact"/>
      </w:pPr>
      <w:r>
        <w:t xml:space="preserve">Strategy: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 </w:t>
      </w:r>
      <w:r>
        <w:t xml:space="preserve">v1.4 (RQ0, maturity model, Product Gate, §13 external-review reconciliation, §14 pointer here)</w:t>
      </w:r>
    </w:p>
    <w:p>
      <w:pPr>
        <w:numPr>
          <w:ilvl w:val="0"/>
          <w:numId w:val="1006"/>
        </w:numPr>
        <w:pStyle w:val="Compact"/>
      </w:pPr>
      <w:r>
        <w:t xml:space="preserve">PhD corpus:</w:t>
      </w:r>
      <w:r>
        <w:t xml:space="preserve"> </w:t>
      </w:r>
      <w:r>
        <w:rPr>
          <w:rStyle w:val="VerbatimChar"/>
        </w:rPr>
        <w:t xml:space="preserve">docs/PHD_FIREHORSE_EN.md</w:t>
      </w:r>
      <w:r>
        <w:t xml:space="preserve"> </w:t>
      </w:r>
      <w:r>
        <w:t xml:space="preserve">§1.2 (seven RQs), §14.42 (four-gate falsifiability); PR #1712 (supervisory review), PR #1745 (falsifiability audit)</w:t>
      </w:r>
    </w:p>
    <w:p>
      <w:pPr>
        <w:numPr>
          <w:ilvl w:val="0"/>
          <w:numId w:val="1006"/>
        </w:numPr>
        <w:pStyle w:val="Compact"/>
      </w:pPr>
      <w:r>
        <w:t xml:space="preserve">Funding:</w:t>
      </w:r>
      <w:r>
        <w:t xml:space="preserve"> </w:t>
      </w:r>
      <w:r>
        <w:rPr>
          <w:rStyle w:val="VerbatimChar"/>
        </w:rPr>
        <w:t xml:space="preserve">docs/lut/fundraising-roadmap-2026-2027.md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docs/lut/apuraha-deadline-calendar-2026.md</w:t>
      </w:r>
    </w:p>
    <w:p>
      <w:pPr>
        <w:numPr>
          <w:ilvl w:val="0"/>
          <w:numId w:val="1006"/>
        </w:numPr>
        <w:pStyle w:val="Compact"/>
      </w:pPr>
      <w:r>
        <w:t xml:space="preserve">Scope split rule: implementation evidence → master’s thesis; market signals and scientific framing → PhD (CLAUDE.md Thesis Content Scope Rule). This document is a</w:t>
      </w:r>
      <w:r>
        <w:t xml:space="preserve"> </w:t>
      </w:r>
      <w:r>
        <w:rPr>
          <w:iCs/>
          <w:i/>
        </w:rPr>
        <w:t xml:space="preserve">planning</w:t>
      </w:r>
      <w:r>
        <w:t xml:space="preserve"> </w:t>
      </w:r>
      <w:r>
        <w:t xml:space="preserve">artifact, not thesis content — nothing here edits the four thesis files.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version:</w:t>
      </w:r>
      <w:r>
        <w:t xml:space="preserve"> </w:t>
      </w:r>
      <w:r>
        <w:t xml:space="preserve">v1.0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05.08.2026 ·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Lifetime Oy</w:t>
      </w:r>
      <w:r>
        <w:t xml:space="preserve"> </w:t>
      </w:r>
      <w:r>
        <w:t xml:space="preserve">© 2026 Lifetime Oy (Y-tunnus 0772407-9). All rights reserved.</w:t>
      </w:r>
      <w:r>
        <w:t xml:space="preserve"> </w:t>
      </w:r>
      <w:r>
        <w:rPr>
          <w:bCs/>
          <w:b/>
        </w:rPr>
        <w:t xml:space="preserve">Business Confidential.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2026-08-05T07:40:33Z</dcterms:created>
  <dcterms:modified xsi:type="dcterms:W3CDTF">2026-08-05T07:40:33Z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