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3.99</w:t>
      </w:r>
      <w:r>
        <w:t xml:space="preserve"> </w:t>
      </w:r>
      <w:r>
        <w:t xml:space="preserve">Sessions &amp; Modifications:</w:t>
      </w:r>
    </w:p>
    <w:p>
      <w:pPr>
        <w:numPr>
          <w:ilvl w:val="0"/>
          <w:numId w:val="1001"/>
        </w:numPr>
      </w:pPr>
      <w:r>
        <w:t xml:space="preserve">Version: 3.99 | Tool: Claude Code | Session: claude/kya-audit-update | Date: 10.08.2026 | Changes: Added §10.29 (KYA-auditointi ja referenssitoteutuksen tiukentaminen). Implementation evidence per the Thesis Content Scope Rule; the scientific/market-signal counterpart is PHD_FIREHORSE §14.49 / Avainkontribuutio #54, added in the same lockstep. Records the 10.08.2026 KYA audit which hardened the reference implementation by: (1) restricting proactive advisor-phase nudges to</w:t>
      </w:r>
      <w:r>
        <w:t xml:space="preserve"> </w:t>
      </w:r>
      <w:r>
        <w:rPr>
          <w:rStyle w:val="VerbatimChar"/>
        </w:rPr>
        <w:t xml:space="preserve">compliance</w:t>
      </w:r>
      <w:r>
        <w:t xml:space="preserve">,</w:t>
      </w:r>
      <w:r>
        <w:t xml:space="preserve"> </w:t>
      </w:r>
      <w:r>
        <w:rPr>
          <w:rStyle w:val="VerbatimChar"/>
        </w:rPr>
        <w:t xml:space="preserve">customer-sat</w:t>
      </w:r>
      <w:r>
        <w:t xml:space="preserve">, and</w:t>
      </w:r>
      <w:r>
        <w:t xml:space="preserve"> </w:t>
      </w:r>
      <w:r>
        <w:rPr>
          <w:rStyle w:val="VerbatimChar"/>
        </w:rPr>
        <w:t xml:space="preserve">sitesense</w:t>
      </w:r>
      <w:r>
        <w:t xml:space="preserve"> </w:t>
      </w:r>
      <w:r>
        <w:t xml:space="preserve">while other agents remain</w:t>
      </w:r>
      <w:r>
        <w:t xml:space="preserve"> </w:t>
      </w:r>
      <w:r>
        <w:rPr>
          <w:rStyle w:val="VerbatimChar"/>
        </w:rPr>
        <w:t xml:space="preserve">silent_pilot</w:t>
      </w:r>
      <w:r>
        <w:t xml:space="preserve"> </w:t>
      </w:r>
      <w:r>
        <w:t xml:space="preserve">by default, (2) removing latency from ATS (Agent Trust Score) scoring while retaining it as observability-only telemetry to prevent scoring instability, and (3) separating the live registered-agent count (69) from the 88 capabilities/roles claim to prevent evidence drift. Lockstep 3.98-&gt;3.99.</w:t>
      </w:r>
    </w:p>
    <w:p>
      <w:pPr>
        <w:numPr>
          <w:ilvl w:val="0"/>
          <w:numId w:val="1001"/>
        </w:numPr>
      </w:pPr>
      <w:r>
        <w:t xml:space="preserve">Version: 3.98 | Tool: Claude Code (Sonnet 5) | Session: claude/arvonluonnin-ajurit-research-hpiipo | Date: 06.08.2026 | Changes: Added §10.17 (Article 50(4) -merkinnän laajentaminen tekoälyn laatimaan ja konekäännettyyn tekstiin). Implementation evidence per the Thesis Content Scope Rule; the scientific/market-signal counterpart is PHD_FIREHORSE §14.48 / Avainkontribuutio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Lockstep-versionosto 3.93 -&gt; 3.94 CLAUDE.md:n Thesis-saannon mukaan. Ei sisaltomuutosta tahan tiedostoon: v3.94-korjaus (marginaalinen token-kustannus omalla laitteistolla on rajattu, ei nolla; ja kuuden mittarin vaatimus ennen kuin syvyysargumenttia saa kayttaa kaupallisena vaitteena) kuuluu tiedostoon PHD_FIREHORSE §14.45.</w:t>
      </w:r>
    </w:p>
    <w:p>
      <w:pPr>
        <w:numPr>
          <w:ilvl w:val="0"/>
          <w:numId w:val="1001"/>
        </w:numPr>
      </w:pPr>
      <w:r>
        <w:t xml:space="preserve">Version: 3.93 | Tool: Claude Code | Session: claude/enterprise-ai-harness-0anl7s | Date: 30.07.2026 | Changes: Lockstep-versionosto 3.92 -&gt; 3.93 CLAUDE.md:n Thesis-saannon mukaan. Ei sisaltomuutosta tahan tiedostoon: v3.93-lisays (kahden toimintaprofiilin jako, mitoitettavan polven argumentti ja laskenta-plus-lainkayttoalue -kytkenta) on markkinasignaali ja tieteellinen kehystys, ja kuuluu tiedostoon PHD_FIREHORSE §14.45 Loydos 5 / Avainkontribuutio #50.</w:t>
      </w:r>
    </w:p>
    <w:p>
      <w:pPr>
        <w:numPr>
          <w:ilvl w:val="0"/>
          <w:numId w:val="1001"/>
        </w:numPr>
      </w:pPr>
      <w:r>
        <w:t xml:space="preserve">Version: 3.92 | Tool: Claude Code | Session: claude/enterprise-ai-harness-0anl7s | Date: 30.07.2026 | Changes: Lockstep-versionosto 3.91 -&gt; 3.92 CLAUDE.md:n Thesis-saannon mukaan. Ei sisaltomuutosta tahan tiedostoon: v3.92-lisays (harness-maksumuuri / syvyysarbitraasi -dialektiikka ja sen kapasiteettisuunnittelun reunaehto) on markkinasignaali ja tieteellinen kehystys, ja kuuluu tiedostoon PHD_FIREHORSE §14.45 / Avainkontribuutio #50.</w:t>
      </w:r>
    </w:p>
    <w:p>
      <w:pPr>
        <w:numPr>
          <w:ilvl w:val="0"/>
          <w:numId w:val="1001"/>
        </w:numPr>
      </w:pPr>
      <w:r>
        <w:t xml:space="preserve">Version: 3.91 | Tool: Claude Code | Session: claude/ollama-orchestration-merge-047pj7 | Date: 26.07.2026 | Changes: Lockstep-versionosto 3.90 → 3.91 CLAUDE.md:n Thesis-säännön mukaan. Ei sisältömuutosta tähän tiedostoon: v3.91-lisäys (supply-keskittymän mitigointi — ei-NVIDIA-fallback-laskentakerros testbed-tasolla, joka muuntaa lock-inin hallituksi riippuvuudeksi) on markkinasignaali ja kuuluu tiedostoon PHD_FIREHORSE §14.44 Löydös 3.</w:t>
      </w:r>
    </w:p>
    <w:p>
      <w:pPr>
        <w:numPr>
          <w:ilvl w:val="0"/>
          <w:numId w:val="1001"/>
        </w:numPr>
      </w:pPr>
      <w:r>
        <w:t xml:space="preserve">Version: 3.90 | Tool: Claude Code | Session: claude/ollama-orchestration-merge-047pj7 | Date: 26.07.2026 | Changes: Lockstep-versionosto 3.89 → 3.90 CLAUDE.md:n Thesis-säännön mukaan. Ei sisältömuutosta tähän tiedostoon: v3.90-muutos (Cosmos 3 Edge / DeepSeek-V4-Pro speksit VERIFIOITU ensisijaislähteillä 26.07.2026; §14.44:n varauksen päivitys + perhe-tier/physical-AI-tarkennus + FI-tiedoston sijaintikorjaus) on markkinasignaali ja kuuluu tiedostoon PHD_FIREHORSE §14.44.</w:t>
      </w:r>
    </w:p>
    <w:p>
      <w:pPr>
        <w:numPr>
          <w:ilvl w:val="0"/>
          <w:numId w:val="1001"/>
        </w:numPr>
      </w:pPr>
      <w:r>
        <w:t xml:space="preserve">Version: 3.89 | Tool: Claude Code | Session: claude/ollama-orchestration-merge-047pj7 | Date: 26.07.2026 | Changes: Lockstep-versionosto 3.88 → 3.89 kaikissa 4 opinnäytetyötiedostossa CLAUDE.md:n Thesis-säännön mukaan. Ei sisältömuutosta tähän master-opinnäytetiedostoon: v3.89-lisäys (NVIDIA Cosmos 3 Edge -laitteessa ajettava maailmanmalli LWM:n build→adopt-käännekohtana sekä data-sovereign vs supply-keskittymä -jännite) on markkinasignaali/tieteellinen kehystys ja kuuluu §1.4-skooppisäännön mukaan tiedostoon PHD_FIREHORSE_FI.md §14.44 ja avainkontribuutio #49. Kun Cosmos 3 Edge oikeasti wirataan pinoon, toteutusnäyttö lisätään tämän tiedoston Liite E:hen. Speksit ovat ulkoisia/varmentamattomia (käyttäjän raportoimat NVIDIA-ilmoitukset, heinäkuu 2026). Kumppani: docs/field-notes/2026-07-26-cosmos-3-edge-lwm-build-adopt-inflection.md.</w:t>
      </w:r>
    </w:p>
    <w:p>
      <w:pPr>
        <w:numPr>
          <w:ilvl w:val="0"/>
          <w:numId w:val="1001"/>
        </w:numPr>
      </w:pPr>
      <w:r>
        <w:t xml:space="preserve">Version: 3.88 | Tool: Claude Code | Session: claude/ollama-orchestration-merge-047pj7 | Date: 26.07.2026 | Changes: Täydennetty Liite E (LWM-koulutusinfrastruktuuri) varmennetulla koulutuslaitteiston todellisuus -alaluvulla (toteutusnäyttö §1.4 master-vs-PhD-skooppisäännön mukaan; olemassa oleva QLoRA-putken teksti säilytetty Rule 12:n mukaan). Vahvistaa että GN-100 on reuna-INFERENSSI-/kehitysnode — soveltuu pienten (~7–13B) mallien QLoRA-hienosäätöön, EI täyden ~55B LWM:n esikoulutukseen (koulutus vaatii ~8–16× inferenssin muistin → satoja GB–TB vs 128 GB). Kirjaa PR #1720 -varmennuksen joka demotoi erillisen on-prem</w:t>
      </w:r>
      <w:r>
        <w:t xml:space="preserve"> </w:t>
      </w:r>
      <w:r>
        <w:t xml:space="preserve">“</w:t>
      </w:r>
      <w:r>
        <w:t xml:space="preserve">Acer Node</w:t>
      </w:r>
      <w:r>
        <w:t xml:space="preserve">”</w:t>
      </w:r>
      <w:r>
        <w:t xml:space="preserve"> </w:t>
      </w:r>
      <w:r>
        <w:t xml:space="preserve">-koulutusväitteen tilaan Pending Hardware (ei putkikoodia, ei kyseistä x86/2×RTX-4090-nodea, ei go-livea); pilvi (GCP A3 Mega) on ainoa käytettävissä oleva täyskoulutusreitti. Realistinen putki (pilvi-esikoulutus/hienosäätö → NVFP4-kvantisointi Blackwellille → GN-100 reunainferenssi) ja token-capital-kehys (vallihauta = oppimissilmukka + privaatit evaluaatiot omalla fleet-datalla, ei from-scratch 55B). Kumppani: docs/lab-notes/2026-07-26-lwm-training-hardware-reality.md. Lockstep 3.87→3.88 kaikissa 4 tiedostossa; PHD-tiedostot saavat lockstep-merkinnän; Learn/ HTML-regenerointi ODOTTAA (Pandoc).</w:t>
      </w:r>
    </w:p>
    <w:p>
      <w:pPr>
        <w:numPr>
          <w:ilvl w:val="0"/>
          <w:numId w:val="1001"/>
        </w:numPr>
      </w:pPr>
      <w:r>
        <w:t xml:space="preserve">Version: 3.87 | Tool: Claude Code (claude-opus-5) | Session: claude/greg-isenberg-field-notes-a2r544 | Date: 25.07.2026 | Muutokset: Terävöitetty §10.27:ää kahdella kohdalla ulkoisen arvioinnin pohjalta. (1)</w:t>
      </w:r>
      <w:r>
        <w:t xml:space="preserve"> </w:t>
      </w:r>
      <w:r>
        <w:rPr>
          <w:bCs/>
          <w:b/>
        </w:rPr>
        <w:t xml:space="preserve">Yhteensovitusvelka</w:t>
      </w:r>
      <w:r>
        <w:t xml:space="preserve"> </w:t>
      </w:r>
      <w:r>
        <w:t xml:space="preserve">— alkuperäinen teksti sanoi, ettei legitimiteetti</w:t>
      </w:r>
      <w:r>
        <w:t xml:space="preserve"> </w:t>
      </w:r>
      <w:r>
        <w:t xml:space="preserve">“</w:t>
      </w:r>
      <w:r>
        <w:t xml:space="preserve">liiku</w:t>
      </w:r>
      <w:r>
        <w:t xml:space="preserve">”</w:t>
      </w:r>
      <w:r>
        <w:t xml:space="preserve">, mikä aliarvioi riskin: arvioimaton iterointi voi ajautua kauemmas hyväksyttävyydestä samalla kun se sisäisillä mittareilla vaikuttaa paranevan. (2) Lisätty</w:t>
      </w:r>
      <w:r>
        <w:t xml:space="preserve"> </w:t>
      </w:r>
      <w:r>
        <w:rPr>
          <w:bCs/>
          <w:b/>
        </w:rPr>
        <w:t xml:space="preserve">“</w:t>
      </w:r>
      <w:r>
        <w:rPr>
          <w:bCs/>
          <w:b/>
        </w:rPr>
        <w:t xml:space="preserve">Oletuksena sisäinen</w:t>
      </w:r>
      <w:r>
        <w:rPr>
          <w:bCs/>
          <w:b/>
        </w:rPr>
        <w:t xml:space="preserve">”</w:t>
      </w:r>
      <w:r>
        <w:t xml:space="preserve"> </w:t>
      </w:r>
      <w:r>
        <w:t xml:space="preserve">ohjaavaksi tuotealustaperiaatteeksi (§10.27.4 periaate 1, muut uudelleennumeroitu 2–5). EN/FI-lukkoaskel. Tietoisesti EI omaksuttu samasta arvioinnista: väite, että kuilu on</w:t>
      </w:r>
      <w:r>
        <w:t xml:space="preserve"> </w:t>
      </w:r>
      <w:r>
        <w:t xml:space="preserve">“</w:t>
      </w:r>
      <w:r>
        <w:t xml:space="preserve">se kohta jossa suurin osa tekoälynatiivista vaatimustenmukaisuustyöstä epäonnistuu</w:t>
      </w:r>
      <w:r>
        <w:t xml:space="preserve">”</w:t>
      </w:r>
      <w:r>
        <w:t xml:space="preserve"> </w:t>
      </w:r>
      <w:r>
        <w:t xml:space="preserve">— todentamaton markkinaväite, jolle tällä ohjelmalla ei ole aineistoa.</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DB Schenker, DHL ja pohjoismaiset rahtioperaattorit. (Uber, Bolt, Kela ja Taksi Helsinki ovat Lifetime Oy:n luvanvaraisen kuljetustoiminnan</w:t>
      </w:r>
      <w:r>
        <w:t xml:space="preserve"> </w:t>
      </w:r>
      <w:r>
        <w:rPr>
          <w:bCs/>
          <w:b/>
        </w:rPr>
        <w:t xml:space="preserve">välityspalveluita</w:t>
      </w:r>
      <w:r>
        <w:t xml:space="preserve"> </w:t>
      </w:r>
      <w:r>
        <w:t xml:space="preserve">Traficomin määrittelemässä roolissa — kaupallisia vastapuolia, eivät ohjelmistoasiakkaita, eivätkä osa tätä kohdelistaa. Ks.</w:t>
      </w:r>
      <w:r>
        <w:t xml:space="preserve"> </w:t>
      </w:r>
      <w:r>
        <w:rPr>
          <w:rStyle w:val="VerbatimChar"/>
        </w:rPr>
        <w:t xml:space="preserve">docs/TRACTION_CANONICAL.md</w:t>
      </w:r>
      <w:r>
        <w:t xml:space="preser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70"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4"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Start w:id="213" w:name="Xacdb59f0b4a8c580a690848170b23754530b27c"/>
    <w:p>
      <w:pPr>
        <w:pStyle w:val="Heading3"/>
      </w:pPr>
      <w:r>
        <w:t xml:space="preserve">LWM-koulutus — Varmennettu laitteistotodellisuus (v3.88-täydennys)</w:t>
      </w:r>
    </w:p>
    <w:p>
      <w:pPr>
        <w:pStyle w:val="FirstParagraph"/>
      </w:pPr>
      <w:r>
        <w:rPr>
          <w:iCs/>
          <w:i/>
        </w:rPr>
        <w:t xml:space="preserve">Toteutusnäytön skooppikorjaus yllä olevaan putkeen (§1.4 master-vs-PhD-skooppisäännön mukaan). Yllä kuvattu toimialakohtainen QLoRA-hienosäätö — pienet mallit, ~16 h GN-100:lla — on toteutettavissa ja säilyy toimitettuna reittinä. Tämä alaluku tekee näkyväksi rajan jonka heinäkuun 2026 varmennus paljasti; yllä oleva teksti säilytetään muuttumattomana (Rule 12).</w:t>
      </w:r>
    </w:p>
    <w:p>
      <w:pPr>
        <w:pStyle w:val="BodyText"/>
      </w:pPr>
      <w:r>
        <w:rPr>
          <w:bCs/>
          <w:b/>
        </w:rPr>
        <w:t xml:space="preserve">GN-100 on reunainferenssi-/kehitysnode, ei koulutusklusteri.</w:t>
      </w:r>
      <w:r>
        <w:t xml:space="preserve"> </w:t>
      </w:r>
      <w:r>
        <w:t xml:space="preserve">Se hienosäätää (QLoRA) pieniä malleja (~7–13B) ja palvelee inferenssiä; se ei voi esikouluttaa täyttä ~55B Lifetime World Modelia. Koulutuksessa 55B-malli tarvitsee optimoijan tilat, gradientit ja aktivaatiot noin 8–16× inferenssin muistijalanjäljestä — satoja GB–TB ja moni-GPU-yhteydet — vastaan GN-100:n 128 GB yhtenäismuistia.</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-täyskoulutus on Pending Hardware.</w:t>
      </w:r>
      <w:r>
        <w:t xml:space="preserve"> </w:t>
      </w:r>
      <w:r>
        <w:t xml:space="preserve">Repositorion varmennus (PR #1720, 24.07.2026) ei löytänyt koulutusputken koodia eikä go-live-merkintää, ja erikseen kuvattua koulutusnodea (x86, 2× RTX 4090) ei ole repositoriossa; ainoa dokumentoitu Acer-laite on Veriton GN-100 (ARM64 / GB10 reunainferenssi ja kehitys). Enterprise Model Training -reitti joka esitti on-prem-koulutuksen toimitettuna merkittiin uudelleen</w:t>
      </w:r>
      <w:r>
        <w:t xml:space="preserve"> </w:t>
      </w:r>
      <w:r>
        <w:t xml:space="preserve">“</w:t>
      </w:r>
      <w:r>
        <w:t xml:space="preserve">Pending Hardware, ei vielä varmennettu live</w:t>
      </w:r>
      <w:r>
        <w:t xml:space="preserve">”</w:t>
      </w:r>
      <w:r>
        <w:t xml:space="preserve">.</w:t>
      </w:r>
      <w:r>
        <w:t xml:space="preserve"> </w:t>
      </w:r>
      <w:r>
        <w:rPr>
          <w:bCs/>
          <w:b/>
        </w:rPr>
        <w:t xml:space="preserve">Pilvi (GCP A3 Mega) on ainoa käytettävissä oleva täyskoulutusreitti.</w:t>
      </w:r>
    </w:p>
    <w:p>
      <w:pPr>
        <w:pStyle w:val="BodyText"/>
      </w:pPr>
      <w:r>
        <w:rPr>
          <w:bCs/>
          <w:b/>
        </w:rPr>
        <w:t xml:space="preserve">Realistinen putki:</w:t>
      </w:r>
      <w:r>
        <w:t xml:space="preserve"> </w:t>
      </w:r>
      <w:r>
        <w:t xml:space="preserve">pilvi-esikoulutus / hienosäätö (GCP A3 Mega tai vuokra-H100/H200) → NVFP4-kvantisointi Blackwellille suunniteltuna → deploy GN-100:lle reunainferenssiin. Koulutus ja inferenssi ovat eri työkuormia eri laitteistolla.</w:t>
      </w:r>
    </w:p>
    <w:p>
      <w:pPr>
        <w:pStyle w:val="BodyText"/>
      </w:pPr>
      <w:r>
        <w:rPr>
          <w:bCs/>
          <w:b/>
        </w:rPr>
        <w:t xml:space="preserve">Token-capital-kehys:</w:t>
      </w:r>
      <w:r>
        <w:t xml:space="preserve"> </w:t>
      </w:r>
      <w:r>
        <w:t xml:space="preserve">puolustettava omaisuus ei ole from-scratch 55B vaan oppimissilmukka — privaatit evaluaatiot, RL-ympäristö ja adaptointi omalla operatiivisella (fleet-)datalla. Täysi 55B-esikoulutus on pilvi-CAPEXia joka ei itsessään tuota vallihautaa; omistettu silmukka tuottaa.</w:t>
      </w:r>
    </w:p>
    <w:p>
      <w:pPr>
        <w:pStyle w:val="BodyText"/>
      </w:pPr>
      <w:r>
        <w:t xml:space="preserve">Kumppani-lab-note:</w:t>
      </w:r>
      <w:r>
        <w:t xml:space="preserve"> </w:t>
      </w:r>
      <w:r>
        <w:rPr>
          <w:rStyle w:val="VerbatimChar"/>
        </w:rPr>
        <w:t xml:space="preserve">docs/lab-notes/2026-07-26-lwm-training-hardware-reality.md</w:t>
      </w:r>
      <w:r>
        <w:t xml:space="preserve">.</w:t>
      </w:r>
    </w:p>
    <w:bookmarkEnd w:id="213"/>
    <w:bookmarkEnd w:id="214"/>
    <w:bookmarkStart w:id="215"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5"/>
    <w:bookmarkStart w:id="220" w:name="liite-g-sanasto"/>
    <w:p>
      <w:pPr>
        <w:pStyle w:val="Heading2"/>
      </w:pPr>
      <w:r>
        <w:t xml:space="preserve">Liite G: Sanasto</w:t>
      </w:r>
    </w:p>
    <w:bookmarkStart w:id="216"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6"/>
    <w:bookmarkStart w:id="217"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7"/>
    <w:bookmarkStart w:id="218"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8"/>
    <w:bookmarkStart w:id="219"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9"/>
    <w:bookmarkEnd w:id="220"/>
    <w:bookmarkStart w:id="227" w:name="Xc0be1d36bf1a371508630efde8054c46bc7c00c"/>
    <w:p>
      <w:pPr>
        <w:pStyle w:val="Heading2"/>
      </w:pPr>
      <w:r>
        <w:t xml:space="preserve">Liite H: Automatisoitu PR-tyonkulku (HIL-automaatio)</w:t>
      </w:r>
    </w:p>
    <w:bookmarkStart w:id="221"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1"/>
    <w:bookmarkStart w:id="222"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2"/>
    <w:bookmarkStart w:id="223"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3"/>
    <w:bookmarkStart w:id="224"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4"/>
    <w:bookmarkStart w:id="225"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5"/>
    <w:bookmarkStart w:id="226"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6"/>
    <w:bookmarkEnd w:id="227"/>
    <w:bookmarkStart w:id="231"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8"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8"/>
    <w:bookmarkStart w:id="229"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9"/>
    <w:bookmarkStart w:id="230"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30"/>
    <w:bookmarkEnd w:id="231"/>
    <w:bookmarkStart w:id="238" w:name="X7051fc67256a71f64fe73dbe0a705317830f2ac"/>
    <w:p>
      <w:pPr>
        <w:pStyle w:val="Heading2"/>
      </w:pPr>
      <w:r>
        <w:t xml:space="preserve">10.14 Agenttijärjestelmän koventaminen — tuotantoluotettavuus</w:t>
      </w:r>
    </w:p>
    <w:bookmarkStart w:id="232"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2"/>
    <w:bookmarkStart w:id="233"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3"/>
    <w:bookmarkStart w:id="234"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4"/>
    <w:bookmarkStart w:id="235"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5"/>
    <w:bookmarkStart w:id="236"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6"/>
    <w:bookmarkStart w:id="237"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7"/>
    <w:bookmarkEnd w:id="238"/>
    <w:bookmarkStart w:id="316" w:name="Xb98f337ebd186f75b928dae02f80fa92c383681"/>
    <w:p>
      <w:pPr>
        <w:pStyle w:val="Heading2"/>
      </w:pPr>
      <w:r>
        <w:t xml:space="preserve">10.15 PostgreSQL-sarakemuotoinen HTAP-arkkitehtuuri — DWS-tietostandardi</w:t>
      </w:r>
    </w:p>
    <w:bookmarkStart w:id="239"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9"/>
    <w:bookmarkStart w:id="240"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40"/>
    <w:bookmarkStart w:id="241"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1"/>
    <w:bookmarkStart w:id="242"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2"/>
    <w:bookmarkStart w:id="243"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3"/>
    <w:bookmarkStart w:id="244"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4"/>
    <w:bookmarkStart w:id="252"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5"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5"/>
    <w:bookmarkStart w:id="246"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6"/>
    <w:bookmarkStart w:id="247"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7"/>
    <w:bookmarkStart w:id="248"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8"/>
    <w:bookmarkStart w:id="249"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9"/>
    <w:bookmarkStart w:id="250"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50"/>
    <w:bookmarkStart w:id="251"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1"/>
    <w:bookmarkEnd w:id="252"/>
    <w:bookmarkStart w:id="259" w:name="X09355fee7262847c4f1f03fd7aea493e7e0ae4a"/>
    <w:p>
      <w:pPr>
        <w:pStyle w:val="Heading3"/>
      </w:pPr>
      <w:r>
        <w:t xml:space="preserve">10.17 Johtopäätökset: Hiilitase vaatimustenmukaisuusinfrastruktuurina</w:t>
      </w:r>
    </w:p>
    <w:bookmarkStart w:id="253"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3"/>
    <w:bookmarkStart w:id="254"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4"/>
    <w:bookmarkStart w:id="255"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5"/>
    <w:bookmarkStart w:id="256"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6"/>
    <w:bookmarkStart w:id="257"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7"/>
    <w:bookmarkStart w:id="258"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8"/>
    <w:bookmarkEnd w:id="259"/>
    <w:bookmarkStart w:id="265" w:name="X0a36d2dbdca243308c7c7db782fff5e15d5756b"/>
    <w:p>
      <w:pPr>
        <w:pStyle w:val="Heading3"/>
      </w:pPr>
      <w:r>
        <w:t xml:space="preserve">10.18 LWM-sekvensointistrategia — Sääntely-älykkyydestä fyysiseen tekoälyyn</w:t>
      </w:r>
    </w:p>
    <w:bookmarkStart w:id="260"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60"/>
    <w:bookmarkStart w:id="261"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1"/>
    <w:bookmarkStart w:id="262"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2"/>
    <w:bookmarkStart w:id="263"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3"/>
    <w:bookmarkStart w:id="264"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4"/>
    <w:bookmarkEnd w:id="265"/>
    <w:bookmarkStart w:id="270" w:name="Xe9d0528f48f817f30896d7a30cacade49a40079"/>
    <w:p>
      <w:pPr>
        <w:pStyle w:val="Heading3"/>
      </w:pPr>
      <w:r>
        <w:t xml:space="preserve">10.19 Opinnäytetyön versiointistrategia: v3.30.50 Metropolia-jäädytys</w:t>
      </w:r>
    </w:p>
    <w:bookmarkStart w:id="266"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6"/>
    <w:bookmarkStart w:id="267"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7"/>
    <w:bookmarkStart w:id="268"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8"/>
    <w:bookmarkStart w:id="269"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9"/>
    <w:bookmarkEnd w:id="270"/>
    <w:bookmarkStart w:id="277"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1"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1"/>
    <w:bookmarkStart w:id="272"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2"/>
    <w:bookmarkStart w:id="273"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3"/>
    <w:bookmarkStart w:id="274"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4"/>
    <w:bookmarkStart w:id="275"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5"/>
    <w:bookmarkStart w:id="276"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6"/>
    <w:bookmarkEnd w:id="277"/>
    <w:bookmarkStart w:id="286" w:name="X523a116a02a00545647f66481225de5f5b8c689"/>
    <w:p>
      <w:pPr>
        <w:pStyle w:val="Heading3"/>
      </w:pPr>
      <w:r>
        <w:t xml:space="preserve">10.21 Tohtoripolun kohdennus: KYA-perusta, DWS 7 tavoitteet ja dual-use-laajennus</w:t>
      </w:r>
    </w:p>
    <w:bookmarkStart w:id="278"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8"/>
    <w:bookmarkStart w:id="279"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9"/>
    <w:bookmarkStart w:id="280"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80"/>
    <w:bookmarkStart w:id="281"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1"/>
    <w:bookmarkStart w:id="282"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2"/>
    <w:bookmarkStart w:id="283"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3"/>
    <w:bookmarkStart w:id="284"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4"/>
    <w:bookmarkStart w:id="285"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5"/>
    <w:bookmarkEnd w:id="286"/>
    <w:bookmarkStart w:id="294"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7"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7"/>
    <w:bookmarkStart w:id="288"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8"/>
    <w:bookmarkStart w:id="289"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9"/>
    <w:bookmarkStart w:id="290"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90"/>
    <w:bookmarkStart w:id="291"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1"/>
    <w:bookmarkStart w:id="292"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2"/>
    <w:bookmarkStart w:id="293"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3"/>
    <w:bookmarkEnd w:id="294"/>
    <w:bookmarkStart w:id="302" w:name="X74e8ca8ab213c7124ce0435f25833df350dc723"/>
    <w:p>
      <w:pPr>
        <w:pStyle w:val="Heading3"/>
      </w:pPr>
      <w:r>
        <w:t xml:space="preserve">10.23 Kolmen pääoman kertymismalli: token-pääoma, inhimillinen pääoma ja Control Room -pääoma DWS IQ 6 -toimintamallin kestävinä omaisuuserinä</w:t>
      </w:r>
    </w:p>
    <w:bookmarkStart w:id="295"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5"/>
    <w:bookmarkStart w:id="296"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6"/>
    <w:bookmarkStart w:id="297"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7"/>
    <w:bookmarkStart w:id="298"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8"/>
    <w:bookmarkStart w:id="299"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9"/>
    <w:bookmarkStart w:id="300"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300"/>
    <w:bookmarkStart w:id="301"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1"/>
    <w:bookmarkEnd w:id="302"/>
    <w:bookmarkStart w:id="315" w:name="Xc0c62829986fd330cab694c1575c415900e0c37"/>
    <w:p>
      <w:pPr>
        <w:pStyle w:val="Heading3"/>
      </w:pPr>
      <w:r>
        <w:t xml:space="preserve">10.24 Kyvykkyysontologia ja kolmen pilarin konsultointimalli — Agenttitaksonomiasta yritystoimitukseen</w:t>
      </w:r>
    </w:p>
    <w:bookmarkStart w:id="303"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3"/>
    <w:bookmarkStart w:id="304"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4"/>
    <w:bookmarkStart w:id="305"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5"/>
    <w:bookmarkStart w:id="306"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6"/>
    <w:bookmarkStart w:id="307"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7"/>
    <w:bookmarkStart w:id="308"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8"/>
    <w:bookmarkStart w:id="314"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9">
        <w:r>
          <w:rPr>
            <w:rStyle w:val="Hyperlink"/>
          </w:rPr>
          <w:t xml:space="preserve">English Version</w:t>
        </w:r>
      </w:hyperlink>
    </w:p>
    <w:p>
      <w:pPr>
        <w:numPr>
          <w:ilvl w:val="0"/>
          <w:numId w:val="1110"/>
        </w:numPr>
        <w:pStyle w:val="Compact"/>
      </w:pPr>
      <w:hyperlink r:id="rId310">
        <w:r>
          <w:rPr>
            <w:rStyle w:val="Hyperlink"/>
          </w:rPr>
          <w:t xml:space="preserve">Agent Signal Instructions</w:t>
        </w:r>
      </w:hyperlink>
    </w:p>
    <w:p>
      <w:pPr>
        <w:numPr>
          <w:ilvl w:val="0"/>
          <w:numId w:val="1110"/>
        </w:numPr>
        <w:pStyle w:val="Compact"/>
      </w:pPr>
      <w:hyperlink r:id="rId311">
        <w:r>
          <w:rPr>
            <w:rStyle w:val="Hyperlink"/>
          </w:rPr>
          <w:t xml:space="preserve">AgentFoundry Architecture</w:t>
        </w:r>
      </w:hyperlink>
    </w:p>
    <w:p>
      <w:pPr>
        <w:numPr>
          <w:ilvl w:val="0"/>
          <w:numId w:val="1110"/>
        </w:numPr>
        <w:pStyle w:val="Compact"/>
      </w:pPr>
      <w:hyperlink r:id="rId312">
        <w:r>
          <w:rPr>
            <w:rStyle w:val="Hyperlink"/>
          </w:rPr>
          <w:t xml:space="preserve">LWM-koulutusmanuaali</w:t>
        </w:r>
      </w:hyperlink>
    </w:p>
    <w:p>
      <w:pPr>
        <w:numPr>
          <w:ilvl w:val="0"/>
          <w:numId w:val="1110"/>
        </w:numPr>
        <w:pStyle w:val="Compact"/>
      </w:pPr>
      <w:hyperlink r:id="rId313">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4"/>
    <w:bookmarkEnd w:id="315"/>
    <w:bookmarkEnd w:id="316"/>
    <w:bookmarkStart w:id="320" w:name="Xf35edad05fbd34d955a3c0c727e74cb543a8d28"/>
    <w:p>
      <w:pPr>
        <w:pStyle w:val="Heading2"/>
      </w:pPr>
      <w:r>
        <w:t xml:space="preserve">10.16 EU:n tekoälyasetuksen 50 artiklan sisältömerkintä — toteutus</w:t>
      </w:r>
    </w:p>
    <w:bookmarkStart w:id="317" w:name="motivaatio-6"/>
    <w:p>
      <w:pPr>
        <w:pStyle w:val="Heading3"/>
      </w:pPr>
      <w:r>
        <w:t xml:space="preserve">10.16.1 Motivaatio</w:t>
      </w:r>
    </w:p>
    <w:p>
      <w:pPr>
        <w:pStyle w:val="FirstParagraph"/>
      </w:pPr>
      <w:r>
        <w:t xml:space="preserve">Elokuun 2. päivänä 2026 tekoälytoimisto ja kansalliset markkinavalvontaviranomaiset aloittivat tekoälyasetuksen täytäntöönpanon, ja 50 artiklan avoimuusvelvoitteet tulivat sovellettaviksi. DWS julkaisee tekoälyllä tuotettua mediaa omilla julkisilla pinnoillaan, mikä asettaa sen 50(4) artiklan</w:t>
      </w:r>
      <w:r>
        <w:t xml:space="preserve"> </w:t>
      </w:r>
      <w:r>
        <w:rPr>
          <w:bCs/>
          <w:b/>
        </w:rPr>
        <w:t xml:space="preserve">käyttöönottajan</w:t>
      </w:r>
      <w:r>
        <w:t xml:space="preserve"> </w:t>
      </w:r>
      <w:r>
        <w:t xml:space="preserve">rooliin: syväväärennökset ja ilman inhimillistä tarkastusta julkaistu yleistä etua koskeva tekoälyteksti on merkittävä selkeästi ja havaittavasti. Velvoitetta ei ole lykätty — toisin kuin 50(2) artiklan tarjoajan merkitsemisvelvoite, jonka AI Omnibus lykkää joulukuuhun 2026 ennen 2.8.2026 markkinoille saatetuille generatiivisille järjestelmille, syväväärennösten merkitsemiselle ei annettu vastaavaa siirtymäaikaa.</w:t>
      </w:r>
    </w:p>
    <w:p>
      <w:pPr>
        <w:pStyle w:val="BodyText"/>
      </w:pPr>
      <w:r>
        <w:t xml:space="preserve">Kaikkien julkisten DWS-pintojen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auditointi tunnisti altistuneet aineistot: kaksi tekoälyllä tuotettua esittelijävideota ja neljä tekoälyllä tuotettua persoonakuvaa.</w:t>
      </w:r>
    </w:p>
    <w:bookmarkEnd w:id="317"/>
    <w:bookmarkStart w:id="318" w:name="Xe57f7833eef84c5214e778335895ba30ebd52f8"/>
    <w:p>
      <w:pPr>
        <w:pStyle w:val="Heading3"/>
      </w:pPr>
      <w:r>
        <w:t xml:space="preserve">10.16.2 Toteutus: merkintä yhdistetään mediaan, ei sivuun</w:t>
      </w:r>
    </w:p>
    <w:p>
      <w:pPr>
        <w:pStyle w:val="FirstParagraph"/>
      </w:pPr>
      <w:r>
        <w:t xml:space="preserve">Ensimmäinen toteutusyritys sijoitti EU:n</w:t>
      </w:r>
      <w:r>
        <w:t xml:space="preserve"> </w:t>
      </w:r>
      <w:r>
        <w:rPr>
          <w:bCs/>
          <w:b/>
        </w:rPr>
        <w:t xml:space="preserve">AI GENERATED</w:t>
      </w:r>
      <w:r>
        <w:t xml:space="preserve"> </w:t>
      </w:r>
      <w:r>
        <w:t xml:space="preserve">-kuvakkeen HTML/CSS-peittokuvaksi</w:t>
      </w:r>
      <w:r>
        <w:t xml:space="preserve"> </w:t>
      </w:r>
      <w:r>
        <w:rPr>
          <w:rStyle w:val="VerbatimChar"/>
        </w:rPr>
        <w:t xml:space="preserve">&lt;video&gt;</w:t>
      </w:r>
      <w:r>
        <w:t xml:space="preserve">-elementin päälle. Tämä täyttää havaittavuuden niin kauan kuin kävijä on sivulla ja pettää sillä hetkellä kun artefakti poistuu siltä: ladattu tai edelleen jaettu kopio ei kanna merkintää, koska merkintä oli sivun eikä median ominaisuus.</w:t>
      </w:r>
    </w:p>
    <w:p>
      <w:pPr>
        <w:pStyle w:val="BodyText"/>
      </w:pPr>
      <w:r>
        <w:t xml:space="preserve">Toimitettu toteutus yhdistää kuvakkeen videokuviin ennen julkaisua</w:t>
      </w:r>
      <w:r>
        <w:t xml:space="preserve"> </w:t>
      </w:r>
      <w:r>
        <w:rPr>
          <w:rStyle w:val="VerbatimChar"/>
        </w:rPr>
        <w:t xml:space="preserve">ffmpeg</w:t>
      </w:r>
      <w:r>
        <w:t xml:space="preserve">-peittosuodattimella (kuvake skaalattuna noin 22 %:iin kuvan leveydestä, oikeaan alakulmaan, 24 pikselin marginaalilla, koko keston ajan), ja johtaa sitten julistekuvan ja VP9/WebM-varamuodon jo merkitystä masterista, jotta jokainen toimitettu esitysmuoto kantaa merkinnän. Jokainen yhdistelmä varmennettiin visuaalisesti — kuva poimittiin ja tarkastettiin — ennen julkaisua sen sijaan että se olisi oletettu onnistuneesta paluukoodista.</w:t>
      </w:r>
    </w:p>
    <w:p>
      <w:pPr>
        <w:pStyle w:val="BodyText"/>
      </w:pPr>
      <w:r>
        <w:t xml:space="preserve">Persoonakuvat ratkaistiin toisin. Koska tekoälypersoonista koostuva tiimiosio oli korvautumassa todellisilla nimetyillä toimialarooleilla, osio</w:t>
      </w:r>
      <w:r>
        <w:t xml:space="preserve"> </w:t>
      </w:r>
      <w:r>
        <w:rPr>
          <w:bCs/>
          <w:b/>
        </w:rPr>
        <w:t xml:space="preserve">poistettiin</w:t>
      </w:r>
      <w:r>
        <w:t xml:space="preserve"> </w:t>
      </w:r>
      <w:r>
        <w:t xml:space="preserve">merkitsemisen sijaan: aineistojen poistaminen eliminoi altistuman ilman että merkitsemistyötä investoitiin sisältöön, joka oli joka tapauksessa poistumassa. Tämä kirjataan, koska se on yleinen tulos — kun altistunut sisältö on jo korvautumassa, poistaminen voittaa merkitsemisen sekä kustannuksissa että rehellisyydessä.</w:t>
      </w:r>
    </w:p>
    <w:bookmarkEnd w:id="318"/>
    <w:bookmarkStart w:id="319" w:name="syntynyt-insinöörisääntö"/>
    <w:p>
      <w:pPr>
        <w:pStyle w:val="Heading3"/>
      </w:pPr>
      <w:r>
        <w:t xml:space="preserve">10.16.3 Syntynyt insinöörisääntö</w:t>
      </w:r>
    </w:p>
    <w:p>
      <w:pPr>
        <w:pStyle w:val="BlockText"/>
      </w:pPr>
      <w:r>
        <w:t xml:space="preserve">Esityskerroksessa toteutettu avoimuusmerkintä ei ole merkintä; se on kuvateksti.</w:t>
      </w:r>
    </w:p>
    <w:p>
      <w:pPr>
        <w:pStyle w:val="FirstParagraph"/>
      </w:pPr>
      <w:r>
        <w:t xml:space="preserve">50 artiklan sijaintivaatimus on insinöörikielellä vaatimus</w:t>
      </w:r>
      <w:r>
        <w:t xml:space="preserve"> </w:t>
      </w:r>
      <w:r>
        <w:rPr>
          <w:bCs/>
          <w:b/>
        </w:rPr>
        <w:t xml:space="preserve">alkuperätiedosta, joka säilyy ulosviennissä</w:t>
      </w:r>
      <w:r>
        <w:t xml:space="preserve"> </w:t>
      </w:r>
      <w:r>
        <w:t xml:space="preserve">— sama ominaisuus, jonka C2PA-sisältötodisteet väittävät medialle ja jota 12 artiklan evidenssiketju edellyttää agenttilokeilta. Merkintä, joka elää esityskontekstissa, ei voi täyttää sitä. Jokaista merkintätoteutusta on siksi arvioitava kysymyksellä</w:t>
      </w:r>
      <w:r>
        <w:t xml:space="preserve"> </w:t>
      </w:r>
      <w:r>
        <w:rPr>
          <w:iCs/>
          <w:i/>
        </w:rPr>
        <w:t xml:space="preserve">“</w:t>
      </w:r>
      <w:r>
        <w:rPr>
          <w:iCs/>
          <w:i/>
        </w:rPr>
        <w:t xml:space="preserve">säilyykö tämä latauksessa ja edelleenjaossa?</w:t>
      </w:r>
      <w:r>
        <w:rPr>
          <w:iCs/>
          <w:i/>
        </w:rPr>
        <w:t xml:space="preserve">”</w:t>
      </w:r>
      <w:r>
        <w:t xml:space="preserve">, ja vain mediaan yhdistäminen (tai kryptografisesti sidottu oheistiedosto, jota kuluttava pinta on velvollinen kunnioittamaan) läpäisee sen.</w:t>
      </w:r>
    </w:p>
    <w:p>
      <w:pPr>
        <w:pStyle w:val="BodyText"/>
      </w:pPr>
      <w:r>
        <w:t xml:space="preserve">Vastaava toiminnallinen löydös on, että</w:t>
      </w:r>
      <w:r>
        <w:t xml:space="preserve"> </w:t>
      </w:r>
      <w:r>
        <w:rPr>
          <w:bCs/>
          <w:b/>
        </w:rPr>
        <w:t xml:space="preserve">käyttöönottajan puolen merkintä, ei tarjoajan puolen vesileimaus, on lähiajan sitova rajoite</w:t>
      </w:r>
      <w:r>
        <w:t xml:space="preserve">: 50 artiklan puolisko, joka on halpa toteuttaa ja sääntelijän välittömästi tarkistettavissa, on se puolisko, jolla ei ole siirtymäaikaa.</w:t>
      </w:r>
    </w:p>
    <w:p>
      <w:pPr>
        <w:pStyle w:val="BodyText"/>
      </w:pPr>
      <w:r>
        <w:rPr>
          <w:iCs/>
          <w:i/>
        </w:rPr>
        <w:t xml:space="preserve">Kenttämuistiinpanot:</w:t>
      </w:r>
      <w:r>
        <w:rPr>
          <w:iCs/>
          <w:i/>
        </w:rPr>
        <w:t xml:space="preserve"> </w:t>
      </w:r>
      <w:r>
        <w:rPr>
          <w:rStyle w:val="VerbatimChar"/>
          <w:iCs/>
          <w:i/>
        </w:rPr>
        <w:t xml:space="preserve">docs/field-notes/2026-07-31-article-50-transparency-marking-audit.md</w:t>
      </w:r>
      <w:r>
        <w:rPr>
          <w:iCs/>
          <w:i/>
        </w:rPr>
        <w:t xml:space="preserve"> </w:t>
      </w:r>
      <w:r>
        <w:rPr>
          <w:iCs/>
          <w:i/>
        </w:rPr>
        <w:t xml:space="preserve">ja</w:t>
      </w:r>
      <w:r>
        <w:rPr>
          <w:iCs/>
          <w:i/>
        </w:rPr>
        <w:t xml:space="preserve"> </w:t>
      </w:r>
      <w:r>
        <w:rPr>
          <w:rStyle w:val="VerbatimChar"/>
          <w:iCs/>
          <w:i/>
        </w:rPr>
        <w:t xml:space="preserve">docs/field-notes/2026-08-01-persona-retirement-and-reveal.md</w:t>
      </w:r>
      <w:r>
        <w:rPr>
          <w:iCs/>
          <w:i/>
        </w:rPr>
        <w:t xml:space="preserve">. Tieteellinen uudelleenmuotoilu ja velvoite–kyvykkyys-analyysi: PHD_FIREHORSE §14.46 (Avainkontribuutio #51).</w:t>
      </w:r>
    </w:p>
    <w:p>
      <w:r>
        <w:pict>
          <v:rect style="width:0;height:1.5pt" o:hralign="center" o:hrstd="t" o:hr="t"/>
        </w:pict>
      </w:r>
    </w:p>
    <w:bookmarkEnd w:id="319"/>
    <w:bookmarkEnd w:id="320"/>
    <w:bookmarkStart w:id="324" w:name="X1ff6bac09096368272f1fb3101ee8ca1658f8ce"/>
    <w:p>
      <w:pPr>
        <w:pStyle w:val="Heading2"/>
      </w:pPr>
      <w:r>
        <w:t xml:space="preserve">10.17 Article 50(4) -merkinnän laajentaminen tekoälyn laatimaan ja konekäännettyyn tekstiin</w:t>
      </w:r>
    </w:p>
    <w:bookmarkStart w:id="321" w:name="motivaatio-7"/>
    <w:p>
      <w:pPr>
        <w:pStyle w:val="Heading3"/>
      </w:pPr>
      <w:r>
        <w:t xml:space="preserve">10.17.1 Motivaatio</w:t>
      </w:r>
    </w:p>
    <w:p>
      <w:pPr>
        <w:pStyle w:val="FirstParagraph"/>
      </w:pPr>
      <w:r>
        <w:t xml:space="preserve">§10.16 käsitteli tekoälyn generoimaa mediaa. 6.8.2026 laadittiin, hyväksyttiin ja julkaistiin viisikielinen field note -postaus (EN/FI/SV/DE/FR) —</w:t>
      </w:r>
      <w:r>
        <w:t xml:space="preserve"> </w:t>
      </w:r>
      <w:r>
        <w:rPr>
          <w:rStyle w:val="VerbatimChar"/>
        </w:rPr>
        <w:t xml:space="preserve">onelifetime.world/posts/arvonluonnin-ajurit-2026*.html</w:t>
      </w:r>
      <w:r>
        <w:t xml:space="preserve">, joka kartoittaa suoraan</w:t>
      </w:r>
      <w:r>
        <w:t xml:space="preserve"> </w:t>
      </w:r>
      <w:r>
        <w:rPr>
          <w:rStyle w:val="VerbatimChar"/>
        </w:rPr>
        <w:t xml:space="preserve">docs/KONSULTOINNIN_KASIKIRJA_2026.md</w:t>
      </w:r>
      <w:r>
        <w:t xml:space="preserve"> </w:t>
      </w:r>
      <w:r>
        <w:t xml:space="preserve">§2.1/§2.2:n arvonluonnin ajurit -sisällön. EN- ja FI-versiot olivat agentin laatimia; SV, DE ja FR tuotti ulkoinen kielimalli (Google Gemini) HIC:n ohjeesta ja ne mukautettiin sivupohjiin. Yhdelläkään versiolla ei ollut nimettyä ihmistarkastajaa ennen julkaisua, ja kaikki viisi sisältävät sääntelysisältöä itse leipätekstissä (Article 12/50 -päivämäärät, CBAM, ETS2, KYA-S1). Tämä nosti esiin kysymyksen, jonka §10.16 jätti auki tekstille median sijaan: koskeeko sama käyttöönottajan velvoite ja sama suunnittelusääntö myös sitä?</w:t>
      </w:r>
    </w:p>
    <w:bookmarkEnd w:id="321"/>
    <w:bookmarkStart w:id="322" w:name="Xc4890d6cd561f432462486fe57c2fbf24c50037"/>
    <w:p>
      <w:pPr>
        <w:pStyle w:val="Heading3"/>
      </w:pPr>
      <w:r>
        <w:t xml:space="preserve">10.17.2 Toteutus: oletusarvoisesti-päällä-merkintä rakennusaikaisena invarianttina</w:t>
      </w:r>
    </w:p>
    <w:p>
      <w:pPr>
        <w:pStyle w:val="FirstParagraph"/>
      </w:pPr>
      <w:r>
        <w:rPr>
          <w:rStyle w:val="VerbatimChar"/>
        </w:rPr>
        <w:t xml:space="preserve">DWS_BLOG_STANDARD.md</w:t>
      </w:r>
      <w:r>
        <w:t xml:space="preserve"> </w:t>
      </w:r>
      <w:r>
        <w:t xml:space="preserve">§3.2.1 oli jo määrittänyt säädöstä tiukemman neljän ehdon testin merkinnän poistamiselle (nimetty tarkastaja, osoitettu muutos-/hylkäysvaltuus, julkisesti tavoitettava yhteystieto, eksplisiittinen poistotoimi) — kirjoitettu §10.16:n mediatyön jälkeen, ei vielä koskaan sovellettu elävään julkaisuun. Tämä sessio oli ensimmäinen testi:</w:t>
      </w:r>
      <w:r>
        <w:t xml:space="preserve"> </w:t>
      </w:r>
      <w:r>
        <w:rPr>
          <w:rStyle w:val="VerbatimChar"/>
        </w:rPr>
        <w:t xml:space="preserve">scripts/build-arvonluonnin-ajurit-post.mjs</w:t>
      </w:r>
      <w:r>
        <w:t xml:space="preserve"> </w:t>
      </w:r>
      <w:r>
        <w:t xml:space="preserve">renderöi kaikki viisi hyväksyttyä luonnosta (</w:t>
      </w:r>
      <w:r>
        <w:rPr>
          <w:rStyle w:val="VerbatimChar"/>
        </w:rPr>
        <w:t xml:space="preserve">docs/blog-drafts/arvonluonnin-ajurit-2026*.md</w:t>
      </w:r>
      <w:r>
        <w:t xml:space="preserve">) HTML:ksi ja liittää ehdoitta kielikohtaisen</w:t>
      </w:r>
      <w:r>
        <w:t xml:space="preserve"> </w:t>
      </w:r>
      <w:r>
        <w:rPr>
          <w:rStyle w:val="VerbatimChar"/>
        </w:rPr>
        <w:t xml:space="preserve">&lt;aside class="ai-notice"&gt;</w:t>
      </w:r>
      <w:r>
        <w:t xml:space="preserve">-elementin heti</w:t>
      </w:r>
      <w:r>
        <w:t xml:space="preserve"> </w:t>
      </w:r>
      <w:r>
        <w:rPr>
          <w:rStyle w:val="VerbatimChar"/>
        </w:rPr>
        <w:t xml:space="preserve">&lt;/header&gt;</w:t>
      </w:r>
      <w:r>
        <w:t xml:space="preserve">:n jälkeen, ennen artikkelin runkoa — lähteenä skriptin kielikohtainen ilmoitustaulukko, ei postauskohtainen kirjoitus. Yhtäkään neljästä poistoehdosta ei ollut täytetty yhdellekään viidestä sivusta julkaisuhetkellä, joten kaikki viisi julkaistiin merkinnän kanssa.</w:t>
      </w:r>
    </w:p>
    <w:p>
      <w:pPr>
        <w:pStyle w:val="BodyText"/>
      </w:pPr>
      <w:r>
        <w:t xml:space="preserve">Yksi toteutusyksityiskohta osoittautui käytännössä merkitykselliseksi: HIC:n oma keskustelunaikainen hyväksyntä luonnoksille (joka täytti Säännön 13 / §3.3 julkaisuportin) käsiteltiin aluksi ikään kuin se olisi myös ratkaissut merkintäkysymyksen. Näin ei ole. Julkaisuportti kysyy</w:t>
      </w:r>
      <w:r>
        <w:t xml:space="preserve"> </w:t>
      </w:r>
      <w:r>
        <w:t xml:space="preserve">“</w:t>
      </w:r>
      <w:r>
        <w:t xml:space="preserve">luetko ja hyväksyikö ihminen tämän tekstin ennen julkaisua</w:t>
      </w:r>
      <w:r>
        <w:t xml:space="preserve">”</w:t>
      </w:r>
      <w:r>
        <w:t xml:space="preserve">; merkintäportti kysyy</w:t>
      </w:r>
      <w:r>
        <w:t xml:space="preserve"> </w:t>
      </w:r>
      <w:r>
        <w:t xml:space="preserve">“</w:t>
      </w:r>
      <w:r>
        <w:t xml:space="preserve">onko tällä nimenomaisella sivulla nimetty, julkisesti tavoitettava, vastuullinen tarkastaja mainittu.</w:t>
      </w:r>
      <w:r>
        <w:t xml:space="preserve">”</w:t>
      </w:r>
      <w:r>
        <w:t xml:space="preserve"> </w:t>
      </w:r>
      <w:r>
        <w:t xml:space="preserve">Ensimmäinen tapahtui; jälkimmäinen ei. Sekä luonnokset että rakennusskripti korjattiin pitämään merkintä päällä kaikilla viidellä sivulla sen sijaan, että oletettaisiin keskustelunaikaisen hyväksynnän vapauttavan merkintävelvoitteesta.</w:t>
      </w:r>
    </w:p>
    <w:bookmarkEnd w:id="322"/>
    <w:bookmarkStart w:id="323" w:name="tämän-tuottama-insinöörisääntö"/>
    <w:p>
      <w:pPr>
        <w:pStyle w:val="Heading3"/>
      </w:pPr>
      <w:r>
        <w:t xml:space="preserve">10.17.3 Tämän tuottama insinöörisääntö</w:t>
      </w:r>
    </w:p>
    <w:p>
      <w:pPr>
        <w:pStyle w:val="BlockText"/>
      </w:pPr>
      <w:r>
        <w:t xml:space="preserve">Julkaisuhyväksyntäportti ja sisällön alkuperämerkintäportti eivät ole sama väline, vaikka sama henkilö operoisi molempia samassa keskustelussa.</w:t>
      </w:r>
    </w:p>
    <w:p>
      <w:pPr>
        <w:pStyle w:val="FirstParagraph"/>
      </w:pPr>
      <w:r>
        <w:t xml:space="preserve">§10.16:n kompositointisäännön (</w:t>
      </w:r>
      <w:r>
        <w:t xml:space="preserve">“</w:t>
      </w:r>
      <w:r>
        <w:t xml:space="preserve">merkitse artefakti, älä sivu</w:t>
      </w:r>
      <w:r>
        <w:t xml:space="preserve">”</w:t>
      </w:r>
      <w:r>
        <w:t xml:space="preserve">) korollaari monikieliselle tekstiputkelle on:</w:t>
      </w:r>
      <w:r>
        <w:t xml:space="preserve"> </w:t>
      </w:r>
      <w:r>
        <w:rPr>
          <w:bCs/>
          <w:b/>
        </w:rPr>
        <w:t xml:space="preserve">liitä merkintä rakennusaikana taulukosta, älä kirjoitusaikana muistista.</w:t>
      </w:r>
      <w:r>
        <w:t xml:space="preserve"> </w:t>
      </w:r>
      <w:r>
        <w:t xml:space="preserve">Ihmiskirjoittaja, jota pyydetään muistamaan merkintä viidelle erikseen laaditulle sivulle, unohtaa sen vähintään yhdeltä; rakennusskripti, joka ei voi renderöidä sivua konsultoimatta ilmoitustaulukkoa, ei voi unohtaa. Tämä on sama siirto kuin EU-kuvakkeen kompositointi videokehyksiin — invariantin siirtäminen ihmisen muistista artefaktia tuottavaan putkeen.</w:t>
      </w:r>
    </w:p>
    <w:p>
      <w:pPr>
        <w:pStyle w:val="BodyText"/>
      </w:pP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 Tieteellinen uudelleenmuotoilu ja velvoite–kyvykkyys-analyysi: PHD_FIREHORSE §14.48 (Avainkontribuutio #53).</w:t>
      </w:r>
    </w:p>
    <w:p>
      <w:r>
        <w:pict>
          <v:rect style="width:0;height:1.5pt" o:hralign="center" o:hrstd="t" o:hr="t"/>
        </w:pict>
      </w:r>
    </w:p>
    <w:bookmarkEnd w:id="323"/>
    <w:bookmarkEnd w:id="324"/>
    <w:bookmarkStart w:id="369"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50"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25"/>
            </w:r>
            <w:r>
              <w:t xml:space="preserve">,</w:t>
            </w:r>
            <w:r>
              <w:t xml:space="preserve"> </w:t>
            </w:r>
            <w:r>
              <w:rPr>
                <w:rStyle w:val="FootnoteReference"/>
              </w:rPr>
              <w:footnoteReference w:id="326"/>
            </w:r>
            <w:r>
              <w:t xml:space="preserve">,</w:t>
            </w:r>
            <w:r>
              <w:t xml:space="preserve"> </w:t>
            </w:r>
            <w:r>
              <w:rPr>
                <w:rStyle w:val="FootnoteReference"/>
              </w:rPr>
              <w:footnoteReference w:id="327"/>
            </w:r>
            <w:r>
              <w:t xml:space="preserve">,</w:t>
            </w:r>
            <w:r>
              <w:t xml:space="preserve"> </w:t>
            </w:r>
            <w:r>
              <w:rPr>
                <w:rStyle w:val="FootnoteReference"/>
              </w:rPr>
              <w:footnoteReference w:id="329"/>
            </w:r>
            <w:r>
              <w:t xml:space="preserve">,</w:t>
            </w:r>
            <w:r>
              <w:t xml:space="preserve"> </w:t>
            </w:r>
            <w:r>
              <w:rPr>
                <w:rStyle w:val="FootnoteReference"/>
              </w:rPr>
              <w:footnoteReference w:id="330"/>
            </w:r>
            <w:r>
              <w:t xml:space="preserve">,</w:t>
            </w:r>
            <w:r>
              <w:t xml:space="preserve"> </w:t>
            </w:r>
            <w:r>
              <w:rPr>
                <w:rStyle w:val="FootnoteReference"/>
              </w:rPr>
              <w:footnoteReference w:id="331"/>
            </w:r>
            <w:r>
              <w:t xml:space="preserve">,</w:t>
            </w:r>
            <w:r>
              <w:t xml:space="preserve"> </w:t>
            </w:r>
            <w:r>
              <w:rPr>
                <w:rStyle w:val="FootnoteReference"/>
              </w:rPr>
              <w:footnoteReference w:id="332"/>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Pilotti- ja tapaustutkimusluku (Outokumpu Tier-1)</w:t>
            </w:r>
          </w:p>
        </w:tc>
        <w:tc>
          <w:tcPr/>
          <w:p>
            <w:pPr>
              <w:pStyle w:val="Compact"/>
              <w:jc w:val="left"/>
            </w:pPr>
            <w:r>
              <w:rPr>
                <w:rStyle w:val="FootnoteReference"/>
              </w:rPr>
              <w:footnoteReference w:id="336"/>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37"/>
            </w:r>
          </w:p>
        </w:tc>
      </w:tr>
      <w:tr>
        <w:tc>
          <w:tcPr/>
          <w:p>
            <w:pPr>
              <w:pStyle w:val="Compact"/>
              <w:jc w:val="left"/>
            </w:pPr>
            <w:r>
              <w:t xml:space="preserve">Kumppanuusluku (xAI ym.)</w:t>
            </w:r>
          </w:p>
        </w:tc>
        <w:tc>
          <w:tcPr/>
          <w:p>
            <w:pPr>
              <w:pStyle w:val="Compact"/>
              <w:jc w:val="left"/>
            </w:pPr>
            <w:r>
              <w:rPr>
                <w:rStyle w:val="FootnoteReference"/>
              </w:rPr>
              <w:footnoteReference w:id="338"/>
            </w:r>
            <w:r>
              <w:t xml:space="preserve">,</w:t>
            </w:r>
            <w:r>
              <w:t xml:space="preserve"> </w:t>
            </w:r>
            <w:r>
              <w:rPr>
                <w:rStyle w:val="FootnoteReference"/>
              </w:rPr>
              <w:footnoteReference w:id="339"/>
            </w:r>
          </w:p>
        </w:tc>
      </w:tr>
      <w:tr>
        <w:tc>
          <w:tcPr/>
          <w:p>
            <w:pPr>
              <w:pStyle w:val="Compact"/>
              <w:jc w:val="left"/>
            </w:pPr>
            <w:r>
              <w:t xml:space="preserve">Kvantti- ja kryptografialuku</w:t>
            </w:r>
          </w:p>
        </w:tc>
        <w:tc>
          <w:tcPr/>
          <w:p>
            <w:pPr>
              <w:pStyle w:val="Compact"/>
              <w:jc w:val="left"/>
            </w:pPr>
            <w:r>
              <w:rPr>
                <w:rStyle w:val="FootnoteReference"/>
              </w:rPr>
              <w:footnoteReference w:id="340"/>
            </w:r>
            <w:r>
              <w:t xml:space="preserve">,</w:t>
            </w:r>
            <w:r>
              <w:t xml:space="preserve"> </w:t>
            </w:r>
            <w:r>
              <w:rPr>
                <w:rStyle w:val="FootnoteReference"/>
              </w:rPr>
              <w:footnoteReference w:id="341"/>
            </w:r>
            <w:r>
              <w:t xml:space="preserve">,</w:t>
            </w:r>
            <w:r>
              <w:t xml:space="preserve"> </w:t>
            </w:r>
            <w:r>
              <w:rPr>
                <w:rStyle w:val="FootnoteReference"/>
              </w:rPr>
              <w:footnoteReference w:id="343"/>
            </w:r>
            <w:r>
              <w:t xml:space="preserve">,</w:t>
            </w:r>
            <w:r>
              <w:t xml:space="preserve"> </w:t>
            </w:r>
            <w:r>
              <w:rPr>
                <w:rStyle w:val="FootnoteReference"/>
              </w:rPr>
              <w:footnoteReference w:id="345"/>
            </w:r>
          </w:p>
        </w:tc>
      </w:tr>
      <w:tr>
        <w:tc>
          <w:tcPr/>
          <w:p>
            <w:pPr>
              <w:pStyle w:val="Compact"/>
              <w:jc w:val="left"/>
            </w:pPr>
            <w:r>
              <w:t xml:space="preserve">Sääntelyluku (EU AI Act, eIDAS 2.0, EU Data Act)</w:t>
            </w:r>
          </w:p>
        </w:tc>
        <w:tc>
          <w:tcPr/>
          <w:p>
            <w:pPr>
              <w:pStyle w:val="Compact"/>
              <w:jc w:val="left"/>
            </w:pPr>
            <w:r>
              <w:rPr>
                <w:rStyle w:val="FootnoteReference"/>
              </w:rPr>
              <w:footnoteReference w:id="347"/>
            </w:r>
            <w:r>
              <w:t xml:space="preserve">,</w:t>
            </w:r>
            <w:r>
              <w:t xml:space="preserve"> </w:t>
            </w:r>
            <w:r>
              <w:rPr>
                <w:rStyle w:val="FootnoteReference"/>
              </w:rPr>
              <w:footnoteReference w:id="348"/>
            </w:r>
            <w:r>
              <w:t xml:space="preserve">,</w:t>
            </w:r>
            <w:r>
              <w:t xml:space="preserve"> </w:t>
            </w:r>
            <w:r>
              <w:rPr>
                <w:rStyle w:val="FootnoteReference"/>
              </w:rPr>
              <w:footnoteReference w:id="349"/>
            </w:r>
          </w:p>
        </w:tc>
      </w:tr>
    </w:tbl>
    <w:bookmarkEnd w:id="350"/>
    <w:bookmarkStart w:id="351" w:name="alaviite-bibliografia"/>
    <w:p>
      <w:pPr>
        <w:pStyle w:val="Heading3"/>
      </w:pPr>
      <w:r>
        <w:t xml:space="preserve">Alaviite-bibliografia</w:t>
      </w:r>
    </w:p>
    <w:bookmarkEnd w:id="351"/>
    <w:bookmarkStart w:id="358" w:name="X321df3f3d4d1b28d97bdb33e1d84a6175b0a5b1"/>
    <w:p>
      <w:pPr>
        <w:pStyle w:val="Heading3"/>
      </w:pPr>
      <w:r>
        <w:t xml:space="preserve">10.25 Monikielinen havainnointi tuotannossa: Aspire Dashboardin käyttöönotto ja hiljaisen telemetrian häiriö</w:t>
      </w:r>
    </w:p>
    <w:bookmarkStart w:id="352"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52"/>
    <w:bookmarkStart w:id="353"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53"/>
    <w:bookmarkStart w:id="354"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54"/>
    <w:bookmarkStart w:id="355"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55"/>
    <w:bookmarkStart w:id="356"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56"/>
    <w:bookmarkStart w:id="357"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57"/>
    <w:bookmarkEnd w:id="358"/>
    <w:bookmarkStart w:id="359"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9"/>
    <w:bookmarkStart w:id="364"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60"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p>
      <w:pPr>
        <w:pStyle w:val="FirstParagraph"/>
      </w:pPr>
      <w:r>
        <w:rPr>
          <w:bCs/>
          <w:b/>
        </w:rPr>
        <w:t xml:space="preserve">Ja kuilu voi leventyä eikä vain pysyä.</w:t>
      </w:r>
      <w:r>
        <w:t xml:space="preserve"> </w:t>
      </w:r>
      <w:r>
        <w:t xml:space="preserve">Toteamus, että legitimiteetti</w:t>
      </w:r>
      <w:r>
        <w:t xml:space="preserve"> </w:t>
      </w:r>
      <w:r>
        <w:t xml:space="preserve">“</w:t>
      </w:r>
      <w:r>
        <w:t xml:space="preserve">ei liiku</w:t>
      </w:r>
      <w:r>
        <w:t xml:space="preserve">”</w:t>
      </w:r>
      <w:r>
        <w:t xml:space="preserve">, aliarvioi riskin. Standardointielimen hyväksymiskriteerit muodostuvat konsensuksessa osapuolten kesken, joilla on toisistaan poikkeavat kaupalliset intressit; yksin laadittu artefakti optimoi sen sijaan sisäistä johdonmukaisuutta, koska se on ainoa rajoite, jonka sen laatija voi tuntea. Jokainen arvioimaton iteraatio parantaa siis dokumenttia väärää tavoitefunktiota vastaan ja voi ajautua</w:t>
      </w:r>
      <w:r>
        <w:t xml:space="preserve"> </w:t>
      </w:r>
      <w:r>
        <w:rPr>
          <w:iCs/>
          <w:i/>
        </w:rPr>
        <w:t xml:space="preserve">kauemmas</w:t>
      </w:r>
      <w:r>
        <w:t xml:space="preserve"> </w:t>
      </w:r>
      <w:r>
        <w:t xml:space="preserve">siitä, mitä elin hyväksyisi, samalla kun se jokaisella sisäisesti näkyvällä mittarilla vaikuttaa paranevan.</w:t>
      </w:r>
      <w:r>
        <w:t xml:space="preserve"> </w:t>
      </w:r>
      <w:r>
        <w:rPr>
          <w:bCs/>
          <w:b/>
        </w:rPr>
        <w:t xml:space="preserve">Arvioimaton iterointi ei vain jätä legitimiteettiä kertymättä; se voi kerryttää yhteensovitusvelkaa.</w:t>
      </w:r>
      <w:r>
        <w:t xml:space="preserve"> </w:t>
      </w:r>
      <w:r>
        <w:t xml:space="preserve">Teknisesti paras versio ei ole välttämättä lähinnä hyväksyttävyyttä oleva versio, eikä mikään laatineen organisaation sisällä erota näitä kahta.</w:t>
      </w:r>
    </w:p>
    <w:bookmarkEnd w:id="360"/>
    <w:bookmarkStart w:id="361"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61"/>
    <w:bookmarkStart w:id="362"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62"/>
    <w:bookmarkStart w:id="363"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Oletuksena sisäinen.</w:t>
      </w:r>
      <w:r>
        <w:t xml:space="preserve"> </w:t>
      </w:r>
      <w:r>
        <w:t xml:space="preserve">Spesifikaatio on</w:t>
      </w:r>
      <w:r>
        <w:t xml:space="preserve"> </w:t>
      </w:r>
      <w:r>
        <w:rPr>
          <w:bCs/>
          <w:b/>
        </w:rPr>
        <w:t xml:space="preserve">sisäinen työartefakti</w:t>
      </w:r>
      <w:r>
        <w:t xml:space="preserve">, kunnes se ansaitsee ulkoisen validoinnin kohdelainkäyttöalueensa oikean portin kautta. Alustan asenne ei ole julkaista nopeammin vaan</w:t>
      </w:r>
      <w:r>
        <w:t xml:space="preserve"> </w:t>
      </w:r>
      <w:r>
        <w:rPr>
          <w:bCs/>
          <w:b/>
        </w:rPr>
        <w:t xml:space="preserve">ansaita käyttöönotto sillä tahdilla, jota kukin elin edellyttää</w:t>
      </w:r>
      <w:r>
        <w:t xml:space="preserve"> </w:t>
      </w:r>
      <w:r>
        <w:t xml:space="preserve">— tahdilla, jota alusta ei aseta eikä voi puristaa. Tämä on ohjaava oletus; neljä alla olevaa periaatetta toimivat sen alaisuudessa.</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63"/>
    <w:bookmarkEnd w:id="364"/>
    <w:bookmarkStart w:id="368" w:name="Xb416f2dbf2eee1d9d330b687e4ea4881e4fa685"/>
    <w:p>
      <w:pPr>
        <w:pStyle w:val="Heading3"/>
      </w:pPr>
      <w:r>
        <w:t xml:space="preserve">10.28 Suoritushistoriatietoinen mallieskalaatio: DWS Factory Router</w:t>
      </w:r>
    </w:p>
    <w:p>
      <w:pPr>
        <w:pStyle w:val="FirstParagraph"/>
      </w:pPr>
      <w:r>
        <w:t xml:space="preserve">DWS IQ 6 ajaa agentteja kustannustikkailla: halvat mallit ottavat jokaisen tehtävän ensin, ja kyvykkyyttä ostetaan vasta kun näyttö sitä vaatii. Elokuuhun 2026 asti eskalaatio oli manuaalinen — operaattori huomasi jumiutuneen istunnon ja ajoi sen uudelleen vahvemmalla mallilla. Tämä luku tallentaa toteutuksen, joka mekanisoi päätöksen, sekä auditointivetoisen omaksu/mukauta-polun, joka sen tuotti.</w:t>
      </w:r>
    </w:p>
    <w:bookmarkStart w:id="365" w:name="omaksumukauta-päätös"/>
    <w:p>
      <w:pPr>
        <w:pStyle w:val="Heading4"/>
      </w:pPr>
      <w:r>
        <w:t xml:space="preserve">10.28.1 Omaksu/mukauta-päätös</w:t>
      </w:r>
    </w:p>
    <w:p>
      <w:pPr>
        <w:pStyle w:val="FirstParagraph"/>
      </w:pPr>
      <w:r>
        <w:t xml:space="preserve">Kandidaatti oli SageRoute (codejunkie99/sageroute, MIT), heinäkuussa 2026 julkaistu suoritushistoriatietoinen reititysproxy. Lähdekooditason auditointi (kenttämuistiinpano</w:t>
      </w:r>
      <w:r>
        <w:t xml:space="preserve"> </w:t>
      </w:r>
      <w:r>
        <w:rPr>
          <w:rStyle w:val="VerbatimChar"/>
        </w:rPr>
        <w:t xml:space="preserve">docs/field-notes/2026-08-03-agent-factory-sageroute-audit.md</w:t>
      </w:r>
      <w:r>
        <w:t xml:space="preserve">) totesi deterministisen ytimen erinomaiseksi ja käyttöönottoasetelman DWS:lle kelvottomaksi kolmella perusteella: jokainen reitityspäätös lähetti tehtävätekstin ja työkalutulosteiden katkelmia ulkoiselle päätösrajapinnalle (Levanto Sage), jolla ei ole löydettävissä olevaa GDPR-asemaa; OAuth-moduuli esiintyi ensimmäisen osapuolen CLI-asiakkaina reitittääkseen kuluttajatilausten kiintiötä proxyn läpi — palveluehtorikkomusvektori; ja koodikanta oli kaksi päivää vanha, yksi havaittu live-eskalaatio. Päätös — HYLKÄÄ käyttöönotto, MUKAUTA deterministiset osat — ratifioitiin HIC:llä ja toimitettiin samana päivänä muodossa</w:t>
      </w:r>
      <w:r>
        <w:t xml:space="preserve"> </w:t>
      </w:r>
      <w:r>
        <w:rPr>
          <w:rStyle w:val="VerbatimChar"/>
        </w:rPr>
        <w:t xml:space="preserve">src/factory/</w:t>
      </w:r>
      <w:r>
        <w:t xml:space="preserve">.</w:t>
      </w:r>
    </w:p>
    <w:bookmarkEnd w:id="365"/>
    <w:bookmarkStart w:id="366" w:name="arkkitehtuuri-1"/>
    <w:p>
      <w:pPr>
        <w:pStyle w:val="Heading4"/>
      </w:pPr>
      <w:r>
        <w:t xml:space="preserve">10.28.2 Arkkitehtuuri</w:t>
      </w:r>
    </w:p>
    <w:p>
      <w:pPr>
        <w:pStyle w:val="FirstParagraph"/>
      </w:pPr>
      <w:r>
        <w:t xml:space="preserve">Reititin on kolme puhdasta vaihetta, kaikki offline.</w:t>
      </w:r>
      <w:r>
        <w:t xml:space="preserve"> </w:t>
      </w:r>
      <w:r>
        <w:rPr>
          <w:bCs/>
          <w:b/>
        </w:rPr>
        <w:t xml:space="preserve">Näytön palautus</w:t>
      </w:r>
      <w:r>
        <w:t xml:space="preserve"> </w:t>
      </w:r>
      <w:r>
        <w:t xml:space="preserve">kuvaa molemmat DWS:n kohtaamat agenttirajapintamuodot (Anthropic Messages -muodon</w:t>
      </w:r>
      <w:r>
        <w:t xml:space="preserve"> </w:t>
      </w:r>
      <w:r>
        <w:rPr>
          <w:rStyle w:val="VerbatimChar"/>
        </w:rPr>
        <w:t xml:space="preserve">tool_use</w:t>
      </w:r>
      <w:r>
        <w:t xml:space="preserve">/</w:t>
      </w:r>
      <w:r>
        <w:rPr>
          <w:rStyle w:val="VerbatimChar"/>
        </w:rPr>
        <w:t xml:space="preserve">tool_result</w:t>
      </w:r>
      <w:r>
        <w:t xml:space="preserve">-lohkot ja OpenAI Responses -muodon</w:t>
      </w:r>
      <w:r>
        <w:t xml:space="preserve"> </w:t>
      </w:r>
      <w:r>
        <w:rPr>
          <w:rStyle w:val="VerbatimChar"/>
        </w:rPr>
        <w:t xml:space="preserve">function_call</w:t>
      </w:r>
      <w:r>
        <w:t xml:space="preserve">/</w:t>
      </w:r>
      <w:r>
        <w:rPr>
          <w:rStyle w:val="VerbatimChar"/>
        </w:rPr>
        <w:t xml:space="preserve">function_call_output</w:t>
      </w:r>
      <w:r>
        <w:t xml:space="preserve">-alkiot) yhteen suoritushistoriamalliin: työkalun nimi, argumenttitiiviste, tulostetiiviste, onnistumislippu ja karkea vertailukelpoinen virheluokka askelta kohti.</w:t>
      </w:r>
      <w:r>
        <w:t xml:space="preserve"> </w:t>
      </w:r>
      <w:r>
        <w:rPr>
          <w:bCs/>
          <w:b/>
        </w:rPr>
        <w:t xml:space="preserve">Deterministiset ilmaisimet</w:t>
      </w:r>
      <w:r>
        <w:t xml:space="preserve"> </w:t>
      </w:r>
      <w:r>
        <w:t xml:space="preserve">laskevat sitten signaalit, joihin ei konsultoida mitään mallia (insinöörikurin sääntö 5): identtinen toiminto+havainto 3×, sama virheluokka 3× peräkkäin, kahden toiminnon vuorottelu 4×, kirjoitus→epäonnistuva-testi-kierrokset, askeleet-ilman-edistystä (uudelleenkirjoitus ei ole edistystä; vain onnistunut suoritus nollaa laskurin) ja budjetin kulutus.</w:t>
      </w:r>
      <w:r>
        <w:t xml:space="preserve"> </w:t>
      </w:r>
      <w:r>
        <w:rPr>
          <w:bCs/>
          <w:b/>
        </w:rPr>
        <w:t xml:space="preserve">Tikkaat</w:t>
      </w:r>
      <w:r>
        <w:t xml:space="preserve"> </w:t>
      </w:r>
      <w:r>
        <w:t xml:space="preserve">muuntavat signaalit yhdeksi neljästä toimenpiteestä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suojakaiteiden takana: budjettipysäytys ennen kaikkea muuta logiikkaa, kyvykkyys-ennen-uudelleenyritystä (halvan tason uudelleenkäynnistys muuttuu vaihdoksi niin kauan kuin vaihto on käytettävissä), epäsymmetrinen hystereesi (ensimmäinen halpa→vahva-hyppy laukeaa yhdestä huonosta tarkastuspisteestä; häiritsevät toimenpiteet vaativat kaksi yhtäpitävää) ja tiukasti yksisuuntainen nousu.</w:t>
      </w:r>
    </w:p>
    <w:p>
      <w:pPr>
        <w:pStyle w:val="BodyText"/>
      </w:pPr>
      <w:r>
        <w:t xml:space="preserve">Alkuperäinen rakenne konsultoi päätöspisteessä ulkoista</w:t>
      </w:r>
      <w:r>
        <w:t xml:space="preserve"> </w:t>
      </w:r>
      <w:r>
        <w:t xml:space="preserve">“</w:t>
      </w:r>
      <w:r>
        <w:t xml:space="preserve">kalibroidun luottamuksen</w:t>
      </w:r>
      <w:r>
        <w:t xml:space="preserve">”</w:t>
      </w:r>
      <w:r>
        <w:t xml:space="preserve"> </w:t>
      </w:r>
      <w:r>
        <w:t xml:space="preserve">rajapintaa; DWS-mukautus korvaa kutsun läpinäkyvällä additiivisella heuristiikalla saman signaaliraportin yli, jolloin jokainen päätös on selitettävissä näyttölohkosta ja reititin on EU-suvereeni rakenteeltaan — mikään ei poistu koneelta.</w:t>
      </w:r>
      <w:r>
        <w:t xml:space="preserve"> </w:t>
      </w:r>
      <w:r>
        <w:rPr>
          <w:rStyle w:val="VerbatimChar"/>
        </w:rPr>
        <w:t xml:space="preserve">escalate_human</w:t>
      </w:r>
      <w:r>
        <w:t xml:space="preserve"> </w:t>
      </w:r>
      <w:r>
        <w:t xml:space="preserve">nostetaan kovaksi pysäytykseksi, mikä on EU:n tekoälyasetuksen 14 artiklan interventiopiste ilmaistuna reitityskerroksessa.</w:t>
      </w:r>
    </w:p>
    <w:bookmarkEnd w:id="366"/>
    <w:bookmarkStart w:id="367" w:name="todennus-ja-tuotteistus"/>
    <w:p>
      <w:pPr>
        <w:pStyle w:val="Heading4"/>
      </w:pPr>
      <w:r>
        <w:t xml:space="preserve">10.28.3 Todennus ja tuotteistus</w:t>
      </w:r>
    </w:p>
    <w:p>
      <w:pPr>
        <w:pStyle w:val="FirstParagraph"/>
      </w:pPr>
      <w:r>
        <w:t xml:space="preserve">Viisitoista testiä varmentavat ilmaisinten ja tikkaiden tarkoituksen (silmukkatyypit, naiivilta silmukantunnistukselta piiloon jäävä uudelleenkirjoituskierre, portin kalibrointi, hystereesi, yksisuuntaisuusinvariantit, budjetin sekä vaihto-/uudelleenkäynnistyskiintiöiden ehtyminen); koko repositorion testisarja läpäisi muuttumattomana. Kyvykkyys on agenttien käytettävissä tuotteistussäännön mukaisesti:</w:t>
      </w:r>
      <w:r>
        <w:t xml:space="preserve"> </w:t>
      </w:r>
      <w:r>
        <w:rPr>
          <w:rStyle w:val="VerbatimChar"/>
        </w:rPr>
        <w:t xml:space="preserve">npm run factory:route</w:t>
      </w:r>
      <w:r>
        <w:t xml:space="preserve"> </w:t>
      </w:r>
      <w:r>
        <w:t xml:space="preserve">tuottaa rakenteisen JSON-päätöksen poistumiskoodeilla 0/2/3/4, jolloin komentoriviputket haarautuvat ilman jäsentämistä, ja</w:t>
      </w:r>
      <w:r>
        <w:t xml:space="preserve"> </w:t>
      </w:r>
      <w:r>
        <w:rPr>
          <w:rStyle w:val="VerbatimChar"/>
        </w:rPr>
        <w:t xml:space="preserve">/factory-route</w:t>
      </w:r>
      <w:r>
        <w:t xml:space="preserve"> </w:t>
      </w:r>
      <w:r>
        <w:t xml:space="preserve">rekisteröi menettelyn taidoksi. Insinöörioppi peilaa §10.27:n artefakti–legitimiteetti-kuilua kuluttajan puolelta: 48 tunnissa agentin kirjoittama koodikanta voi olla jakelukelpoinen deterministisessä ytimessään ja samanaikaisesti käyttöönottokelvoton luottamusasetelmassaan — omaksumisen ratkaisi auditointiraja, ei koodin laatu.</w:t>
      </w:r>
    </w:p>
    <w:bookmarkEnd w:id="367"/>
    <w:bookmarkEnd w:id="368"/>
    <w:bookmarkEnd w:id="369"/>
    <w:bookmarkEnd w:id="3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28">
        <w:r>
          <w:rPr>
            <w:rStyle w:val="Hyperlink"/>
          </w:rPr>
          <w:t xml:space="preserve">https://onelifetime.world/posts/sovereignty-field-note-2-three-pillars.fi.html</w:t>
        </w:r>
      </w:hyperlink>
      <w:r>
        <w:t xml:space="preserve">. Päivätty 28.5.2026.</w:t>
      </w:r>
    </w:p>
  </w:footnote>
  <w:footnote w:id="329">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30">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31">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3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36">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4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2">
        <w:r>
          <w:rPr>
            <w:rStyle w:val="Hyperlink"/>
          </w:rPr>
          <w:t xml:space="preserve">https://csrc.nist.gov/pubs/fips/203/final</w:t>
        </w:r>
      </w:hyperlink>
      <w:r>
        <w:t xml:space="preserve">.</w:t>
      </w:r>
    </w:p>
  </w:footnote>
  <w:footnote w:id="34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4">
        <w:r>
          <w:rPr>
            <w:rStyle w:val="Hyperlink"/>
          </w:rPr>
          <w:t xml:space="preserve">https://csrc.nist.gov/pubs/fips/204/final</w:t>
        </w:r>
      </w:hyperlink>
      <w:r>
        <w:t xml:space="preserve">.</w:t>
      </w:r>
    </w:p>
  </w:footnote>
  <w:footnote w:id="34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6">
        <w:r>
          <w:rPr>
            <w:rStyle w:val="Hyperlink"/>
          </w:rPr>
          <w:t xml:space="preserve">https://csrc.nist.gov/pubs/fips/205/final</w:t>
        </w:r>
      </w:hyperlink>
      <w:r>
        <w:t xml:space="preserve">.</w:t>
      </w:r>
    </w:p>
  </w:footnote>
  <w:footnote w:id="347">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48">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9">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2026-08-10T08:29:24Z</dcterms:created>
  <dcterms:modified xsi:type="dcterms:W3CDTF">2026-08-10T08:29:24Z</dcterms:modified>
</cp:coreProperties>
</file>

<file path=docProps/custom.xml><?xml version="1.0" encoding="utf-8"?>
<Properties xmlns="http://schemas.openxmlformats.org/officeDocument/2006/custom-properties" xmlns:vt="http://schemas.openxmlformats.org/officeDocument/2006/docPropsVTypes"/>
</file>