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Xb2a08fb163c5cef592d2237b434a1699b1b5af4"/>
    <w:p>
      <w:pPr>
        <w:pStyle w:val="Heading1"/>
      </w:pPr>
      <w:r>
        <w:t xml:space="preserve">Firehorse-tuotevalmistuksen toimintamalli</w:t>
      </w:r>
    </w:p>
    <w:bookmarkStart w:id="20" w:name="X88ca40bcdb62b5555c0dfb349923bc7acc8a5e2"/>
    <w:p>
      <w:pPr>
        <w:pStyle w:val="Heading2"/>
      </w:pPr>
      <w:r>
        <w:t xml:space="preserve">Hybridi AI-edge-arkkitehtuuri ilmastoälykkäille teollisille alustoille</w:t>
      </w:r>
    </w:p>
    <w:p>
      <w:r>
        <w:pict>
          <v:rect style="width:0;height:1.5pt" o:hralign="center" o:hrstd="t" o:hr="t"/>
        </w:pict>
      </w:r>
    </w:p>
    <w:bookmarkEnd w:id="20"/>
    <w:bookmarkEnd w:id="21"/>
    <w:bookmarkStart w:id="26" w:name="version-and-agent-history"/>
    <w:p>
      <w:pPr>
        <w:pStyle w:val="Heading1"/>
      </w:pPr>
      <w:r>
        <w:t xml:space="preserve">VERSION AND AGENT HISTORY</w:t>
      </w:r>
    </w:p>
    <w:p>
      <w:pPr>
        <w:pStyle w:val="FirstParagraph"/>
      </w:pPr>
      <w:r>
        <w:t xml:space="preserve">Version: 3.97</w:t>
      </w:r>
      <w:r>
        <w:t xml:space="preserve"> </w:t>
      </w:r>
      <w:r>
        <w:t xml:space="preserve">Sessions &amp; Modifications:</w:t>
      </w:r>
    </w:p>
    <w:p>
      <w:pPr>
        <w:numPr>
          <w:ilvl w:val="0"/>
          <w:numId w:val="1001"/>
        </w:numPr>
      </w:pPr>
      <w:r>
        <w:t xml:space="preserve">Version: 3.97 | Tool: Claude Code (Fable) | Session: claude/agent-factory-research-audit-l6hks2 | Date: 03.08.2026 | Changes: Added §10.28 (Trajectory-Aware Model Escalation: The DWS Factory Router). Implementation evidence per the Thesis Content Scope Rule; the scientific/market-signal counterpart is PHD_FIREHORSE §14.47 / Key Contribution #52, added in the same lockstep. Records the audit-driven adopt/adapt decision on codejunkie99/sageroute (REJECT deployment: external decision-API egress, first-party OAuth client impersonation, 2-day-old codebase; ADAPT the deterministic core), the shipped src/factory/ architecture (dual-wire evidence recovery, deterministic detectors, guarded one-way ladder continue-&gt;switch_model-&gt;restart_clean-&gt;escalate_human with budget-stop, capability-before-retry, and asymmetric-hysteresis guardrails, external verdict API replaced by a transparent local heuristic — EU-sovereign by construction), verification (15 intent tests, full suite unchanged), and productization (factory:route CLI with verdict exit codes, /factory-route skill). Companion: docs/field-notes/2026-08-03-agent-factory-sageroute-audit.md. Lockstep 3.96-&gt;3.97.</w:t>
      </w:r>
    </w:p>
    <w:p>
      <w:pPr>
        <w:numPr>
          <w:ilvl w:val="0"/>
          <w:numId w:val="1001"/>
        </w:numPr>
      </w:pPr>
      <w:r>
        <w:t xml:space="preserve">Version: 3.96 | Tool: Claude Code (Opus 5) | Session: claude/thesis-unlock-and-truth-fix | Date: 01.08.2026 | Changes: Added §10.16 (EU AI Act Article 50 Content Marking — Implementation). Implementation evidence per the Thesis Content Scope Rule; the scientific/market-signal counterpart is PHD_FIREHORSE §14.46 / Key Contribution #51, added in the same lockstep. Records the Article 50 audit of all four public surfaces, the shipped in-media compositing of the EU AI GENERATED icon (ffmpeg overlay, poster and WebM derived from the marked master, each composite verified visually rather than assumed from an exit code), the negative result that a presentation-layer overlay is a caption rather than a marking because the placement requirement is survival of redistribution, and the decision to RETIRE the AI-persona portraits rather than label content already scheduled for replacement. Also fixed pre-existing truth-claim drift surfaced by truth-lint once these files entered lint scope: superseded three-capital references now carry a pointer to the 4P Capital Classes rather than being rewritten (Rule 12), value-metric phrasings reworded with the claim unchanged, and industry counts separated into EU regulatory scope (sectors, number retained) versus DWS platform coverage (canonical captain-hats term). Lockstep 3.95-&gt;3.96.</w:t>
      </w:r>
    </w:p>
    <w:p>
      <w:pPr>
        <w:numPr>
          <w:ilvl w:val="0"/>
          <w:numId w:val="1001"/>
        </w:numPr>
      </w:pPr>
      <w:r>
        <w:t xml:space="preserve">Version: 3.95 | Tool: Claude Code (Opus 5) | Session: claude/traction-truth-reconciliation | Date: 29.07.2026 (yhdistetty 30.07.2026, uudelleennumeroitu 3.92→3.95 yhdistämisessä, koska</w:t>
      </w:r>
      <w:r>
        <w:t xml:space="preserve"> </w:t>
      </w:r>
      <w:r>
        <w:rPr>
          <w:rStyle w:val="VerbatimChar"/>
        </w:rPr>
        <w:t xml:space="preserve">claude/enterprise-ai-harness-0anl7s</w:t>
      </w:r>
      <w:r>
        <w:t xml:space="preserve"> </w:t>
      </w:r>
      <w:r>
        <w:t xml:space="preserve">oli itsenäisesti ottanut numeron 3.92 käyttöön) | Changes: Lukkokohtainen versionosto kaikkien 4 opinnäytetyötiedoston yli CLAUDE.md:n opinnäytetyösäännön mukaan. Substanssimuutos rajoittuu pro gradun kohdeasiakaslistaan: Uber/Bolt/Kela-riviin liitetty sulkumerkintä</w:t>
      </w:r>
      <w:r>
        <w:t xml:space="preserve"> </w:t>
      </w:r>
      <w:r>
        <w:t xml:space="preserve">“</w:t>
      </w:r>
      <w:r>
        <w:t xml:space="preserve">(€7k MRR live)</w:t>
      </w:r>
      <w:r>
        <w:t xml:space="preserve">”</w:t>
      </w:r>
      <w:r>
        <w:t xml:space="preserve"> </w:t>
      </w:r>
      <w:r>
        <w:t xml:space="preserve">oli virheellinen traktioväite — kyseinen n. 7 000 €/kk on palvelu- ja kuljetusliikevaihtoa, ei ohjelmistoliikevaihtoa, ja nämä osapuolet ovat luvanvaraisen kuljetustoiminnan välityspalveluita Traficomin määrittelemässä roolissa, eivät ohjelmistoasiakkaita. Korjattu uutta kanonista lähdettä</w:t>
      </w:r>
      <w:r>
        <w:t xml:space="preserve"> </w:t>
      </w:r>
      <w:r>
        <w:rPr>
          <w:rStyle w:val="VerbatimChar"/>
        </w:rPr>
        <w:t xml:space="preserve">docs/TRACTION_CANONICAL.md</w:t>
      </w:r>
      <w:r>
        <w:t xml:space="preserve"> </w:t>
      </w:r>
      <w:r>
        <w:t xml:space="preserve">vasten (perustajan vahvistus 29.07.2026, rekisteröity</w:t>
      </w:r>
      <w:r>
        <w:t xml:space="preserve"> </w:t>
      </w:r>
      <w:r>
        <w:rPr>
          <w:rStyle w:val="VerbatimChar"/>
        </w:rPr>
        <w:t xml:space="preserve">DWS_TRUTH_STANDARD.md</w:t>
      </w:r>
      <w:r>
        <w:t xml:space="preserve"> </w:t>
      </w:r>
      <w:r>
        <w:t xml:space="preserve">§2 rivi 32). Ei PhD-skoopin sisältömuutosta — kirjattu tähän lukkokohtaisena merkintänä §1.4 master-vs-PhD-skooppisäännön mukaan.</w:t>
      </w:r>
    </w:p>
    <w:p>
      <w:pPr>
        <w:numPr>
          <w:ilvl w:val="0"/>
          <w:numId w:val="1001"/>
        </w:numPr>
      </w:pPr>
      <w:r>
        <w:t xml:space="preserve">Version: 3.94 | Tool: Claude Code | Session: claude/enterprise-ai-harness-0anl7s | Date: 30.07.2026 | Changes: Lockstep-versionosto 3.93 -&gt; 3.94 CLAUDE.md:n Thesis-saannon mukaan. Ei sisaltomuutosta tahan tiedostoon: v3.94-korjaus (marginaalinen token-kustannus omalla laitteistolla on rajattu, ei nolla; ja kuuden mittarin vaatimus ennen kuin syvyysargumenttia saa kayttaa kaupallisena vaitteena) kuuluu tiedostoon PHD_FIREHORSE §14.45.</w:t>
      </w:r>
    </w:p>
    <w:p>
      <w:pPr>
        <w:numPr>
          <w:ilvl w:val="0"/>
          <w:numId w:val="1001"/>
        </w:numPr>
      </w:pPr>
      <w:r>
        <w:t xml:space="preserve">Version: 3.93 | Tool: Claude Code | Session: claude/enterprise-ai-harness-0anl7s | Date: 30.07.2026 | Changes: Lockstep-versionosto 3.92 -&gt; 3.93 CLAUDE.md:n Thesis-saannon mukaan. Ei sisaltomuutosta tahan tiedostoon: v3.93-lisays (kahden toimintaprofiilin jako, mitoitettavan polven argumentti ja laskenta-plus-lainkayttoalue -kytkenta) on markkinasignaali ja tieteellinen kehystys, ja kuuluu tiedostoon PHD_FIREHORSE §14.45 Loydos 5 / Avainkontribuutio #50.</w:t>
      </w:r>
    </w:p>
    <w:p>
      <w:pPr>
        <w:numPr>
          <w:ilvl w:val="0"/>
          <w:numId w:val="1001"/>
        </w:numPr>
      </w:pPr>
      <w:r>
        <w:t xml:space="preserve">Version: 3.92 | Tool: Claude Code | Session: claude/enterprise-ai-harness-0anl7s | Date: 30.07.2026 | Changes: Lockstep-versionosto 3.91 -&gt; 3.92 CLAUDE.md:n Thesis-saannon mukaan. Ei sisaltomuutosta tahan tiedostoon: v3.92-lisays (harness-maksumuuri / syvyysarbitraasi -dialektiikka ja sen kapasiteettisuunnittelun reunaehto) on markkinasignaali ja tieteellinen kehystys, ja kuuluu tiedostoon PHD_FIREHORSE §14.45 / Avainkontribuutio #50.</w:t>
      </w:r>
    </w:p>
    <w:p>
      <w:pPr>
        <w:numPr>
          <w:ilvl w:val="0"/>
          <w:numId w:val="1001"/>
        </w:numPr>
      </w:pPr>
      <w:r>
        <w:t xml:space="preserve">Version: 3.91 | Tool: Claude Code | Session: claude/ollama-orchestration-merge-047pj7 | Date: 26.07.2026 | Changes: Lockstep-versionosto 3.90 → 3.91 CLAUDE.md:n Thesis-säännön mukaan. Ei sisältömuutosta tähän tiedostoon: v3.91-lisäys (supply-keskittymän mitigointi — ei-NVIDIA-fallback-laskentakerros testbed-tasolla, joka muuntaa lock-inin hallituksi riippuvuudeksi) on markkinasignaali ja kuuluu tiedostoon PHD_FIREHORSE §14.44 Löydös 3.</w:t>
      </w:r>
    </w:p>
    <w:p>
      <w:pPr>
        <w:numPr>
          <w:ilvl w:val="0"/>
          <w:numId w:val="1001"/>
        </w:numPr>
      </w:pPr>
      <w:r>
        <w:t xml:space="preserve">Version: 3.90 | Tool: Claude Code | Session: claude/ollama-orchestration-merge-047pj7 | Date: 26.07.2026 | Changes: Lockstep-versionosto 3.89 → 3.90 CLAUDE.md:n Thesis-säännön mukaan. Ei sisältömuutosta tähän tiedostoon: v3.90-muutos (Cosmos 3 Edge / DeepSeek-V4-Pro speksit VERIFIOITU ensisijaislähteillä 26.07.2026; §14.44:n varauksen päivitys + perhe-tier/physical-AI-tarkennus + FI-tiedoston sijaintikorjaus) on markkinasignaali ja kuuluu tiedostoon PHD_FIREHORSE §14.44.</w:t>
      </w:r>
    </w:p>
    <w:p>
      <w:pPr>
        <w:numPr>
          <w:ilvl w:val="0"/>
          <w:numId w:val="1001"/>
        </w:numPr>
      </w:pPr>
      <w:r>
        <w:t xml:space="preserve">Version: 3.89 | Tool: Claude Code | Session: claude/ollama-orchestration-merge-047pj7 | Date: 26.07.2026 | Changes: Lockstep-versionosto 3.88 → 3.89 kaikissa 4 opinnäytetyötiedostossa CLAUDE.md:n Thesis-säännön mukaan. Ei sisältömuutosta tähän master-opinnäytetiedostoon: v3.89-lisäys (NVIDIA Cosmos 3 Edge -laitteessa ajettava maailmanmalli LWM:n build→adopt-käännekohtana sekä data-sovereign vs supply-keskittymä -jännite) on markkinasignaali/tieteellinen kehystys ja kuuluu §1.4-skooppisäännön mukaan tiedostoon PHD_FIREHORSE_FI.md §14.44 ja avainkontribuutio #49. Kun Cosmos 3 Edge oikeasti wirataan pinoon, toteutusnäyttö lisätään tämän tiedoston Liite E:hen. Speksit ovat ulkoisia/varmentamattomia (käyttäjän raportoimat NVIDIA-ilmoitukset, heinäkuu 2026). Kumppani: docs/field-notes/2026-07-26-cosmos-3-edge-lwm-build-adopt-inflection.md.</w:t>
      </w:r>
    </w:p>
    <w:p>
      <w:pPr>
        <w:numPr>
          <w:ilvl w:val="0"/>
          <w:numId w:val="1001"/>
        </w:numPr>
      </w:pPr>
      <w:r>
        <w:t xml:space="preserve">Version: 3.88 | Tool: Claude Code | Session: claude/ollama-orchestration-merge-047pj7 | Date: 26.07.2026 | Changes: Täydennetty Liite E (LWM-koulutusinfrastruktuuri) varmennetulla koulutuslaitteiston todellisuus -alaluvulla (toteutusnäyttö §1.4 master-vs-PhD-skooppisäännön mukaan; olemassa oleva QLoRA-putken teksti säilytetty Rule 12:n mukaan). Vahvistaa että GN-100 on reuna-INFERENSSI-/kehitysnode — soveltuu pienten (~7–13B) mallien QLoRA-hienosäätöön, EI täyden ~55B LWM:n esikoulutukseen (koulutus vaatii ~8–16× inferenssin muistin → satoja GB–TB vs 128 GB). Kirjaa PR #1720 -varmennuksen joka demotoi erillisen on-prem</w:t>
      </w:r>
      <w:r>
        <w:t xml:space="preserve"> </w:t>
      </w:r>
      <w:r>
        <w:t xml:space="preserve">“</w:t>
      </w:r>
      <w:r>
        <w:t xml:space="preserve">Acer Node</w:t>
      </w:r>
      <w:r>
        <w:t xml:space="preserve">”</w:t>
      </w:r>
      <w:r>
        <w:t xml:space="preserve"> </w:t>
      </w:r>
      <w:r>
        <w:t xml:space="preserve">-koulutusväitteen tilaan Pending Hardware (ei putkikoodia, ei kyseistä x86/2×RTX-4090-nodea, ei go-livea); pilvi (GCP A3 Mega) on ainoa käytettävissä oleva täyskoulutusreitti. Realistinen putki (pilvi-esikoulutus/hienosäätö → NVFP4-kvantisointi Blackwellille → GN-100 reunainferenssi) ja token-capital-kehys (vallihauta = oppimissilmukka + privaatit evaluaatiot omalla fleet-datalla, ei from-scratch 55B). Kumppani: docs/lab-notes/2026-07-26-lwm-training-hardware-reality.md. Lockstep 3.87→3.88 kaikissa 4 tiedostossa; PHD-tiedostot saavat lockstep-merkinnän; Learn/ HTML-regenerointi ODOTTAA (Pandoc).</w:t>
      </w:r>
    </w:p>
    <w:p>
      <w:pPr>
        <w:numPr>
          <w:ilvl w:val="0"/>
          <w:numId w:val="1001"/>
        </w:numPr>
      </w:pPr>
      <w:r>
        <w:t xml:space="preserve">Version: 3.87 | Tool: Claude Code (claude-opus-5) | Session: claude/greg-isenberg-field-notes-a2r544 | Date: 25.07.2026 | Muutokset: Terävöitetty §10.27:ää kahdella kohdalla ulkoisen arvioinnin pohjalta. (1)</w:t>
      </w:r>
      <w:r>
        <w:t xml:space="preserve"> </w:t>
      </w:r>
      <w:r>
        <w:rPr>
          <w:bCs/>
          <w:b/>
        </w:rPr>
        <w:t xml:space="preserve">Yhteensovitusvelka</w:t>
      </w:r>
      <w:r>
        <w:t xml:space="preserve"> </w:t>
      </w:r>
      <w:r>
        <w:t xml:space="preserve">— alkuperäinen teksti sanoi, ettei legitimiteetti</w:t>
      </w:r>
      <w:r>
        <w:t xml:space="preserve"> </w:t>
      </w:r>
      <w:r>
        <w:t xml:space="preserve">“</w:t>
      </w:r>
      <w:r>
        <w:t xml:space="preserve">liiku</w:t>
      </w:r>
      <w:r>
        <w:t xml:space="preserve">”</w:t>
      </w:r>
      <w:r>
        <w:t xml:space="preserve">, mikä aliarvioi riskin: arvioimaton iterointi voi ajautua kauemmas hyväksyttävyydestä samalla kun se sisäisillä mittareilla vaikuttaa paranevan. (2) Lisätty</w:t>
      </w:r>
      <w:r>
        <w:t xml:space="preserve"> </w:t>
      </w:r>
      <w:r>
        <w:rPr>
          <w:bCs/>
          <w:b/>
        </w:rPr>
        <w:t xml:space="preserve">“</w:t>
      </w:r>
      <w:r>
        <w:rPr>
          <w:bCs/>
          <w:b/>
        </w:rPr>
        <w:t xml:space="preserve">Oletuksena sisäinen</w:t>
      </w:r>
      <w:r>
        <w:rPr>
          <w:bCs/>
          <w:b/>
        </w:rPr>
        <w:t xml:space="preserve">”</w:t>
      </w:r>
      <w:r>
        <w:t xml:space="preserve"> </w:t>
      </w:r>
      <w:r>
        <w:t xml:space="preserve">ohjaavaksi tuotealustaperiaatteeksi (§10.27.4 periaate 1, muut uudelleennumeroitu 2–5). EN/FI-lukkoaskel. Tietoisesti EI omaksuttu samasta arvioinnista: väite, että kuilu on</w:t>
      </w:r>
      <w:r>
        <w:t xml:space="preserve"> </w:t>
      </w:r>
      <w:r>
        <w:t xml:space="preserve">“</w:t>
      </w:r>
      <w:r>
        <w:t xml:space="preserve">se kohta jossa suurin osa tekoälynatiivista vaatimustenmukaisuustyöstä epäonnistuu</w:t>
      </w:r>
      <w:r>
        <w:t xml:space="preserve">”</w:t>
      </w:r>
      <w:r>
        <w:t xml:space="preserve"> </w:t>
      </w:r>
      <w:r>
        <w:t xml:space="preserve">— todentamaton markkinaväite, jolle tällä ohjelmalla ei ole aineistoa.</w:t>
      </w:r>
    </w:p>
    <w:p>
      <w:pPr>
        <w:numPr>
          <w:ilvl w:val="0"/>
          <w:numId w:val="1001"/>
        </w:numPr>
      </w:pPr>
      <w:r>
        <w:t xml:space="preserve">Version: 3.86 | Tool: Claude Code (claude-opus-5) | Session: claude/greg-isenberg-field-notes-a2r544 | Date: 25.07.2026 | Muutokset: Lisätty §10.27 (Artefakti–legitimiteetti-kuilu). EN/FI-lukkoaskel; sisältö vastaa V3Thesis_EN.md §10.27:ää. Nimeää suurimman käytännön ongelman huippumalleilla rakentamisessa: artefaktin tuottaminen puristuu tunteihin, legitimointi ei purista lainkaan. Tunnistaa toisen asteen vaikutuksen — sujuvuus ei ole enää näyttöä prosessista, mutta lukijat käyttävät sitä yhä legitimiteetin korvikemittarina, joten laatija ylivaatii tahtomattaan. KYA v1.5 työstettynä tapauksena (nolla neljästä portista; kategoria oli väärin, ei tekninen sisältö). Ydinlöydös: versionumero kiihtyy, legitimiteetti ei liiku. Kolmen lainkäyttöalueen laajennus tekee kuilusta mitattavan. Dokumentoi oppimisstandardin §10:n toteutettuna vastatoimena (legitimiteettiväitteiden nopeusrajoitin). Johtaa neljä tuotealustan suunnitteluperiaatetta vaatimustenmukaisuusälylle.</w:t>
      </w:r>
    </w:p>
    <w:p>
      <w:pPr>
        <w:numPr>
          <w:ilvl w:val="0"/>
          <w:numId w:val="1001"/>
        </w:numPr>
      </w:pPr>
      <w:r>
        <w:t xml:space="preserve">Version: 3.85 | Tool: Claude Code (claude-opus-5) | Session: claude/greg-isenberg-field-notes-a2r544 | Date: 25.07.2026 | Muutokset: Lukkokohtainen versionosto 3.84 → 3.85 kaikissa 4 opinnäytetyötiedostossa CLAUDE.md-tutkielmasäännön mukaan. Ei sisältömuutosta tässä tiedostossa: istunnon uusi aineisto on standardointireitti- ja lainkäyttöaluearkkitehtuurianalyysiä, joka kuuluu väitöskirjaan sisältörajaussäännön mukaan (ks. PHD_FIREHORSE §14.43). Tämän istunnon toteutusnäyttö on edelleen §10.26:ssa.</w:t>
      </w:r>
    </w:p>
    <w:p>
      <w:pPr>
        <w:numPr>
          <w:ilvl w:val="0"/>
          <w:numId w:val="1001"/>
        </w:numPr>
      </w:pPr>
      <w:r>
        <w:t xml:space="preserve">Version: 3.84 | Tool: Claude Code (claude-opus-5) | Session: claude/greg-isenberg-field-notes-a2r544 | Date: 25.07.2026 | Muutokset: Lisätty §10.26 (Verified-Done-attestoinnin allekirjoituspolun kryptografinen katselmointi: kaksi löydöstä ja falsifiointi testien laatuporttina). EN/FI-lukkoaskel §10.26:n osalta; sisältö vastaa V3Thesis_EN.md §10.26:ta. Toteutusnäyttöä CLAUDE.md:n tutkielman sisältörajaussäännön mukaisesti: Ed25519 node:crypto-moduulin kautta -riippuvuuspäätös, löydös F1 (KORKEA) allekirjoituksen kattamattomista todisteen metatiedoista, juurisyy testisuunnittelussa, W3C Data Integrity -korjaus, löydös F3 (avaintyypin tarkistus) sekä metodologinen kontribuutio: falsifiointi testien laatuporttina (47 → 51 testiä). Markkinasignaali- ja tieteellinen kehystys samasta sessiosta on PHD_FIREHORSE §14.42.</w:t>
      </w:r>
    </w:p>
    <w:p>
      <w:pPr>
        <w:numPr>
          <w:ilvl w:val="0"/>
          <w:numId w:val="1001"/>
        </w:numPr>
      </w:pPr>
      <w:r>
        <w:t xml:space="preserve">Version: 3.83 | Tool: Claude Code | Session: claude/eda-dws-iq-business-case-jm7p3g | Date: 17.07.2026 | Muutokset: Lukkokohtainen versionosto 3.82 → 3.83 kaikissa 4 opinnäytetyötiedostossa CLAUDE.md-tutkielmasäännön mukaan. Ei sisältömuutosta tässä maisteritiedostossa: v3.83:n lisäys (DAC 2026:n agenttisen EDA:n tutoriaaliraita poikkitieteellisenä todisteena kolmivektoriselle agenttinen/avoin/hallittu-toimintamalliteesille, ja EDA:n puolustettavan jäännöksen suvereeni-suunnittelu-IP-ympäristö-uudelleensijoitus) on markkinasignaali-/tieteellinen-kehystyspanos ja §1.4:n maisteri–PhD-laajuussäännön mukaan sijaitsee tiedostossa PHD_FIREHORSE_FI.md §14.41 ja Avainpanos #48. Oheisdokumentit: docs/DGX_SPARK_4X_EDA_BUSINESS_CASE.md, onelifetime.world/posts/ai-supercomputing-meets-eda-sovereign-design.html.</w:t>
      </w:r>
    </w:p>
    <w:p>
      <w:pPr>
        <w:numPr>
          <w:ilvl w:val="0"/>
          <w:numId w:val="1001"/>
        </w:numPr>
      </w:pPr>
      <w:r>
        <w:t xml:space="preserve">Version: 3.82 | Tool: Claude Code (claude-sonnet-5) | Session: claude/nvidia-halos-robotics-suqayg | Date: 10.07.2026 | Muutokset: Lukkokohtainen versionosto 3.81 → 3.82 kaikissa 4 opinnäytetyötiedostossa CLAUDE.md-tutkielmasäännön mukaan. Ei sisältömuutosta tässä maisteritiedostossa: v3.82:n lisäys (NVIDIA Halos for Robotics standardointi-ennen-määräaikaa-signaalina fyysisen tekoälyn turvallisuussertifioinnille, sertifiointi-vs-todiste-sääntelykohde-erottelu, ja KYA:n fyysisen turvallisuuden sidos) on markkinasignaali-/sääntelyputkipanos ja §1.4:n maisteri–PhD-laajuussäännön mukaan sijaitsee tiedostossa PHD_FIREHORSE_FI.md §14.40 ja Avainpanos #47. Oheisdokumentti: docs/regulatory-radar/NVIDIA_HALOS_ROBOTICS_BRIEF.md.</w:t>
      </w:r>
    </w:p>
    <w:p>
      <w:pPr>
        <w:numPr>
          <w:ilvl w:val="0"/>
          <w:numId w:val="1001"/>
        </w:numPr>
      </w:pPr>
      <w:r>
        <w:t xml:space="preserve">Version: 3.81 | Tool: Claude Code (Fable 5) | Session: claude/ai-sovereignty-research-9eshgd (yhdistetty merge) | Date: 07.07.2026 | Muutokset: Lukkokohtainen versionosto 3.80 → 3.81 kaikissa 4 opinnäytetyötiedostossa CLAUDE.md-tutkielmasäännön mukaan. Ei sisältömuutosta tässä maisteritiedostossa: v3.81:n yhdistetty aines (tekoälysuvereniteetin yhdeksän teesin viitekehys ja painokerroin-kontrolliargumentti) on tieteellis-normatiivinen kehystyspanos ja §1.4:n maisteri–PhD-laajuussäännön mukaan sijaitsee tiedostossa PHD_FIREHORSE_FI.md §14.39 (uudelleennumeroitu haaran alkuperäisestä §14.34:sta) ja Avainpanos #46. Oheisdokumentti: docs/field-notes/2026-07-01-ai-sovereignty-nine-theses.md.</w:t>
      </w:r>
    </w:p>
    <w:p>
      <w:pPr>
        <w:numPr>
          <w:ilvl w:val="0"/>
          <w:numId w:val="1001"/>
        </w:numPr>
      </w:pPr>
      <w:r>
        <w:t xml:space="preserve">Version: 3.80 | Tool: Claude Code (Fable 5) | Session: claude/industry-world-models-study-Mk2mu (yhdistetty merge) | Date: 07.07.2026 | Changes: Lukkokohtainen versionosto 3.79 → 3.80 kaikkien 4 opinnäytetyötiedoston yli CLAUDE.md:n opinnäytetyösäännön mukaan. Ei sisältömuutosta tässä maisteritiedostossa: v3.80:n yhdistetty lisäys on markkinasignaali/arkkitehtuurisignaali (Karpathyn GPT-2 → teollisuuden maailmamallit, viisi kilpailevaa arkkitehtuuria, 16 teollisuudenalan Fit for 55 -maailmamallien spesifikaatiomatriisi, modulaarinen maailmamallitehdas, 2026 ekosysteemin konvergenssi: AMI Labs / Cosmos 2.5 / Genie 3 / Marble / Siemens Digital Twin Composer), joka master-vs-PhD-skooppisäännön §1.4 mukaan kuuluu vain väitöskirjaan. Katso PHD_FIREHORSE_FI.md §14.38 (Teollisuuden maailmamallit, uudelleennumeroitu haaran alkuperäisestä §14.20:sta — kyseinen paikka oli itsenäisesti käytössä</w:t>
      </w:r>
      <w:r>
        <w:t xml:space="preserve"> </w:t>
      </w:r>
      <w:r>
        <w:t xml:space="preserve">“</w:t>
      </w:r>
      <w:r>
        <w:t xml:space="preserve">AI Pricing Capitulation</w:t>
      </w:r>
      <w:r>
        <w:t xml:space="preserve">”</w:t>
      </w:r>
      <w:r>
        <w:t xml:space="preserve"> </w:t>
      </w:r>
      <w:r>
        <w:t xml:space="preserve">-luvulle main-haarassa) ja Avainpanos #45 tieteellistä kehystystä varten. Täysi tutkimus: docs/INDUSTRY_WORLD_MODELS_STUDY.md.</w:t>
      </w:r>
    </w:p>
    <w:p>
      <w:pPr>
        <w:numPr>
          <w:ilvl w:val="0"/>
          <w:numId w:val="1001"/>
        </w:numPr>
      </w:pPr>
      <w:r>
        <w:t xml:space="preserve">Version: 3.79 | Tool: Claude Code | Session: claude/aspire-development-evolution-16fxg0 | Date: 07.07.2026 | Changes: Lisätty §10.25.6 (Täydennys: Spaniin leimattu valtuutusverdikti) — ulkoinen kritiikki (Hakimi): GenAI-jälki tallentaa mikä laukesi muttei koskaan olisiko sen pitänyt pystyä siihen; varmennettu täsmälliseksi koodia vasten (LLM-asiakkaalla vain palveluntarjoajan Bearer-otsake; KYA-valvonta eristettynä hiekkalaatikkokerrokseen). Toteutettu samana päivänä: KYAVerdict withAgentSpan/withLLMSpan-apureihin, leimaa dws.kya.verdict/trust_score/policy_version/gate gen_ai.*-attribuuttien rinnalle; verdiktittömät spanit leimataan</w:t>
      </w:r>
      <w:r>
        <w:t xml:space="preserve"> </w:t>
      </w:r>
      <w:r>
        <w:t xml:space="preserve">‘</w:t>
      </w:r>
      <w:r>
        <w:t xml:space="preserve">ungated</w:t>
      </w:r>
      <w:r>
        <w:t xml:space="preserve">’</w:t>
      </w:r>
      <w:r>
        <w:t xml:space="preserve"> </w:t>
      </w:r>
      <w:r>
        <w:t xml:space="preserve">(ei koskaan tyhjäksi), jolloin valtuutuskattavuuden aukot ovat kyseltäviä; ungated-spanien määrä nimetty kattavuusaukkometriikaksi; 2 uutta yksikkötestiä (8/8 läpi). PHD-tiedostot saavat tieteellisen uudelleenmuotoilun (§14.37.4-korjaus KC #44(b):hen). Lukitusnosto 3.78→3.79; Learn/-HTML uudelleengeneroitu. Rinnakkaisdokumentti: docs/field-notes/2026-07-07-hakimi-observability-vs-authorization.md.</w:t>
      </w:r>
    </w:p>
    <w:p>
      <w:pPr>
        <w:numPr>
          <w:ilvl w:val="0"/>
          <w:numId w:val="1001"/>
        </w:numPr>
      </w:pPr>
      <w:r>
        <w:t xml:space="preserve">Version: 3.78 | Tool: Claude Code | Session: claude/aspire-development-evolution-16fxg0 | Date: 07.07.2026 | Changes: Lisätty §10.25 (Monikielinen havainnointi tuotannossa: Aspire Dashboardin käyttöönotto ja hiljaisen telemetrian häiriö) — toteutuspuolen sisältö master-vs-PhD-skooppisäännön mukaisesti: vain-dashboard Aspire-käyttöönotto DGX Sparkilla (aspire-dashboard:13.3.5 kiinnitetty, compose v1.1.1), OTel-toteutusinventaario (otel.ts opt-in-alustus, tracing.ts GenAI-semanttisten konventioiden span-apurit, telemetry.types.ts + migraatio 066 artikla 12 -ristiviittauksin), heinäkuun 2026 hiljaisen telemetrian häiriö (kaikki kolme OTLP-tuottajaa työnsivät http/protobuf-telemetriaa dashboardin UI-porttiin 18888 OTLP/HTTP-kuuntelijan 18890 sijaan — telemetria pudotettiin hiljaisesti; korjattu compose v1.3.1:ssä), kolme insinöörityön oppia (käyttäytymisvarmennus, hiljaa vikaantuvat alijärjestelmät vaativat kompensoivia kontrolleja, viereisporttien vikaluokka) sekä avoin GenAI-viestisisällön tallennuksen tietosuojapäätös. PHD-tiedostot saavat markkinasignaalikehystyksen (§14.37 + avainkontribuutio #44). Kaikki 4 opinnäytetyötiedostoa nostettu 3.77→3.78 lukitusti CLAUDE.md:n opinnäytetyösäännön mukaan; Learn/-HTML uudelleengeneroitu.</w:t>
      </w:r>
    </w:p>
    <w:p>
      <w:pPr>
        <w:numPr>
          <w:ilvl w:val="0"/>
          <w:numId w:val="1001"/>
        </w:numPr>
      </w:pPr>
      <w:r>
        <w:t xml:space="preserve">Version: 3.77 | Tool: Claude Code | Session: claude/dws-nvidia-os-NDuOs | Date: 19.05.2026 | Changes: Lukkokohtainen versionosto 3.76 → 3.77 kaikkien 4 opinnäytetyötiedoston yli CLAUDE.md:n opinnäytetyösäännön mukaan. Ei sisältömuutosta tässä maisteritiedostossa: v3.77:n sisältölisäys on tutkimuksen kehystämisen uudistus ja 48 tunnin markkinasignaali (Dell + Palantir</w:t>
      </w:r>
      <w:r>
        <w:t xml:space="preserve"> </w:t>
      </w:r>
      <w:r>
        <w:t xml:space="preserve">“</w:t>
      </w:r>
      <w:r>
        <w:t xml:space="preserve">On-Premises AI Operating System</w:t>
      </w:r>
      <w:r>
        <w:t xml:space="preserve">”</w:t>
      </w:r>
      <w:r>
        <w:t xml:space="preserve"> </w:t>
      </w:r>
      <w:r>
        <w:t xml:space="preserve">18.05.2026 + Google</w:t>
      </w:r>
      <w:r>
        <w:t xml:space="preserve"> </w:t>
      </w:r>
      <w:r>
        <w:t xml:space="preserve">“</w:t>
      </w:r>
      <w:r>
        <w:t xml:space="preserve">Antigravity Agent Operating System</w:t>
      </w:r>
      <w:r>
        <w:t xml:space="preserve">”</w:t>
      </w:r>
      <w:r>
        <w:t xml:space="preserve"> </w:t>
      </w:r>
      <w:r>
        <w:t xml:space="preserve">19.05.2026), joka nimeää</w:t>
      </w:r>
      <w:r>
        <w:t xml:space="preserve"> </w:t>
      </w:r>
      <w:r>
        <w:rPr>
          <w:iCs/>
          <w:i/>
        </w:rPr>
        <w:t xml:space="preserve">DWS OS:n</w:t>
      </w:r>
      <w:r>
        <w:t xml:space="preserve"> </w:t>
      </w:r>
      <w:r>
        <w:t xml:space="preserve">väitöstutkimusohjelman yhdistäväksi artefaktiseksi rangaksi. Master-vs-PhD-skooppisäännön §1.4 mukaan tutkimuskehystys ja markkinasignaalit kuuluvat vain väitöskirjaan. Katso PHD_FIREHORSE_FI.md §1.2.2 (Yhdistetty DWS OS -ranka ja skenaarioiden priorisointi) ja §14.36 (Kahden signaalin konvergenssi) tieteellistä kehystystä varten, sekä</w:t>
      </w:r>
      <w:r>
        <w:t xml:space="preserve"> </w:t>
      </w:r>
      <w:r>
        <w:rPr>
          <w:rStyle w:val="VerbatimChar"/>
        </w:rPr>
        <w:t xml:space="preserve">docs/DWS_OS_POSITIONING.md</w:t>
      </w:r>
      <w:r>
        <w:t xml:space="preserve"> </w:t>
      </w:r>
      <w:r>
        <w:t xml:space="preserve">+</w:t>
      </w:r>
      <w:r>
        <w:t xml:space="preserve"> </w:t>
      </w:r>
      <w:r>
        <w:rPr>
          <w:rStyle w:val="VerbatimChar"/>
        </w:rPr>
        <w:t xml:space="preserve">docs/lut/</w:t>
      </w:r>
      <w:r>
        <w:t xml:space="preserve"> </w:t>
      </w:r>
      <w:r>
        <w:t xml:space="preserve">ohjaajalle toimitettujen dokumenttien osalta.</w:t>
      </w:r>
      <w:r>
        <w:t xml:space="preserve"> </w:t>
      </w:r>
      <w:r>
        <w:rPr>
          <w:rStyle w:val="VerbatimChar"/>
        </w:rPr>
        <w:t xml:space="preserve">Learn/</w:t>
      </w:r>
      <w:r>
        <w:t xml:space="preserve">-HTML-uudelleengenerointi tarvitaan (ei tässä committissa — vaatii Pandoc-buildin). Yhdistämismerkintä (06.07.2026, istunnon claude/dws-nvidia-os-NDuOs yhdistäminen): alun perin kirjoitettu 19.05.2026 numeroin v3.58 / §14.20 / Avainpanos #25; uudelleennumeroitu muotoon v3.77 / §14.36 / Avainpanos #43 yhdistettäessä, koska main-haaran v3.58–v3.76, §14.20–§14.35 ja Avainpanokset #25–#42 olivat jo muiden istuntojen käytössä (sama käytäntö kuin v3.73-uudelleennumeroinnissa).</w:t>
      </w:r>
    </w:p>
    <w:p>
      <w:pPr>
        <w:numPr>
          <w:ilvl w:val="0"/>
          <w:numId w:val="1001"/>
        </w:numPr>
      </w:pPr>
      <w:r>
        <w:t xml:space="preserve">Version: 3.76 | Tool: Claude Code | Session: claude/physical-ai-first-person-3mmu70 | Date: 05.07.2026 | Changes: Lukkokohtainen versionosto 3.75 → 3.76 kaikkien 4 opinnäytetyötiedoston yli CLAUDE.md:n opinnäytetyösäännön mukaan. v3.76:n substanssisisältö (Jensen Huangin</w:t>
      </w:r>
      <w:r>
        <w:t xml:space="preserve"> </w:t>
      </w:r>
      <w:r>
        <w:t xml:space="preserve">“</w:t>
      </w:r>
      <w:r>
        <w:t xml:space="preserve">digitaalinen robotti</w:t>
      </w:r>
      <w:r>
        <w:t xml:space="preserve">”</w:t>
      </w:r>
      <w:r>
        <w:t xml:space="preserve"> </w:t>
      </w:r>
      <w:r>
        <w:t xml:space="preserve">-kehys agenttisesta tekoälystä ja hänen tunnistuksensa ensimmäisen persoonan datasta — vasten maailman ylivoimaisesti kolmannen persoonan videokorpusta — fyysisen tekoälyn vaikeimpana ongelmana; LWM vaiheen 3 portittavan syötteen uudelleentunnistus ensimmäisen persoonan operatiiviseksi dataksi laskennan tai linjauksen sijaan; Huangin viisielementtisen fyysisen tekoälyn pinon — datamoottori / simulaattori / palkitseminen / ajoympäristö / tietokone — elementti elementiltä -kuvaus Aivot–Muisti–Keho–Kädet-arkkitehtuuriin; Havaintopääoman tuotantomekanismin määrittely; sekä suvereeni, suostumuspohjainen, EU-sijaintinen ensimmäisen persoonan datan proveniessipredikaatti, joka laajentaa nelirataista KYA-sarjaa) on markkinasignaali / tieteellinen kehys ja §1.4 master-vs-PhD-skooppisäännön mukaan se sijaitsee tiedostossa PHD_FIREHORSE_FI.md §14.35 (Ensimmäisen persoonan datan pullonkaula) ja Avainpanos #42. Osion/version/Avainpanoksen numerot nostettu alkuperäisestä v3.71/§14.33/#39 -luonnoksesta v3.76/§14.35/#42:een välttäen törmäyksen mainin jo laskeutuneiden §14.33/§14.34 ja Avainpanosten #39–#41 kanssa. Toteutusta ei ole vielä toimitettu tälle signaalille (thesis/strategia-first-päätös), joten tiedosto saa pelkän lukkokohtaisen versionostomerkinnän eikä uusia osioita.</w:t>
      </w:r>
      <w:r>
        <w:t xml:space="preserve"> </w:t>
      </w:r>
      <w:r>
        <w:rPr>
          <w:rStyle w:val="VerbatimChar"/>
        </w:rPr>
        <w:t xml:space="preserve">Learn/</w:t>
      </w:r>
      <w:r>
        <w:t xml:space="preserve">-HTML generoitu uudelleen v3.76:een scripts/gen-thesis-html.cjs:llä. Ensisijainen lähde: Jensen Huang (NVIDIA), julkiset kommentit agenttisesta ja fyysisestä tekoälystä, 2026.</w:t>
      </w:r>
    </w:p>
    <w:p>
      <w:pPr>
        <w:numPr>
          <w:ilvl w:val="0"/>
          <w:numId w:val="1001"/>
        </w:numPr>
      </w:pPr>
      <w:r>
        <w:t xml:space="preserve">Version: 3.75 | Tool: Claude Code | Session: claude/lifetime-handbook-web-updates-lmyi2g | Date: 01.07.2026 | Changes: Pelkkä lukkokohtainen versionosto. Sisältöaines (VM:n turvallisuuslähtöisen tiedonhallinnan opas, VM 2026:27, kytketty DWS:n Control Room/Situation Room -retention-malliin) on regulatiivista putki-/markkinasignaalikehystystä §1.4 master-vs-PhD-skooppisäännön mukaan, joten se sijaitsee tiedostossa</w:t>
      </w:r>
      <w:r>
        <w:t xml:space="preserve"> </w:t>
      </w:r>
      <w:r>
        <w:rPr>
          <w:rStyle w:val="VerbatimChar"/>
        </w:rPr>
        <w:t xml:space="preserve">docs/PHD_FIREHORSE_FI.md</w:t>
      </w:r>
      <w:r>
        <w:t xml:space="preserve"> </w:t>
      </w:r>
      <w:r>
        <w:t xml:space="preserve">§14.34 ja Avainpanos #41. Ei tuotetoteutussisältöä lisätty tähän.</w:t>
      </w:r>
    </w:p>
    <w:p>
      <w:pPr>
        <w:numPr>
          <w:ilvl w:val="0"/>
          <w:numId w:val="1001"/>
        </w:numPr>
      </w:pPr>
      <w:r>
        <w:t xml:space="preserve">Version: 3.74 | Tool: Claude Code (claude-opus-4-8) | Session: claude/anduril-case-study-iridtj | Date: 29.06.2026 | Muutokset: Lukkokohtainen versionosto 3.73 -&gt; 3.74. CSRD-soveltamisala tarkennettu lopulliseen Omnibus-lukuun (neuvosto 24.02.2026): alle ~5 000 suurta yritystä (&gt;1 000 tyontekijaa JA &gt;450 M EUR), korvaa valiaikaisen ~10 000;</w:t>
      </w:r>
      <w:r>
        <w:t xml:space="preserve"> </w:t>
      </w:r>
      <w:r>
        <w:t xml:space="preserve">“</w:t>
      </w:r>
      <w:r>
        <w:t xml:space="preserve">50 000+ vuoteen 2028</w:t>
      </w:r>
      <w:r>
        <w:t xml:space="preserve">”</w:t>
      </w:r>
      <w:r>
        <w:t xml:space="preserve"> </w:t>
      </w:r>
      <w:r>
        <w:t xml:space="preserve">-vaitteet korjattu. DWS_TRUTH_STANDARD v2.5 2C. Learn/ HTML-uudelleengenerointi PENDING.</w:t>
      </w:r>
    </w:p>
    <w:p>
      <w:pPr>
        <w:numPr>
          <w:ilvl w:val="0"/>
          <w:numId w:val="1001"/>
        </w:numPr>
      </w:pPr>
      <w:r>
        <w:t xml:space="preserve">Version: 3.73 | Tool: Claude Code | Session: claude/article-research-phd-tvmskz | Date: 28.06.2026 | Changes: Merge-konfliktien ratkaisu: yhdistetty haara claude/article-research-phd-tvmskz (v3.71 RQGM §14.33) ja origin/main (v3.71 keskeytyskustannus §14.20.8 + v3.72 kyvykkyysontologia V3Thesis §10.24). KC#39-numerointitörmäys ratkaistu: main käytti KC#39 kyvykkyysontologialle (V3Thesis §10.24), tämä haara käytti KC#39 RQGM:lle (PHD §14.33) → RQGM uudelleennumeroitu KC#40:ksi. Kaikki 4 opinnäytetyötiedostoa nostettu v3.73:een lukkoaskelin.</w:t>
      </w:r>
    </w:p>
    <w:p>
      <w:pPr>
        <w:numPr>
          <w:ilvl w:val="0"/>
          <w:numId w:val="1001"/>
        </w:numPr>
      </w:pPr>
      <w:r>
        <w:t xml:space="preserve">Version: 3.72 | Tool: Claude Code | Session: claude/winning-sales-strategy-qb1boj | Date: 28.06.2026 | Changes: Lisätty §10.24 (Kyvykkyysontologia ja kolmen pilarin konsultointimalli — agenttitaksonomiasta yritystoimitukseen). Toteutusnäyttö: 10 LWM-pohjaista tietograafiluokkaa, jotka järjestävät yli 80 agenttikyvykkyyttä (62 olemassa olevaa + 18 uutta), kolmen pilarin konsultointimalli (kyvykkyyskoulutus, toimialakohtaisten compliance-työnkulkujen kehittäminen ja tuotantoon vieminen, keskeytyksetön projektin jatkuvuus Keskeytyslaskuri-integraatiolla), Aegis Defence -kyvykkyyden rehellinen korjaus (SAR-orbitaalinen detektio ainoastaan — ei dronetunnistusta), ja lifetime.fi-sivuston käyttöönotto kolmen pilarin konsultointiosiolla. Liiteartefakti:</w:t>
      </w:r>
      <w:r>
        <w:t xml:space="preserve"> </w:t>
      </w:r>
      <w:r>
        <w:rPr>
          <w:rStyle w:val="VerbatimChar"/>
        </w:rPr>
        <w:t xml:space="preserve">docs/KONSULTOINNIN_KASIKIRJA_2026.md</w:t>
      </w:r>
      <w:r>
        <w:t xml:space="preserve"> </w:t>
      </w:r>
      <w:r>
        <w:t xml:space="preserve">v1.5 (Konsultin käsikirja 2026). Avainpanos #39. Kaikki 4 opinnäytetyötiedostoa nostettu v3.72:een lukkokohtaisesti CLAUDE.md:n opinnäytetyösäännön mukaan.</w:t>
      </w:r>
    </w:p>
    <w:p>
      <w:pPr>
        <w:numPr>
          <w:ilvl w:val="0"/>
          <w:numId w:val="1001"/>
        </w:numPr>
      </w:pPr>
      <w:r>
        <w:t xml:space="preserve">Version: 3.71 | Tool: Claude Code | Session: claude/article-research-phd-tvmskz | Date: 27.06.2026 | Changes: Lukkokohtainen versionosto 3.70 → 3.71 kaikkien 4 opinnäytetyötiedoston yli CLAUDE.md:n opinnäytetyösäännön mukaan. v3.71:n substanssisisältö (Red Queen Gödel Machine -signaali — RQGM, Iacob ym., arXiv:2606.26294v1, 24.06.2026, Cambridge / NVIDIA / Flower Labs / MBZUAI / Inria — evolutiivinen kehys rekursiiviseen itseparannukseen ei-stationääristen utiliteettien alla kontrolloidun utiliteetin evoluution kautta; nimeää konformanssin temporaalisen aukon, jossa kiinteät arvioijat rapautuvat agenttien parantuessa, empiirisesti 1,91× ylihyväksyntä; laajentaa nelirataista KYA-sarjaa epokki-alaindekseillä vaatien arvioijan uudelleenvalidoinnin; johtaa artikla 12 -arvioijan kalibrointivaatimuksen; tunnistaa Flower Labsin federoidun oppimisen suvereniteettia säilyttäväksi siirtoväyläksi yhteisevoluutioparantamiseen) on markkinasignaali-/tieteellinen kehystys -panos ja §1.4 master-vs-PhD-skooppisäännön mukaan se sijaitsee tiedostossa PHD_FIREHORSE_FI.md §14.33 ja Avainpanos #40. Toteutusta ei ole toimitettu; tiedosto saa pelkän lukkokohtaisen versionostomerkinnän. Liiteartefakti: docs/field-notes/2026-06-27-red-queen-godel-machine-rqgm.md.</w:t>
      </w:r>
    </w:p>
    <w:p>
      <w:pPr>
        <w:numPr>
          <w:ilvl w:val="0"/>
          <w:numId w:val="1001"/>
        </w:numPr>
      </w:pPr>
      <w:r>
        <w:t xml:space="preserve">Version: 3.71 | Tool: Claude Code | Session: claude/keskeytyslaskuri-lifetime-missing-6uaxvu | Date: 27.06.2026 | Changes: Lukkokohtainen versionosto 3.70 → 3.71 kaikkien 4 opinnäytetyötiedoston yli CLAUDE.md:n opinnäytetyösäännön mukaan. v3.71:n substanssisisältö (keskeytyskustannusten taloustiede viiden ajurin mallina, joka laajentaa CSB-rataa CSB-I-alaradalla, johdettuna Keskeytyslaskuri-työkalusta osoitteessa lifetime.fi/laskuri/) on markkinasignaali-/kustannusanalyysipanos ja §1.4 master-vs-PhD-skooppisäännön mukaan se sijaitsee tiedostossa PHD_FIREHORSE_FI.md §14.20.8. Toteutuspuolen sisältöä ei kuulu tähän pro graduun tämän signaalin osalta, joten tiedosto saa pelkän lukkokohtaisen versionostomerkinnän eikä uusia osioita.</w:t>
      </w:r>
    </w:p>
    <w:p>
      <w:pPr>
        <w:numPr>
          <w:ilvl w:val="0"/>
          <w:numId w:val="1001"/>
        </w:numPr>
      </w:pPr>
      <w:r>
        <w:t xml:space="preserve">Version: 3.70 | Tool: Claude Code | Session: claude/nvidia-vera-rubin-card-be8g7t | Date: 25.06.2026 | Changes: Lukkokohtainen versionosto 3.69 → 3.70 kaikkien 4 opinnäytetyötiedoston yli CLAUDE.md:n opinnäytetyösäännön mukaan. v3.70:n substanssisisältö (säännellyn toimialan autonomisen insinöörin kategoria — 51 Firehorse Skilled-agentin + työnkulkuorkestroijien + KYA-sillan komponointi NemoClaw-pitkäkestoisiksi agenteiksi OpenShellin alla, hallintaympäristönä KYA/artikla 12/EU-suvereenius puolustettavana jäännöksenä) on strategia-/markkinasignaalipanos ja §1.4 master-vs-PhD-skooppisäännön mukaan se sijaitsee tiedostossa PHD_FIREHORSE_FI.md §14.32 ja Avainpanos #38. Toteutusta ei ole vielä toimitettu (thesis/strategia-first-päätös); tiedosto saa pelkän lukkokohtaisen versionostomerkinnän.</w:t>
      </w:r>
      <w:r>
        <w:t xml:space="preserve"> </w:t>
      </w:r>
      <w:r>
        <w:rPr>
          <w:rStyle w:val="VerbatimChar"/>
        </w:rPr>
        <w:t xml:space="preserve">Learn/</w:t>
      </w:r>
      <w:r>
        <w:t xml:space="preserve">-HTML generoitu uudelleen v3.70:een scripts/gen-thesis-html.cjs:llä.</w:t>
      </w:r>
    </w:p>
    <w:p>
      <w:pPr>
        <w:numPr>
          <w:ilvl w:val="0"/>
          <w:numId w:val="1001"/>
        </w:numPr>
      </w:pPr>
      <w:r>
        <w:t xml:space="preserve">Version: 3.69 | Tool: Claude Code | Session: claude/nvidia-vera-rubin-card-be8g7t | Date: 25.06.2026 | Changes: Lukkokohtainen versionosto 3.68 → 3.69 kaikkien 4 opinnäytetyötiedoston yli CLAUDE.md:n opinnäytetyösäännön mukaan. v3.69:n substanssisisältö (NVIDIAn kesäkuun 2026 EuroHPC EU-tekoälytehtaiden rakennusaalto julkisena EU-suvereenina koulutusyläjuoksuna sekä NVIDIAn avoin agenttiturvapino — NeMo Agent Toolkit, OpenShell-ydinhiekkalaatikkoajo, NemoClaw, Hermes/Nous Research — valmistajan tukemana referenssiajona KYA:n ASB/SIB-radoille) on markkinasignaali ja §1.4 master-vs-PhD-skooppisäännön mukaan se sijaitsee tiedostossa PHD_FIREHORSE_FI.md §14.31 ja Avainpanos #37. Ainoa toteutuspuolen seuraus — agenttiajon migraatio paljaasta OpenClawista OpenShell-hiekkalaatikoituun NemoClaw-distribuutioon turvallisuusperustein — seurataan rajattuna teknisenä migraationa, ei uutena pro gradu -osiona, joten tiedosto saa pelkän lukkokohtaisen versionostomerkinnän.</w:t>
      </w:r>
      <w:r>
        <w:t xml:space="preserve"> </w:t>
      </w:r>
      <w:r>
        <w:rPr>
          <w:rStyle w:val="VerbatimChar"/>
        </w:rPr>
        <w:t xml:space="preserve">Learn/</w:t>
      </w:r>
      <w:r>
        <w:t xml:space="preserve">-HTML generoitu uudelleen v3.69-muotoon scripts/gen-thesis-html.cjs:llä.</w:t>
      </w:r>
    </w:p>
    <w:p>
      <w:pPr>
        <w:numPr>
          <w:ilvl w:val="0"/>
          <w:numId w:val="1001"/>
        </w:numPr>
      </w:pPr>
      <w:r>
        <w:t xml:space="preserve">Version: 3.68 | Tool: Claude Code | Session: claude/aegis-multilingual-pages-3clsx0 | Date: 23.06.2026 | Changes: Lukkokohtainen versionosto 3.67 → 3.68 kaikkien 4 opinnäytetyötiedoston yli CLAUDE.md:n opinnäytetyösäännön mukaan. v3.68:n substanssisisältö (EU:n monikielinen terminologia suvereenien sääntelyväitteiden kanonisena konformanssikerroksena — asetuksen (EU) 2021/821 kaksikäyttötermi EU:n virallisilla kielillä; kansainvälisen lyhytmuodon vs. kansallisen virallisen muodon rekisteripäätös; sekä suvereenin puolustusmarkkinan asemointi suhteessa suomalaiseen puolustusteknologiaekosysteemiin — Nokia, Patria, VTT, NATO DIANA Espoo, EDIP 2026–2027) on markkina-/sääntelyasemointisignaali ja §1.4 master-vs-PhD-skooppisäännön mukaan se sijaitsee tiedostossa PHD_FIREHORSE_FI.md §14.30 (EU:n monikielinen suvereniteettipinta) ja Avainpanos #36. Toteutuspuolen artefakti — Aegis-esittelysivu (/aegis) ja tuotesivu (/products/aegis) renderöitynä viidellä EU-kielellä (FI/SV/DE/FR/EN) pystysuuntaisen kielipalkin (vertical-lang-bar.js v1.3) kautta paikallaan tapahtuvalla dws-lang-stay-vaihdolla ja kaksoiskansiopeilauksella dws10.com-sivustolla — on ohut web-GTM-pintamuutos, jonka olemassa oleva toimintamallikehys jo kattaa, eikä se vaadi uutta pro gradu -osiota.</w:t>
      </w:r>
      <w:r>
        <w:t xml:space="preserve"> </w:t>
      </w:r>
      <w:r>
        <w:rPr>
          <w:rStyle w:val="VerbatimChar"/>
        </w:rPr>
        <w:t xml:space="preserve">Learn/</w:t>
      </w:r>
      <w:r>
        <w:t xml:space="preserve">-HTML generoitu uudelleen v3.68-muotoon scripts/gen-thesis-html.cjs:llä.</w:t>
      </w:r>
    </w:p>
    <w:p>
      <w:pPr>
        <w:numPr>
          <w:ilvl w:val="0"/>
          <w:numId w:val="1001"/>
        </w:numPr>
      </w:pPr>
      <w:r>
        <w:t xml:space="preserve">Version: 3.67 | Tool: Claude Code | Session: claude/thesis-v3.64-lockstep-kqtal1 | Date: 21.06.2026 | Changes: Lukkokohtainen versionosto 3.66 → 3.67 kaikkien 4 opinnäytetyötiedoston yli CLAUDE.md:n opinnäytetyösäännön mukaan. v3.67:n substanssisisältö (VTV 10/2026 -ylimmän tarkastuselimen signaali Suomen julkisen sektorin tekoälyvalmiudesta) on markkina-/sääntelysignaali ja §1.4 master-vs-PhD-skooppisäännön mukaan se sijaitsee tiedostossa PHD_FIREHORSE_FI.md §14.29 (Suomen julkisen sektorin tekoälyadoption tarkastussignaali) ja Avainpanos #35. Toteutuspuolen sisältöä ei kuulu tähän pro graduun tämän signaalin osalta, joten tiedosto saa pelkän lukkokohtaisen versionostomerkinnän eikä uusia osioita.</w:t>
      </w:r>
      <w:r>
        <w:t xml:space="preserve"> </w:t>
      </w:r>
      <w:r>
        <w:rPr>
          <w:rStyle w:val="VerbatimChar"/>
        </w:rPr>
        <w:t xml:space="preserve">Learn/</w:t>
      </w:r>
      <w:r>
        <w:t xml:space="preserve">-HTML generoitu uudelleen v3.67-muotoon scripts/gen-thesis-html.cjs:llä.</w:t>
      </w:r>
    </w:p>
    <w:p>
      <w:pPr>
        <w:numPr>
          <w:ilvl w:val="0"/>
          <w:numId w:val="1001"/>
        </w:numPr>
      </w:pPr>
      <w:r>
        <w:t xml:space="preserve">Version: 3.66 | Tool: Claude Code | Session: claude/thesis-v3.64-lockstep-kqtal1 | Date: 21.06.2026 | Changes: Lisätty §5.2.1 (Merkkipaalu: Agentit → Silmukat → Työnkulut, kesäkuu 2026) — toteutusnäyttö kolmitasoiselle tekoälynatiivipinolle: 50 tuotanto-Skilled Agentia (BaseAgent + kirjanpitonatiivinen tulossopimus per Firehorse 7), Tekijä–Tarkastaja-Silmukkatekniikkaprimitiivi (PR #1447, commit d34876a, toimitettu 8.6.2026; levytilaan tallennettu tila / budjettirajoitin / turvarajoitin / jatkettavissa) ja käynnissä olevat moniagenttityönkulut (MCP Hub fan-out/peräkkäinen/reflektio); yhteenvetotaulukko mukana. Alkuperä: pidätetty sisältö haaralta claude/lifetime-agents-loops-workflows-t3448v (commit abe8409,</w:t>
      </w:r>
      <w:r>
        <w:t xml:space="preserve"> </w:t>
      </w:r>
      <w:r>
        <w:t xml:space="preserve">“</w:t>
      </w:r>
      <w:r>
        <w:t xml:space="preserve">v3.64 lockstep</w:t>
      </w:r>
      <w:r>
        <w:t xml:space="preserve">”</w:t>
      </w:r>
      <w:r>
        <w:t xml:space="preserve">), pidätettiin PR #1465:stä; rakennettu uudelleen nykyistä mainia vasten ja uudelleennumeroitu v3.64→v3.66, koska main oli itsenäisesti käyttänyt versiot v3.63/v3.64. Tieteellinen/toimintamallinen kehystys (3–7 v horisontti, EU AI Act -artiklat 12/14/15, rakenteellisen sekvensoinnin teesi) sijaitsee tiedostoissa PHD_FIREHORSE_EN/FI §14.28 ja Avainpanos #34 §1.4-skooppisäännön mukaan. Kaikki 4 opinnäytetyötiedostoa nostettu v3.66:een lukkokohtaisesti.</w:t>
      </w:r>
    </w:p>
    <w:p>
      <w:pPr>
        <w:numPr>
          <w:ilvl w:val="0"/>
          <w:numId w:val="1001"/>
        </w:numPr>
      </w:pPr>
      <w:r>
        <w:t xml:space="preserve">Version: 3.65 | Tool: Claude Code (claude-opus-4-8) | Session: claude/modest-keller-dGHtw | Date: 22.06.2026 | Changes: Lukittuversiopäivitys 3.64 → 3.65 kaikkien 4 opinnäytetyötiedoston yli CLAUDE.md:n opinnäytetyösäännön mukaan. Ei sisältömuutosta tässä master-opinnäytetyötiedostossa: v3.65:n sisällöllinen lisäys on kysyntäpuolen markkinasignaali (Simon Willisonin 29.05.2026 katsaus, joka vahvistaa yritysasiakkaiden maksavan listatun per-token-API-hinnan huhtikuusta 2026, uusimpien frontier-mallien hinnankorotukset, Anthropicin raportoitu noin 1,25 mrd $/kk SpaceX Colossus -inferenssikulutus sekä Opus-4.8:n rehellisyys/pidättäytymisparannukset), joka §1.4:n master-vs-PhD-skooppisäännön mukaan kuuluu vain väitöskirjaan. Katso PHD_FIREHORSE_FI.md §14.20.7 (Viikon 22 vahvistus: huhtikuun 2026 täysihintainflektio ja todennuskustannus-korollaari) tieteellistä kehystä varten, mukaan lukien todennuskustannus-tarkennus CSB-rataan (kustannuspinnan vakautta hallitsee sekä sisääntulon tokenhinta että ulostulon todennuskustannus). Firehorse-toimintamallin toteutuspuolen ominaisuudet, joille tämä signaali altistuu (Spark-omistettu laskenta §10.10.6.1, prompt-välimuisti, OpenClaw omistetulla raudalla), on jo dokumentoitu tässä master-opinnäytetyössä eivätkä vaadi uusia lukuja — signaali validoi olemassa olevan toteutuskurin. Liiteartefakti: docs/field-notes/2026-06-01-simon-willison-pmf-api-cost-edge-moat.md; asiakaspintaan nostot dws10.com-etusivulla (</w:t>
      </w:r>
      <w:r>
        <w:t xml:space="preserve">“</w:t>
      </w:r>
      <w:r>
        <w:t xml:space="preserve">The European Moat</w:t>
      </w:r>
      <w:r>
        <w:t xml:space="preserve">”</w:t>
      </w:r>
      <w:r>
        <w:t xml:space="preserve">) ja osto-sivulla (</w:t>
      </w:r>
      <w:r>
        <w:t xml:space="preserve">“</w:t>
      </w:r>
      <w:r>
        <w:t xml:space="preserve">No Per-Token Cost</w:t>
      </w:r>
      <w:r>
        <w:t xml:space="preserve">”</w:t>
      </w:r>
      <w:r>
        <w:t xml:space="preserve">), molemmat peilattu landing-pages/dws10-com/-hakemistoon.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3.64 | Tool: Claude Code (claude-opus-4-8) | Session: claude/capital-classes-audit-jgworp | Date: 20.06.2026 | Changes: Lisätty §10.23.7 (Neljän pääomaluokan kartoitus arkkitehtuuriin) — kartoittaa 4P-kaanon (Prompt, Ihmiset, Laitos, Havainto) DWS IQ 6:n Aivot-Muisti-Keho-Kädet-arkkitehtuuriin komponenttikartoitustaulukolla ja ristiviittauksilla; esittelee GTM-laajene-käyttöönottomalliin Havaintopääoman kertymismekanismin toteutustason seurauksena; Avainpanos #33. Lukittuversiopäivitys 3.63 → 3.64 CLAUDE.md:n opinnäytetyösäännön mukaan; väitöskirjan §14.26/§14.27 (teoria + Kaukopää-tapaus) PHD_FIREHORSE_EN/FI.md:ssä ovat tieteellinen kehys (väitöskirjan skooppi §1.4:n mukaan). Liiteartefaktit: docs/field-notes/2026-06-19-token-capital-human-capital-control-room-capital.md (v2.0), DWS_BRAND_STANDARD.md §23.</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3.63 | Tool: Claude Code (claude-fable-5) | Session: claude/token-human-capital-mjrbc7 | Date: 19.06.2026 | Changes: Lisätty §10.23 (Kolmen pääoman kertymismalli — token-pääoma, inhimillinen pääoma ja Control Room -pääoma DWS IQ 6 -toimintamallin kestävinä omaisuuserinä). Toteutuspuolen sisältö §1.4:n master-vs-PhD-skooppisäännön mukaisesti: dokumentoi 7 kuukauden HIL-vaiheen (loka 2025 – kesä 2026) tuotantoinsinöörointitapahtumana, mitatun token-pääomainventaarion (30+ taitoa, 150+ kenttämuistiota, 50-agentin foundry, artikla 12 -auditointipolku), Control Room -arkkitehtuurin käyttöönottona DWS IQ 6:ssa sekä HIL → HIC -operatiivisen siirtymän kesäkuun 2026 havainnon. Markkinasignaali ja tieteellinen kehystys (Nadella Build 2026, teoreettinen kolmen pääoman malli, kilpailueste-analyysi, KYA-standardin laajennus) asuvat PHD_FIREHORSE_FI.md §14.25:ssä ja Avainpanos #30:ssa. Kaikki 4 opinnäytetyötiedostoa nostettu v3.63:een lukitusti CLAUDE.md:n opinnäytetyösäännön mukaan. Liiteartefakti: docs/field-notes/2026-06-19-token-capital-human-capital-control-room-capital.md.</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3.62 | Tool: Claude Code | Session: claude/ai-spending-coalition-china-b8d2c | Date: 07.06.2026 | Changes: Lukkokohtainen versionosto 3.61 → 3.62 kaikkien 4 opinnäytetyötiedoston yli CLAUDE.md:n opinnäytetyösäännön mukaan. §1.4 master-vs-PhD-skooppisäännön mukaisesti v3.62:n sisältölisäys (vuosi-vuodelta-tutkimus</w:t>
      </w:r>
      <w:r>
        <w:t xml:space="preserve"> </w:t>
      </w:r>
      <w:r>
        <w:t xml:space="preserve">“</w:t>
      </w:r>
      <w:r>
        <w:t xml:space="preserve">halukkaiden koalition</w:t>
      </w:r>
      <w:r>
        <w:t xml:space="preserve">”</w:t>
      </w:r>
      <w:r>
        <w:t xml:space="preserve"> </w:t>
      </w:r>
      <w:r>
        <w:t xml:space="preserve">— G7 + liittolaiskumppanit — tekoälymenoista verrattuna Kiinaan, skooppi = kaikki tekoälysijoittaminen) on markkinasignaali / tieteellinen kehystys ja sijaitsee PHD_FIREHORSE_FI.md §14.24:ssä (Tekoälymenojen epäsymmetria: G7-plus-kumppanit -koalition pääomaherruus, Kiinan pääomatehokkuuden vastatrajektori ja suvereeni-laskennan implikaatio) sekä Avainpanos #29:ssä. Tähän signaaliin ei kuulu toteutuspuolen sisältöä tähän maisterityöhön, joten tämä tiedosto saa pelkän lukkokohtaisen versionostomerkinnän eikä uusia osioita. PhD-osion ensisijaiset lähteet: Stanford HAI AI Index Report 2025 &amp; 2026 (Economy-luvut); Pariisin AI Action Summit (helmi 2025); G7 2025 (Kanadan puheenjohtajuus) AI Adoption Roadmap.</w:t>
      </w:r>
    </w:p>
    <w:p>
      <w:pPr>
        <w:numPr>
          <w:ilvl w:val="0"/>
          <w:numId w:val="1001"/>
        </w:numPr>
      </w:pPr>
      <w:r>
        <w:t xml:space="preserve">Version: 3.61 | Tool: Claude Code (claude-opus-4-7) | Session: claude/sovereignty-field-note-2-R0Un5 | Date: 28.05.2026 | Changes: Lukkokohtainen versionosto 3.60 → 3.61 kaikkien 4 opinnäytetyötiedoston yli CLAUDE.md:n opinnäytetyösäännön mukaan. §1.4 master-vs-PhD-skooppisäännön mukaisesti v3.61:n sisältölisäys (kolmen pilarin × kolmen jurisdiktion suvereniteettitaksonomia sekä post-kvanttisalauksen overlay) on markkinasignaali / tieteellinen kehystys ja sijaitsee PHD_FIREHORSE_FI.md §14.23:ssa (Kolmen pilarin suvereniteettitaksonomia ja jurisdiktiokohtainen dynaamisuus globaaleissa yrityksissä) sekä Avainpanos #28:ssa; §1.2 PhD-tutkimuskysymykset on uudelleenrakennettu siten, että Suvereniteetti on kohta 1 (yhdistävä tutkimuslanka) ja §1.6 ohjaajakirje prof. Kari Smolanderille on päivitetty v3.61-versioon. Firehorse-toimintamallin toteutuspuolen ominaisuudet, jotka yhdistyvät tähän taksonomiaan (DWS6:n Aegis / Sovereign Infra / Connect -tuotesegmentointi</w:t>
      </w:r>
      <w:r>
        <w:t xml:space="preserve"> </w:t>
      </w:r>
      <w:r>
        <w:rPr>
          <w:rStyle w:val="VerbatimChar"/>
        </w:rPr>
        <w:t xml:space="preserve">DWS_DEPLOYMENT_STANDARD.md</w:t>
      </w:r>
      <w:r>
        <w:t xml:space="preserve"> </w:t>
      </w:r>
      <w:r>
        <w:t xml:space="preserve">riveillä 165–172) ovat jo dokumentoituina tässä maisterityössä suvereniteettisegmentoinnin yhteydessä, eivätkä uudet toteutusosiot ole tarpeen. Tämä commit lisää uuden päättävän osion</w:t>
      </w:r>
      <w:r>
        <w:t xml:space="preserve"> </w:t>
      </w:r>
      <w:r>
        <w:t xml:space="preserve">“</w:t>
      </w:r>
      <w:r>
        <w:t xml:space="preserve">Bibliografia (Oxford)</w:t>
      </w:r>
      <w:r>
        <w:t xml:space="preserve">”</w:t>
      </w:r>
      <w:r>
        <w:t xml:space="preserve">, joka luettelee kanoniset lähteet, joihin tämä maisterityö viittaa, sekä lukukohtaisen indeksin osoittaen, mikä luku siteeraa mitäkin lähdettä (Oxford notes-bibliography -tyyli). Liiteartefaktit: docs/field-notes/2026-05-28-three-pillars-sovereignty-global.md (bilingual EN+FI field note), onelifetime.world/posts/sovereignty-field-note-2-three-pillars.html (EN canonical) + .fi.html (FI mirror) landing-pages-peileineen, docs/sales/2026-05-28-rightful-oy-partnership-proposal.md, sekä Shufti-kumppanikirjeen päivitys.</w:t>
      </w:r>
    </w:p>
    <w:p>
      <w:pPr>
        <w:numPr>
          <w:ilvl w:val="0"/>
          <w:numId w:val="1001"/>
        </w:numPr>
      </w:pPr>
      <w:r>
        <w:t xml:space="preserve">Version: 3.60 | Tool: Claude Code (claude-opus-4-7) | Session: claude/ai-services-audit-eY3rW | Date: 27.05.2026 | Changes: Lukkokohtainen versionosto 3.59 → 3.60 kaikkien 4 opinnäytetyötiedoston yli CLAUDE.md:n opinnäytetyösäännön mukaan. Ei sisältömuutosta tässä maisteritiedostossa: v3.60:n sisältölisäys on palvelutason markkinasignaali (2026-05-04 muodostettiin 1,5 mrd dollarin tekoälynatiivinen yrityspalveluyhtiö — Anthropic 300 M$ + Blackstone 300 M$ + Hellman &amp; Friedman 300 M$ + Goldman Sachs 150 M$ perustaja — joka kohdistuu keskikokoisiin yrityksiin Clauden käyttöönotossa ydintoiminnoissa; 2026-05-21 hankittiin Fractional AI operatiiviseksi keskukseksi, päättäen Fractionalin 11 kuukauden OpenAI-kumppanuuden), joka master-vs-PhD-skooppisäännön §1.4 mukaan kuuluu vain väitöskirjaan. Katso PHD_FIREHORSE_FI.md §14.22 (Malli-toimittajaan kohdistettu palvelutaso: Anthropic / Blackstone / Hellman &amp; Friedman / Goldman Sachs -järjestelmä ja suvereeni-tulosperusteinen vastapositio) ja Avainpanos #27 (Malli-toimittajaan kohdistettu palvelutaso ja suvereeni-tulosperusteinen vastapositio) tieteellistä kehystystä varten, mukaan lukien kilpailuasemoinnin nostaminen KYA-konformanssipredikaatiksi, joka on testattavissa olemassa olevan nelirataisen ASB / EAB / CSB / SIB -sanaston kautta. Firehorse-toimintamallin toteutuspuolen ominaisuudet, jotka yhdistyvät tähän signaaliin (katalogiuudelleenpositiointi 8:lle punaisen alueen konsultointi-SKU:lle, kaksi uutta tulosperusteista SKU:ta AIS-EU-SOV-OC ja AIS-OUTCOME-PILOT, kahden</w:t>
      </w:r>
      <w:r>
        <w:t xml:space="preserve"> </w:t>
      </w:r>
      <w:r>
        <w:rPr>
          <w:rStyle w:val="VerbatimChar"/>
        </w:rPr>
        <w:t xml:space="preserve">_OLD</w:t>
      </w:r>
      <w:r>
        <w:t xml:space="preserve">-SKU:n poisto, kuuden puolustettavan sääntely-/suvereniteetti-SKU:n nostaminen featured-tilaan) on koodattu operatiivisesti</w:t>
      </w:r>
      <w:r>
        <w:t xml:space="preserve"> </w:t>
      </w:r>
      <w:r>
        <w:rPr>
          <w:rStyle w:val="VerbatimChar"/>
        </w:rPr>
        <w:t xml:space="preserve">scripts/ai_services_audit_apply.py</w:t>
      </w:r>
      <w:r>
        <w:t xml:space="preserve">:ään ja sovellettu</w:t>
      </w:r>
      <w:r>
        <w:t xml:space="preserve"> </w:t>
      </w:r>
      <w:r>
        <w:rPr>
          <w:rStyle w:val="VerbatimChar"/>
        </w:rPr>
        <w:t xml:space="preserve">dws10.com/config/products.json</w:t>
      </w:r>
      <w:r>
        <w:t xml:space="preserve">:iin sekä dual-folder-peilauskohteeseen samassa commit-setissä osana normaalia tuote-operointia; ne eivät vaadi uusia maisteri-osioita, koska katalogikerros on tuote-toteutusartefakti, joka on jo katettu olemassa olevassa toimintamallin kehystyksessä.</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3.59 | Tool: Claude Code (Opus 4.7) | Session: claude/unitree-robotics-story-Ggp7v | Date: 23.05.2026 | Changes: Lukkokohtainen versionosto 3.58 → 3.59 kaikkien 4 opinnäytetyötiedoston yli CLAUDE.md:n opinnäytetyösäännön mukaan. Ei sisältömuutosta tässä maisteritiedostossa: v3.59:n sisältölisäys on markkinasignaali (Unitree Roboticsin kaupallinen profiili — humanoidit 5 900 $ vs. Boston Dynamicsin nelijalkainen 74 500 $, ~70 % maailmanlaajuisesta nelijalkaismarkkinasta, yli 7 000 humanoidia käyttöönotettuna yli 600 teollisuussijaintiin, ainoa kannattava humanoidivalmistaja maapallolla + 200 tunnin 249 000 paketin autonominen varastoajo + PLA-/Ukraina-aseistuskuvamateriaali ja House China Committee -kirje + dokumentoidut Go1/G1-turvallisuuslöydökset: oletustunnusten etätunneli, laivueenlaajuinen jaettu salausavain, Bluetooth-itsensäleviäminen, pakollinen 5 minuutin telemetria PRC-saavutettavaan infrastruktuuriin G1:llä), joka master-vs-PhD-skooppisäännön §1.4 mukaan kuuluu vain väitöskirjaan. Katso PHD_FIREHORSE_FI.md §14.21 (Kiinan humanoidisignaali: vertikaalisen integraation vallihauta, ruumiillistetun tekoälyn kaupallinen kypsyys ja turvallisuuden vs. suvereniteetin jännite) ja Avainpanos #26 (Vertikaalisen integraation vallihauta ja substraatin eheyden konformanssi ruumiillistetun tekoälyn toimintamalleissa) tieteellistä kehystystä varten, mukaan lukien uusi SIB-rata (Substraatin eheyden konformanssi), joka laajentaa KYA-standardin neljän radan sarjaksi ASB / EAB / CSB / SIB ja operatiivisesti määrittelee §14.13:n LWM-sekvensointistrategian Vaiheen 3 (fyysinen tekoäly) kelpoisuusominaisuuden. Firehorse-toimintamallin toteutuspuolen ominaisuudet, jotka yhdistyvät tähän signaaliin (KYA-sidottu agenttipopulaatio, laitteistotodennettu harness §14.12, LWM-sekvensointistrategia §14.13, omistetun-substraatin testialusta) on jo dokumentoitu tämän maisteritutkielman omissa luvuissaan eivätkä vaadi lisäyksiä — signaali validoi olemassa olevan toteutuskurin ja lisää standardikerroksen laajennuksen (SIB-rata), joka kuuluu PhD-tieteelliseen skooppiin pikemminkin kuin maisterin tuote-toteutusskooppiin.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3.58 | Tool: Claude Code (Opus 4.7) | Session: claude/ai-pricing-enterprise-Cnzfu | Date: 21.05.2026 | Changes: Lukkokohtainen versionosto 3.57 → 3.58 kaikkien 4 opinnäytetyötiedoston yli CLAUDE.md:n opinnäytetyösäännön mukaan. Ei sisältömuutosta tässä maisteritiedostossa: v3.58:n sisältölisäys on kysyntäpuolen markkinasignaali (Microsoft peruu sisäiset Claude Code -lisenssit token-laskutuksen vuoksi ~13 mrd $ OpenAI-omistuksesta ja Anthropic-laskentaa pyörittävästä Azure-kapasiteetista huolimatta; Uberin CTO-muistio — koko vuoden 2026 tekoälybudjetti kulutettu neljässä kuukaudessa; Yhdysvaltain tekoälyohjelmistojen hinnat +20–37 % H1 2026:ssa; GitHubin kiinteähintaiset suunnitelmat poistetaan käyttöperusteisen laskutuksen hyväksi Copilot/Codespaces/Actions-tuotteissa), joka master-vs-PhD-skooppisäännön §1.4 mukaan kuuluu vain väitöskirjaan. Katso PHD_FIREHORSE_FI.md §14.20 (Tekoälyn hinnoittelukapitulaatio: token-pohjaisen laskutuksen puristus ja omistetun laskennan käyttökustannuskuri) ja Avainpanos #25 (Kysyntäpuolen kapitulaatio ja agenttisen tekoälyn konformanssin kustannuspinnan-vakauden ulottuvuus) tieteellistä kehystystä varten, mukaan lukien uusi CSB-rata (Cost-Surface Stability käyttöönotossa), joka laajentaa EU:n tekoälysäädöksen artiklan 14 valvonnan laadusta kohtuuhintaisuus-vakaus-muuttujaan. Firehorse-toimintamallin toteutuspuolen ominaisuudet, jotka altistuvat tälle signaalille (Spark NVFP4 omistettu laskenta §10.10.6.1, prompt-välimuistiarkkitehtuuri, OpenClaw omistetulla raudalla, Proton-postilaatikko-per-agentti, monituottajareititys tehtävätietoisella malli-valitsijalla) on jo dokumentoitu tämän maisteritutkielman omissa luvuissaan eivätkä vaadi lisäyksiä — signaali validoi olemassa olevan toteutuskurin sen sijaan, että käynnistäisi uuden tuotetyön.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3.57 | Tool: Claude Code (Opus 4.7) | Session: claude/multi-agent-ai-alignment-F2NIO | Date: 17.05.2026 | Changes: Lukkokohtainen versionosto 3.56 → 3.57 kaikkien 4 opinnäytetyötiedoston yli CLAUDE.md:n opinnäytetyösäännön mukaan. Ei sisältömuutosta tässä maisteritiedostossa: v3.57:n sisältölisäys on markkinasignaali ja standardointi-signaali (Shapira et al. </w:t>
      </w:r>
      <w:r>
        <w:t xml:space="preserve">“</w:t>
      </w:r>
      <w:r>
        <w:t xml:space="preserve">Agents of Chaos</w:t>
      </w:r>
      <w:r>
        <w:t xml:space="preserve">”</w:t>
      </w:r>
      <w:r>
        <w:t xml:space="preserve"> </w:t>
      </w:r>
      <w:r>
        <w:t xml:space="preserve">arXiv:2602.20021 + Emergence AI</w:t>
      </w:r>
      <w:r>
        <w:t xml:space="preserve"> </w:t>
      </w:r>
      <w:r>
        <w:t xml:space="preserve">“</w:t>
      </w:r>
      <w:r>
        <w:t xml:space="preserve">Emergence World</w:t>
      </w:r>
      <w:r>
        <w:t xml:space="preserve">”</w:t>
      </w:r>
      <w:r>
        <w:t xml:space="preserve"> </w:t>
      </w:r>
      <w:r>
        <w:t xml:space="preserve">world.emergence.ai → KYA-standardi falsifioitavuuden ankkurina), joka master-vs-PhD-skooppisäännön §1.4 mukaan kuuluu vain väitöskirjaan. Katso PHD_FIREHORSE_FI.md §14.19 (Moniagenttisten järjestelmien emergentti väärinkohdistus ja kannustinten suunnittelu kohdistuksen yksikkönä) ja Avainpanos #24 tieteellistä kehystystä varten.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3.56 | Tool: Claude Code | Session: claude/compare-qwen-deepseek-E6Gly | Date: 16.05.2026 | Changes: Lisätty §10.10.6.1 (Laitteistollisen Brainin päivitys — toukokuu 2026), joka dokumentoi Spark Primary tierin vaihdon</w:t>
      </w:r>
      <w:r>
        <w:t xml:space="preserve"> </w:t>
      </w:r>
      <w:r>
        <w:rPr>
          <w:rStyle w:val="VerbatimChar"/>
        </w:rPr>
        <w:t xml:space="preserve">llama3.3:70b</w:t>
      </w:r>
      <w:r>
        <w:t xml:space="preserve">:stä</w:t>
      </w:r>
      <w:r>
        <w:t xml:space="preserve"> </w:t>
      </w:r>
      <w:r>
        <w:rPr>
          <w:rStyle w:val="VerbatimChar"/>
        </w:rPr>
        <w:t xml:space="preserve">nemotron-3-super</w:t>
      </w:r>
      <w:r>
        <w:t xml:space="preserve">:iin (~4,5× dekoodausnopeus, MoE 123,6B / 12,7B aktiivisia, Mamba-2 + attentio + Latent MoE, NVFP4-esikoulutettu), Fast tierin päivityksen</w:t>
      </w:r>
      <w:r>
        <w:t xml:space="preserve"> </w:t>
      </w:r>
      <w:r>
        <w:rPr>
          <w:rStyle w:val="VerbatimChar"/>
        </w:rPr>
        <w:t xml:space="preserve">qwen2.5-coder:32b</w:t>
      </w:r>
      <w:r>
        <w:t xml:space="preserve">:stä</w:t>
      </w:r>
      <w:r>
        <w:t xml:space="preserve"> </w:t>
      </w:r>
      <w:r>
        <w:rPr>
          <w:rStyle w:val="VerbatimChar"/>
        </w:rPr>
        <w:t xml:space="preserve">qwen3-coder:30b</w:t>
      </w:r>
      <w:r>
        <w:t xml:space="preserve">:hen, sekä OpenClawn lisäämisen ensiluokkaiseksi compose-palveluksi EU-suvereeneille no-egress agenttityökuormille. Toteutusartefaktit viitattu: kenttämuistio 2026-03-29 v1.6, DWS_DEPLOYMENT_STANDARD.md v1.4, docker-compose.yml, DWS7_ROADMAP.md PR 161 uudelleenperustus. Markkinasignaaliperustelu (laskentaniukkuus, NVFP4-laitteistovallihauta) viitattu PHD_FIREHORSE_FI §14.18:aan master-vs-PhD-skooppisäännön §1.4 mukaisesti. Kaikki 4 opinnäytetyötiedostoa nostettu v3.56:een lukitusti CLAUDE.md:n ohjeen mukaan.</w:t>
      </w:r>
      <w:r>
        <w:t xml:space="preserve"> </w:t>
      </w:r>
      <w:r>
        <w:rPr>
          <w:rStyle w:val="VerbatimChar"/>
        </w:rPr>
        <w:t xml:space="preserve">Learn/</w:t>
      </w:r>
      <w:r>
        <w:t xml:space="preserve">-HTML-uudelleengenerointi tarvitaan (ei tässä committissa — vaatii Pandoc-buildin).</w:t>
      </w:r>
    </w:p>
    <w:p>
      <w:pPr>
        <w:numPr>
          <w:ilvl w:val="0"/>
          <w:numId w:val="1001"/>
        </w:numPr>
      </w:pPr>
      <w:r>
        <w:t xml:space="preserve">Version: 3.55 | Tool: GitHub Copilot CLI (GPT-5.3-Codex) | Session: main | Date: 11.05.2026 | Changes: Versiopäivitys 3.54 -&gt; 3.55 lukitussa 4 opinnäytetyötiedoston ketjussa; VERSION AND AGENT HISTORY -lohkon sulkeva erotin korjattu muotoon ***; Learn-kansion opinnäytetyön HTML-julkaisut generoitu v3.55-muotoon</w:t>
      </w:r>
    </w:p>
    <w:p>
      <w:pPr>
        <w:numPr>
          <w:ilvl w:val="0"/>
          <w:numId w:val="1001"/>
        </w:numPr>
      </w:pPr>
      <w:r>
        <w:t xml:space="preserve">Version: 3.54 | Tool: Claude Code (Sonnet 4.6) | Session: main | Date: 10.05.2026 | Changes: Lisätty §1.4 Sisältörajaus — maisteriopinnäytetyö on tuote/toteutuslähtöinen, ei sisällä markkinatietoa eikä pitkän aikavälin tiekarttaa; rajaus kirjattu CLAUDE.md:hen ja peilattu kaikkiin 4 opinnäytetyötiedostoon; väitöskirjan eriytyminen formalisoitu; versionosto rinnakkain CLAUDE.md:n ohjeen mukaan</w:t>
      </w:r>
    </w:p>
    <w:p>
      <w:pPr>
        <w:numPr>
          <w:ilvl w:val="0"/>
          <w:numId w:val="1001"/>
        </w:numPr>
      </w:pPr>
      <w:r>
        <w:t xml:space="preserve">Version: 3.53 | Tool: Claude Code (Sonnet 4.6) | Session: main | Date: 10.05.2026 | Changes: Lisätty agenttien vastuullisuus- ja havainnointitaso uutena avainpanoksena: AgentLogger (jäsennelty JSONL + ei-blokkaava Supabase agent_executions), AgentVersionRegistry rollback-tukea varten, drift-detector.ts päivittäisten luottamuspisteiden laskuraportteja varten, eval-runner.ts noudattamisaineistojen pisteytystä varten — toteuttaa suoraan EU:n tekoälysäädöksen artiklojen 9 (riskinhallinta), 12 (lokitus) ja 14 (ihmisvalvonta) vaatimukset tuotantokoodina; Baseten lisätty OpenAI-yhteensopivaksi LLM-tarjoajaksi laajentaen monituottajareititystä Groq/Baseten/OpenAI-vaihtoehtoihin tehtävätietoisella model-selector-valinnalla; /case-run-taito rekisteröity (Themis v2.0 case-coordinate-toiminto, Legora AOS -kilpailuanalyysi DWS Case -entiteetin tiekartalla); Outokumpu CBAM -kumppanuusmalli ensimmäisenä teollisuusostaajan vaatimustenmukaisuuskustannusten kvantifiointitapauksena; TokenSpeed-inferenssimoottori (LightSeek MIT, DGX Spark -sopivuusarvio); kaikki 4 opinnäytetyötiedostoa nostettu rinnakkain CLAUDE.md:n ohjeen mukaan</w:t>
      </w:r>
    </w:p>
    <w:p>
      <w:pPr>
        <w:numPr>
          <w:ilvl w:val="0"/>
          <w:numId w:val="1001"/>
        </w:numPr>
      </w:pPr>
      <w:r>
        <w:t xml:space="preserve">Version: 3.52 | Tool: Claude Code (Opus 4.7) | Session: claude/update-thesis-ontology-blog-3RGKG | Date: 29.04.2026 | Changes: Lisätty luku 1.6</w:t>
      </w:r>
      <w:r>
        <w:t xml:space="preserve"> </w:t>
      </w:r>
      <w:r>
        <w:t xml:space="preserve">“</w:t>
      </w:r>
      <w:r>
        <w:t xml:space="preserve">Ontologia — etymologia ja filosofinen tausta</w:t>
      </w:r>
      <w:r>
        <w:t xml:space="preserve">”</w:t>
      </w:r>
      <w:r>
        <w:t xml:space="preserve">, joka linkittää opinnäytetyön ONTOLOGY.md v1.3 -dokumenttiin (kreikan ón + lógos, Aristoteles, skolastiikan 1600–1700-luvun systematisointi, nykyinen tietojenkäsittelytieteen merkitys). Yhdenmukaistaa terminologian DWS Ontology Standardin kanssa. Kaikki 4 opinnäytetyötiedostoa nostettu lukon mukaisesti CLAUDE.md:n ohjeen mukaan.</w:t>
      </w:r>
    </w:p>
    <w:p>
      <w:pPr>
        <w:numPr>
          <w:ilvl w:val="0"/>
          <w:numId w:val="1001"/>
        </w:numPr>
      </w:pPr>
      <w:r>
        <w:t xml:space="preserve">Version: 3.51 | Tool: Claude Code (Haiku 4.5) | Session: claude/sync-version-numbering-adEeB | Date: 28.04.2026 | Changes: Bumped from 3.39 to 3.51 (12 steps × 0.01). Unified thesis version track maintained. Created new Tutkimussuunnitelma_3.51.md (Research Plan) with three research streams (KYA standardization, DWS 7 empirical testbed, dual-use industries), eight research questions,</w:t>
      </w:r>
      <w:r>
        <w:t xml:space="preserve"> </w:t>
      </w:r>
      <w:r>
        <w:t xml:space="preserve">“</w:t>
      </w:r>
      <w:r>
        <w:t xml:space="preserve">Human in Command ja Human in Loop</w:t>
      </w:r>
      <w:r>
        <w:t xml:space="preserve">”</w:t>
      </w:r>
      <w:r>
        <w:t xml:space="preserve"> </w:t>
      </w:r>
      <w:r>
        <w:t xml:space="preserve">governance framework; versioning format rule (.X9 → .X+1,0) documented for DWS_DOCUMENT_STANDARD.md §5</w:t>
      </w:r>
    </w:p>
    <w:p>
      <w:pPr>
        <w:numPr>
          <w:ilvl w:val="0"/>
          <w:numId w:val="1001"/>
        </w:numPr>
      </w:pPr>
      <w:r>
        <w:t xml:space="preserve">Version: 3.39 | Tool: Claude Code (Opus 4.7) | Session: claude/kya-memory-binding-RuJ0G | Date: 23.04.2026 | Changes: Terminology rename —</w:t>
      </w:r>
      <w:r>
        <w:t xml:space="preserve"> </w:t>
      </w:r>
      <w:r>
        <w:t xml:space="preserve">“</w:t>
      </w:r>
      <w:r>
        <w:t xml:space="preserve">Aiven overlay</w:t>
      </w:r>
      <w:r>
        <w:t xml:space="preserve">”</w:t>
      </w:r>
      <w:r>
        <w:t xml:space="preserve"> </w:t>
      </w:r>
      <w:r>
        <w:t xml:space="preserve">/</w:t>
      </w:r>
      <w:r>
        <w:t xml:space="preserve"> </w:t>
      </w:r>
      <w:r>
        <w:t xml:space="preserve">“</w:t>
      </w:r>
      <w:r>
        <w:t xml:space="preserve">Aiven layer</w:t>
      </w:r>
      <w:r>
        <w:t xml:space="preserve">”</w:t>
      </w:r>
      <w:r>
        <w:t xml:space="preserve"> </w:t>
      </w:r>
      <w:r>
        <w:t xml:space="preserve">(deprecated infrastructure labels) →</w:t>
      </w:r>
      <w:r>
        <w:t xml:space="preserve"> </w:t>
      </w:r>
      <w:r>
        <w:t xml:space="preserve">“</w:t>
      </w:r>
      <w:r>
        <w:t xml:space="preserve">Article 12 Logging Pipeline</w:t>
      </w:r>
      <w:r>
        <w:t xml:space="preserve">”</w:t>
      </w:r>
      <w:r>
        <w:t xml:space="preserve"> </w:t>
      </w:r>
      <w:r>
        <w:t xml:space="preserve">per new DWS_ARTICLE_12_LOGGING_STANDARD.md v1.0 (unified 3-tier canonical term). Aiven remains the correct name for the Postgres SaaS. All 4 thesis files bumped in lockstep per CLAUDE.md thesis rule; only V3Thesis_EN had the infra-context string in content</w:t>
      </w:r>
    </w:p>
    <w:p>
      <w:pPr>
        <w:numPr>
          <w:ilvl w:val="0"/>
          <w:numId w:val="1001"/>
        </w:numPr>
      </w:pPr>
      <w:r>
        <w:t xml:space="preserve">Version: 3.38 | Tool: Claude Code (Opus 4.7) | Session: claude/kya-memory-binding-RuJ0G | Date: 23.04.2026 | Changes: Typo correction —</w:t>
      </w:r>
      <w:r>
        <w:t xml:space="preserve"> </w:t>
      </w:r>
      <w:r>
        <w:t xml:space="preserve">“</w:t>
      </w:r>
      <w:r>
        <w:t xml:space="preserve">Aiwen</w:t>
      </w:r>
      <w:r>
        <w:t xml:space="preserve">”</w:t>
      </w:r>
      <w:r>
        <w:t xml:space="preserve"> </w:t>
      </w:r>
      <w:r>
        <w:t xml:space="preserve">→</w:t>
      </w:r>
      <w:r>
        <w:t xml:space="preserve"> </w:t>
      </w:r>
      <w:r>
        <w:t xml:space="preserve">“</w:t>
      </w:r>
      <w:r>
        <w:t xml:space="preserve">Aiven</w:t>
      </w:r>
      <w:r>
        <w:t xml:space="preserve">”</w:t>
      </w:r>
      <w:r>
        <w:t xml:space="preserve"> </w:t>
      </w:r>
      <w:r>
        <w:t xml:space="preserve">(Aiven.io is our Helsinki Postgres partner) as part of repo-wide sweep of 116 files; no content change beyond the spelling fix; unified version track preserved (all 4 thesis files bumped in lockstep per CLAUDE.md thesis rule)</w:t>
      </w:r>
    </w:p>
    <w:p>
      <w:pPr>
        <w:numPr>
          <w:ilvl w:val="0"/>
          <w:numId w:val="1001"/>
        </w:numPr>
      </w:pPr>
      <w:r>
        <w:t xml:space="preserve">Version: 3.37 | Tool: Claude Code (Opus 4.7) | Session: claude/rename-godagents-skilled-dXqBs | Date: 22.04.2026 | Changes: Lisätty osio 10.22 (DWS Skilled -taksonomia — kolme tasoa agenteille, työnkuluille ja jurisdiktioille);</w:t>
      </w:r>
      <w:r>
        <w:t xml:space="preserve"> </w:t>
      </w:r>
      <w:r>
        <w:t xml:space="preserve">“</w:t>
      </w:r>
      <w:r>
        <w:t xml:space="preserve">GodAgent</w:t>
      </w:r>
      <w:r>
        <w:t xml:space="preserve">”</w:t>
      </w:r>
      <w:r>
        <w:t xml:space="preserve">/</w:t>
      </w:r>
      <w:r>
        <w:t xml:space="preserve">“</w:t>
      </w:r>
      <w:r>
        <w:t xml:space="preserve">Godagent</w:t>
      </w:r>
      <w:r>
        <w:t xml:space="preserve">”</w:t>
      </w:r>
      <w:r>
        <w:t xml:space="preserve">-brändäys poistettu käytöstä; kodifioitu</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-kolmitasomalli kolmelle aktiiviselle akselille (Agentit, Työnkulut, Jurisdiktiot — EU/US/Aiven); malli suunniteltu laajennettavuuden tähden tuleville kyvykkyysakseleille (Datasets, Models, Regulations, Reports); lisätty lukumäärien dynamiikkakaavat (avoin</w:t>
      </w:r>
      <w:r>
        <w:t xml:space="preserve"> </w:t>
      </w:r>
      <w:r>
        <w:rPr>
          <w:rStyle w:val="VerbatimChar"/>
        </w:rPr>
        <w:t xml:space="preserve">18+</w:t>
      </w:r>
      <w:r>
        <w:t xml:space="preserve">, rekisteriankkuroitu, tuotekohtainen); kodifioidut poikkeukset (Docker/infra-tunnisteet, Pantheon kreikkalaismyyttinen brändi, historialliset tietueet); kanoninen lähde</w:t>
      </w:r>
      <w:r>
        <w:t xml:space="preserve"> </w:t>
      </w:r>
      <w:r>
        <w:rPr>
          <w:rStyle w:val="VerbatimChar"/>
        </w:rPr>
        <w:t xml:space="preserve">docs/Deputy-Agents-Architecture.md</w:t>
      </w:r>
      <w:r>
        <w:t xml:space="preserve"> </w:t>
      </w:r>
      <w:r>
        <w:t xml:space="preserve">§1 Terminologia; lisätty avainpanos #31</w:t>
      </w:r>
    </w:p>
    <w:p>
      <w:pPr>
        <w:numPr>
          <w:ilvl w:val="0"/>
          <w:numId w:val="1001"/>
        </w:numPr>
      </w:pPr>
      <w:r>
        <w:t xml:space="preserve">Version: 3.36 | Tool: GitHub Copilot CLI (GPT-5.3-Codex) | Session: f2a5b1e0-a01c-489a-8d33-fde09a7dd970 | Date: 21.04.2026 | Changes: Täydennetty osio 10.21 Boardy-huomioilla: KYA open source -standardipolku Agentic AI Foundation / Linux Foundation -reitille, NIST-hakemuksen tila (ei lähetetty), Artikkeli 1 tarkka otsikointi, 2026-2029 julkaisuvaiheistus, EIC Step 1 -deliverable-kytkentä tutkimusohjelmaan; lisätty avainpanos #30</w:t>
      </w:r>
    </w:p>
    <w:p>
      <w:pPr>
        <w:numPr>
          <w:ilvl w:val="0"/>
          <w:numId w:val="1001"/>
        </w:numPr>
      </w:pPr>
      <w:r>
        <w:t xml:space="preserve">Version: 3.35 | Tool: GitHub Copilot CLI (GPT-5.3-Codex) | Session: f2a5b1e0-a01c-489a-8d33-fde09a7dd970 | Date: 21.04.2026 | Changes: Lisätty osio 10.21 (tohtoripolun kohdennus): KYA Agentic AI Foundation -linjaus, DWS 7 -tavoitteet, DWS 5 -&gt; vetytalousjatkumo, dual-use-toimialat ja Nokia Defence -keskustelut, Aegis/Sovereign Infra/Connect -suvereniteettisegmentointi (kuva), Siemens- ja NVIDIA Connect -yhteistyöankkurit sekä Kari Smolanderille kohdistettu vastauskirjeen runko; lisätty avainpanos #29</w:t>
      </w:r>
    </w:p>
    <w:p>
      <w:pPr>
        <w:numPr>
          <w:ilvl w:val="0"/>
          <w:numId w:val="1001"/>
        </w:numPr>
      </w:pPr>
      <w:r>
        <w:t xml:space="preserve">Version: 3.34 | Tool: Claude Code (Opus 4.7) | Session: claude/update-thesis-work-EoyoF | Date: 20.04.2026 | Changes: Lisätty osio 10.20 (Huhtikuun 2026 kehitys) — neljä alaosiota: Anthropicin Skills-paradigman ulkoinen validointi (vahvistaa §10.13 taito-ensin -arkkitehtuurin), Lifetime Fleet -tiekartan kiteytyminen (Suomen dronestrategia 2030 + Baltia-ensin 12–16 vk MVP,</w:t>
      </w:r>
      <w:r>
        <w:t xml:space="preserve"> </w:t>
      </w:r>
      <w:r>
        <w:t xml:space="preserve">“</w:t>
      </w:r>
      <w:r>
        <w:t xml:space="preserve">Kädet</w:t>
      </w:r>
      <w:r>
        <w:t xml:space="preserve">”</w:t>
      </w:r>
      <w:r>
        <w:t xml:space="preserve">-kerros siirtyy spesifikaatiosta aikatauluun), DWS IQ 7 Datakeskusten vaatimustenmukaisuusagentti (22. toimiala, RFNBO-delegoitu asetus 2023/1184 vihreän vedyn lisäisyysvaatimus), sääntelypinon laajennus NIS2:een ja CER:iin (Hybridiosaamiskeskus 8.5.2026, CORE-resilienssimalli) sekä perustajan→tiimin siirtymä (SOLO_FOUNDER_STATEMENT v1.2, CTO-yhteisrakentaja, /investor-outreach -taito, 10+ INTRO-muistiota); lisätty avainpanokset #25–#28</w:t>
      </w:r>
    </w:p>
    <w:p>
      <w:pPr>
        <w:numPr>
          <w:ilvl w:val="0"/>
          <w:numId w:val="1001"/>
        </w:numPr>
      </w:pPr>
      <w:r>
        <w:t xml:space="preserve">Version: 3.33 | Tool: Claude Code (Opus 4.6) | Session: claude/add-red-hat-partners-d8Hey | Date: 21.03.2026 | Changes: Lisätty Red Hat -avainlöydösten markkinadata alustatalouteen (§2.2), inferenssimuutoksen validointi reunalaskentaan (§2.4), Red Hat AgentOps -kumppanuus strategisiin kumppanuuksiin (§10.12.2), päivitetty SWOT-mahdollisuudet $644B markkinalla ja inferenssimuutosdatalla</w:t>
      </w:r>
    </w:p>
    <w:p>
      <w:pPr>
        <w:numPr>
          <w:ilvl w:val="0"/>
          <w:numId w:val="1001"/>
        </w:numPr>
      </w:pPr>
      <w:r>
        <w:t xml:space="preserve">Version: 3.32 | Tool: Claude Code (Opus 4.6) | Session: claude/review-claude-skills-vZQ0r | Date: 03.04.2026 | Changes: Lisätty osio 10.19 (Opinnäytetyön versiointistrategia: v3.30.50 Metropolia-jäädytys); lisätty avainpanos #23; luotu jäädytetty V3Thesis_EN_v3.30.50.md (50-sivuinen Metropolia-versio) säilyttäen 82-sivuinen elävä dokumentti; päivitetty alatunniste kaksoisversioarkkitehtuurilla</w:t>
      </w:r>
    </w:p>
    <w:p>
      <w:pPr>
        <w:numPr>
          <w:ilvl w:val="0"/>
          <w:numId w:val="1001"/>
        </w:numPr>
      </w:pPr>
      <w:r>
        <w:t xml:space="preserve">Version: 3.31 | Tool: Claude Code (Opus 4.6) | Session: claude/review-claude-skills-vZQ0r | Date: 31.03.2026 | Changes: Päivitetty osio 10.13.3 (Taitojen inventaario 6→21 taitoa, 4 aliagenttia, 4 kurinpitotaitoa); lisätty osio 10.13.7 (Kilpailija-analyysi: Toimialakohtainen vs geneerinen AI-harness — vertailu ECC 136-taidon kehykseen, kuusi kilpailuetua dokumentoitu); lisätty avainpanos #22</w:t>
      </w:r>
    </w:p>
    <w:p>
      <w:pPr>
        <w:numPr>
          <w:ilvl w:val="0"/>
          <w:numId w:val="1001"/>
        </w:numPr>
      </w:pPr>
      <w:r>
        <w:t xml:space="preserve">Version: 3.30 | Tool: Claude Code (Opus 4.6) | Session: claude/research-leworldmodel-r3VRA | Date: 25.03.2026 | Changes: Lisätty osio 10.18 (LWM-sekvensointistrategia — Sääntely-älykkyydestä fyysiseen tekoälyyn): kolmivaiheinen sekvensointi (vaatimustenmukaisuus→laivasto→Series A), LeWorldModel-validointi (arXiv:2603.19312), Phase 2 teknisen aukon analyysi, Persefoni/Sweep-vertailuarvot; lisätty avainpanos #21</w:t>
      </w:r>
    </w:p>
    <w:p>
      <w:pPr>
        <w:numPr>
          <w:ilvl w:val="0"/>
          <w:numId w:val="1001"/>
        </w:numPr>
      </w:pPr>
      <w:r>
        <w:t xml:space="preserve">Version: 3.29 | Tool: Claude Code (Opus 4.6) | Session: claude/add-debit-credit-compliance-FevOa | Date: 24.03.2026 | Changes: Lisätty osio 10.17 (Johtopäätökset: Hiilitase vaatimustenmukaisuusinfrastruktuurina) — kahdenkertaisen kirjanpidon malli CO2:lle ETS/CBAM/CSRD/Taksonomiassa, poikkitoimialainen älykkyys kirjanpitojen kautta, DWS 7 Phase 2.6 toteutussuunnitelma; lisätty avainpanos #20</w:t>
      </w:r>
    </w:p>
    <w:p>
      <w:pPr>
        <w:numPr>
          <w:ilvl w:val="0"/>
          <w:numId w:val="1001"/>
        </w:numPr>
      </w:pPr>
      <w:r>
        <w:t xml:space="preserve">Version: 3.28 | Tool: Claude Code (Opus 4.6) | Session: claude/agent-memory-fact-extraction-gLEss | Date: 23.03.2026 | Changes: Lisätty osio 10.10.7 Agenttimuistin faktojen poimintaputki (PR-254): LLM-pohjainen strukturoitu faktojen poiminta keskusteluista subjekti-predikaatti-arvo -kolmikoihin, kaksoismuistiarkkitehtuuri (LWM domainitieto + asiakassuhdemuisti), kolme puuttuvaa suorituskerrosta tunnistettu (Firehorse-tilakonemasiina, ERP-liitin, KYA-hallintakehys); päivitetty PR-tiekartta KYA-ensisijaisuusjärjestyksellä; lisätty avainpanos #20; huomioitu KYA Standard v1.4 sisäinen / v1.1 julkinen ero</w:t>
      </w:r>
    </w:p>
    <w:p>
      <w:pPr>
        <w:numPr>
          <w:ilvl w:val="0"/>
          <w:numId w:val="1001"/>
        </w:numPr>
      </w:pPr>
      <w:r>
        <w:t xml:space="preserve">Version: 3.27 | Tool: Claude Code (Opus 4.6) | Session: claude/qantic-energy-analysis-Yjg00 | Date: 21.03.2026 | Changes: Lisätty osio 10.7.3 LWM:n tuotemarkkinavalidointi (Qantic GmbH energiasektorin tapaustutkimus — ensimmäinen ulkoinen validointi LWM:n kaupallisesta arvosta rakennusalan ulkopuolella, 21 693 €/vuosi BESS-vaatimustenmukaisuuskustannuslaskelma, 6 toimialan laajennuspolku MAN-tyyppisille asiakkaille, Solution Factory -malli vahvistettu); päivitetty 16→20 toimialaa LWM-osioissa; uudelleennumeroitu 10.7.3→10.7.4 Orchestration Studio</w:t>
      </w:r>
    </w:p>
    <w:p>
      <w:pPr>
        <w:numPr>
          <w:ilvl w:val="0"/>
          <w:numId w:val="1001"/>
        </w:numPr>
      </w:pPr>
      <w:r>
        <w:t xml:space="preserve">Version: 3.26 | Tool: Claude Code (Opus 4.6) | Session: claude/refine-thesis-critique-RP6Dv | Date: 16.03.2026 | Changes: Päivitetty osio 8 Tulokset ja analyysi v3.16–3.25 todisteilla: harness engineering -mittarit (52,8%→66,5%), 13 agentin Pantheon-järjestelmä, asiakkaiden MVP-ominaisuudet (API-avaimet, mittarointi, raportit), PostgreSQL HTAP -arkkitehtuuri, A/B-testauksen tulosten integrointi, päivitetty vaatimustenmukaisuusvalmius (EU AI Act Art 12 toteutettu), päivitetty SWOT strategisilla kumppanuuksilla; lisätty uusi osio 8.7 A/B-testauksen ja palautekanavien tulokset</w:t>
      </w:r>
    </w:p>
    <w:p>
      <w:pPr>
        <w:numPr>
          <w:ilvl w:val="0"/>
          <w:numId w:val="1001"/>
        </w:numPr>
      </w:pPr>
      <w:r>
        <w:t xml:space="preserve">Version: 3.25 | Tool: Claude Code (Opus 4.6) | Session: claude/add-harness-engineering-thesis-2zvZt | Date: 14.03.2026 | Changes: Lisätty osio 10.16 (Harness Engineering — promptisuunnittelusta järjestelmäsuunnitteluun): OpenAI:n 8 periaatetta, DWS IQ 6 vertailu 6-kerroksisella L0-L6-arkkitehtuurilla, empiirinen tulos (52,8%→66,5% pelkällä harness-parannuksella), EU-regulaatio vaatii erilaisen harnessin; lisätty avainpanos #19</w:t>
      </w:r>
    </w:p>
    <w:p>
      <w:pPr>
        <w:numPr>
          <w:ilvl w:val="0"/>
          <w:numId w:val="1001"/>
        </w:numPr>
      </w:pPr>
      <w:r>
        <w:t xml:space="preserve">Version: 3.24 | Tool: Claude Code (Opus 4.6) | Session: claude/plan-postgres-columnar-3bSn6 | Date: 13.03.2026 | Changes: Laajennettu Liite G sanasto: Tietoarkkitehtuuri (9 termiä) ja Tutkimusmenetelmät (4 termiä) — autotutkimus, HTAP, Hypercore, kaksitasoinen arkkitehtuuri, KYA, proxy-to-scale</w:t>
      </w:r>
    </w:p>
    <w:p>
      <w:pPr>
        <w:numPr>
          <w:ilvl w:val="0"/>
          <w:numId w:val="1001"/>
        </w:numPr>
      </w:pPr>
      <w:r>
        <w:t xml:space="preserve">Version: 3.23 | Tool: Claude Code (Opus 4.6) | Session: claude/plan-postgres-columnar-3bSn6 | Date: 13.03.2026 | Changes: Päivitetty osio 10.15 Aiven-first mandaatilla: Hydra→Supabase Warehouse (helmi 2026), pg_mooncake→Databricks (loka 2025), TimescaleDB 2.25.x Hypercore hyväksyttynä standardina, Aiven-sallittujen listalla pg_duckdb ESTETTY, kaksitasoinen HTAP (Aiven hallittu + GN100 reuna), reunatietokanta käyttöönotettu; lisätty Keskeiset löydökset #18; päivitetty alatunniste</w:t>
      </w:r>
    </w:p>
    <w:p>
      <w:pPr>
        <w:numPr>
          <w:ilvl w:val="0"/>
          <w:numId w:val="1001"/>
        </w:numPr>
      </w:pPr>
      <w:r>
        <w:t xml:space="preserve">Version: 3.22 | Tool: Claude Code (Opus 4.6) | Session: claude/plan-postgres-columnar-3bSn6 | Date: 12.03.2026 | Changes: Lisätty osio 10.15 (PostgreSQL-sarakemuotoinen HTAP-arkkitehtuuri — DWS-tietostandardi): pg_duckdb + TimescaleDB Aiven EU:ssa yksitietokantaiseen HTAP:iin, 4-vaiheinen käyttöönotto, DWS_DATA_STANDARD.md luotu, EU-sääntelynmukaisuusmatriisi (GDPR, EU AI Act Art 12, NIS2, CSRD, EU Data Act 2023/2854); lisätty avainpanos #17; päivitetty alatunniste</w:t>
      </w:r>
    </w:p>
    <w:p>
      <w:pPr>
        <w:numPr>
          <w:ilvl w:val="0"/>
          <w:numId w:val="1001"/>
        </w:numPr>
      </w:pPr>
      <w:r>
        <w:t xml:space="preserve">Version: 3.21 | Tool: Claude Code (Opus 4.6) | Session: claude/vigorous-meitner | Date: 09.03.2026 | Changes: Lisätty osio 10.14 (Agenttijärjestelmän koventaminen — tuotantoluotettavuus): 6 TypeScript-kääntövirhettä korjattu, 3 testivikaa ratkaistu, SandboxContext-tyyppilinjaus opensandbox-vaiheen kanssa, MCP/HIL-reitityksen kytkentä, lokaalivarma numeromuotoilu, riippuvuushygienia (luxon); lisätty avainpanos #16; päivitetty alatunniste</w:t>
      </w:r>
    </w:p>
    <w:p>
      <w:pPr>
        <w:numPr>
          <w:ilvl w:val="0"/>
          <w:numId w:val="1001"/>
        </w:numPr>
      </w:pPr>
      <w:r>
        <w:t xml:space="preserve">Version: 3.20 | Tool: Claude Code (Opus 4.6) | Session: claude/build-mvp-features-nFk7k | Date: 08.03.2026 | Changes: Lisätty avainpanos #15 (Asiakaskeskeiset MVP-ominaisuudet — API-avainten hallinta, käyttömittarointi 3-tasoisella laskutuksella, vaatimustenmukaisuusraporttien vienti aikataulutuksella); osoittaa siirtymän kehittäjätyökaluista asiakasvalmiiksi SaaS-alustaksi; validoi Solution Factory -tuotteistamishypoteesin</w:t>
      </w:r>
    </w:p>
    <w:p>
      <w:pPr>
        <w:numPr>
          <w:ilvl w:val="0"/>
          <w:numId w:val="1001"/>
        </w:numPr>
      </w:pPr>
      <w:r>
        <w:t xml:space="preserve">Version: 3.19 | Tool: Claude Code (Opus 4.6) | Session: claude/happy-rhodes | Date: 07.03.2026 | Changes: Laajennettu osio 2.5.3 MCP Hub -orkestrointimallit toteutustiedoilla (4 mallia: Fan-Out, Sequential, Reflection, Pipeline), päätepisteet, kontekstin välitys, tuotantovalmiustaulukko; lisätty osio 2.5.4 Skillit ja CLI:t agenttirajapintoina (kolmen rajapinnan sääntö: CLI + MCP + skillit)</w:t>
      </w:r>
    </w:p>
    <w:p>
      <w:pPr>
        <w:numPr>
          <w:ilvl w:val="0"/>
          <w:numId w:val="1001"/>
        </w:numPr>
      </w:pPr>
      <w:r>
        <w:t xml:space="preserve">Version: 3.18 | Tool: GitHub Copilot (Claude Opus 4.6) | Session: Learn-Thinking | Date: 04.03.2026 | Changes: Lisätty osio 9.5 Learn Thinking (oppimisajattelu) — päivittäinen oppimissilmukka Learn/-kansion kautta, opinnäytetyötiedostot lisätty Generate-PDFs-putkeen, reflektiivinen oppimiskehys tekoälyavusteiselle tuotekehitykselle</w:t>
      </w:r>
    </w:p>
    <w:p>
      <w:pPr>
        <w:numPr>
          <w:ilvl w:val="0"/>
          <w:numId w:val="1001"/>
        </w:numPr>
      </w:pPr>
      <w:r>
        <w:t xml:space="preserve">Version: 3.17 | Tool: Claude Code (Sonnet 4.6) | Session: claude/implement-workflow-agents-CHFFN | Date: 02.03.2026 | Changes: Lisätty osio 10.13 (Climate IQ Pantheon — kreikkalais-roomalainen moniagenttijärjestelmä: 6 orkestraattoria + 7 toimialaerityistä agenttia, SOUL.md-identiteettimalli, prompt injection -korjaus, EU AI Act artikla 12 -lokituki); lisätty avainpanos #12; päivitetty alatunniste</w:t>
      </w:r>
    </w:p>
    <w:p>
      <w:pPr>
        <w:numPr>
          <w:ilvl w:val="0"/>
          <w:numId w:val="1001"/>
        </w:numPr>
      </w:pPr>
      <w:r>
        <w:t xml:space="preserve">Version: 3.17 | Tool: Claude Code (Sonnet 4.6) | Session: claude/organize-repo-structure-F3xqn | Date: 02.03.2026 | Changes: Lisätty osio 10.13 (Claude Code -suunnittelurakenne: tekoälytyönkulku ensiluokkaisena ohjelmistokomponenttina) — CLAUDE.md projektimuistina, taidot uudelleenkäytettävinä työnkulkukomponentteina, koukut automatisoituna laadunvalvontana, aliagentit rinnakkaissuoritukseen; lisätty avainpanos #12; päivitetty alatunniste; validoitu kehittyvää Claude Code -yhteisön parhaita käytäntöjä vastaan</w:t>
      </w:r>
    </w:p>
    <w:p>
      <w:pPr>
        <w:numPr>
          <w:ilvl w:val="0"/>
          <w:numId w:val="1001"/>
        </w:numPr>
      </w:pPr>
      <w:r>
        <w:t xml:space="preserve">Version: 3.16 | Tool: Claude Code (Sonnet 4.6) | Session: claude/sandbox-agents-opensandbox-HatfC | Date: 01.03.2026 | Changes: KONSOLIDOITU — ratkaisee versioajautumisen 3.12-3.15. Lisätty osio 10.11 (Toimitusjohtajan automaatioagenttiryhmä: Captain Briefing, LinkedIn Scheduler, EU Regulation Monitor); osio 10.12 (Strategiset kumppanuudet: NVIDIA, Siemens, ABB, xAI, Mistral + Monituottaja-LLM-reititin); lisätty avainpanokset #10-11; päivitetty alatunniste</w:t>
      </w:r>
    </w:p>
    <w:p>
      <w:pPr>
        <w:numPr>
          <w:ilvl w:val="0"/>
          <w:numId w:val="1001"/>
        </w:numPr>
      </w:pPr>
      <w:r>
        <w:t xml:space="preserve">Version: 3.15 | Tool: Cursor AI / Claude Code | Session: [seuraamaton] | Date: 25-27.02.2026 | Changes: [SEURAAMATON AJAUTUMINEN] DWS6→DWS7 siirtymädokumentaatio; CLAUDE.md tiivistys; session handover; ZenFree; Resend</w:t>
      </w:r>
    </w:p>
    <w:p>
      <w:pPr>
        <w:numPr>
          <w:ilvl w:val="0"/>
          <w:numId w:val="1001"/>
        </w:numPr>
      </w:pPr>
      <w:r>
        <w:t xml:space="preserve">Version: 3.14 | Tool: Claude Code (Sonnet 4.6) | Session: claude/sandbox-agents-opensandbox-HatfC | Date: 01.03.2026 | Changes: [TALLENNETTU versiossa 3.11] OpenSandbox Vaihe 1.5 + EMPO²</w:t>
      </w:r>
    </w:p>
    <w:p>
      <w:pPr>
        <w:numPr>
          <w:ilvl w:val="0"/>
          <w:numId w:val="1001"/>
        </w:numPr>
      </w:pPr>
      <w:r>
        <w:t xml:space="preserve">Version: 3.13 | Tool: Claude Code (Opus 4.6) | Session: claude/dws6-dws7-update-doc-I2Cgk | Date: 27.02.2026 | Changes: [SEURAAMATON AJAUTUMINEN] Strategiset kumppanuudet; monituottaja-LLM-reititin</w:t>
      </w:r>
    </w:p>
    <w:p>
      <w:pPr>
        <w:numPr>
          <w:ilvl w:val="0"/>
          <w:numId w:val="1001"/>
        </w:numPr>
      </w:pPr>
      <w:r>
        <w:t xml:space="preserve">Version: 3.12 | Tool: Claude Code (Opus 4.6) | Session: claude/ai-agent-orchestration-t89Ig | Date: 24.02.2026 | Changes: [SEURAAMATON AJAUTUMINEN] Toimitusjohtajan automaatioagenttiryhmä (3 agenttia)</w:t>
      </w:r>
    </w:p>
    <w:p>
      <w:pPr>
        <w:numPr>
          <w:ilvl w:val="0"/>
          <w:numId w:val="1001"/>
        </w:numPr>
      </w:pPr>
      <w:r>
        <w:t xml:space="preserve">Version: 3.11 | Tool: Claude Code (Sonnet 4.6) | Session: claude/sandbox-agents-opensandbox-HatfC | Date: 01.03.2026 | Changes: Lisätty osio 10.10 (Agent Foundry Vaihe 1.5 — OpenSandbox Acer Veriton GN100 -laitteella); lisätty EMPO²-viite (arXiv:2602.23008 — hybridi on/off-policy RL muistia hyödyntäville agenteille); päivitetty NCC Hiekkalaatikko-vaihe; lisätty avainpanos #9</w:t>
      </w:r>
    </w:p>
    <w:p>
      <w:pPr>
        <w:numPr>
          <w:ilvl w:val="0"/>
          <w:numId w:val="1001"/>
        </w:numPr>
      </w:pPr>
      <w:r>
        <w:t xml:space="preserve">Version: 3.10 | Tool: Claude Code (Opus 4.6) | Session: claude/modernize-dws7-77v2B | Date: 24.02.2026 | Changes: Lisätty osio 10.9 DWS7 agenttiarkkitehtuurin modernisointi — dokumentoi 6 kriittistä korjausta (agenttisilmukat, työkalujen käyttö, monituottaja-LLM, agenttien delegointi, MCP-palvelin, tapahtumaväylä), Build for Agents -periaate (CLI, Claude Code Skills), agenttikeskeinen tuotesuunnittelufilosofia</w:t>
      </w:r>
    </w:p>
    <w:p>
      <w:pPr>
        <w:numPr>
          <w:ilvl w:val="0"/>
          <w:numId w:val="1001"/>
        </w:numPr>
      </w:pPr>
      <w:r>
        <w:t xml:space="preserve">Version: 3.9 | Tool: Claude Code (Opus 4.6) | Session: claude/add-sdk-sandbox-isolation-Q0lzp | Date: 21.02.2026 | Changes: Parannettu LWM-määritelmä yrityksen oppimiskerroksena (hienosäätää dataa/sääntelyä, optimoi markkina-arvon, varmistaa kilpailuedun), lisätty 20 toimialan ristioppimisen verkostovaikutusten analyysi</w:t>
      </w:r>
    </w:p>
    <w:p>
      <w:pPr>
        <w:numPr>
          <w:ilvl w:val="0"/>
          <w:numId w:val="1001"/>
        </w:numPr>
      </w:pPr>
      <w:r>
        <w:t xml:space="preserve">Version: 3.8 | Tool: Claude Code (Opus 4.6) | Session: claude/add-sdk-sandbox-isolation-Q0lzp | Date: 21.02.2026 | Changes: Lisätty osiot 10.6 Toimialakohtainen avoimen LLM:n valinta (20 toimialaa, 7 ehdokasmallia), 10.7 Yrityksen BYOA-arkkitehtuuri (Tuo omat agentit — NCC-skenaario, 24 agenttia, Langflow+React Flow+Temporal.io graafinen työnkulkurakentaja, urakoitsija-agentin käyttöönotto)</w:t>
      </w:r>
    </w:p>
    <w:p>
      <w:pPr>
        <w:numPr>
          <w:ilvl w:val="0"/>
          <w:numId w:val="1001"/>
        </w:numPr>
      </w:pPr>
      <w:r>
        <w:t xml:space="preserve">Version: 3.7 | Tool: Claude Code (Opus 4.6) | Session: HIL-PR-Automation | Date: 20.02.2026 | Changes: Lisatty Liite H — Automatisoitu PR-tyonkulku (HIL-automaatio): kaksoismallin AI-katselmointi (Claude + Gemini), Copilot-korjaussilmukka, automaattiyhdistamistyonkulku, MCP Hub Gemini-paatepiste, Cloud Run dws6run6 -kayttoonotto. Generoitu versioidut HTML-tiedostot Learn/-kansioon</w:t>
      </w:r>
    </w:p>
    <w:p>
      <w:pPr>
        <w:numPr>
          <w:ilvl w:val="0"/>
          <w:numId w:val="1001"/>
        </w:numPr>
      </w:pPr>
      <w:r>
        <w:t xml:space="preserve">Version: 3.6 | Tool: Claude Code (Opus 4.6) | Session: e5wXD | Date: 20.02.2026 | Changes: Paivitetty DWS-standardit, admin-manuaalit HIL-automaatioviittauksilla. Versiotunnuksen korjaus (3.4-3.5 eivat olleet seurannassa)</w:t>
      </w:r>
    </w:p>
    <w:p>
      <w:pPr>
        <w:numPr>
          <w:ilvl w:val="0"/>
          <w:numId w:val="1001"/>
        </w:numPr>
      </w:pPr>
      <w:r>
        <w:t xml:space="preserve">Version: 3.5 | Tool: Claude Code (Opus 4.6) | Session: e7fe405 | Date: 20.02.2026 | Changes: Lisatty osio 12 IPR-suojaus ja liikesalaisuusstrategia, osio 13 Prompt caching -arkkitehtuuri AI-agenteille, uudelleennumeroitu osiot 12-15 → 14-17, lisatty EU:n liikesalaisuusdirektiivin viitteet</w:t>
      </w:r>
    </w:p>
    <w:p>
      <w:pPr>
        <w:numPr>
          <w:ilvl w:val="0"/>
          <w:numId w:val="1001"/>
        </w:numPr>
      </w:pPr>
      <w:r>
        <w:t xml:space="preserve">Version: 3.4 | Tool: Cursor AI (Claude Sonnet 4.6) | Session: 278819d | Date: 18.02.2026 | Changes: Yrityksen nimimuutos Lifetime Consulting Oy → Lifetime Oy kaikissa dokumenteissa (Omnibus_Fit55-analyysitiedostot)</w:t>
      </w:r>
    </w:p>
    <w:p>
      <w:pPr>
        <w:numPr>
          <w:ilvl w:val="0"/>
          <w:numId w:val="1001"/>
        </w:numPr>
      </w:pPr>
      <w:r>
        <w:t xml:space="preserve">Version: 3.3 | Tool: Claude Code (Opus 4.6) | Session: V3-Merge | Date: 10.02.2026 | Changes: Yhdistetty Thesis_FI.md (v2.1) ja V2Thesis_FI.md (v3.2) yhdeksi kokonaisversioksi. Korjattu skandinaaviset merkit, päivitetty tunnistetiedot, lisätty DWS10-verkkokauppa-, äänichat- ja HIL-putkiosiot, Karpathy-liite, Firehorse-toimintamalliosiot</w:t>
      </w:r>
    </w:p>
    <w:p>
      <w:pPr>
        <w:numPr>
          <w:ilvl w:val="0"/>
          <w:numId w:val="1001"/>
        </w:numPr>
      </w:pPr>
      <w:r>
        <w:t xml:space="preserve">Version: 3.2 | Tool: Claude Code (Opus 4.6) | Session: HIL-Pipeline | Date: 07.02.2026 | Changes: Lisätty osio 6.7 - Ihminen-silmukassa-oppimisputki (päivittäinen automaatio, kolmikerroksinen varmuuskopiointi, Learn/-kansion tuloste)</w:t>
      </w:r>
    </w:p>
    <w:p>
      <w:pPr>
        <w:numPr>
          <w:ilvl w:val="0"/>
          <w:numId w:val="1001"/>
        </w:numPr>
      </w:pPr>
      <w:r>
        <w:t xml:space="preserve">Version: 3.1 | Tool: Claude Code (Opus 4.5) | Session: Karpathy-Principles | Date: 04.02.2026 | Changes: Lisätty Liite E - Tekoälyagenttien toimintaohjeet (Karpathyn periaatteet), EU:n tekoälysäädöksen vaatimustenmukaisuuskartoitus, toteutuksen tulosmittarit</w:t>
      </w:r>
    </w:p>
    <w:p>
      <w:pPr>
        <w:numPr>
          <w:ilvl w:val="0"/>
          <w:numId w:val="1001"/>
        </w:numPr>
      </w:pPr>
      <w:r>
        <w:t xml:space="preserve">Version: 3.0 | Tool: Claude Code (Opus 4.5) | Session: DWS10-Store-Integration | Date: 28.01.2026 | Changes: Lisätty DWS10.com verkkokaupan löydökset, Google Merchant Center -integraatio, Revolut Business -maksut, Äänichat-kehityssuunnitelma Groq/Llama-malleilla, Toimialan hiilijalanjälkilaskuri, EU-vaatimustenmukaisuuskartoitus</w:t>
      </w:r>
    </w:p>
    <w:p>
      <w:pPr>
        <w:numPr>
          <w:ilvl w:val="0"/>
          <w:numId w:val="1001"/>
        </w:numPr>
      </w:pPr>
      <w:r>
        <w:t xml:space="preserve">Version: 2.2 | Tool: Word (HIL) | Session: dws6.com Google Run | Date: 19.01.2026 | Changes: Google admin@dws6.com sekä projekti Google alle. Perustettu 19.1.2026. Google Workspace Standard otettu käyttöön. Vaihdettu DNS-tiedot Proton → Google. Luotu projekti dws6run joka tulee palvelemaan Google Run -prosesseja.</w:t>
      </w:r>
    </w:p>
    <w:p>
      <w:pPr>
        <w:numPr>
          <w:ilvl w:val="0"/>
          <w:numId w:val="1001"/>
        </w:numPr>
      </w:pPr>
      <w:r>
        <w:t xml:space="preserve">Version: 2.1 | Tool: Cursor AI (Claude) | Session: 16-Industries | Date: 06.01.2026 | Changes: Lisätty Fit for 55:n 16 teollisuudenalan analyysi, AI-käytön ilmoitus, DWS10-käyttötapaukset, laajennettu nykytila-analyysi</w:t>
      </w:r>
    </w:p>
    <w:p>
      <w:pPr>
        <w:numPr>
          <w:ilvl w:val="0"/>
          <w:numId w:val="1001"/>
        </w:numPr>
      </w:pPr>
      <w:r>
        <w:t xml:space="preserve">Version: 2.0 | Tool: Cursor AI (Claude) | Session: Thesis-Revision | Date: 05.01.2026 | Changes: Suuri revisio - Lisätty Solution Factory -malli, AgentFoundry-dokumentaatio, Lifetime Scope Signals -teoria, SWOT-analyysi, tutkimuskysymysten vastaukset, täydellinen teoreettinen viitekehys</w:t>
      </w:r>
    </w:p>
    <w:p>
      <w:pPr>
        <w:numPr>
          <w:ilvl w:val="0"/>
          <w:numId w:val="1001"/>
        </w:numPr>
      </w:pPr>
      <w:r>
        <w:t xml:space="preserve">Version: 1.0 | Tool: GitHub Copilot | Session: 2025-12-30 | Date: 30.12.2025 | Changes: Applied DWS document standard, synchronized with English version</w:t>
      </w:r>
    </w:p>
    <w:p>
      <w:pPr>
        <w:pStyle w:val="FirstParagraph"/>
      </w:pPr>
      <w:r>
        <w:t xml:space="preserve">Session Links &amp; References:</w:t>
      </w:r>
    </w:p>
    <w:p>
      <w:pPr>
        <w:numPr>
          <w:ilvl w:val="0"/>
          <w:numId w:val="1002"/>
        </w:numPr>
        <w:pStyle w:val="Compact"/>
      </w:pPr>
      <w:r>
        <w:t xml:space="preserve">Claude Code (2026-02-10): V3-yhdistäminen ja skandinaavisten merkkien korjaus</w:t>
      </w:r>
    </w:p>
    <w:p>
      <w:pPr>
        <w:numPr>
          <w:ilvl w:val="0"/>
          <w:numId w:val="1002"/>
        </w:numPr>
        <w:pStyle w:val="Compact"/>
      </w:pPr>
      <w:r>
        <w:t xml:space="preserve">Claude Code (2026-01-28): DWS10-kaupan integraatio, Google Merchant, Revolut, Äänichat-suunnitelma</w:t>
      </w:r>
    </w:p>
    <w:p>
      <w:pPr>
        <w:numPr>
          <w:ilvl w:val="0"/>
          <w:numId w:val="1002"/>
        </w:numPr>
        <w:pStyle w:val="Compact"/>
      </w:pPr>
      <w:r>
        <w:t xml:space="preserve">Cursor AI (2026-01-05): Opinnäytetyön revisio integroiden koodikannan todisteet</w:t>
      </w:r>
    </w:p>
    <w:p>
      <w:pPr>
        <w:numPr>
          <w:ilvl w:val="0"/>
          <w:numId w:val="1002"/>
        </w:numPr>
        <w:pStyle w:val="Compact"/>
      </w:pPr>
      <w:r>
        <w:t xml:space="preserve">GitHub Copilot (2025-12-30): https://github.com/blogtheristo/dws6/commits/main</w:t>
      </w:r>
    </w:p>
    <w:p>
      <w:pPr>
        <w:numPr>
          <w:ilvl w:val="0"/>
          <w:numId w:val="1002"/>
        </w:numPr>
        <w:pStyle w:val="Compact"/>
      </w:pPr>
      <w:r>
        <w:t xml:space="preserve">View on GitHub: https://github.com/blogtheristo/dws6/blob/main/docs/metropolia/master-thesis/fi/V3Thesis_FI.md</w:t>
      </w:r>
    </w:p>
    <w:p>
      <w:pPr>
        <w:pStyle w:val="FirstParagraph"/>
      </w:pPr>
      <w:r>
        <w:t xml:space="preserve">Document Status:</w:t>
      </w:r>
    </w:p>
    <w:p>
      <w:pPr>
        <w:numPr>
          <w:ilvl w:val="0"/>
          <w:numId w:val="1003"/>
        </w:numPr>
        <w:pStyle w:val="Compact"/>
      </w:pPr>
      <w:r>
        <w:t xml:space="preserve">Created: 30.12.2025</w:t>
      </w:r>
    </w:p>
    <w:p>
      <w:pPr>
        <w:numPr>
          <w:ilvl w:val="0"/>
          <w:numId w:val="1003"/>
        </w:numPr>
        <w:pStyle w:val="Compact"/>
      </w:pPr>
      <w:r>
        <w:t xml:space="preserve">Last Modified: 21.04.2026</w:t>
      </w:r>
    </w:p>
    <w:p>
      <w:pPr>
        <w:numPr>
          <w:ilvl w:val="0"/>
          <w:numId w:val="1003"/>
        </w:numPr>
        <w:pStyle w:val="Compact"/>
      </w:pPr>
      <w:r>
        <w:t xml:space="preserve">Language: Finnish</w:t>
      </w:r>
    </w:p>
    <w:p>
      <w:pPr>
        <w:numPr>
          <w:ilvl w:val="0"/>
          <w:numId w:val="1003"/>
        </w:numPr>
        <w:pStyle w:val="Compact"/>
      </w:pPr>
      <w:r>
        <w:t xml:space="preserve">Languages Available: English, Suomi</w:t>
      </w:r>
    </w:p>
    <w:p>
      <w:pPr>
        <w:numPr>
          <w:ilvl w:val="0"/>
          <w:numId w:val="1003"/>
        </w:numPr>
        <w:pStyle w:val="Compact"/>
      </w:pPr>
      <w:r>
        <w:t xml:space="preserve">Publication Status: DRAFT (V3.36 — KYA open source -standardipolku, NIST-tilanne, Artikkeli 1 tarkennus, julkaisuvaiheistus)</w:t>
      </w:r>
    </w:p>
    <w:p>
      <w:r>
        <w:pict>
          <v:rect style="width:0;height:1.5pt" o:hralign="center" o:hrstd="t" o:hr="t"/>
        </w:pict>
      </w:r>
    </w:p>
    <w:p>
      <w:pPr>
        <w:pStyle w:val="FirstParagraph"/>
      </w:pPr>
      <w:r>
        <w:rPr>
          <w:bCs/>
          <w:b/>
        </w:rPr>
        <w:t xml:space="preserve">Opinnäytetyö</w:t>
      </w:r>
      <w:r>
        <w:t xml:space="preserve"> </w:t>
      </w:r>
      <w:r>
        <w:rPr>
          <w:bCs/>
          <w:b/>
        </w:rPr>
        <w:t xml:space="preserve">Metropolia Ammattikorkeakoulu</w:t>
      </w:r>
    </w:p>
    <w:p>
      <w:pPr>
        <w:pStyle w:val="BodyText"/>
      </w:pPr>
      <w:r>
        <w:rPr>
          <w:bCs/>
          <w:b/>
        </w:rPr>
        <w:t xml:space="preserve">Tekijä:</w:t>
      </w:r>
      <w:r>
        <w:t xml:space="preserve"> </w:t>
      </w:r>
      <w:r>
        <w:t xml:space="preserve">Risto Anton Päärni</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Päivämäärä:</w:t>
      </w:r>
      <w:r>
        <w:t xml:space="preserve"> </w:t>
      </w:r>
      <w:r>
        <w:t xml:space="preserve">16.1.2026</w:t>
      </w:r>
      <w:r>
        <w:t xml:space="preserve"> </w:t>
      </w:r>
      <w:r>
        <w:rPr>
          <w:bCs/>
          <w:b/>
        </w:rPr>
        <w:t xml:space="preserve">InvestEU Portal:</w:t>
      </w:r>
      <w:r>
        <w:t xml:space="preserve"> </w:t>
      </w:r>
      <w:r>
        <w:t xml:space="preserve">Projekti Lifetime World, DWS IQ 6, Firehorse (INPO-20254383) jätetty julkaistavaksi InvestEU-portaaliin 25.12.2025 — InvestEU Portal Team, Euroopan komissio</w:t>
      </w:r>
    </w:p>
    <w:p>
      <w:r>
        <w:pict>
          <v:rect style="width:0;height:1.5pt" o:hralign="center" o:hrstd="t" o:hr="t"/>
        </w:pict>
      </w:r>
    </w:p>
    <w:bookmarkStart w:id="22" w:name="tiivistelmä"/>
    <w:p>
      <w:pPr>
        <w:pStyle w:val="Heading2"/>
      </w:pPr>
      <w:r>
        <w:t xml:space="preserve">Tiivistelmä</w:t>
      </w:r>
    </w:p>
    <w:p>
      <w:pPr>
        <w:pStyle w:val="FirstParagraph"/>
      </w:pPr>
      <w:r>
        <w:t xml:space="preserve">Tämä opinnäytetyö tutkii Firehorse-tuotevalmistuksen toimintamallia, joka yhdistää pilvi- ja reunalaskentateknologiat teollisten pk-yritysten tarpeisiin. Työ keskittyy rakennusteollisuuteen ja sen haasteisiin EU:n kaksoissiirtymässä (digitaalinen + vihreä).</w:t>
      </w:r>
      <w:r>
        <w:t xml:space="preserve"> </w:t>
      </w:r>
      <w:r>
        <w:rPr>
          <w:bCs/>
          <w:b/>
        </w:rPr>
        <w:t xml:space="preserve">Versio 3.0 laajentaa tutkimusta verkkokauppavalidoinnilla DWS10.com-kaupan toteutuksen, Google Merchant Center -integraation, Revolut Business -maksukäsittelyn ja äänichat-kehityssuunnitelman kautta Groq-inferenssiä ja Llama-malleja käyttäen.</w:t>
      </w:r>
    </w:p>
    <w:p>
      <w:pPr>
        <w:pStyle w:val="BodyText"/>
      </w:pPr>
      <w:r>
        <w:rPr>
          <w:bCs/>
          <w:b/>
        </w:rPr>
        <w:t xml:space="preserve">Avainsanat:</w:t>
      </w:r>
      <w:r>
        <w:t xml:space="preserve"> </w:t>
      </w:r>
      <w:r>
        <w:t xml:space="preserve">Tekoäly, reunalaskenta, rakennusteollisuus, toimintamalli, pilvipalvelut, verkkokauppa, Google Merchant Center, Revolut Business, äänichat, EU:n tekoälysäädös</w:t>
      </w:r>
    </w:p>
    <w:p>
      <w:r>
        <w:pict>
          <v:rect style="width:0;height:1.5pt" o:hralign="center" o:hrstd="t" o:hr="t"/>
        </w:pict>
      </w:r>
    </w:p>
    <w:bookmarkEnd w:id="22"/>
    <w:bookmarkStart w:id="23" w:name="abstract"/>
    <w:p>
      <w:pPr>
        <w:pStyle w:val="Heading2"/>
      </w:pPr>
      <w:r>
        <w:t xml:space="preserve">Abstract</w:t>
      </w:r>
    </w:p>
    <w:p>
      <w:pPr>
        <w:pStyle w:val="FirstParagraph"/>
      </w:pPr>
      <w:r>
        <w:t xml:space="preserve">This thesis examines the Firehorse product manufacturing operating model, which combines cloud and edge computing technologies for industrial SMEs. The work focuses on the construction industry and its challenges in the EU’s twin transition (digital + green).</w:t>
      </w:r>
      <w:r>
        <w:t xml:space="preserve"> </w:t>
      </w:r>
      <w:r>
        <w:rPr>
          <w:bCs/>
          <w:b/>
        </w:rPr>
        <w:t xml:space="preserve">Version 3.0 extends the research with e-commerce validation through DWS10.com store implementation, Google Merchant Center integration, Revolut Business payment processing, and an audio chat evolution roadmap using Groq inference with Llama models.</w:t>
      </w:r>
    </w:p>
    <w:p>
      <w:pPr>
        <w:pStyle w:val="BodyText"/>
      </w:pPr>
      <w:r>
        <w:rPr>
          <w:bCs/>
          <w:b/>
        </w:rPr>
        <w:t xml:space="preserve">Keywords:</w:t>
      </w:r>
      <w:r>
        <w:t xml:space="preserve"> </w:t>
      </w:r>
      <w:r>
        <w:t xml:space="preserve">Artificial Intelligence, Edge Computing, Construction Industry, Operating Model, Cloud Services, E-Commerce, Google Merchant Center, Revolut Business, Audio Chat, EU AI Act Compliance</w:t>
      </w:r>
    </w:p>
    <w:p>
      <w:r>
        <w:pict>
          <v:rect style="width:0;height:1.5pt" o:hralign="center" o:hrstd="t" o:hr="t"/>
        </w:pict>
      </w:r>
    </w:p>
    <w:bookmarkEnd w:id="23"/>
    <w:bookmarkStart w:id="25" w:name="tekoälytyökalujen-käyttö"/>
    <w:p>
      <w:pPr>
        <w:pStyle w:val="Heading2"/>
      </w:pPr>
      <w:r>
        <w:t xml:space="preserve">Tekoälytyökalujen käyttö</w:t>
      </w:r>
    </w:p>
    <w:p>
      <w:pPr>
        <w:pStyle w:val="FirstParagraph"/>
      </w:pPr>
      <w:r>
        <w:t xml:space="preserve">Tämän opinnäytetyön laatimisessa on hyödynnetty tekoälyavusteisia työkaluja läpinäkyvyyden ja akateemisen rehellisyyden mukaisesti.</w:t>
      </w:r>
    </w:p>
    <w:p>
      <w:pPr>
        <w:pStyle w:val="BodyText"/>
      </w:pPr>
      <w:r>
        <w:rPr>
          <w:bCs/>
          <w:b/>
        </w:rPr>
        <w:t xml:space="preserve">Käytetyt työkalut:</w:t>
      </w:r>
    </w:p>
    <w:p>
      <w:pPr>
        <w:numPr>
          <w:ilvl w:val="0"/>
          <w:numId w:val="1004"/>
        </w:numPr>
        <w:pStyle w:val="Compact"/>
      </w:pPr>
      <w:r>
        <w:rPr>
          <w:bCs/>
          <w:b/>
        </w:rPr>
        <w:t xml:space="preserve">Claude Code (Anthropic Opus 4.5/4.6)</w:t>
      </w:r>
      <w:r>
        <w:t xml:space="preserve"> </w:t>
      </w:r>
      <w:r>
        <w:t xml:space="preserve">— DWS10-verkkokaupan integraatio, dokumentaation generointi, V3-yhdistäminen</w:t>
      </w:r>
    </w:p>
    <w:p>
      <w:pPr>
        <w:numPr>
          <w:ilvl w:val="0"/>
          <w:numId w:val="1004"/>
        </w:numPr>
        <w:pStyle w:val="Compact"/>
      </w:pPr>
      <w:r>
        <w:rPr>
          <w:bCs/>
          <w:b/>
        </w:rPr>
        <w:t xml:space="preserve">Claude (Anthropic)</w:t>
      </w:r>
      <w:r>
        <w:t xml:space="preserve"> </w:t>
      </w:r>
      <w:r>
        <w:t xml:space="preserve">— Tekstin muokkaus, rakenteen tarkistus, kieliasun parantaminen</w:t>
      </w:r>
    </w:p>
    <w:p>
      <w:pPr>
        <w:numPr>
          <w:ilvl w:val="0"/>
          <w:numId w:val="1004"/>
        </w:numPr>
        <w:pStyle w:val="Compact"/>
      </w:pPr>
      <w:r>
        <w:rPr>
          <w:bCs/>
          <w:b/>
        </w:rPr>
        <w:t xml:space="preserve">Cursor AI</w:t>
      </w:r>
      <w:r>
        <w:t xml:space="preserve"> </w:t>
      </w:r>
      <w:r>
        <w:t xml:space="preserve">— Koodin dokumentointi, teknisten osioiden validointi</w:t>
      </w:r>
    </w:p>
    <w:p>
      <w:pPr>
        <w:numPr>
          <w:ilvl w:val="0"/>
          <w:numId w:val="1004"/>
        </w:numPr>
        <w:pStyle w:val="Compact"/>
      </w:pPr>
      <w:r>
        <w:rPr>
          <w:bCs/>
          <w:b/>
        </w:rPr>
        <w:t xml:space="preserve">GitHub Copilot</w:t>
      </w:r>
      <w:r>
        <w:t xml:space="preserve"> </w:t>
      </w:r>
      <w:r>
        <w:t xml:space="preserve">— Koodiesimerkit, tekninen dokumentaatio</w:t>
      </w:r>
    </w:p>
    <w:p>
      <w:pPr>
        <w:pStyle w:val="FirstParagraph"/>
      </w:pPr>
      <w:r>
        <w:rPr>
          <w:bCs/>
          <w:b/>
        </w:rPr>
        <w:t xml:space="preserve">AI:n rooli dokumentaatiossa:</w:t>
      </w:r>
    </w:p>
    <w:p>
      <w:pPr>
        <w:numPr>
          <w:ilvl w:val="0"/>
          <w:numId w:val="1005"/>
        </w:numPr>
        <w:pStyle w:val="Compact"/>
      </w:pPr>
      <w:r>
        <w:t xml:space="preserve">Kieliasun tarkistus ja parannusehdotukset (FI/EN)</w:t>
      </w:r>
    </w:p>
    <w:p>
      <w:pPr>
        <w:numPr>
          <w:ilvl w:val="0"/>
          <w:numId w:val="1005"/>
        </w:numPr>
        <w:pStyle w:val="Compact"/>
      </w:pPr>
      <w:r>
        <w:t xml:space="preserve">Teknisen dokumentaation jäsentely ja yhdenmukaistaminen</w:t>
      </w:r>
    </w:p>
    <w:p>
      <w:pPr>
        <w:numPr>
          <w:ilvl w:val="0"/>
          <w:numId w:val="1005"/>
        </w:numPr>
        <w:pStyle w:val="Compact"/>
      </w:pPr>
      <w:r>
        <w:t xml:space="preserve">Käännösapu suomi-englanti</w:t>
      </w:r>
    </w:p>
    <w:p>
      <w:pPr>
        <w:numPr>
          <w:ilvl w:val="0"/>
          <w:numId w:val="1005"/>
        </w:numPr>
        <w:pStyle w:val="Compact"/>
      </w:pPr>
      <w:r>
        <w:t xml:space="preserve">Taulukkojen ja diagrammien formatointi</w:t>
      </w:r>
    </w:p>
    <w:p>
      <w:pPr>
        <w:numPr>
          <w:ilvl w:val="0"/>
          <w:numId w:val="1005"/>
        </w:numPr>
        <w:pStyle w:val="Compact"/>
      </w:pPr>
      <w:r>
        <w:t xml:space="preserve">Verkkokaupan ylläpitokäsikirjojen generointi</w:t>
      </w:r>
    </w:p>
    <w:p>
      <w:pPr>
        <w:pStyle w:val="FirstParagraph"/>
      </w:pPr>
      <w:r>
        <w:rPr>
          <w:bCs/>
          <w:b/>
        </w:rPr>
        <w:t xml:space="preserve">Tekijän alkuperäinen panos:</w:t>
      </w:r>
    </w:p>
    <w:p>
      <w:pPr>
        <w:numPr>
          <w:ilvl w:val="0"/>
          <w:numId w:val="1006"/>
        </w:numPr>
        <w:pStyle w:val="Compact"/>
      </w:pPr>
      <w:r>
        <w:t xml:space="preserve">Kaikki tutkimuskysymykset, hypoteesit ja johtopäätökset</w:t>
      </w:r>
    </w:p>
    <w:p>
      <w:pPr>
        <w:numPr>
          <w:ilvl w:val="0"/>
          <w:numId w:val="1006"/>
        </w:numPr>
        <w:pStyle w:val="Compact"/>
      </w:pPr>
      <w:r>
        <w:t xml:space="preserve">Alkuperäinen sisältö, argumentaatio ja analyysi</w:t>
      </w:r>
    </w:p>
    <w:p>
      <w:pPr>
        <w:numPr>
          <w:ilvl w:val="0"/>
          <w:numId w:val="1006"/>
        </w:numPr>
        <w:pStyle w:val="Compact"/>
      </w:pPr>
      <w:r>
        <w:t xml:space="preserve">Live-koodikanta ja toteutus (dws6-repositorio: 50 000+ LOC)</w:t>
      </w:r>
    </w:p>
    <w:p>
      <w:pPr>
        <w:numPr>
          <w:ilvl w:val="0"/>
          <w:numId w:val="1006"/>
        </w:numPr>
        <w:pStyle w:val="Compact"/>
      </w:pPr>
      <w:r>
        <w:t xml:space="preserve">Liiketoimintamallin suunnittelu ja validointi</w:t>
      </w:r>
    </w:p>
    <w:p>
      <w:pPr>
        <w:numPr>
          <w:ilvl w:val="0"/>
          <w:numId w:val="1006"/>
        </w:numPr>
        <w:pStyle w:val="Compact"/>
      </w:pPr>
      <w:r>
        <w:t xml:space="preserve">Asiakashaastattelut ja data (Uber, Bolt, Kela — €10k MRR)</w:t>
      </w:r>
    </w:p>
    <w:p>
      <w:pPr>
        <w:numPr>
          <w:ilvl w:val="0"/>
          <w:numId w:val="1006"/>
        </w:numPr>
        <w:pStyle w:val="Compact"/>
      </w:pPr>
      <w:r>
        <w:t xml:space="preserve">Solution Factory -mallin ja AgentFoundry-arkkitehtuurin kehitys</w:t>
      </w:r>
    </w:p>
    <w:p>
      <w:pPr>
        <w:numPr>
          <w:ilvl w:val="0"/>
          <w:numId w:val="1006"/>
        </w:numPr>
        <w:pStyle w:val="Compact"/>
      </w:pPr>
      <w:r>
        <w:t xml:space="preserve">DWS10.com-verkkokaupan tuotekatalogi ja integraatiot</w:t>
      </w:r>
    </w:p>
    <w:p>
      <w:pPr>
        <w:pStyle w:val="FirstParagraph"/>
      </w:pPr>
      <w:r>
        <w:rPr>
          <w:bCs/>
          <w:b/>
        </w:rPr>
        <w:t xml:space="preserve">Todisteaineisto:</w:t>
      </w:r>
    </w:p>
    <w:p>
      <w:pPr>
        <w:numPr>
          <w:ilvl w:val="0"/>
          <w:numId w:val="1007"/>
        </w:numPr>
        <w:pStyle w:val="Compact"/>
      </w:pPr>
      <w:r>
        <w:t xml:space="preserve">Git-versiohistoria:</w:t>
      </w:r>
      <w:r>
        <w:t xml:space="preserve"> </w:t>
      </w:r>
      <w:hyperlink r:id="rId24">
        <w:r>
          <w:rPr>
            <w:rStyle w:val="Hyperlink"/>
          </w:rPr>
          <w:t xml:space="preserve">github.com/blogtheristo/dws6</w:t>
        </w:r>
      </w:hyperlink>
    </w:p>
    <w:p>
      <w:pPr>
        <w:numPr>
          <w:ilvl w:val="0"/>
          <w:numId w:val="1007"/>
        </w:numPr>
        <w:pStyle w:val="Compact"/>
      </w:pPr>
      <w:r>
        <w:t xml:space="preserve">Live-asiakasvalidointi: €10 000+ MRR</w:t>
      </w:r>
    </w:p>
    <w:p>
      <w:pPr>
        <w:numPr>
          <w:ilvl w:val="0"/>
          <w:numId w:val="1007"/>
        </w:numPr>
        <w:pStyle w:val="Compact"/>
      </w:pPr>
      <w:r>
        <w:t xml:space="preserve">Toimiva järjestelmä: DWS10.com, DWS6.com, onelifetime.world, lifetime.fi</w:t>
      </w:r>
    </w:p>
    <w:p>
      <w:pPr>
        <w:numPr>
          <w:ilvl w:val="0"/>
          <w:numId w:val="1007"/>
        </w:numPr>
        <w:pStyle w:val="Compact"/>
      </w:pPr>
      <w:r>
        <w:t xml:space="preserve">Google Merchant Center: Tili 8496329, 30 tuotetta hyväksytty</w:t>
      </w:r>
    </w:p>
    <w:p>
      <w:r>
        <w:pict>
          <v:rect style="width:0;height:1.5pt" o:hralign="center" o:hrstd="t" o:hr="t"/>
        </w:pict>
      </w:r>
    </w:p>
    <w:bookmarkEnd w:id="25"/>
    <w:bookmarkEnd w:id="26"/>
    <w:bookmarkStart w:id="27" w:name="sisällysluettelo"/>
    <w:p>
      <w:pPr>
        <w:pStyle w:val="Heading1"/>
      </w:pPr>
      <w:r>
        <w:t xml:space="preserve">Sisällysluettelo</w:t>
      </w:r>
    </w:p>
    <w:p>
      <w:pPr>
        <w:numPr>
          <w:ilvl w:val="0"/>
          <w:numId w:val="1008"/>
        </w:numPr>
        <w:pStyle w:val="Compact"/>
      </w:pPr>
      <w:hyperlink w:anchor="Xceda4551a649c96d24f4faad0ef1af516d37995">
        <w:r>
          <w:rPr>
            <w:rStyle w:val="Hyperlink"/>
          </w:rPr>
          <w:t xml:space="preserve">Johdanto</w:t>
        </w:r>
      </w:hyperlink>
    </w:p>
    <w:p>
      <w:pPr>
        <w:numPr>
          <w:ilvl w:val="0"/>
          <w:numId w:val="1008"/>
        </w:numPr>
        <w:pStyle w:val="Compact"/>
      </w:pPr>
      <w:hyperlink w:anchor="X649d91a8eddedb748cae4ee1d3950ab64bee039">
        <w:r>
          <w:rPr>
            <w:rStyle w:val="Hyperlink"/>
          </w:rPr>
          <w:t xml:space="preserve">Teoreettinen viitekehys</w:t>
        </w:r>
      </w:hyperlink>
    </w:p>
    <w:p>
      <w:pPr>
        <w:numPr>
          <w:ilvl w:val="0"/>
          <w:numId w:val="1008"/>
        </w:numPr>
        <w:pStyle w:val="Compact"/>
      </w:pPr>
      <w:hyperlink w:anchor="X64a9dac69071dc4755355a2124c0e0ea6031315">
        <w:r>
          <w:rPr>
            <w:rStyle w:val="Hyperlink"/>
          </w:rPr>
          <w:t xml:space="preserve">Nykytila-analyysi</w:t>
        </w:r>
      </w:hyperlink>
    </w:p>
    <w:p>
      <w:pPr>
        <w:numPr>
          <w:ilvl w:val="0"/>
          <w:numId w:val="1008"/>
        </w:numPr>
        <w:pStyle w:val="Compact"/>
      </w:pPr>
      <w:hyperlink w:anchor="Xc58f54816940a18cf01a696e3144795f5960092">
        <w:r>
          <w:rPr>
            <w:rStyle w:val="Hyperlink"/>
          </w:rPr>
          <w:t xml:space="preserve">DWS6-toimintamallin suunnittelu</w:t>
        </w:r>
      </w:hyperlink>
    </w:p>
    <w:p>
      <w:pPr>
        <w:numPr>
          <w:ilvl w:val="0"/>
          <w:numId w:val="1008"/>
        </w:numPr>
        <w:pStyle w:val="Compact"/>
      </w:pPr>
      <w:hyperlink w:anchor="X77a6333d15ab389e099d123c712dc684b0f0888">
        <w:r>
          <w:rPr>
            <w:rStyle w:val="Hyperlink"/>
          </w:rPr>
          <w:t xml:space="preserve">Toteutus (MVP-vaihe)</w:t>
        </w:r>
      </w:hyperlink>
    </w:p>
    <w:p>
      <w:pPr>
        <w:numPr>
          <w:ilvl w:val="0"/>
          <w:numId w:val="1008"/>
        </w:numPr>
        <w:pStyle w:val="Compact"/>
      </w:pPr>
      <w:hyperlink w:anchor="Xe6f9f45696e910bc09f7f32f925a5310e59f0b4">
        <w:r>
          <w:rPr>
            <w:rStyle w:val="Hyperlink"/>
          </w:rPr>
          <w:t xml:space="preserve">DWS10.com-verkkokaupan integraatio</w:t>
        </w:r>
      </w:hyperlink>
    </w:p>
    <w:p>
      <w:pPr>
        <w:numPr>
          <w:ilvl w:val="0"/>
          <w:numId w:val="1008"/>
        </w:numPr>
        <w:pStyle w:val="Compact"/>
      </w:pPr>
      <w:hyperlink w:anchor="Xacc39b4b5aaa0aecb2049679751060516314333">
        <w:r>
          <w:rPr>
            <w:rStyle w:val="Hyperlink"/>
          </w:rPr>
          <w:t xml:space="preserve">Äänichat-kehityssuunnitelma</w:t>
        </w:r>
      </w:hyperlink>
    </w:p>
    <w:p>
      <w:pPr>
        <w:numPr>
          <w:ilvl w:val="0"/>
          <w:numId w:val="1008"/>
        </w:numPr>
        <w:pStyle w:val="Compact"/>
      </w:pPr>
      <w:hyperlink w:anchor="Xb2c9afd0bb2ef8985d87fa372c904d05517c1e9">
        <w:r>
          <w:rPr>
            <w:rStyle w:val="Hyperlink"/>
          </w:rPr>
          <w:t xml:space="preserve">Tulokset ja analyysi</w:t>
        </w:r>
      </w:hyperlink>
    </w:p>
    <w:p>
      <w:pPr>
        <w:numPr>
          <w:ilvl w:val="0"/>
          <w:numId w:val="1008"/>
        </w:numPr>
        <w:pStyle w:val="Compact"/>
      </w:pPr>
      <w:hyperlink w:anchor="X153fe7cbdc009782d06ea2e2dc3e7d00465f587">
        <w:r>
          <w:rPr>
            <w:rStyle w:val="Hyperlink"/>
          </w:rPr>
          <w:t xml:space="preserve">Pohdinta</w:t>
        </w:r>
      </w:hyperlink>
    </w:p>
    <w:p>
      <w:pPr>
        <w:numPr>
          <w:ilvl w:val="0"/>
          <w:numId w:val="1008"/>
        </w:numPr>
        <w:pStyle w:val="Compact"/>
      </w:pPr>
      <w:hyperlink w:anchor="Xd838753e6740912833ea65ede4e86fddeb96327">
        <w:r>
          <w:rPr>
            <w:rStyle w:val="Hyperlink"/>
          </w:rPr>
          <w:t xml:space="preserve">Johtopäätökset</w:t>
        </w:r>
      </w:hyperlink>
    </w:p>
    <w:p>
      <w:pPr>
        <w:numPr>
          <w:ilvl w:val="0"/>
          <w:numId w:val="1008"/>
        </w:numPr>
        <w:pStyle w:val="Compact"/>
      </w:pPr>
      <w:hyperlink w:anchor="Xb1cfa8937584a0a5a146b78783fa5892844687f">
        <w:r>
          <w:rPr>
            <w:rStyle w:val="Hyperlink"/>
          </w:rPr>
          <w:t xml:space="preserve">Lähteet</w:t>
        </w:r>
      </w:hyperlink>
    </w:p>
    <w:p>
      <w:pPr>
        <w:numPr>
          <w:ilvl w:val="0"/>
          <w:numId w:val="1008"/>
        </w:numPr>
        <w:pStyle w:val="Compact"/>
      </w:pPr>
      <w:hyperlink w:anchor="Xd292007e3455c685f40ed6f1177cb2ae0d32f55">
        <w:r>
          <w:rPr>
            <w:rStyle w:val="Hyperlink"/>
          </w:rPr>
          <w:t xml:space="preserve">Liitteet</w:t>
        </w:r>
      </w:hyperlink>
    </w:p>
    <w:p>
      <w:r>
        <w:pict>
          <v:rect style="width:0;height:1.5pt" o:hralign="center" o:hrstd="t" o:hr="t"/>
        </w:pict>
      </w:r>
    </w:p>
    <w:bookmarkEnd w:id="27"/>
    <w:bookmarkStart w:id="35" w:name="johdanto"/>
    <w:p>
      <w:pPr>
        <w:pStyle w:val="Heading1"/>
      </w:pPr>
      <w:r>
        <w:t xml:space="preserve">1. Johdanto</w:t>
      </w:r>
    </w:p>
    <w:bookmarkStart w:id="28" w:name="tausta"/>
    <w:p>
      <w:pPr>
        <w:pStyle w:val="Heading2"/>
      </w:pPr>
      <w:r>
        <w:t xml:space="preserve">1.1 Tausta</w:t>
      </w:r>
    </w:p>
    <w:p>
      <w:pPr>
        <w:pStyle w:val="FirstParagraph"/>
      </w:pPr>
      <w:r>
        <w:t xml:space="preserve">Eurooppalaiset teollisuuden pk-yritykset kohtaavat</w:t>
      </w:r>
      <w:r>
        <w:t xml:space="preserve"> </w:t>
      </w:r>
      <w:r>
        <w:t xml:space="preserve">“</w:t>
      </w:r>
      <w:r>
        <w:t xml:space="preserve">kaksoissiirtymän</w:t>
      </w:r>
      <w:r>
        <w:t xml:space="preserve">”</w:t>
      </w:r>
      <w:r>
        <w:t xml:space="preserve"> </w:t>
      </w:r>
      <w:r>
        <w:t xml:space="preserve">haasteen:</w:t>
      </w:r>
    </w:p>
    <w:p>
      <w:pPr>
        <w:numPr>
          <w:ilvl w:val="0"/>
          <w:numId w:val="1009"/>
        </w:numPr>
        <w:pStyle w:val="Compact"/>
      </w:pPr>
      <w:r>
        <w:rPr>
          <w:bCs/>
          <w:b/>
        </w:rPr>
        <w:t xml:space="preserve">Digitaalinen muutos</w:t>
      </w:r>
      <w:r>
        <w:t xml:space="preserve">: AI, automaatio, reaaliaikainen päätöksenteko</w:t>
      </w:r>
    </w:p>
    <w:p>
      <w:pPr>
        <w:numPr>
          <w:ilvl w:val="0"/>
          <w:numId w:val="1009"/>
        </w:numPr>
        <w:pStyle w:val="Compact"/>
      </w:pPr>
      <w:r>
        <w:rPr>
          <w:bCs/>
          <w:b/>
        </w:rPr>
        <w:t xml:space="preserve">Vihreä siirtymä</w:t>
      </w:r>
      <w:r>
        <w:t xml:space="preserve">: EU Fit for 55 (55% päästövähennys vuoteen 2030 mennessä), sisältyvän hiilen mittausvaatimukset vuoteen 2028 mennessä</w:t>
      </w:r>
    </w:p>
    <w:p>
      <w:pPr>
        <w:pStyle w:val="FirstParagraph"/>
      </w:pPr>
      <w:r>
        <w:t xml:space="preserve">Perinteiset SaaS-alustat epäonnistuvat, koska ne:</w:t>
      </w:r>
    </w:p>
    <w:p>
      <w:pPr>
        <w:numPr>
          <w:ilvl w:val="0"/>
          <w:numId w:val="1010"/>
        </w:numPr>
        <w:pStyle w:val="Compact"/>
      </w:pPr>
      <w:r>
        <w:t xml:space="preserve">Maksavat €1 400+/kk (liian kalliita pk-yrityksille)</w:t>
      </w:r>
    </w:p>
    <w:p>
      <w:pPr>
        <w:numPr>
          <w:ilvl w:val="0"/>
          <w:numId w:val="1010"/>
        </w:numPr>
        <w:pStyle w:val="Compact"/>
      </w:pPr>
      <w:r>
        <w:t xml:space="preserve">Vaativat vain pilvipohjaiset arkkitehtuurit (korkea latenssi, korkeat käyttökustannukset)</w:t>
      </w:r>
    </w:p>
    <w:p>
      <w:pPr>
        <w:numPr>
          <w:ilvl w:val="0"/>
          <w:numId w:val="1010"/>
        </w:numPr>
        <w:pStyle w:val="Compact"/>
      </w:pPr>
      <w:r>
        <w:t xml:space="preserve">Eivät käsittele toimialakohtaisia compliance-työnkulkuja</w:t>
      </w:r>
    </w:p>
    <w:p>
      <w:pPr>
        <w:pStyle w:val="FirstParagraph"/>
      </w:pPr>
      <w:r>
        <w:rPr>
          <w:bCs/>
          <w:b/>
        </w:rPr>
        <w:t xml:space="preserve">Firehorse (DWS6)</w:t>
      </w:r>
      <w:r>
        <w:t xml:space="preserve"> </w:t>
      </w:r>
      <w:r>
        <w:t xml:space="preserve">ratkaisee tämän uudella toimintamallilla, joka yhdistää:</w:t>
      </w:r>
    </w:p>
    <w:p>
      <w:pPr>
        <w:numPr>
          <w:ilvl w:val="0"/>
          <w:numId w:val="1011"/>
        </w:numPr>
        <w:pStyle w:val="Compact"/>
      </w:pPr>
      <w:r>
        <w:t xml:space="preserve">AI-avusteisen kehityksen (Cursor Pro + Claude Code Max, 15 viikon MVP)</w:t>
      </w:r>
    </w:p>
    <w:p>
      <w:pPr>
        <w:numPr>
          <w:ilvl w:val="0"/>
          <w:numId w:val="1011"/>
        </w:numPr>
        <w:pStyle w:val="Compact"/>
      </w:pPr>
      <w:r>
        <w:t xml:space="preserve">Edge AI (NVIDIA Jetson) &lt;100ms päättelylle</w:t>
      </w:r>
    </w:p>
    <w:p>
      <w:pPr>
        <w:numPr>
          <w:ilvl w:val="0"/>
          <w:numId w:val="1011"/>
        </w:numPr>
        <w:pStyle w:val="Compact"/>
      </w:pPr>
      <w:r>
        <w:t xml:space="preserve">Toimialakohtaiset AI-agentit (Rakentaminen, Valmistus, Energia)</w:t>
      </w:r>
    </w:p>
    <w:p>
      <w:pPr>
        <w:numPr>
          <w:ilvl w:val="0"/>
          <w:numId w:val="1011"/>
        </w:numPr>
        <w:pStyle w:val="Compact"/>
      </w:pPr>
      <w:r>
        <w:t xml:space="preserve">Vaiheittainen käyttöönotto (Hiljainen pilotti → Neuvonantaja → Autonominen)</w:t>
      </w:r>
    </w:p>
    <w:p>
      <w:pPr>
        <w:numPr>
          <w:ilvl w:val="0"/>
          <w:numId w:val="1011"/>
        </w:numPr>
        <w:pStyle w:val="Compact"/>
      </w:pPr>
      <w:r>
        <w:rPr>
          <w:bCs/>
          <w:b/>
        </w:rPr>
        <w:t xml:space="preserve">Verkkokauppavalidointi DWS10.com:n, Google Merchant Centerin ja Revolut Businessin kautta</w:t>
      </w:r>
      <w:r>
        <w:t xml:space="preserve"> </w:t>
      </w:r>
      <w:r>
        <w:t xml:space="preserve">[V3.0]</w:t>
      </w:r>
    </w:p>
    <w:bookmarkEnd w:id="28"/>
    <w:bookmarkStart w:id="29" w:name="tutkimusongelma"/>
    <w:p>
      <w:pPr>
        <w:pStyle w:val="Heading2"/>
      </w:pPr>
      <w:r>
        <w:t xml:space="preserve">1.2 Tutkimusongelma</w:t>
      </w:r>
    </w:p>
    <w:p>
      <w:pPr>
        <w:pStyle w:val="FirstParagraph"/>
      </w:pPr>
      <w:r>
        <w:rPr>
          <w:bCs/>
          <w:b/>
        </w:rPr>
        <w:t xml:space="preserve">Päätutkimuskysymys:</w:t>
      </w:r>
      <w:r>
        <w:t xml:space="preserve"> </w:t>
      </w:r>
      <w:r>
        <w:t xml:space="preserve">Miten AI-avusteisesti kehitetty teollinen AI-alusta voi saavuttaa tuote-markkinasopivuuden hybridi pilvi-edge-toimintamallin kautta säilyttäen samalla &lt;€400/kk käyttökustannukset?</w:t>
      </w:r>
    </w:p>
    <w:p>
      <w:pPr>
        <w:pStyle w:val="BodyText"/>
      </w:pPr>
      <w:r>
        <w:rPr>
          <w:bCs/>
          <w:b/>
        </w:rPr>
        <w:t xml:space="preserve">Alatutkimuskysymykset:</w:t>
      </w:r>
    </w:p>
    <w:p>
      <w:pPr>
        <w:numPr>
          <w:ilvl w:val="0"/>
          <w:numId w:val="1012"/>
        </w:numPr>
      </w:pPr>
      <w:r>
        <w:rPr>
          <w:bCs/>
          <w:b/>
        </w:rPr>
        <w:t xml:space="preserve">Tuote ja liiketoimintamalli:</w:t>
      </w:r>
      <w:r>
        <w:t xml:space="preserve"> </w:t>
      </w:r>
      <w:r>
        <w:t xml:space="preserve">Miten kehitetään asiakaslupaus, joka ratkaisee todellisen ongelman ja skaalautuu kansainvälisesti?</w:t>
      </w:r>
    </w:p>
    <w:p>
      <w:pPr>
        <w:numPr>
          <w:ilvl w:val="0"/>
          <w:numId w:val="1012"/>
        </w:numPr>
      </w:pPr>
      <w:r>
        <w:rPr>
          <w:bCs/>
          <w:b/>
        </w:rPr>
        <w:t xml:space="preserve">Teknologia:</w:t>
      </w:r>
      <w:r>
        <w:t xml:space="preserve"> </w:t>
      </w:r>
      <w:r>
        <w:t xml:space="preserve">Miten rakennetaan digitaalinen, skaalautuva palvelutuote, joka toimii pilvi + edge + verkkokauppa?</w:t>
      </w:r>
    </w:p>
    <w:p>
      <w:pPr>
        <w:numPr>
          <w:ilvl w:val="0"/>
          <w:numId w:val="1012"/>
        </w:numPr>
      </w:pPr>
      <w:r>
        <w:rPr>
          <w:bCs/>
          <w:b/>
        </w:rPr>
        <w:t xml:space="preserve">Teknisten ratkaisujen evaluointi:</w:t>
      </w:r>
      <w:r>
        <w:t xml:space="preserve"> </w:t>
      </w:r>
      <w:r>
        <w:t xml:space="preserve">Mikä tekninen ratkaisu parhaiten tukee liiketoimintatavoitteita?</w:t>
      </w:r>
    </w:p>
    <w:p>
      <w:pPr>
        <w:numPr>
          <w:ilvl w:val="0"/>
          <w:numId w:val="1012"/>
        </w:numPr>
      </w:pPr>
      <w:r>
        <w:rPr>
          <w:bCs/>
          <w:b/>
        </w:rPr>
        <w:t xml:space="preserve">Yritysturvallisuus:</w:t>
      </w:r>
      <w:r>
        <w:t xml:space="preserve"> </w:t>
      </w:r>
      <w:r>
        <w:t xml:space="preserve">Miten varmistetaan NIS 2, EU AI Act, GDPR ja Cybersecurity Act -vaatimustenmukaisuus?</w:t>
      </w:r>
    </w:p>
    <w:p>
      <w:pPr>
        <w:numPr>
          <w:ilvl w:val="0"/>
          <w:numId w:val="1012"/>
        </w:numPr>
      </w:pPr>
      <w:r>
        <w:rPr>
          <w:bCs/>
          <w:b/>
        </w:rPr>
        <w:t xml:space="preserve">Verkkokauppavalidointi:</w:t>
      </w:r>
      <w:r>
        <w:t xml:space="preserve"> </w:t>
      </w:r>
      <w:r>
        <w:t xml:space="preserve">Miten automatisoitu kauppa tekoälyavusteisilla toiminnoilla voi validoida tuote-markkinasopivuuden? [V3.0]</w:t>
      </w:r>
    </w:p>
    <w:bookmarkEnd w:id="29"/>
    <w:bookmarkStart w:id="30" w:name="työn-tavoitteet"/>
    <w:p>
      <w:pPr>
        <w:pStyle w:val="Heading2"/>
      </w:pPr>
      <w:r>
        <w:t xml:space="preserve">1.3 Työn tavoitteet</w:t>
      </w:r>
    </w:p>
    <w:p>
      <w:pPr>
        <w:numPr>
          <w:ilvl w:val="0"/>
          <w:numId w:val="1013"/>
        </w:numPr>
        <w:pStyle w:val="Compact"/>
      </w:pPr>
      <w:r>
        <w:t xml:space="preserve">Dokumentoida Firehorse-toimintamalli (MVP → V1)</w:t>
      </w:r>
    </w:p>
    <w:p>
      <w:pPr>
        <w:numPr>
          <w:ilvl w:val="0"/>
          <w:numId w:val="1013"/>
        </w:numPr>
        <w:pStyle w:val="Compact"/>
      </w:pPr>
      <w:r>
        <w:t xml:space="preserve">Validoida kustannustehokas kehitysmalli (Cursor Pro + Claude Code Max)</w:t>
      </w:r>
    </w:p>
    <w:p>
      <w:pPr>
        <w:numPr>
          <w:ilvl w:val="0"/>
          <w:numId w:val="1013"/>
        </w:numPr>
        <w:pStyle w:val="Compact"/>
      </w:pPr>
      <w:r>
        <w:t xml:space="preserve">Mitata asiakashyöty (≤2kk takaisinmaksuaika)</w:t>
      </w:r>
    </w:p>
    <w:p>
      <w:pPr>
        <w:numPr>
          <w:ilvl w:val="0"/>
          <w:numId w:val="1013"/>
        </w:numPr>
        <w:pStyle w:val="Compact"/>
      </w:pPr>
      <w:r>
        <w:t xml:space="preserve">Luoda toistettava malli muille teollisuuden startup-yrityksille</w:t>
      </w:r>
    </w:p>
    <w:p>
      <w:pPr>
        <w:numPr>
          <w:ilvl w:val="0"/>
          <w:numId w:val="1013"/>
        </w:numPr>
        <w:pStyle w:val="Compact"/>
      </w:pPr>
      <w:r>
        <w:rPr>
          <w:bCs/>
          <w:b/>
        </w:rPr>
        <w:t xml:space="preserve">Validoida verkkokauppakanava Google Merchant Center -integraatiolla</w:t>
      </w:r>
      <w:r>
        <w:t xml:space="preserve"> </w:t>
      </w:r>
      <w:r>
        <w:t xml:space="preserve">[V3.0]</w:t>
      </w:r>
    </w:p>
    <w:bookmarkEnd w:id="30"/>
    <w:bookmarkStart w:id="32" w:name="rajaukset"/>
    <w:p>
      <w:pPr>
        <w:pStyle w:val="Heading2"/>
      </w:pPr>
      <w:r>
        <w:t xml:space="preserve">1.4 Rajaukset</w:t>
      </w:r>
    </w:p>
    <w:p>
      <w:pPr>
        <w:numPr>
          <w:ilvl w:val="0"/>
          <w:numId w:val="1014"/>
        </w:numPr>
        <w:pStyle w:val="Compact"/>
      </w:pPr>
      <w:r>
        <w:rPr>
          <w:bCs/>
          <w:b/>
        </w:rPr>
        <w:t xml:space="preserve">Toimiala:</w:t>
      </w:r>
      <w:r>
        <w:t xml:space="preserve"> </w:t>
      </w:r>
      <w:r>
        <w:t xml:space="preserve">Rakennusteollisuus (3,5M yritystä Euroopassa) + 15 muuta EU-toimialaa</w:t>
      </w:r>
    </w:p>
    <w:p>
      <w:pPr>
        <w:numPr>
          <w:ilvl w:val="0"/>
          <w:numId w:val="1014"/>
        </w:numPr>
        <w:pStyle w:val="Compact"/>
      </w:pPr>
      <w:r>
        <w:rPr>
          <w:bCs/>
          <w:b/>
        </w:rPr>
        <w:t xml:space="preserve">Markkina:</w:t>
      </w:r>
      <w:r>
        <w:t xml:space="preserve"> </w:t>
      </w:r>
      <w:r>
        <w:t xml:space="preserve">Pohjoismaat + Keski- ja Itä-Eurooppa</w:t>
      </w:r>
    </w:p>
    <w:p>
      <w:pPr>
        <w:numPr>
          <w:ilvl w:val="0"/>
          <w:numId w:val="1014"/>
        </w:numPr>
        <w:pStyle w:val="Compact"/>
      </w:pPr>
      <w:r>
        <w:rPr>
          <w:bCs/>
          <w:b/>
        </w:rPr>
        <w:t xml:space="preserve">Aikajänne:</w:t>
      </w:r>
      <w:r>
        <w:t xml:space="preserve"> </w:t>
      </w:r>
      <w:r>
        <w:t xml:space="preserve">MVP-vaihe (joulukuu 2025 - helmikuu 2026)</w:t>
      </w:r>
    </w:p>
    <w:p>
      <w:pPr>
        <w:numPr>
          <w:ilvl w:val="0"/>
          <w:numId w:val="1014"/>
        </w:numPr>
        <w:pStyle w:val="Compact"/>
      </w:pPr>
      <w:r>
        <w:rPr>
          <w:bCs/>
          <w:b/>
        </w:rPr>
        <w:t xml:space="preserve">Asiakkaat:</w:t>
      </w:r>
      <w:r>
        <w:t xml:space="preserve"> </w:t>
      </w:r>
      <w:r>
        <w:t xml:space="preserve">5 pilottiasiakasta (€10-100M liikevaihto)</w:t>
      </w:r>
    </w:p>
    <w:p>
      <w:pPr>
        <w:numPr>
          <w:ilvl w:val="0"/>
          <w:numId w:val="1014"/>
        </w:numPr>
        <w:pStyle w:val="Compact"/>
      </w:pPr>
      <w:r>
        <w:rPr>
          <w:bCs/>
          <w:b/>
        </w:rPr>
        <w:t xml:space="preserve">Verkkokauppa:</w:t>
      </w:r>
      <w:r>
        <w:t xml:space="preserve"> </w:t>
      </w:r>
      <w:r>
        <w:t xml:space="preserve">30 tuotetta alusta-, ohjelmisto- ja palvelukategorioissa [V3.0]</w:t>
      </w:r>
    </w:p>
    <w:bookmarkStart w:id="31" w:name="sisältörajaus-v3.55"/>
    <w:p>
      <w:pPr>
        <w:pStyle w:val="Heading3"/>
      </w:pPr>
      <w:r>
        <w:t xml:space="preserve">Sisältörajaus (v3.55)</w:t>
      </w:r>
    </w:p>
    <w:p>
      <w:pPr>
        <w:pStyle w:val="FirstParagraph"/>
      </w:pPr>
      <w:r>
        <w:t xml:space="preserve">Tämä opinnäytetyö on</w:t>
      </w:r>
      <w:r>
        <w:t xml:space="preserve"> </w:t>
      </w:r>
      <w:r>
        <w:rPr>
          <w:bCs/>
          <w:b/>
        </w:rPr>
        <w:t xml:space="preserve">tuote- ja toteutuslähtöinen</w:t>
      </w:r>
      <w:r>
        <w:t xml:space="preserve">. Sisältö kytkeytyy tiukasti DWS IQ:n nykyiseen ja seuraavaan tuoteversioon. Se dokumentoi suunnittelupäätökset, arkkitehtuurin, pull requestit ja mitattavat operatiiviset tulokset.</w:t>
      </w:r>
    </w:p>
    <w:p>
      <w:pPr>
        <w:pStyle w:val="BodyText"/>
      </w:pPr>
      <w:r>
        <w:rPr>
          <w:bCs/>
          <w:b/>
        </w:rPr>
        <w:t xml:space="preserve">Tämä opinnäytetyö EI sisällä:</w:t>
      </w:r>
    </w:p>
    <w:p>
      <w:pPr>
        <w:numPr>
          <w:ilvl w:val="0"/>
          <w:numId w:val="1015"/>
        </w:numPr>
        <w:pStyle w:val="Compact"/>
      </w:pPr>
      <w:r>
        <w:t xml:space="preserve">Markkinatietoa tai kilpailijoiden signaaleja</w:t>
      </w:r>
    </w:p>
    <w:p>
      <w:pPr>
        <w:numPr>
          <w:ilvl w:val="0"/>
          <w:numId w:val="1015"/>
        </w:numPr>
        <w:pStyle w:val="Compact"/>
      </w:pPr>
      <w:r>
        <w:t xml:space="preserve">Pitkän tähtäimen tiekarttaa (yli seuraavan tuoteversion)</w:t>
      </w:r>
    </w:p>
    <w:p>
      <w:pPr>
        <w:numPr>
          <w:ilvl w:val="0"/>
          <w:numId w:val="1015"/>
        </w:numPr>
        <w:pStyle w:val="Compact"/>
      </w:pPr>
      <w:r>
        <w:t xml:space="preserve">Tieteellistä kehystystä, standardointielinten toimintaa tai tutkimusohjelman positiointia</w:t>
      </w:r>
    </w:p>
    <w:p>
      <w:pPr>
        <w:pStyle w:val="FirstParagraph"/>
      </w:pPr>
      <w:r>
        <w:t xml:space="preserve">Nämä kuuluvat väitöskirjaan (</w:t>
      </w:r>
      <w:r>
        <w:rPr>
          <w:rStyle w:val="VerbatimChar"/>
        </w:rPr>
        <w:t xml:space="preserve">PHD_FIREHORSE_EN.md</w:t>
      </w:r>
      <w:r>
        <w:t xml:space="preserve"> </w:t>
      </w:r>
      <w:r>
        <w:t xml:space="preserve">/</w:t>
      </w:r>
      <w:r>
        <w:t xml:space="preserve"> </w:t>
      </w:r>
      <w:r>
        <w:rPr>
          <w:rStyle w:val="VerbatimChar"/>
        </w:rPr>
        <w:t xml:space="preserve">PHD_FIREHORSE_FI.md</w:t>
      </w:r>
      <w:r>
        <w:t xml:space="preserve">).</w:t>
      </w:r>
    </w:p>
    <w:bookmarkEnd w:id="31"/>
    <w:bookmarkEnd w:id="32"/>
    <w:bookmarkStart w:id="33" w:name="keskeiset-käsitteet"/>
    <w:p>
      <w:pPr>
        <w:pStyle w:val="Heading2"/>
      </w:pPr>
      <w:r>
        <w:t xml:space="preserve">1.5 Keskeiset käsitteet</w:t>
      </w:r>
    </w:p>
    <w:tbl>
      <w:tblPr>
        <w:tblStyle w:val="Table"/>
        <w:tblW w:type="pct" w:w="5000"/>
        <w:tblLook w:firstRow="1" w:lastRow="0" w:firstColumn="0" w:lastColumn="0" w:noHBand="0" w:noVBand="0" w:val="0020"/>
        <w:jc w:val="start"/>
      </w:tblPr>
      <w:tblGrid>
        <w:gridCol w:w="2006"/>
        <w:gridCol w:w="5913"/>
      </w:tblGrid>
      <w:tr>
        <w:trPr>
          <w:tblHeader w:val="true"/>
        </w:trPr>
        <w:tc>
          <w:tcPr/>
          <w:p>
            <w:pPr>
              <w:pStyle w:val="Compact"/>
              <w:jc w:val="left"/>
            </w:pPr>
            <w:r>
              <w:t xml:space="preserve">Käsite</w:t>
            </w:r>
          </w:p>
        </w:tc>
        <w:tc>
          <w:tcPr/>
          <w:p>
            <w:pPr>
              <w:pStyle w:val="Compact"/>
              <w:jc w:val="left"/>
            </w:pPr>
            <w:r>
              <w:t xml:space="preserve">Määritelmä</w:t>
            </w:r>
          </w:p>
        </w:tc>
      </w:tr>
      <w:tr>
        <w:tc>
          <w:tcPr/>
          <w:p>
            <w:pPr>
              <w:pStyle w:val="Compact"/>
              <w:jc w:val="left"/>
            </w:pPr>
            <w:r>
              <w:rPr>
                <w:bCs/>
                <w:b/>
              </w:rPr>
              <w:t xml:space="preserve">MVP</w:t>
            </w:r>
          </w:p>
        </w:tc>
        <w:tc>
          <w:tcPr/>
          <w:p>
            <w:pPr>
              <w:pStyle w:val="Compact"/>
              <w:jc w:val="left"/>
            </w:pPr>
            <w:r>
              <w:t xml:space="preserve">Minimum Viable Product - Pienin toimiva tuote</w:t>
            </w:r>
          </w:p>
        </w:tc>
      </w:tr>
      <w:tr>
        <w:tc>
          <w:tcPr/>
          <w:p>
            <w:pPr>
              <w:pStyle w:val="Compact"/>
              <w:jc w:val="left"/>
            </w:pPr>
            <w:r>
              <w:rPr>
                <w:bCs/>
                <w:b/>
              </w:rPr>
              <w:t xml:space="preserve">Edge AI</w:t>
            </w:r>
          </w:p>
        </w:tc>
        <w:tc>
          <w:tcPr/>
          <w:p>
            <w:pPr>
              <w:pStyle w:val="Compact"/>
              <w:jc w:val="left"/>
            </w:pPr>
            <w:r>
              <w:t xml:space="preserve">Tekoäly, joka toimii laitteen sisällä (ei pilviyhteyttä)</w:t>
            </w:r>
          </w:p>
        </w:tc>
      </w:tr>
      <w:tr>
        <w:tc>
          <w:tcPr/>
          <w:p>
            <w:pPr>
              <w:pStyle w:val="Compact"/>
              <w:jc w:val="left"/>
            </w:pPr>
            <w:r>
              <w:rPr>
                <w:bCs/>
                <w:b/>
              </w:rPr>
              <w:t xml:space="preserve">SaaS</w:t>
            </w:r>
          </w:p>
        </w:tc>
        <w:tc>
          <w:tcPr/>
          <w:p>
            <w:pPr>
              <w:pStyle w:val="Compact"/>
              <w:jc w:val="left"/>
            </w:pPr>
            <w:r>
              <w:t xml:space="preserve">Software as a Service - Ohjelmisto palveluna</w:t>
            </w:r>
          </w:p>
        </w:tc>
      </w:tr>
      <w:tr>
        <w:tc>
          <w:tcPr/>
          <w:p>
            <w:pPr>
              <w:pStyle w:val="Compact"/>
              <w:jc w:val="left"/>
            </w:pPr>
            <w:r>
              <w:rPr>
                <w:bCs/>
                <w:b/>
              </w:rPr>
              <w:t xml:space="preserve">DWS6</w:t>
            </w:r>
          </w:p>
        </w:tc>
        <w:tc>
          <w:tcPr/>
          <w:p>
            <w:pPr>
              <w:pStyle w:val="Compact"/>
              <w:jc w:val="left"/>
            </w:pPr>
            <w:r>
              <w:t xml:space="preserve">Digital Work System 6 - Firehorse-alustan tekninen nimi</w:t>
            </w:r>
          </w:p>
        </w:tc>
      </w:tr>
      <w:tr>
        <w:tc>
          <w:tcPr/>
          <w:p>
            <w:pPr>
              <w:pStyle w:val="Compact"/>
              <w:jc w:val="left"/>
            </w:pPr>
            <w:r>
              <w:rPr>
                <w:bCs/>
                <w:b/>
              </w:rPr>
              <w:t xml:space="preserve">Sisältyvä hiili</w:t>
            </w:r>
          </w:p>
        </w:tc>
        <w:tc>
          <w:tcPr/>
          <w:p>
            <w:pPr>
              <w:pStyle w:val="Compact"/>
              <w:jc w:val="left"/>
            </w:pPr>
            <w:r>
              <w:t xml:space="preserve">Rakennusmateriaalien valmistuksen ja kuljetuksen päästöt</w:t>
            </w:r>
          </w:p>
        </w:tc>
      </w:tr>
    </w:tbl>
    <w:bookmarkEnd w:id="33"/>
    <w:bookmarkStart w:id="34" w:name="X0c198aeac29a6618cbfe96202abd0c4de9b1740"/>
    <w:p>
      <w:pPr>
        <w:pStyle w:val="Heading2"/>
      </w:pPr>
      <w:r>
        <w:t xml:space="preserve">1.6 Ontologia — etymologia ja filosofinen tausta</w:t>
      </w:r>
    </w:p>
    <w:p>
      <w:pPr>
        <w:pStyle w:val="FirstParagraph"/>
      </w:pPr>
      <w:r>
        <w:t xml:space="preserve">Firehorse-alustan tieto- ja päättelykerros on jäsennetty muodollisen ontologian — DWS Ontology Standardin (ks.</w:t>
      </w:r>
      <w:r>
        <w:t xml:space="preserve"> </w:t>
      </w:r>
      <w:r>
        <w:rPr>
          <w:rStyle w:val="VerbatimChar"/>
        </w:rPr>
        <w:t xml:space="preserve">ONTOLOGY.md</w:t>
      </w:r>
      <w:r>
        <w:t xml:space="preserve"> </w:t>
      </w:r>
      <w:r>
        <w:t xml:space="preserve">v1.3 projektin repositoriossa) — varaan. Insinöörivalintojen kytkemiseksi käsitteelliseen perinteeseen tämä luku tarkastelee lyhyesti termin alkuperää.</w:t>
      </w:r>
    </w:p>
    <w:p>
      <w:pPr>
        <w:pStyle w:val="BodyText"/>
      </w:pPr>
      <w:r>
        <w:rPr>
          <w:bCs/>
          <w:b/>
        </w:rPr>
        <w:t xml:space="preserve">Etymologia.</w:t>
      </w:r>
      <w:r>
        <w:t xml:space="preserve"> </w:t>
      </w:r>
      <w:r>
        <w:t xml:space="preserve">Sana</w:t>
      </w:r>
      <w:r>
        <w:t xml:space="preserve"> </w:t>
      </w:r>
      <w:r>
        <w:rPr>
          <w:iCs/>
          <w:i/>
        </w:rPr>
        <w:t xml:space="preserve">ontologia</w:t>
      </w:r>
      <w:r>
        <w:t xml:space="preserve"> </w:t>
      </w:r>
      <w:r>
        <w:t xml:space="preserve">tulee kreikan kielen sanoista</w:t>
      </w:r>
      <w:r>
        <w:t xml:space="preserve"> </w:t>
      </w:r>
      <w:r>
        <w:rPr>
          <w:bCs/>
          <w:b/>
        </w:rPr>
        <w:t xml:space="preserve">ὄν (ón)</w:t>
      </w:r>
      <w:r>
        <w:t xml:space="preserve"> </w:t>
      </w:r>
      <w:r>
        <w:t xml:space="preserve">—</w:t>
      </w:r>
      <w:r>
        <w:t xml:space="preserve"> </w:t>
      </w:r>
      <w:r>
        <w:t xml:space="preserve">“</w:t>
      </w:r>
      <w:r>
        <w:t xml:space="preserve">oleva</w:t>
      </w:r>
      <w:r>
        <w:t xml:space="preserve">”</w:t>
      </w:r>
      <w:r>
        <w:t xml:space="preserve">, verbin</w:t>
      </w:r>
      <w:r>
        <w:t xml:space="preserve"> </w:t>
      </w:r>
      <w:r>
        <w:rPr>
          <w:iCs/>
          <w:i/>
        </w:rPr>
        <w:t xml:space="preserve">einai</w:t>
      </w:r>
      <w:r>
        <w:t xml:space="preserve"> </w:t>
      </w:r>
      <w:r>
        <w:t xml:space="preserve">(</w:t>
      </w:r>
      <w:r>
        <w:t xml:space="preserve">“</w:t>
      </w:r>
      <w:r>
        <w:t xml:space="preserve">olla</w:t>
      </w:r>
      <w:r>
        <w:t xml:space="preserve">”</w:t>
      </w:r>
      <w:r>
        <w:t xml:space="preserve">) preesensin partisiippi — ja</w:t>
      </w:r>
      <w:r>
        <w:t xml:space="preserve"> </w:t>
      </w:r>
      <w:r>
        <w:rPr>
          <w:bCs/>
          <w:b/>
        </w:rPr>
        <w:t xml:space="preserve">λόγος (lógos)</w:t>
      </w:r>
      <w:r>
        <w:t xml:space="preserve"> </w:t>
      </w:r>
      <w:r>
        <w:t xml:space="preserve">—</w:t>
      </w:r>
      <w:r>
        <w:t xml:space="preserve"> </w:t>
      </w:r>
      <w:r>
        <w:t xml:space="preserve">“</w:t>
      </w:r>
      <w:r>
        <w:t xml:space="preserve">oppi, puhe, järjellinen selitys</w:t>
      </w:r>
      <w:r>
        <w:t xml:space="preserve">”</w:t>
      </w:r>
      <w:r>
        <w:t xml:space="preserve">. Kirjaimellisesti ontologia tarkoittaa</w:t>
      </w:r>
      <w:r>
        <w:t xml:space="preserve"> </w:t>
      </w:r>
      <w:r>
        <w:rPr>
          <w:iCs/>
          <w:i/>
        </w:rPr>
        <w:t xml:space="preserve">oppia olevasta</w:t>
      </w:r>
      <w:r>
        <w:t xml:space="preserve"> </w:t>
      </w:r>
      <w:r>
        <w:t xml:space="preserve">— eli oppia siitä, mitä on olemassa ja millä tavoin.</w:t>
      </w:r>
    </w:p>
    <w:p>
      <w:pPr>
        <w:pStyle w:val="BodyText"/>
      </w:pPr>
      <w:r>
        <w:rPr>
          <w:bCs/>
          <w:b/>
        </w:rPr>
        <w:t xml:space="preserve">Filosofinen tausta.</w:t>
      </w:r>
      <w:r>
        <w:t xml:space="preserve"> </w:t>
      </w:r>
      <w:r>
        <w:t xml:space="preserve">Ontologia on yksi metafysiikan keskeisistä osa-alueista. Jo antiikin Kreikassa filosofit kuten Aristoteles pohtivat olemisen luonnetta: mitä tarkoittaa, että jokin</w:t>
      </w:r>
      <w:r>
        <w:t xml:space="preserve"> </w:t>
      </w:r>
      <w:r>
        <w:rPr>
          <w:iCs/>
          <w:i/>
        </w:rPr>
        <w:t xml:space="preserve">on</w:t>
      </w:r>
      <w:r>
        <w:t xml:space="preserve">; millaisia olevia on olemassa (esineet, ominaisuudet, suhteet, tapahtumat); ja mikä on olemisen perusrakenne. Varsinainen termi</w:t>
      </w:r>
      <w:r>
        <w:t xml:space="preserve"> </w:t>
      </w:r>
      <w:r>
        <w:rPr>
          <w:iCs/>
          <w:i/>
        </w:rPr>
        <w:t xml:space="preserve">ontologia</w:t>
      </w:r>
      <w:r>
        <w:t xml:space="preserve"> </w:t>
      </w:r>
      <w:r>
        <w:t xml:space="preserve">vakiintui vasta 1600–1700-luvuilla, erityisesti skolastiikan ja varhaisen modernin filosofian piirissä, kun metafysiikkaa alettiin systematisoida omiksi osa-alueikseen.</w:t>
      </w:r>
    </w:p>
    <w:p>
      <w:pPr>
        <w:pStyle w:val="BodyText"/>
      </w:pPr>
      <w:r>
        <w:rPr>
          <w:bCs/>
          <w:b/>
        </w:rPr>
        <w:t xml:space="preserve">Merkityksen laajeneminen nykyaikana.</w:t>
      </w:r>
      <w:r>
        <w:t xml:space="preserve"> </w:t>
      </w:r>
      <w:r>
        <w:t xml:space="preserve">Nykyään ontologiaa käytetään useissa eri yhteyksissä: filosofiassa tutkimuksena olemassaolon perusluonteesta; tietojenkäsittelytieteessä ja tekoälyssä muodollisena mallina käsitteistä ja niiden välisistä suhteista (luokat, ominaisuudet, relaatiot); ja tieteenfilosofiassa kysymyksenä siitä, millaisiin entiteetteihin jokin teoria sitoutuu. Sanan alkuperäinen merkitys —</w:t>
      </w:r>
      <w:r>
        <w:t xml:space="preserve"> </w:t>
      </w:r>
      <w:r>
        <w:rPr>
          <w:iCs/>
          <w:i/>
        </w:rPr>
        <w:t xml:space="preserve">olevan jäsentäminen</w:t>
      </w:r>
      <w:r>
        <w:t xml:space="preserve"> </w:t>
      </w:r>
      <w:r>
        <w:t xml:space="preserve">— säilyy, mutta sovelluskohde muuttuu. DWS Ontology Standard rakentuu juuri tälle perustalle: EU-säännökset ja teollisuuden käsitteet jäsennetään koneluettavaan muotoon, jota sekä ihmiset että agentit voivat kyselyillä tutkia saman rajapinnan kautta.</w:t>
      </w:r>
    </w:p>
    <w:p>
      <w:r>
        <w:pict>
          <v:rect style="width:0;height:1.5pt" o:hralign="center" o:hrstd="t" o:hr="t"/>
        </w:pict>
      </w:r>
    </w:p>
    <w:bookmarkEnd w:id="34"/>
    <w:bookmarkEnd w:id="35"/>
    <w:bookmarkStart w:id="46" w:name="teoreettinen-viitekehys"/>
    <w:p>
      <w:pPr>
        <w:pStyle w:val="Heading1"/>
      </w:pPr>
      <w:r>
        <w:t xml:space="preserve">2. Teoreettinen viitekehys</w:t>
      </w:r>
    </w:p>
    <w:bookmarkStart w:id="36" w:name="lean-startup--menetelmä"/>
    <w:p>
      <w:pPr>
        <w:pStyle w:val="Heading2"/>
      </w:pPr>
      <w:r>
        <w:t xml:space="preserve">2.1 Lean Startup -menetelmä</w:t>
      </w:r>
    </w:p>
    <w:p>
      <w:pPr>
        <w:pStyle w:val="FirstParagraph"/>
      </w:pPr>
      <w:r>
        <w:t xml:space="preserve">Lean Startup -metodologia (Ries, 2011) muodostaa Firehorse-tuotekehityksen perustan. Build-Measure-Learn -syklin ydinperiaate ohjaa suoraan vaiheittaista käyttöönottomallia:</w:t>
      </w:r>
    </w:p>
    <w:p>
      <w:pPr>
        <w:pStyle w:val="BodyText"/>
      </w:pPr>
      <w:r>
        <w:rPr>
          <w:bCs/>
          <w:b/>
        </w:rPr>
        <w:t xml:space="preserve">Soveltaminen Firehorseen:</w:t>
      </w:r>
    </w:p>
    <w:tbl>
      <w:tblPr>
        <w:tblStyle w:val="Table"/>
        <w:tblW w:type="pct" w:w="5000"/>
        <w:tblLook w:firstRow="1" w:lastRow="0" w:firstColumn="0" w:lastColumn="0" w:noHBand="0" w:noVBand="0" w:val="0020"/>
        <w:jc w:val="start"/>
      </w:tblPr>
      <w:tblGrid>
        <w:gridCol w:w="2534"/>
        <w:gridCol w:w="5385"/>
      </w:tblGrid>
      <w:tr>
        <w:trPr>
          <w:tblHeader w:val="true"/>
        </w:trPr>
        <w:tc>
          <w:tcPr/>
          <w:p>
            <w:pPr>
              <w:pStyle w:val="Compact"/>
              <w:jc w:val="left"/>
            </w:pPr>
            <w:r>
              <w:t xml:space="preserve">Lean Startup -konsepti</w:t>
            </w:r>
          </w:p>
        </w:tc>
        <w:tc>
          <w:tcPr/>
          <w:p>
            <w:pPr>
              <w:pStyle w:val="Compact"/>
              <w:jc w:val="left"/>
            </w:pPr>
            <w:r>
              <w:t xml:space="preserve">Firehorse-toteutus</w:t>
            </w:r>
          </w:p>
        </w:tc>
      </w:tr>
      <w:tr>
        <w:tc>
          <w:tcPr/>
          <w:p>
            <w:pPr>
              <w:pStyle w:val="Compact"/>
              <w:jc w:val="left"/>
            </w:pPr>
            <w:r>
              <w:rPr>
                <w:bCs/>
                <w:b/>
              </w:rPr>
              <w:t xml:space="preserve">MVP (Minimum Viable Product)</w:t>
            </w:r>
          </w:p>
        </w:tc>
        <w:tc>
          <w:tcPr/>
          <w:p>
            <w:pPr>
              <w:pStyle w:val="Compact"/>
              <w:jc w:val="left"/>
            </w:pPr>
            <w:r>
              <w:t xml:space="preserve">2 agenttia (CustomerSat, Viability) 5 pilottiasiakkaalle</w:t>
            </w:r>
          </w:p>
        </w:tc>
      </w:tr>
      <w:tr>
        <w:tc>
          <w:tcPr/>
          <w:p>
            <w:pPr>
              <w:pStyle w:val="Compact"/>
              <w:jc w:val="left"/>
            </w:pPr>
            <w:r>
              <w:rPr>
                <w:bCs/>
                <w:b/>
              </w:rPr>
              <w:t xml:space="preserve">Validoitu oppiminen</w:t>
            </w:r>
          </w:p>
        </w:tc>
        <w:tc>
          <w:tcPr/>
          <w:p>
            <w:pPr>
              <w:pStyle w:val="Compact"/>
              <w:jc w:val="left"/>
            </w:pPr>
            <w:r>
              <w:t xml:space="preserve">Hiljainen pilotti -vaihe havainnoi ennen toimintaa</w:t>
            </w:r>
          </w:p>
        </w:tc>
      </w:tr>
      <w:tr>
        <w:tc>
          <w:tcPr/>
          <w:p>
            <w:pPr>
              <w:pStyle w:val="Compact"/>
              <w:jc w:val="left"/>
            </w:pPr>
            <w:r>
              <w:rPr>
                <w:bCs/>
                <w:b/>
              </w:rPr>
              <w:t xml:space="preserve">Build-Measure-Learn</w:t>
            </w:r>
          </w:p>
        </w:tc>
        <w:tc>
          <w:tcPr/>
          <w:p>
            <w:pPr>
              <w:pStyle w:val="Compact"/>
              <w:jc w:val="left"/>
            </w:pPr>
            <w:r>
              <w:t xml:space="preserve">Vaihe 1 → Vaihe 2 → Vaihe 3 eteneminen</w:t>
            </w:r>
          </w:p>
        </w:tc>
      </w:tr>
      <w:tr>
        <w:tc>
          <w:tcPr/>
          <w:p>
            <w:pPr>
              <w:pStyle w:val="Compact"/>
              <w:jc w:val="left"/>
            </w:pPr>
            <w:r>
              <w:rPr>
                <w:bCs/>
                <w:b/>
              </w:rPr>
              <w:t xml:space="preserve">Pivot tai Persevere</w:t>
            </w:r>
          </w:p>
        </w:tc>
        <w:tc>
          <w:tcPr/>
          <w:p>
            <w:pPr>
              <w:pStyle w:val="Compact"/>
              <w:jc w:val="left"/>
            </w:pPr>
            <w:r>
              <w:t xml:space="preserve">Signaalipohjainen koordinointi mahdollistaa nopean kurssinkorjauksen</w:t>
            </w:r>
          </w:p>
        </w:tc>
      </w:tr>
    </w:tbl>
    <w:p>
      <w:pPr>
        <w:pStyle w:val="BodyText"/>
      </w:pPr>
      <w:r>
        <w:t xml:space="preserve">Customer Development -metodologia (Blank, 2013) laajentaa tätä periaatteella</w:t>
      </w:r>
      <w:r>
        <w:t xml:space="preserve"> </w:t>
      </w:r>
      <w:r>
        <w:t xml:space="preserve">“</w:t>
      </w:r>
      <w:r>
        <w:t xml:space="preserve">rakennuksesta ulos</w:t>
      </w:r>
      <w:r>
        <w:t xml:space="preserve">”</w:t>
      </w:r>
      <w:r>
        <w:t xml:space="preserve"> </w:t>
      </w:r>
      <w:r>
        <w:t xml:space="preserve">- tuote-markkinasopivuuden validointi todellisten asiakkaiden kanssa ennen skaalausta. Firehorse-lupaus 2 kuukauden takaisinmaksuajasta operationalisoi tämän luomalla mitattavan validointimittarin.</w:t>
      </w:r>
    </w:p>
    <w:bookmarkEnd w:id="36"/>
    <w:bookmarkStart w:id="37" w:name="alustatalous"/>
    <w:p>
      <w:pPr>
        <w:pStyle w:val="Heading2"/>
      </w:pPr>
      <w:r>
        <w:t xml:space="preserve">2.2 Alustatalous</w:t>
      </w:r>
    </w:p>
    <w:p>
      <w:pPr>
        <w:pStyle w:val="FirstParagraph"/>
      </w:pPr>
      <w:r>
        <w:t xml:space="preserve">Alustatalous (Parker, Van Alstyne &amp; Choudary, 2016) selittää, miten moniosaiset alustat luovat arvoa verkostovaikutusten kautta. Firehorse Solution Factory -malli laajentaa tätä teoriaa teolliseen tekoälyyn:</w:t>
      </w:r>
    </w:p>
    <w:p>
      <w:pPr>
        <w:pStyle w:val="BodyText"/>
      </w:pPr>
      <w:r>
        <w:rPr>
          <w:bCs/>
          <w:b/>
        </w:rPr>
        <w:t xml:space="preserve">Markkinakonteksti:</w:t>
      </w:r>
      <w:r>
        <w:t xml:space="preserve"> </w:t>
      </w:r>
      <w:r>
        <w:t xml:space="preserve">Maailmanlaajuiset generatiivisen tekoälyn investoinnit yltävät arviolta 644 miljardiin dollariin vuonna 2025, 76,4 % kasvulla edellisvuodesta (Red Hat, 2025). Silti 64 % toimitusjohtajista investoi tekoälyteknologioihin ennen kuin ymmärtää selkeästi niiden tuottaman arvon, mikä luo teknistä velkaa ja strategista haavoittuvuutta. Tämä reaktiivinen asenne validoi Firehorse-alustakonseptin: tuloslähtöinen tekoäly sisäänrakennetulla vaatimustenmukaisuudella, eikä teknologia-edellä-kokeilua.</w:t>
      </w:r>
    </w:p>
    <w:p>
      <w:pPr>
        <w:pStyle w:val="BodyText"/>
      </w:pPr>
      <w:r>
        <w:rPr>
          <w:bCs/>
          <w:b/>
        </w:rPr>
        <w:t xml:space="preserve">Monipuolinen alustasuunnittelu:</w:t>
      </w:r>
    </w:p>
    <w:p>
      <w:pPr>
        <w:pStyle w:val="SourceCode"/>
      </w:pPr>
      <w:r>
        <w:rPr>
          <w:rStyle w:val="VerbatimChar"/>
        </w:rPr>
        <w:t xml:space="preserve">┌─────────────────────────────────────────────────────────────┐</w:t>
      </w:r>
      <w:r>
        <w:br/>
      </w:r>
      <w:r>
        <w:rPr>
          <w:rStyle w:val="VerbatimChar"/>
        </w:rPr>
        <w:t xml:space="preserve">│                FIREHORSE-ALUSTAEKOSYSTEEMI                   │</w:t>
      </w:r>
      <w:r>
        <w:br/>
      </w:r>
      <w:r>
        <w:rPr>
          <w:rStyle w:val="VerbatimChar"/>
        </w:rPr>
        <w:t xml:space="preserve">├─────────────────────────────────────────────────────────────┤</w:t>
      </w:r>
      <w:r>
        <w:br/>
      </w:r>
      <w:r>
        <w:rPr>
          <w:rStyle w:val="VerbatimChar"/>
        </w:rPr>
        <w:t xml:space="preserve">│                                                              │</w:t>
      </w:r>
      <w:r>
        <w:br/>
      </w:r>
      <w:r>
        <w:rPr>
          <w:rStyle w:val="VerbatimChar"/>
        </w:rPr>
        <w:t xml:space="preserve">│  PUOLI 1: Teolliset asiakkaat (8 vertikaalissa)             │</w:t>
      </w:r>
      <w:r>
        <w:br/>
      </w:r>
      <w:r>
        <w:rPr>
          <w:rStyle w:val="VerbatimChar"/>
        </w:rPr>
        <w:t xml:space="preserve">│  ├─ Rakentaminen: NCC, T2H (5 projektia, €50M salkku)       │</w:t>
      </w:r>
      <w:r>
        <w:br/>
      </w:r>
      <w:r>
        <w:rPr>
          <w:rStyle w:val="VerbatimChar"/>
        </w:rPr>
        <w:t xml:space="preserve">│  ├─ Logistiikka: Uber, Bolt, Kela (€10k MRR pilotin aikana) │</w:t>
      </w:r>
      <w:r>
        <w:br/>
      </w:r>
      <w:r>
        <w:rPr>
          <w:rStyle w:val="VerbatimChar"/>
        </w:rPr>
        <w:t xml:space="preserve">│  ├─ Valmistus: 2M+ yritystä Euroopassa                      │</w:t>
      </w:r>
      <w:r>
        <w:br/>
      </w:r>
      <w:r>
        <w:rPr>
          <w:rStyle w:val="VerbatimChar"/>
        </w:rPr>
        <w:t xml:space="preserve">│  └─ 5 lisävertikaalista (Energia, Terveydenhuolto, jne.)    │</w:t>
      </w:r>
      <w:r>
        <w:br/>
      </w:r>
      <w:r>
        <w:rPr>
          <w:rStyle w:val="VerbatimChar"/>
        </w:rPr>
        <w:t xml:space="preserve">│                                                              │</w:t>
      </w:r>
      <w:r>
        <w:br/>
      </w:r>
      <w:r>
        <w:rPr>
          <w:rStyle w:val="VerbatimChar"/>
        </w:rPr>
        <w:t xml:space="preserve">│  PUOLI 2: Data- ja tiedusteluntarjoajat                      │</w:t>
      </w:r>
      <w:r>
        <w:br/>
      </w:r>
      <w:r>
        <w:rPr>
          <w:rStyle w:val="VerbatimChar"/>
        </w:rPr>
        <w:t xml:space="preserve">│  ├─ Lifetime World Model (55B parametrin LLM)               │</w:t>
      </w:r>
      <w:r>
        <w:br/>
      </w:r>
      <w:r>
        <w:rPr>
          <w:rStyle w:val="VerbatimChar"/>
        </w:rPr>
        <w:t xml:space="preserve">│  ├─ EU-vaatimustenmukaisuustietokannat (Fit for 55, EPBD)   │</w:t>
      </w:r>
      <w:r>
        <w:br/>
      </w:r>
      <w:r>
        <w:rPr>
          <w:rStyle w:val="VerbatimChar"/>
        </w:rPr>
        <w:t xml:space="preserve">│  └─ Toimialakohtaiset hiilitkerroimet                       │</w:t>
      </w:r>
      <w:r>
        <w:br/>
      </w:r>
      <w:r>
        <w:rPr>
          <w:rStyle w:val="VerbatimChar"/>
        </w:rPr>
        <w:t xml:space="preserve">│                                                              │</w:t>
      </w:r>
      <w:r>
        <w:br/>
      </w:r>
      <w:r>
        <w:rPr>
          <w:rStyle w:val="VerbatimChar"/>
        </w:rPr>
        <w:t xml:space="preserve">│  PUOLI 3: Laitteisto- ja reunakumppanit                      │</w:t>
      </w:r>
      <w:r>
        <w:br/>
      </w:r>
      <w:r>
        <w:rPr>
          <w:rStyle w:val="VerbatimChar"/>
        </w:rPr>
        <w:t xml:space="preserve">│  ├─ NVIDIA (Jetson Orin Nano -reunalaitteet)                │</w:t>
      </w:r>
      <w:r>
        <w:br/>
      </w:r>
      <w:r>
        <w:rPr>
          <w:rStyle w:val="VerbatimChar"/>
        </w:rPr>
        <w:t xml:space="preserve">│  ├─ Acer/Asus (Blackwell-koulutusinfrastruktuuri)           │</w:t>
      </w:r>
      <w:r>
        <w:br/>
      </w:r>
      <w:r>
        <w:rPr>
          <w:rStyle w:val="VerbatimChar"/>
        </w:rPr>
        <w:t xml:space="preserve">│  └─ IoT-anturivalmistajat                                   │</w:t>
      </w:r>
      <w:r>
        <w:br/>
      </w:r>
      <w:r>
        <w:rPr>
          <w:rStyle w:val="VerbatimChar"/>
        </w:rPr>
        <w:t xml:space="preserve">│                                                              │</w:t>
      </w:r>
      <w:r>
        <w:br/>
      </w:r>
      <w:r>
        <w:rPr>
          <w:rStyle w:val="VerbatimChar"/>
        </w:rPr>
        <w:t xml:space="preserve">│  VERKOSTOVAIKUTUKSET:                                        │</w:t>
      </w:r>
      <w:r>
        <w:br/>
      </w:r>
      <w:r>
        <w:rPr>
          <w:rStyle w:val="VerbatimChar"/>
        </w:rPr>
        <w:t xml:space="preserve">│  • Ristivertikaalinen tiedustelu (Logistiikka → Rakentaminen)│</w:t>
      </w:r>
      <w:r>
        <w:br/>
      </w:r>
      <w:r>
        <w:rPr>
          <w:rStyle w:val="VerbatimChar"/>
        </w:rPr>
        <w:t xml:space="preserve">│  • Jokainen uusi vertikaali tekee KAIKISTA vertikaaleista   │</w:t>
      </w:r>
      <w:r>
        <w:br/>
      </w:r>
      <w:r>
        <w:rPr>
          <w:rStyle w:val="VerbatimChar"/>
        </w:rPr>
        <w:t xml:space="preserve">│    älykkäämpiä                                               │</w:t>
      </w:r>
      <w:r>
        <w:br/>
      </w:r>
      <w:r>
        <w:rPr>
          <w:rStyle w:val="VerbatimChar"/>
        </w:rPr>
        <w:t xml:space="preserve">│  • Agenttipohjat tulevat uudelleenkäytettäviksi toimialojen │</w:t>
      </w:r>
      <w:r>
        <w:br/>
      </w:r>
      <w:r>
        <w:rPr>
          <w:rStyle w:val="VerbatimChar"/>
        </w:rPr>
        <w:t xml:space="preserve">│    välillä                                                   │</w:t>
      </w:r>
      <w:r>
        <w:br/>
      </w:r>
      <w:r>
        <w:rPr>
          <w:rStyle w:val="VerbatimChar"/>
        </w:rPr>
        <w:t xml:space="preserve">│                                                              │</w:t>
      </w:r>
      <w:r>
        <w:br/>
      </w:r>
      <w:r>
        <w:rPr>
          <w:rStyle w:val="VerbatimChar"/>
        </w:rPr>
        <w:t xml:space="preserve">└─────────────────────────────────────────────────────────────┘</w:t>
      </w:r>
    </w:p>
    <w:bookmarkEnd w:id="37"/>
    <w:bookmarkStart w:id="38" w:name="teollisuus-5.0"/>
    <w:p>
      <w:pPr>
        <w:pStyle w:val="Heading2"/>
      </w:pPr>
      <w:r>
        <w:t xml:space="preserve">2.3 Teollisuus 5.0</w:t>
      </w:r>
    </w:p>
    <w:p>
      <w:pPr>
        <w:pStyle w:val="FirstParagraph"/>
      </w:pPr>
      <w:r>
        <w:t xml:space="preserve">Teollisuus 5.0 (Euroopan komissio, 2021) edustaa evoluutiota Teollisuus 4.0:n automaatiofokuksesta kohti ihmiskeskeistä, kestävää ja resilienttiä teollista paradigmaa. Firehorse-toimintamalli toteuttaa suoraan nämä kolme pilaria:</w:t>
      </w:r>
    </w:p>
    <w:p>
      <w:pPr>
        <w:pStyle w:val="BodyText"/>
      </w:pPr>
      <w:r>
        <w:rPr>
          <w:bCs/>
          <w:b/>
        </w:rPr>
        <w:t xml:space="preserve">Ihmiskeskeinen toteutus:</w:t>
      </w:r>
      <w:r>
        <w:t xml:space="preserve"> </w:t>
      </w:r>
      <w:r>
        <w:t xml:space="preserve">Kolmivaiheinen käyttöönottomalli (Hiljainen pilotti → Neuvonantaja → Autonominen) varmistaa ihmisen valvonnan:</w:t>
      </w:r>
    </w:p>
    <w:tbl>
      <w:tblPr>
        <w:tblStyle w:val="Table"/>
        <w:tblW w:type="pct" w:w="5000"/>
        <w:tblLook w:firstRow="1" w:lastRow="0" w:firstColumn="0" w:lastColumn="0" w:noHBand="0" w:noVBand="0" w:val="0020"/>
        <w:jc w:val="start"/>
      </w:tblPr>
      <w:tblGrid>
        <w:gridCol w:w="1788"/>
        <w:gridCol w:w="1788"/>
        <w:gridCol w:w="1532"/>
        <w:gridCol w:w="2810"/>
      </w:tblGrid>
      <w:tr>
        <w:trPr>
          <w:tblHeader w:val="true"/>
        </w:trPr>
        <w:tc>
          <w:tcPr/>
          <w:p>
            <w:pPr>
              <w:pStyle w:val="Compact"/>
              <w:jc w:val="left"/>
            </w:pPr>
            <w:r>
              <w:t xml:space="preserve">Vaihe</w:t>
            </w:r>
          </w:p>
        </w:tc>
        <w:tc>
          <w:tcPr/>
          <w:p>
            <w:pPr>
              <w:pStyle w:val="Compact"/>
              <w:jc w:val="left"/>
            </w:pPr>
            <w:r>
              <w:t xml:space="preserve">Ihmisen rooli</w:t>
            </w:r>
          </w:p>
        </w:tc>
        <w:tc>
          <w:tcPr/>
          <w:p>
            <w:pPr>
              <w:pStyle w:val="Compact"/>
              <w:jc w:val="left"/>
            </w:pPr>
            <w:r>
              <w:t xml:space="preserve">AI:n rooli</w:t>
            </w:r>
          </w:p>
        </w:tc>
        <w:tc>
          <w:tcPr/>
          <w:p>
            <w:pPr>
              <w:pStyle w:val="Compact"/>
              <w:jc w:val="left"/>
            </w:pPr>
            <w:r>
              <w:t xml:space="preserve">Teollisuus 5.0 -yhteensopivuus</w:t>
            </w:r>
          </w:p>
        </w:tc>
      </w:tr>
      <w:tr>
        <w:tc>
          <w:tcPr/>
          <w:p>
            <w:pPr>
              <w:pStyle w:val="Compact"/>
              <w:jc w:val="left"/>
            </w:pPr>
            <w:r>
              <w:rPr>
                <w:bCs/>
                <w:b/>
              </w:rPr>
              <w:t xml:space="preserve">Hiljainen pilotti</w:t>
            </w:r>
          </w:p>
        </w:tc>
        <w:tc>
          <w:tcPr/>
          <w:p>
            <w:pPr>
              <w:pStyle w:val="Compact"/>
              <w:jc w:val="left"/>
            </w:pPr>
            <w:r>
              <w:t xml:space="preserve">Täysi kontrolli</w:t>
            </w:r>
          </w:p>
        </w:tc>
        <w:tc>
          <w:tcPr/>
          <w:p>
            <w:pPr>
              <w:pStyle w:val="Compact"/>
              <w:jc w:val="left"/>
            </w:pPr>
            <w:r>
              <w:t xml:space="preserve">Vain havainnointi</w:t>
            </w:r>
          </w:p>
        </w:tc>
        <w:tc>
          <w:tcPr/>
          <w:p>
            <w:pPr>
              <w:pStyle w:val="Compact"/>
              <w:jc w:val="left"/>
            </w:pPr>
            <w:r>
              <w:t xml:space="preserve">Maksimaalinen ihmisen toimijuus</w:t>
            </w:r>
          </w:p>
        </w:tc>
      </w:tr>
      <w:tr>
        <w:tc>
          <w:tcPr/>
          <w:p>
            <w:pPr>
              <w:pStyle w:val="Compact"/>
              <w:jc w:val="left"/>
            </w:pPr>
            <w:r>
              <w:rPr>
                <w:bCs/>
                <w:b/>
              </w:rPr>
              <w:t xml:space="preserve">Neuvonantaja</w:t>
            </w:r>
          </w:p>
        </w:tc>
        <w:tc>
          <w:tcPr/>
          <w:p>
            <w:pPr>
              <w:pStyle w:val="Compact"/>
              <w:jc w:val="left"/>
            </w:pPr>
            <w:r>
              <w:t xml:space="preserve">Hyväksyntä vaaditaan</w:t>
            </w:r>
          </w:p>
        </w:tc>
        <w:tc>
          <w:tcPr/>
          <w:p>
            <w:pPr>
              <w:pStyle w:val="Compact"/>
              <w:jc w:val="left"/>
            </w:pPr>
            <w:r>
              <w:t xml:space="preserve">Suositukset</w:t>
            </w:r>
          </w:p>
        </w:tc>
        <w:tc>
          <w:tcPr/>
          <w:p>
            <w:pPr>
              <w:pStyle w:val="Compact"/>
              <w:jc w:val="left"/>
            </w:pPr>
            <w:r>
              <w:t xml:space="preserve">Yhteistyöpäätöksenteko</w:t>
            </w:r>
          </w:p>
        </w:tc>
      </w:tr>
      <w:tr>
        <w:tc>
          <w:tcPr/>
          <w:p>
            <w:pPr>
              <w:pStyle w:val="Compact"/>
              <w:jc w:val="left"/>
            </w:pPr>
            <w:r>
              <w:rPr>
                <w:bCs/>
                <w:b/>
              </w:rPr>
              <w:t xml:space="preserve">Autonominen</w:t>
            </w:r>
          </w:p>
        </w:tc>
        <w:tc>
          <w:tcPr/>
          <w:p>
            <w:pPr>
              <w:pStyle w:val="Compact"/>
              <w:jc w:val="left"/>
            </w:pPr>
            <w:r>
              <w:t xml:space="preserve">Poikkeusten käsittely</w:t>
            </w:r>
          </w:p>
        </w:tc>
        <w:tc>
          <w:tcPr/>
          <w:p>
            <w:pPr>
              <w:pStyle w:val="Compact"/>
              <w:jc w:val="left"/>
            </w:pPr>
            <w:r>
              <w:t xml:space="preserve">Toiminta kaiteissa</w:t>
            </w:r>
          </w:p>
        </w:tc>
        <w:tc>
          <w:tcPr/>
          <w:p>
            <w:pPr>
              <w:pStyle w:val="Compact"/>
              <w:jc w:val="left"/>
            </w:pPr>
            <w:r>
              <w:t xml:space="preserve">Ihmisen valvonta reunatapauksissa</w:t>
            </w:r>
          </w:p>
        </w:tc>
      </w:tr>
    </w:tbl>
    <w:bookmarkEnd w:id="38"/>
    <w:bookmarkStart w:id="39" w:name="reunalaskennan-taloustiede"/>
    <w:p>
      <w:pPr>
        <w:pStyle w:val="Heading2"/>
      </w:pPr>
      <w:r>
        <w:t xml:space="preserve">2.4 Reunalaskennan taloustiede</w:t>
      </w:r>
    </w:p>
    <w:p>
      <w:pPr>
        <w:pStyle w:val="FirstParagraph"/>
      </w:pPr>
      <w:r>
        <w:t xml:space="preserve">Reunalaskennan taloustiede (Shi et al., 2016) tarjoaa teoreettisen perustan Firehorsen hybridiarkkitehtuurille. Keskeinen oivallus on, että latenssi- ja kaistanleveyskulut usein ylittävät keskitetyn prosessoinnin säästöt:</w:t>
      </w:r>
    </w:p>
    <w:p>
      <w:pPr>
        <w:pStyle w:val="BodyText"/>
      </w:pPr>
      <w:r>
        <w:rPr>
          <w:bCs/>
          <w:b/>
        </w:rPr>
        <w:t xml:space="preserve">Latenssi-kustannus-kompromissianalyysi:</w:t>
      </w:r>
    </w:p>
    <w:tbl>
      <w:tblPr>
        <w:tblStyle w:val="Table"/>
        <w:tblW w:type="pct" w:w="5000"/>
        <w:tblLook w:firstRow="1" w:lastRow="0" w:firstColumn="0" w:lastColumn="0" w:noHBand="0" w:noVBand="0" w:val="0020"/>
        <w:jc w:val="start"/>
      </w:tblPr>
      <w:tblGrid>
        <w:gridCol w:w="2053"/>
        <w:gridCol w:w="1246"/>
        <w:gridCol w:w="1320"/>
        <w:gridCol w:w="3300"/>
      </w:tblGrid>
      <w:tr>
        <w:trPr>
          <w:tblHeader w:val="true"/>
        </w:trPr>
        <w:tc>
          <w:tcPr/>
          <w:p>
            <w:pPr>
              <w:pStyle w:val="Compact"/>
              <w:jc w:val="left"/>
            </w:pPr>
            <w:r>
              <w:t xml:space="preserve">Prosessointisijainti</w:t>
            </w:r>
          </w:p>
        </w:tc>
        <w:tc>
          <w:tcPr/>
          <w:p>
            <w:pPr>
              <w:pStyle w:val="Compact"/>
              <w:jc w:val="left"/>
            </w:pPr>
            <w:r>
              <w:t xml:space="preserve">Latenssi</w:t>
            </w:r>
          </w:p>
        </w:tc>
        <w:tc>
          <w:tcPr/>
          <w:p>
            <w:pPr>
              <w:pStyle w:val="Compact"/>
              <w:jc w:val="left"/>
            </w:pPr>
            <w:r>
              <w:t xml:space="preserve">Kuukausikustannus</w:t>
            </w:r>
          </w:p>
        </w:tc>
        <w:tc>
          <w:tcPr/>
          <w:p>
            <w:pPr>
              <w:pStyle w:val="Compact"/>
              <w:jc w:val="left"/>
            </w:pPr>
            <w:r>
              <w:t xml:space="preserve">Käyttötapaus</w:t>
            </w:r>
          </w:p>
        </w:tc>
      </w:tr>
      <w:tr>
        <w:tc>
          <w:tcPr/>
          <w:p>
            <w:pPr>
              <w:pStyle w:val="Compact"/>
              <w:jc w:val="left"/>
            </w:pPr>
            <w:r>
              <w:rPr>
                <w:bCs/>
                <w:b/>
              </w:rPr>
              <w:t xml:space="preserve">Pilvi (Groq API)</w:t>
            </w:r>
          </w:p>
        </w:tc>
        <w:tc>
          <w:tcPr/>
          <w:p>
            <w:pPr>
              <w:pStyle w:val="Compact"/>
              <w:jc w:val="left"/>
            </w:pPr>
            <w:r>
              <w:t xml:space="preserve">500-2000ms</w:t>
            </w:r>
          </w:p>
        </w:tc>
        <w:tc>
          <w:tcPr/>
          <w:p>
            <w:pPr>
              <w:pStyle w:val="Compact"/>
              <w:jc w:val="left"/>
            </w:pPr>
            <w:r>
              <w:t xml:space="preserve">€555/kk</w:t>
            </w:r>
          </w:p>
        </w:tc>
        <w:tc>
          <w:tcPr/>
          <w:p>
            <w:pPr>
              <w:pStyle w:val="Compact"/>
              <w:jc w:val="left"/>
            </w:pPr>
            <w:r>
              <w:t xml:space="preserve">Monimutkainen päättely, raporttien generointi</w:t>
            </w:r>
          </w:p>
        </w:tc>
      </w:tr>
      <w:tr>
        <w:tc>
          <w:tcPr/>
          <w:p>
            <w:pPr>
              <w:pStyle w:val="Compact"/>
              <w:jc w:val="left"/>
            </w:pPr>
            <w:r>
              <w:rPr>
                <w:bCs/>
                <w:b/>
              </w:rPr>
              <w:t xml:space="preserve">Reuna (Jetson Orin Nano)</w:t>
            </w:r>
          </w:p>
        </w:tc>
        <w:tc>
          <w:tcPr/>
          <w:p>
            <w:pPr>
              <w:pStyle w:val="Compact"/>
              <w:jc w:val="left"/>
            </w:pPr>
            <w:r>
              <w:t xml:space="preserve">&lt;100ms</w:t>
            </w:r>
          </w:p>
        </w:tc>
        <w:tc>
          <w:tcPr/>
          <w:p>
            <w:pPr>
              <w:pStyle w:val="Compact"/>
              <w:jc w:val="left"/>
            </w:pPr>
            <w:r>
              <w:t xml:space="preserve">€100/vuosi (sähkö)</w:t>
            </w:r>
          </w:p>
        </w:tc>
        <w:tc>
          <w:tcPr/>
          <w:p>
            <w:pPr>
              <w:pStyle w:val="Compact"/>
              <w:jc w:val="left"/>
            </w:pPr>
            <w:r>
              <w:t xml:space="preserve">Reaaliaikainen työmaan seuranta</w:t>
            </w:r>
          </w:p>
        </w:tc>
      </w:tr>
      <w:tr>
        <w:tc>
          <w:tcPr/>
          <w:p>
            <w:pPr>
              <w:pStyle w:val="Compact"/>
              <w:jc w:val="left"/>
            </w:pPr>
            <w:r>
              <w:rPr>
                <w:bCs/>
                <w:b/>
              </w:rPr>
              <w:t xml:space="preserve">Hybridi</w:t>
            </w:r>
          </w:p>
        </w:tc>
        <w:tc>
          <w:tcPr/>
          <w:p>
            <w:pPr>
              <w:pStyle w:val="Compact"/>
              <w:jc w:val="left"/>
            </w:pPr>
            <w:r>
              <w:t xml:space="preserve">Molempien parhaat</w:t>
            </w:r>
          </w:p>
        </w:tc>
        <w:tc>
          <w:tcPr/>
          <w:p>
            <w:pPr>
              <w:pStyle w:val="Compact"/>
              <w:jc w:val="left"/>
            </w:pPr>
            <w:r>
              <w:t xml:space="preserve">€25-350/kk</w:t>
            </w:r>
          </w:p>
        </w:tc>
        <w:tc>
          <w:tcPr/>
          <w:p>
            <w:pPr>
              <w:pStyle w:val="Compact"/>
              <w:jc w:val="left"/>
            </w:pPr>
            <w:r>
              <w:t xml:space="preserve">Firehorse-optimaalinen konfiguraatio</w:t>
            </w:r>
          </w:p>
        </w:tc>
      </w:tr>
    </w:tbl>
    <w:p>
      <w:pPr>
        <w:pStyle w:val="BodyText"/>
      </w:pPr>
      <w:r>
        <w:rPr>
          <w:bCs/>
          <w:b/>
        </w:rPr>
        <w:t xml:space="preserve">Reunatekoälyn ROI-laskelma:</w:t>
      </w:r>
    </w:p>
    <w:p>
      <w:pPr>
        <w:pStyle w:val="SourceCode"/>
      </w:pPr>
      <w:r>
        <w:rPr>
          <w:rStyle w:val="VerbatimChar"/>
        </w:rPr>
        <w:t xml:space="preserve">Pilviratkaisu (12kk):</w:t>
      </w:r>
      <w:r>
        <w:br/>
      </w:r>
      <w:r>
        <w:rPr>
          <w:rStyle w:val="VerbatimChar"/>
        </w:rPr>
        <w:t xml:space="preserve">  Laskenta: €555/kk × 12 = €6 660/vuosi</w:t>
      </w:r>
      <w:r>
        <w:br/>
      </w:r>
      <w:r>
        <w:rPr>
          <w:rStyle w:val="VerbatimChar"/>
        </w:rPr>
        <w:t xml:space="preserve">  Yhteensä: €6 660/vuosi</w:t>
      </w:r>
      <w:r>
        <w:br/>
      </w:r>
      <w:r>
        <w:br/>
      </w:r>
      <w:r>
        <w:rPr>
          <w:rStyle w:val="VerbatimChar"/>
        </w:rPr>
        <w:t xml:space="preserve">Reunatekoälyratkaisu:</w:t>
      </w:r>
      <w:r>
        <w:br/>
      </w:r>
      <w:r>
        <w:rPr>
          <w:rStyle w:val="VerbatimChar"/>
        </w:rPr>
        <w:t xml:space="preserve">  Laitteisto (kertamaksu): €1 084 (Jetson Orin Nano + tarvikkeet)</w:t>
      </w:r>
      <w:r>
        <w:br/>
      </w:r>
      <w:r>
        <w:rPr>
          <w:rStyle w:val="VerbatimChar"/>
        </w:rPr>
        <w:t xml:space="preserve">  Sähkö: €10/kk × 12 = €120/vuosi</w:t>
      </w:r>
      <w:r>
        <w:br/>
      </w:r>
      <w:r>
        <w:rPr>
          <w:rStyle w:val="VerbatimChar"/>
        </w:rPr>
        <w:t xml:space="preserve">  Vuosi 1 yhteensä: €1 204</w:t>
      </w:r>
      <w:r>
        <w:br/>
      </w:r>
      <w:r>
        <w:rPr>
          <w:rStyle w:val="VerbatimChar"/>
        </w:rPr>
        <w:t xml:space="preserve">  Vuosi 2+ yhteensä: €120/vuosi</w:t>
      </w:r>
      <w:r>
        <w:br/>
      </w:r>
      <w:r>
        <w:br/>
      </w:r>
      <w:r>
        <w:rPr>
          <w:rStyle w:val="VerbatimChar"/>
        </w:rPr>
        <w:t xml:space="preserve">Säästö: €5 456/vuosi (82% halvempi)</w:t>
      </w:r>
      <w:r>
        <w:br/>
      </w:r>
      <w:r>
        <w:rPr>
          <w:rStyle w:val="VerbatimChar"/>
        </w:rPr>
        <w:t xml:space="preserve">Takaisinmaksuaika: 1,95 kuukautta</w:t>
      </w:r>
    </w:p>
    <w:p>
      <w:pPr>
        <w:pStyle w:val="FirstParagraph"/>
      </w:pPr>
      <w:r>
        <w:rPr>
          <w:bCs/>
          <w:b/>
        </w:rPr>
        <w:t xml:space="preserve">Inferenssimuutoksen validointi:</w:t>
      </w:r>
      <w:r>
        <w:t xml:space="preserve"> </w:t>
      </w:r>
      <w:r>
        <w:t xml:space="preserve">Vuoteen 2028 mennessä yli 80 % datakeskusten kuormituskiihdyttimistä otetaan käyttöön nimenomaan inferenssiin, ei koulutukseen (Red Hat, 2025). Tämä rakenteellinen muutos ajonaikaiseen suoritukseen validoi Firehorsen reuna-ensin-arkkitehtuurin: GN-100 Jetson Orin Nano suorittaa inferenssikuormia 120 €/vuosi vastaan pilven 6 660 €/vuosi — sijoittuen täsmälleen sinne, mihin alan investointiteesi on suuntaamassa.</w:t>
      </w:r>
    </w:p>
    <w:bookmarkEnd w:id="39"/>
    <w:bookmarkStart w:id="44" w:name="X2ba86ed05bc264ab2f8f848968cfc36b376dcb4"/>
    <w:p>
      <w:pPr>
        <w:pStyle w:val="Heading2"/>
      </w:pPr>
      <w:r>
        <w:t xml:space="preserve">2.5 Moniagenttijärjestelmien teoria ja Lifetime Scope Signals</w:t>
      </w:r>
    </w:p>
    <w:p>
      <w:pPr>
        <w:pStyle w:val="FirstParagraph"/>
      </w:pPr>
      <w:r>
        <w:t xml:space="preserve">Tämä osio esittelee uuden teoreettisen kontribuution:</w:t>
      </w:r>
      <w:r>
        <w:t xml:space="preserve"> </w:t>
      </w:r>
      <w:r>
        <w:rPr>
          <w:bCs/>
          <w:b/>
        </w:rPr>
        <w:t xml:space="preserve">Lifetime Scope Signals -protokollan</w:t>
      </w:r>
      <w:r>
        <w:t xml:space="preserve"> </w:t>
      </w:r>
      <w:r>
        <w:t xml:space="preserve">moniagenttikoordinointiin resurssirajoitteisissa teollisissa tekoälyalustoissa.</w:t>
      </w:r>
    </w:p>
    <w:bookmarkStart w:id="40" w:name="moniagenttijärjestelmien-tausta"/>
    <w:p>
      <w:pPr>
        <w:pStyle w:val="Heading3"/>
      </w:pPr>
      <w:r>
        <w:t xml:space="preserve">2.5.1 Moniagenttijärjestelmien tausta</w:t>
      </w:r>
    </w:p>
    <w:p>
      <w:pPr>
        <w:pStyle w:val="FirstParagraph"/>
      </w:pPr>
      <w:r>
        <w:t xml:space="preserve">Moniagenttijärjestelmien (MAS) teoria (Wooldridge, 2009) tarjoaa perustan ymmärtää, miten autonomiset agentit voivat koordinoida monimutkaisten tavoitteiden saavuttamiseksi. Keskeisiä käsitteitä Firehorseen sovellettuna:</w:t>
      </w:r>
    </w:p>
    <w:p>
      <w:pPr>
        <w:numPr>
          <w:ilvl w:val="0"/>
          <w:numId w:val="1016"/>
        </w:numPr>
        <w:pStyle w:val="Compact"/>
      </w:pPr>
      <w:r>
        <w:rPr>
          <w:bCs/>
          <w:b/>
        </w:rPr>
        <w:t xml:space="preserve">Agentin autonomia:</w:t>
      </w:r>
      <w:r>
        <w:t xml:space="preserve"> </w:t>
      </w:r>
      <w:r>
        <w:t xml:space="preserve">Kukin agentti toimii itsenäisesti määritellyillä vastuualueilla</w:t>
      </w:r>
    </w:p>
    <w:p>
      <w:pPr>
        <w:numPr>
          <w:ilvl w:val="0"/>
          <w:numId w:val="1016"/>
        </w:numPr>
        <w:pStyle w:val="Compact"/>
      </w:pPr>
      <w:r>
        <w:rPr>
          <w:bCs/>
          <w:b/>
        </w:rPr>
        <w:t xml:space="preserve">Agenttikommunikaatio:</w:t>
      </w:r>
      <w:r>
        <w:t xml:space="preserve"> </w:t>
      </w:r>
      <w:r>
        <w:t xml:space="preserve">Agentit vaihtavat signaaleja koordinoidakseen riippuvuuksia</w:t>
      </w:r>
    </w:p>
    <w:p>
      <w:pPr>
        <w:numPr>
          <w:ilvl w:val="0"/>
          <w:numId w:val="1016"/>
        </w:numPr>
        <w:pStyle w:val="Compact"/>
      </w:pPr>
      <w:r>
        <w:rPr>
          <w:bCs/>
          <w:b/>
        </w:rPr>
        <w:t xml:space="preserve">Emergentti käyttäytyminen:</w:t>
      </w:r>
      <w:r>
        <w:t xml:space="preserve"> </w:t>
      </w:r>
      <w:r>
        <w:t xml:space="preserve">Järjestelmätason kyvyt syntyvät agenttivuorovaikutuksista</w:t>
      </w:r>
    </w:p>
    <w:p>
      <w:pPr>
        <w:numPr>
          <w:ilvl w:val="0"/>
          <w:numId w:val="1016"/>
        </w:numPr>
        <w:pStyle w:val="Compact"/>
      </w:pPr>
      <w:r>
        <w:rPr>
          <w:bCs/>
          <w:b/>
        </w:rPr>
        <w:t xml:space="preserve">Koordinointimekanismit:</w:t>
      </w:r>
      <w:r>
        <w:t xml:space="preserve"> </w:t>
      </w:r>
      <w:r>
        <w:t xml:space="preserve">Protokollat varmistavat agenttien työskentelyn yhteisten tavoitteiden eteen</w:t>
      </w:r>
    </w:p>
    <w:bookmarkEnd w:id="40"/>
    <w:bookmarkStart w:id="41" w:name="lifetime-scope-signals--protokolla"/>
    <w:p>
      <w:pPr>
        <w:pStyle w:val="Heading3"/>
      </w:pPr>
      <w:r>
        <w:t xml:space="preserve">2.5.2 Lifetime Scope Signals -protokolla</w:t>
      </w:r>
    </w:p>
    <w:p>
      <w:pPr>
        <w:pStyle w:val="FirstParagraph"/>
      </w:pPr>
      <w:r>
        <w:t xml:space="preserve">Lifetime Scope Signals -protokolla on uusi koordinointimekanismi, joka kehitettiin DWS IQ 6:lle. Se mahdollistaa deterministisen moniagenttikehityskoordinoinnin. Toisin kuin perinteiset MAS-lähestymistavat, jotka perustuvat reaaliaikaiseen neuvotteluun, tämä protokolla käyttää</w:t>
      </w:r>
      <w:r>
        <w:t xml:space="preserve"> </w:t>
      </w:r>
      <w:r>
        <w:rPr>
          <w:bCs/>
          <w:b/>
        </w:rPr>
        <w:t xml:space="preserve">deklaratiivista signaaliemissiota</w:t>
      </w:r>
      <w:r>
        <w:t xml:space="preserve"> </w:t>
      </w:r>
      <w:r>
        <w:t xml:space="preserve">riippuvaisten agenttien vapauttamiseen.</w:t>
      </w:r>
    </w:p>
    <w:p>
      <w:pPr>
        <w:pStyle w:val="BodyText"/>
      </w:pPr>
      <w:r>
        <w:rPr>
          <w:bCs/>
          <w:b/>
        </w:rPr>
        <w:t xml:space="preserve">Signaalimuoto:</w:t>
      </w:r>
    </w:p>
    <w:p>
      <w:pPr>
        <w:pStyle w:val="SourceCode"/>
      </w:pPr>
      <w:r>
        <w:rPr>
          <w:rStyle w:val="VerbatimChar"/>
        </w:rPr>
        <w:t xml:space="preserve">[AGENT-XX]:SIGNAL_TYPE:MILESTONE:TIMESTAMP</w:t>
      </w:r>
    </w:p>
    <w:p>
      <w:pPr>
        <w:pStyle w:val="FirstParagraph"/>
      </w:pPr>
      <w:r>
        <w:rPr>
          <w:bCs/>
          <w:b/>
        </w:rPr>
        <w:t xml:space="preserve">Signaalityypit:</w:t>
      </w:r>
    </w:p>
    <w:tbl>
      <w:tblPr>
        <w:tblStyle w:val="Table"/>
        <w:tblW w:type="pct" w:w="5000"/>
        <w:tblLook w:firstRow="1" w:lastRow="0" w:firstColumn="0" w:lastColumn="0" w:noHBand="0" w:noVBand="0" w:val="0020"/>
        <w:jc w:val="start"/>
      </w:tblPr>
      <w:tblGrid>
        <w:gridCol w:w="1164"/>
        <w:gridCol w:w="3377"/>
        <w:gridCol w:w="3377"/>
      </w:tblGrid>
      <w:tr>
        <w:trPr>
          <w:tblHeader w:val="true"/>
        </w:trPr>
        <w:tc>
          <w:tcPr/>
          <w:p>
            <w:pPr>
              <w:pStyle w:val="Compact"/>
              <w:jc w:val="left"/>
            </w:pPr>
            <w:r>
              <w:t xml:space="preserve">Tyyppi</w:t>
            </w:r>
          </w:p>
        </w:tc>
        <w:tc>
          <w:tcPr/>
          <w:p>
            <w:pPr>
              <w:pStyle w:val="Compact"/>
              <w:jc w:val="left"/>
            </w:pPr>
            <w:r>
              <w:t xml:space="preserve">Merkitys</w:t>
            </w:r>
          </w:p>
        </w:tc>
        <w:tc>
          <w:tcPr/>
          <w:p>
            <w:pPr>
              <w:pStyle w:val="Compact"/>
              <w:jc w:val="left"/>
            </w:pPr>
            <w:r>
              <w:t xml:space="preserve">Toiminto</w:t>
            </w:r>
          </w:p>
        </w:tc>
      </w:tr>
      <w:tr>
        <w:tc>
          <w:tcPr/>
          <w:p>
            <w:pPr>
              <w:pStyle w:val="Compact"/>
              <w:jc w:val="left"/>
            </w:pPr>
            <w:r>
              <w:rPr>
                <w:rStyle w:val="VerbatimChar"/>
              </w:rPr>
              <w:t xml:space="preserve">READY</w:t>
            </w:r>
          </w:p>
        </w:tc>
        <w:tc>
          <w:tcPr/>
          <w:p>
            <w:pPr>
              <w:pStyle w:val="Compact"/>
              <w:jc w:val="left"/>
            </w:pPr>
            <w:r>
              <w:t xml:space="preserve">Virstanpylväs saavutettu</w:t>
            </w:r>
          </w:p>
        </w:tc>
        <w:tc>
          <w:tcPr/>
          <w:p>
            <w:pPr>
              <w:pStyle w:val="Compact"/>
              <w:jc w:val="left"/>
            </w:pPr>
            <w:r>
              <w:t xml:space="preserve">Vapauttaa alavirran agentit</w:t>
            </w:r>
          </w:p>
        </w:tc>
      </w:tr>
      <w:tr>
        <w:tc>
          <w:tcPr/>
          <w:p>
            <w:pPr>
              <w:pStyle w:val="Compact"/>
              <w:jc w:val="left"/>
            </w:pPr>
            <w:r>
              <w:rPr>
                <w:rStyle w:val="VerbatimChar"/>
              </w:rPr>
              <w:t xml:space="preserve">COMPLETE</w:t>
            </w:r>
          </w:p>
        </w:tc>
        <w:tc>
          <w:tcPr/>
          <w:p>
            <w:pPr>
              <w:pStyle w:val="Compact"/>
              <w:jc w:val="left"/>
            </w:pPr>
            <w:r>
              <w:t xml:space="preserve">Kaikki agentin työ valmis</w:t>
            </w:r>
          </w:p>
        </w:tc>
        <w:tc>
          <w:tcPr/>
          <w:p>
            <w:pPr>
              <w:pStyle w:val="Compact"/>
              <w:jc w:val="left"/>
            </w:pPr>
            <w:r>
              <w:t xml:space="preserve">Agentti siirtyy valmis-tilaan</w:t>
            </w:r>
          </w:p>
        </w:tc>
      </w:tr>
      <w:tr>
        <w:tc>
          <w:tcPr/>
          <w:p>
            <w:pPr>
              <w:pStyle w:val="Compact"/>
              <w:jc w:val="left"/>
            </w:pPr>
            <w:r>
              <w:rPr>
                <w:rStyle w:val="VerbatimChar"/>
              </w:rPr>
              <w:t xml:space="preserve">ERROR</w:t>
            </w:r>
          </w:p>
        </w:tc>
        <w:tc>
          <w:tcPr/>
          <w:p>
            <w:pPr>
              <w:pStyle w:val="Compact"/>
              <w:jc w:val="left"/>
            </w:pPr>
            <w:r>
              <w:t xml:space="preserve">Agentti kohtasi virheen</w:t>
            </w:r>
          </w:p>
        </w:tc>
        <w:tc>
          <w:tcPr/>
          <w:p>
            <w:pPr>
              <w:pStyle w:val="Compact"/>
              <w:jc w:val="left"/>
            </w:pPr>
            <w:r>
              <w:t xml:space="preserve">Hälyttää koordinaattorin</w:t>
            </w:r>
          </w:p>
        </w:tc>
      </w:tr>
      <w:tr>
        <w:tc>
          <w:tcPr/>
          <w:p>
            <w:pPr>
              <w:pStyle w:val="Compact"/>
              <w:jc w:val="left"/>
            </w:pPr>
            <w:r>
              <w:rPr>
                <w:rStyle w:val="VerbatimChar"/>
              </w:rPr>
              <w:t xml:space="preserve">BLOCKED</w:t>
            </w:r>
          </w:p>
        </w:tc>
        <w:tc>
          <w:tcPr/>
          <w:p>
            <w:pPr>
              <w:pStyle w:val="Compact"/>
              <w:jc w:val="left"/>
            </w:pPr>
            <w:r>
              <w:t xml:space="preserve">Odottaa ulkoista riippuvuutta</w:t>
            </w:r>
          </w:p>
        </w:tc>
        <w:tc>
          <w:tcPr/>
          <w:p>
            <w:pPr>
              <w:pStyle w:val="Compact"/>
              <w:jc w:val="left"/>
            </w:pPr>
            <w:r>
              <w:t xml:space="preserve">Ei toimintaa ennen vapautusta</w:t>
            </w:r>
          </w:p>
        </w:tc>
      </w:tr>
    </w:tbl>
    <w:bookmarkEnd w:id="41"/>
    <w:bookmarkStart w:id="42" w:name="mcp-hub--orkestrointimallit"/>
    <w:p>
      <w:pPr>
        <w:pStyle w:val="Heading3"/>
      </w:pPr>
      <w:r>
        <w:t xml:space="preserve">2.5.3 MCP Hub -orkestrointimallit</w:t>
      </w:r>
    </w:p>
    <w:p>
      <w:pPr>
        <w:pStyle w:val="FirstParagraph"/>
      </w:pPr>
      <w:r>
        <w:t xml:space="preserve">Model Context Protocol (MCP) Hub (</w:t>
      </w:r>
      <w:r>
        <w:rPr>
          <w:rStyle w:val="VerbatimChar"/>
        </w:rPr>
        <w:t xml:space="preserve">mcp-hub/server.py</w:t>
      </w:r>
      <w:r>
        <w:t xml:space="preserve">, portti 8765) toteuttaa neljä työnkulkumallia moniagenttien koordinointiin. Jokainen malli tarjoaa oman HTTP-päätepisteen ja hoitaa agenttien reitityksen, virheiden välityksen ja tulosten koostamisen.</w:t>
      </w:r>
    </w:p>
    <w:p>
      <w:pPr>
        <w:pStyle w:val="BodyText"/>
      </w:pPr>
      <w:r>
        <w:rPr>
          <w:bCs/>
          <w:b/>
        </w:rPr>
        <w:t xml:space="preserve">1. Fan-Out -malli</w:t>
      </w:r>
      <w:r>
        <w:t xml:space="preserve"> </w:t>
      </w:r>
      <w:r>
        <w:t xml:space="preserve">(</w:t>
      </w:r>
      <w:r>
        <w:rPr>
          <w:rStyle w:val="VerbatimChar"/>
        </w:rPr>
        <w:t xml:space="preserve">POST /workflow/fan-out</w:t>
      </w:r>
      <w:r>
        <w:t xml:space="preserve">)</w:t>
      </w:r>
      <w:r>
        <w:t xml:space="preserve"> </w:t>
      </w:r>
      <w:r>
        <w:t xml:space="preserve">Jakaa tehtävät useille agenteille rinnakkaisesti</w:t>
      </w:r>
      <w:r>
        <w:t xml:space="preserve"> </w:t>
      </w:r>
      <w:r>
        <w:rPr>
          <w:rStyle w:val="VerbatimChar"/>
        </w:rPr>
        <w:t xml:space="preserve">asyncio.gather()</w:t>
      </w:r>
      <w:r>
        <w:t xml:space="preserve">-kutsulla. Kaikki agentit suoritetaan samanaikaisesti jaetulla HTTP-asiakkaalla (300s aikakatkaisu). Poikkeukset serialisoidaan tehtäväkohtaisesti, mikä mahdollistaa osittaisen onnistumisen — jos yksi agentti epäonnistuu, muut palauttavat silti tulokset. Käytetään kategorian B (Operatiiviset) agenteille, joiden tehtävät ovat toisistaan riippumattomia.</w:t>
      </w:r>
    </w:p>
    <w:p>
      <w:pPr>
        <w:pStyle w:val="BodyText"/>
      </w:pPr>
      <w:r>
        <w:rPr>
          <w:bCs/>
          <w:b/>
        </w:rPr>
        <w:t xml:space="preserve">2. Sequential-malli</w:t>
      </w:r>
      <w:r>
        <w:t xml:space="preserve"> </w:t>
      </w:r>
      <w:r>
        <w:t xml:space="preserve">(</w:t>
      </w:r>
      <w:r>
        <w:rPr>
          <w:rStyle w:val="VerbatimChar"/>
        </w:rPr>
        <w:t xml:space="preserve">POST /workflow/sequential</w:t>
      </w:r>
      <w:r>
        <w:t xml:space="preserve">)</w:t>
      </w:r>
      <w:r>
        <w:t xml:space="preserve"> </w:t>
      </w:r>
      <w:r>
        <w:t xml:space="preserve">Suorittaa tehtävät yksi kerrallaan riippuvuusjärjestyksessä. Jokaisen tehtävän tulos injektoidaan seuraavan tehtävän</w:t>
      </w:r>
      <w:r>
        <w:t xml:space="preserve"> </w:t>
      </w:r>
      <w:r>
        <w:rPr>
          <w:rStyle w:val="VerbatimChar"/>
        </w:rPr>
        <w:t xml:space="preserve">context["previous_result"]</w:t>
      </w:r>
      <w:r>
        <w:t xml:space="preserve">-kenttään, luoden eksplisiittisen tietovirran. Sopii putkistoihin, joissa yhden agentin tuloste syöttää seuraavaa (esim. tiedon poiminta → analyysi → raportin luonti).</w:t>
      </w:r>
    </w:p>
    <w:p>
      <w:pPr>
        <w:pStyle w:val="BodyText"/>
      </w:pPr>
      <w:r>
        <w:rPr>
          <w:bCs/>
          <w:b/>
        </w:rPr>
        <w:t xml:space="preserve">3. Reflection-malli</w:t>
      </w:r>
      <w:r>
        <w:t xml:space="preserve"> </w:t>
      </w:r>
      <w:r>
        <w:t xml:space="preserve">(</w:t>
      </w:r>
      <w:r>
        <w:rPr>
          <w:rStyle w:val="VerbatimChar"/>
        </w:rPr>
        <w:t xml:space="preserve">POST /workflow/reflection</w:t>
      </w:r>
      <w:r>
        <w:t xml:space="preserve">)</w:t>
      </w:r>
      <w:r>
        <w:t xml:space="preserve"> </w:t>
      </w:r>
      <w:r>
        <w:t xml:space="preserve">Toteuttaa iteratiivisen toteutus-arviointi -silmukan. Toteutusagentti tuottaa tulosteen, arviointiagentti pisteyttää sen (0.0–1.0) ja antaa palautetta. Jos pistemäärä jää alle konfiguroitavan kynnysarvon (oletus 0.85), palaute injektoidaan takaisin toteutusagentille uutta iteraatiota varten (enintään 3 oletuksena). Käytetään kategorian C (Asiakasrajapinta) agenteille, joissa tulosteen laatu on kriittistä.</w:t>
      </w:r>
    </w:p>
    <w:p>
      <w:pPr>
        <w:pStyle w:val="BodyText"/>
      </w:pPr>
      <w:r>
        <w:rPr>
          <w:bCs/>
          <w:b/>
        </w:rPr>
        <w:t xml:space="preserve">4. Pipeline-malli</w:t>
      </w:r>
      <w:r>
        <w:t xml:space="preserve"> </w:t>
      </w:r>
      <w:r>
        <w:t xml:space="preserve">(</w:t>
      </w:r>
      <w:r>
        <w:rPr>
          <w:rStyle w:val="VerbatimChar"/>
        </w:rPr>
        <w:t xml:space="preserve">POST /workflow/pipeline</w:t>
      </w:r>
      <w:r>
        <w:t xml:space="preserve">) —</w:t>
      </w:r>
      <w:r>
        <w:t xml:space="preserve"> </w:t>
      </w:r>
      <w:r>
        <w:rPr>
          <w:iCs/>
          <w:i/>
        </w:rPr>
        <w:t xml:space="preserve">Suositeltu tuotantokäyttöön</w:t>
      </w:r>
      <w:r>
        <w:t xml:space="preserve"> </w:t>
      </w:r>
      <w:r>
        <w:t xml:space="preserve">Yhdistää rinnakkaisen ja peräkkäisen suorituksen vaiheistettujen työnkulkujen avulla. Jokainen vaihe sisältää tehtävälistan, joka suoritetaan rinnakkaisesti (fan-out vaiheen sisällä), kun taas vaiheet suoritetaan peräkkäin (vaiheen N tulokset virtaavat kontekstina vaiheeseen N+1). Tämä välttää peräkkäisen pullonkaulan säilyttäen samalla riippuvuusjärjestyksen loogisten vaiheiden välillä.</w:t>
      </w:r>
    </w:p>
    <w:tbl>
      <w:tblPr>
        <w:tblStyle w:val="Table"/>
        <w:tblW w:type="pct" w:w="5000"/>
        <w:tblLook w:firstRow="1" w:lastRow="0" w:firstColumn="0" w:lastColumn="0" w:noHBand="0" w:noVBand="0" w:val="0020"/>
        <w:jc w:val="start"/>
      </w:tblPr>
      <w:tblGrid>
        <w:gridCol w:w="954"/>
        <w:gridCol w:w="2862"/>
        <w:gridCol w:w="1908"/>
        <w:gridCol w:w="2194"/>
      </w:tblGrid>
      <w:tr>
        <w:trPr>
          <w:tblHeader w:val="true"/>
        </w:trPr>
        <w:tc>
          <w:tcPr/>
          <w:p>
            <w:pPr>
              <w:pStyle w:val="Compact"/>
              <w:jc w:val="left"/>
            </w:pPr>
            <w:r>
              <w:t xml:space="preserve">Malli</w:t>
            </w:r>
          </w:p>
        </w:tc>
        <w:tc>
          <w:tcPr/>
          <w:p>
            <w:pPr>
              <w:pStyle w:val="Compact"/>
              <w:jc w:val="left"/>
            </w:pPr>
            <w:r>
              <w:t xml:space="preserve">Rinnakkaisuus</w:t>
            </w:r>
          </w:p>
        </w:tc>
        <w:tc>
          <w:tcPr/>
          <w:p>
            <w:pPr>
              <w:pStyle w:val="Compact"/>
              <w:jc w:val="left"/>
            </w:pPr>
            <w:r>
              <w:t xml:space="preserve">Kontekstin välitys</w:t>
            </w:r>
          </w:p>
        </w:tc>
        <w:tc>
          <w:tcPr/>
          <w:p>
            <w:pPr>
              <w:pStyle w:val="Compact"/>
              <w:jc w:val="left"/>
            </w:pPr>
            <w:r>
              <w:t xml:space="preserve">Sopii parhaiten</w:t>
            </w:r>
          </w:p>
        </w:tc>
      </w:tr>
      <w:tr>
        <w:tc>
          <w:tcPr/>
          <w:p>
            <w:pPr>
              <w:pStyle w:val="Compact"/>
              <w:jc w:val="left"/>
            </w:pPr>
            <w:r>
              <w:t xml:space="preserve">Fan-Out</w:t>
            </w:r>
          </w:p>
        </w:tc>
        <w:tc>
          <w:tcPr/>
          <w:p>
            <w:pPr>
              <w:pStyle w:val="Compact"/>
              <w:jc w:val="left"/>
            </w:pPr>
            <w:r>
              <w:t xml:space="preserve">Täysin rinnakkainen</w:t>
            </w:r>
          </w:p>
        </w:tc>
        <w:tc>
          <w:tcPr/>
          <w:p>
            <w:pPr>
              <w:pStyle w:val="Compact"/>
              <w:jc w:val="left"/>
            </w:pPr>
            <w:r>
              <w:t xml:space="preserve">Ei</w:t>
            </w:r>
          </w:p>
        </w:tc>
        <w:tc>
          <w:tcPr/>
          <w:p>
            <w:pPr>
              <w:pStyle w:val="Compact"/>
              <w:jc w:val="left"/>
            </w:pPr>
            <w:r>
              <w:t xml:space="preserve">Riippumattomat tehtävät</w:t>
            </w:r>
          </w:p>
        </w:tc>
      </w:tr>
      <w:tr>
        <w:tc>
          <w:tcPr/>
          <w:p>
            <w:pPr>
              <w:pStyle w:val="Compact"/>
              <w:jc w:val="left"/>
            </w:pPr>
            <w:r>
              <w:t xml:space="preserve">Sequential</w:t>
            </w:r>
          </w:p>
        </w:tc>
        <w:tc>
          <w:tcPr/>
          <w:p>
            <w:pPr>
              <w:pStyle w:val="Compact"/>
              <w:jc w:val="left"/>
            </w:pPr>
            <w:r>
              <w:t xml:space="preserve">Ei</w:t>
            </w:r>
          </w:p>
        </w:tc>
        <w:tc>
          <w:tcPr/>
          <w:p>
            <w:pPr>
              <w:pStyle w:val="Compact"/>
              <w:jc w:val="left"/>
            </w:pPr>
            <w:r>
              <w:t xml:space="preserve">Edellinen → Seuraava</w:t>
            </w:r>
          </w:p>
        </w:tc>
        <w:tc>
          <w:tcPr/>
          <w:p>
            <w:pPr>
              <w:pStyle w:val="Compact"/>
              <w:jc w:val="left"/>
            </w:pPr>
            <w:r>
              <w:t xml:space="preserve">Riippuvuusketjut</w:t>
            </w:r>
          </w:p>
        </w:tc>
      </w:tr>
      <w:tr>
        <w:tc>
          <w:tcPr/>
          <w:p>
            <w:pPr>
              <w:pStyle w:val="Compact"/>
              <w:jc w:val="left"/>
            </w:pPr>
            <w:r>
              <w:t xml:space="preserve">Reflection</w:t>
            </w:r>
          </w:p>
        </w:tc>
        <w:tc>
          <w:tcPr/>
          <w:p>
            <w:pPr>
              <w:pStyle w:val="Compact"/>
              <w:jc w:val="left"/>
            </w:pPr>
            <w:r>
              <w:t xml:space="preserve">Ei</w:t>
            </w:r>
          </w:p>
        </w:tc>
        <w:tc>
          <w:tcPr/>
          <w:p>
            <w:pPr>
              <w:pStyle w:val="Compact"/>
              <w:jc w:val="left"/>
            </w:pPr>
            <w:r>
              <w:t xml:space="preserve">Palautesilmukka</w:t>
            </w:r>
          </w:p>
        </w:tc>
        <w:tc>
          <w:tcPr/>
          <w:p>
            <w:pPr>
              <w:pStyle w:val="Compact"/>
              <w:jc w:val="left"/>
            </w:pPr>
            <w:r>
              <w:t xml:space="preserve">Laatukriittinen tuloste</w:t>
            </w:r>
          </w:p>
        </w:tc>
      </w:tr>
      <w:tr>
        <w:tc>
          <w:tcPr/>
          <w:p>
            <w:pPr>
              <w:pStyle w:val="Compact"/>
              <w:jc w:val="left"/>
            </w:pPr>
            <w:r>
              <w:t xml:space="preserve">Pipeline</w:t>
            </w:r>
          </w:p>
        </w:tc>
        <w:tc>
          <w:tcPr/>
          <w:p>
            <w:pPr>
              <w:pStyle w:val="Compact"/>
              <w:jc w:val="left"/>
            </w:pPr>
            <w:r>
              <w:t xml:space="preserve">Rinnakkainen vaiheiden sisällä</w:t>
            </w:r>
          </w:p>
        </w:tc>
        <w:tc>
          <w:tcPr/>
          <w:p>
            <w:pPr>
              <w:pStyle w:val="Compact"/>
              <w:jc w:val="left"/>
            </w:pPr>
            <w:r>
              <w:t xml:space="preserve">Vaihe → Vaihe</w:t>
            </w:r>
          </w:p>
        </w:tc>
        <w:tc>
          <w:tcPr/>
          <w:p>
            <w:pPr>
              <w:pStyle w:val="Compact"/>
              <w:jc w:val="left"/>
            </w:pPr>
            <w:r>
              <w:t xml:space="preserve">Tuotantotyökuormat</w:t>
            </w:r>
          </w:p>
        </w:tc>
      </w:tr>
    </w:tbl>
    <w:p>
      <w:pPr>
        <w:pStyle w:val="BodyText"/>
      </w:pPr>
      <w:r>
        <w:t xml:space="preserve">Yhteenvetona MCP Hub -orkestroija tukee neljää työnkulkumallia (Fan-Out, Sequential, Reflection, Pipeline), joita voidaan yhdistellä tuotantotason työnkuluiksi.</w:t>
      </w:r>
    </w:p>
    <w:bookmarkEnd w:id="42"/>
    <w:bookmarkStart w:id="43" w:name="skillit-ja-clit-agenttirajapintoina"/>
    <w:p>
      <w:pPr>
        <w:pStyle w:val="Heading3"/>
      </w:pPr>
      <w:r>
        <w:t xml:space="preserve">2.5.4 Skillit ja CLI:t agenttirajapintoina</w:t>
      </w:r>
    </w:p>
    <w:p>
      <w:pPr>
        <w:pStyle w:val="FirstParagraph"/>
      </w:pPr>
      <w:r>
        <w:t xml:space="preserve">“</w:t>
      </w:r>
      <w:r>
        <w:t xml:space="preserve">Build for Agents</w:t>
      </w:r>
      <w:r>
        <w:t xml:space="preserve">”</w:t>
      </w:r>
      <w:r>
        <w:t xml:space="preserve"> </w:t>
      </w:r>
      <w:r>
        <w:t xml:space="preserve">-periaate edellyttää, että jokaisen DWS-tuotteen on oltava käytettävissä kolmen toisiaan täydentävän rajapinnan kautta GUI:n lisäksi: CLI, MCP-palvelin ja Claude Code -skillit.</w:t>
      </w:r>
    </w:p>
    <w:p>
      <w:pPr>
        <w:pStyle w:val="BodyText"/>
      </w:pPr>
      <w:r>
        <w:rPr>
          <w:bCs/>
          <w:b/>
        </w:rPr>
        <w:t xml:space="preserve">CLI (komentorivikäyttöliittymä)</w:t>
      </w:r>
      <w:r>
        <w:t xml:space="preserve"> </w:t>
      </w:r>
      <w:r>
        <w:t xml:space="preserve">CLI (</w:t>
      </w:r>
      <w:r>
        <w:rPr>
          <w:rStyle w:val="VerbatimChar"/>
        </w:rPr>
        <w:t xml:space="preserve">npx tsx cli/src/cli.ts &lt;komento&gt;</w:t>
      </w:r>
      <w:r>
        <w:t xml:space="preserve">) tuottaa strukturoidun JSON-tulosteen jokaiselle agenttitoiminnolle. Tämä seuraa toimialan trendiä, jossa tekoälyagentit käyttävät työkaluja komentorivikäyttöliittymien kautta graafisten käyttöliittymien sijaan. Keskeiset komennot:</w:t>
      </w:r>
    </w:p>
    <w:p>
      <w:pPr>
        <w:numPr>
          <w:ilvl w:val="0"/>
          <w:numId w:val="1017"/>
        </w:numPr>
        <w:pStyle w:val="Compact"/>
      </w:pPr>
      <w:r>
        <w:rPr>
          <w:rStyle w:val="VerbatimChar"/>
        </w:rPr>
        <w:t xml:space="preserve">dws agents</w:t>
      </w:r>
      <w:r>
        <w:t xml:space="preserve"> </w:t>
      </w:r>
      <w:r>
        <w:t xml:space="preserve">— Listaa kaikki rekisteröidyt agentit</w:t>
      </w:r>
    </w:p>
    <w:p>
      <w:pPr>
        <w:numPr>
          <w:ilvl w:val="0"/>
          <w:numId w:val="1017"/>
        </w:numPr>
        <w:pStyle w:val="Compact"/>
      </w:pPr>
      <w:r>
        <w:rPr>
          <w:rStyle w:val="VerbatimChar"/>
        </w:rPr>
        <w:t xml:space="preserve">dws run &lt;agentti&gt; --input '{...}'</w:t>
      </w:r>
      <w:r>
        <w:t xml:space="preserve"> </w:t>
      </w:r>
      <w:r>
        <w:t xml:space="preserve">— Suorita nimetty agentti strukturoidulla syötteellä</w:t>
      </w:r>
    </w:p>
    <w:p>
      <w:pPr>
        <w:numPr>
          <w:ilvl w:val="0"/>
          <w:numId w:val="1017"/>
        </w:numPr>
        <w:pStyle w:val="Compact"/>
      </w:pPr>
      <w:r>
        <w:rPr>
          <w:rStyle w:val="VerbatimChar"/>
        </w:rPr>
        <w:t xml:space="preserve">dws workflow &lt;nimi&gt;</w:t>
      </w:r>
      <w:r>
        <w:t xml:space="preserve"> </w:t>
      </w:r>
      <w:r>
        <w:t xml:space="preserve">— Käynnistä moniagenttityönkulku</w:t>
      </w:r>
    </w:p>
    <w:p>
      <w:pPr>
        <w:pStyle w:val="FirstParagraph"/>
      </w:pPr>
      <w:r>
        <w:t xml:space="preserve">CLI-ensin -lähestymistapa varmistaa, että jokainen ominaisuus on automatisoitavissa, testattavissa ja yhdisteltävissä. Tuote, joka on olemassa vain GUI:na, katsotaan keskeneräiseksi.</w:t>
      </w:r>
    </w:p>
    <w:p>
      <w:pPr>
        <w:pStyle w:val="BodyText"/>
      </w:pPr>
      <w:r>
        <w:rPr>
          <w:bCs/>
          <w:b/>
        </w:rPr>
        <w:t xml:space="preserve">MCP-palvelin</w:t>
      </w:r>
      <w:r>
        <w:t xml:space="preserve"> </w:t>
      </w:r>
      <w:r>
        <w:t xml:space="preserve">MCP-päätepiste (</w:t>
      </w:r>
      <w:r>
        <w:rPr>
          <w:rStyle w:val="VerbatimChar"/>
        </w:rPr>
        <w:t xml:space="preserve">/mcp</w:t>
      </w:r>
      <w:r>
        <w:t xml:space="preserve">, JSON-RPC 2.0) tekee kaikista agenteista automaattisesti löydettäviä</w:t>
      </w:r>
      <w:r>
        <w:t xml:space="preserve"> </w:t>
      </w:r>
      <w:r>
        <w:rPr>
          <w:rStyle w:val="VerbatimChar"/>
        </w:rPr>
        <w:t xml:space="preserve">tools/list</w:t>
      </w:r>
      <w:r>
        <w:t xml:space="preserve">-kutsulla. Ulkoiset tekoälyjärjestelmät (Claude Code, Cursor, VS Code Copilot) voivat yhdistää MCP-palvelimeen ja kutsua mitä tahansa agenttia työkaluna. Tämä toteuttaa Model Context Protocol -määrityksen standardoitua työkaluintegraatiota varten.</w:t>
      </w:r>
    </w:p>
    <w:p>
      <w:pPr>
        <w:pStyle w:val="BodyText"/>
      </w:pPr>
      <w:r>
        <w:rPr>
          <w:bCs/>
          <w:b/>
        </w:rPr>
        <w:t xml:space="preserve">Claude Code -skillit</w:t>
      </w:r>
      <w:r>
        <w:t xml:space="preserve"> </w:t>
      </w:r>
      <w:r>
        <w:t xml:space="preserve">Skillit (</w:t>
      </w:r>
      <w:r>
        <w:rPr>
          <w:rStyle w:val="VerbatimChar"/>
        </w:rPr>
        <w:t xml:space="preserve">.claude/commands/*.md</w:t>
      </w:r>
      <w:r>
        <w:t xml:space="preserve">) ovat uudelleenkäytettäviä työnkulkukomponentteja, jotka kapseloivat agenttikutsut slash-komennoiksi. Kuusi tuotantoskilliä on käytössä:</w:t>
      </w:r>
    </w:p>
    <w:tbl>
      <w:tblPr>
        <w:tblStyle w:val="Table"/>
        <w:tblW w:type="pct" w:w="5000"/>
        <w:tblLook w:firstRow="1" w:lastRow="0" w:firstColumn="0" w:lastColumn="0" w:noHBand="0" w:noVBand="0" w:val="0020"/>
        <w:jc w:val="start"/>
      </w:tblPr>
      <w:tblGrid>
        <w:gridCol w:w="1835"/>
        <w:gridCol w:w="6084"/>
      </w:tblGrid>
      <w:tr>
        <w:trPr>
          <w:tblHeader w:val="true"/>
        </w:trPr>
        <w:tc>
          <w:tcPr/>
          <w:p>
            <w:pPr>
              <w:pStyle w:val="Compact"/>
              <w:jc w:val="left"/>
            </w:pPr>
            <w:r>
              <w:t xml:space="preserve">Skilli</w:t>
            </w:r>
          </w:p>
        </w:tc>
        <w:tc>
          <w:tcPr/>
          <w:p>
            <w:pPr>
              <w:pStyle w:val="Compact"/>
              <w:jc w:val="left"/>
            </w:pPr>
            <w:r>
              <w:t xml:space="preserve">Tarkoitus</w:t>
            </w:r>
          </w:p>
        </w:tc>
      </w:tr>
      <w:tr>
        <w:tc>
          <w:tcPr/>
          <w:p>
            <w:pPr>
              <w:pStyle w:val="Compact"/>
              <w:jc w:val="left"/>
            </w:pPr>
            <w:r>
              <w:rPr>
                <w:rStyle w:val="VerbatimChar"/>
              </w:rPr>
              <w:t xml:space="preserve">/compliance-check</w:t>
            </w:r>
          </w:p>
        </w:tc>
        <w:tc>
          <w:tcPr/>
          <w:p>
            <w:pPr>
              <w:pStyle w:val="Compact"/>
              <w:jc w:val="left"/>
            </w:pPr>
            <w:r>
              <w:t xml:space="preserve">EU-säädösten puuteanalyysi (ETS, CBAM, CSRD)</w:t>
            </w:r>
          </w:p>
        </w:tc>
      </w:tr>
      <w:tr>
        <w:tc>
          <w:tcPr/>
          <w:p>
            <w:pPr>
              <w:pStyle w:val="Compact"/>
              <w:jc w:val="left"/>
            </w:pPr>
            <w:r>
              <w:rPr>
                <w:rStyle w:val="VerbatimChar"/>
              </w:rPr>
              <w:t xml:space="preserve">/agent-run</w:t>
            </w:r>
          </w:p>
        </w:tc>
        <w:tc>
          <w:tcPr/>
          <w:p>
            <w:pPr>
              <w:pStyle w:val="Compact"/>
              <w:jc w:val="left"/>
            </w:pPr>
            <w:r>
              <w:t xml:space="preserve">Suorita mikä tahansa nimetty agentti strukturoidulla syötteellä</w:t>
            </w:r>
          </w:p>
        </w:tc>
      </w:tr>
      <w:tr>
        <w:tc>
          <w:tcPr/>
          <w:p>
            <w:pPr>
              <w:pStyle w:val="Compact"/>
              <w:jc w:val="left"/>
            </w:pPr>
            <w:r>
              <w:rPr>
                <w:rStyle w:val="VerbatimChar"/>
              </w:rPr>
              <w:t xml:space="preserve">/workflow</w:t>
            </w:r>
          </w:p>
        </w:tc>
        <w:tc>
          <w:tcPr/>
          <w:p>
            <w:pPr>
              <w:pStyle w:val="Compact"/>
              <w:jc w:val="left"/>
            </w:pPr>
            <w:r>
              <w:t xml:space="preserve">Käynnistä moniagenttityönkulkuja</w:t>
            </w:r>
          </w:p>
        </w:tc>
      </w:tr>
      <w:tr>
        <w:tc>
          <w:tcPr/>
          <w:p>
            <w:pPr>
              <w:pStyle w:val="Compact"/>
              <w:jc w:val="left"/>
            </w:pPr>
            <w:r>
              <w:rPr>
                <w:rStyle w:val="VerbatimChar"/>
              </w:rPr>
              <w:t xml:space="preserve">/discover-agents</w:t>
            </w:r>
          </w:p>
        </w:tc>
        <w:tc>
          <w:tcPr/>
          <w:p>
            <w:pPr>
              <w:pStyle w:val="Compact"/>
              <w:jc w:val="left"/>
            </w:pPr>
            <w:r>
              <w:t xml:space="preserve">Etsi agentteja kyvykkyysavainsanalla</w:t>
            </w:r>
          </w:p>
        </w:tc>
      </w:tr>
      <w:tr>
        <w:tc>
          <w:tcPr/>
          <w:p>
            <w:pPr>
              <w:pStyle w:val="Compact"/>
              <w:jc w:val="left"/>
            </w:pPr>
            <w:r>
              <w:rPr>
                <w:rStyle w:val="VerbatimChar"/>
              </w:rPr>
              <w:t xml:space="preserve">/site-safety</w:t>
            </w:r>
          </w:p>
        </w:tc>
        <w:tc>
          <w:tcPr/>
          <w:p>
            <w:pPr>
              <w:pStyle w:val="Compact"/>
              <w:jc w:val="left"/>
            </w:pPr>
            <w:r>
              <w:t xml:space="preserve">Rakennustyömaan turvallisuusarviointi</w:t>
            </w:r>
          </w:p>
        </w:tc>
      </w:tr>
      <w:tr>
        <w:tc>
          <w:tcPr/>
          <w:p>
            <w:pPr>
              <w:pStyle w:val="Compact"/>
              <w:jc w:val="left"/>
            </w:pPr>
            <w:r>
              <w:rPr>
                <w:rStyle w:val="VerbatimChar"/>
              </w:rPr>
              <w:t xml:space="preserve">/carbon-analysis</w:t>
            </w:r>
          </w:p>
        </w:tc>
        <w:tc>
          <w:tcPr/>
          <w:p>
            <w:pPr>
              <w:pStyle w:val="Compact"/>
              <w:jc w:val="left"/>
            </w:pPr>
            <w:r>
              <w:t xml:space="preserve">Hiilijalanjäljen laskenta (embodied carbon)</w:t>
            </w:r>
          </w:p>
        </w:tc>
      </w:tr>
    </w:tbl>
    <w:p>
      <w:pPr>
        <w:pStyle w:val="BodyText"/>
      </w:pPr>
      <w:r>
        <w:t xml:space="preserve">Jokainen skilli on kutsuttava, testattava komponentti, joka yhdistää kehotesuunnittelun ja työkalujen orkestroinnin. Skillimalli varmistaa, että agenttikyvykkyydet ovat käytettävissä ilman, että käyttäjän tarvitsee ymmärtää alla olevaa MCP-protokollaa tai CLI-syntaksia.</w:t>
      </w:r>
    </w:p>
    <w:p>
      <w:pPr>
        <w:pStyle w:val="BodyText"/>
      </w:pPr>
      <w:r>
        <w:rPr>
          <w:bCs/>
          <w:b/>
        </w:rPr>
        <w:t xml:space="preserve">Kolmen rajapinnan sääntö:</w:t>
      </w:r>
      <w:r>
        <w:t xml:space="preserve"> </w:t>
      </w:r>
      <w:r>
        <w:t xml:space="preserve">Jokaisen uuden agentin on toimitettava kaikilla kolmella rajapinnalla (CLI-komento, MCP-työkalu, Claude Code -skilli). Tämä takaa, että agentit ovat käytettävissä ihmisille (CLI), muille tekoälyjärjestelmille (MCP) ja kehitystyönkuluissa (skillit).</w:t>
      </w:r>
    </w:p>
    <w:bookmarkEnd w:id="43"/>
    <w:bookmarkEnd w:id="44"/>
    <w:bookmarkStart w:id="45" w:name="X8d10fe888abee6a336f93b6fe9aa4d1cca6ccff"/>
    <w:p>
      <w:pPr>
        <w:pStyle w:val="Heading2"/>
      </w:pPr>
      <w:r>
        <w:t xml:space="preserve">2.6 Käsitteellinen malli: Firehorse Solution Factory</w:t>
      </w:r>
    </w:p>
    <w:p>
      <w:pPr>
        <w:pStyle w:val="FirstParagraph"/>
      </w:pPr>
      <w:r>
        <w:t xml:space="preserve">Firehorse Solution Factory -malli syntetisoi edellä mainitut teoreettiset viitekehykset yhtenäiseksi käsitemalliksi ilmastoälykkäiden teollisten alustojen rakentamiseen:</w:t>
      </w:r>
    </w:p>
    <w:p>
      <w:pPr>
        <w:pStyle w:val="SourceCode"/>
      </w:pPr>
      <w:r>
        <w:rPr>
          <w:rStyle w:val="VerbatimChar"/>
        </w:rPr>
        <w:t xml:space="preserve">┌─────────────────────────────────────────────────────────────────┐</w:t>
      </w:r>
      <w:r>
        <w:br/>
      </w:r>
      <w:r>
        <w:rPr>
          <w:rStyle w:val="VerbatimChar"/>
        </w:rPr>
        <w:t xml:space="preserve">│                    FIREHORSE SOLUTION FACTORY                    │</w:t>
      </w:r>
      <w:r>
        <w:br/>
      </w:r>
      <w:r>
        <w:rPr>
          <w:rStyle w:val="VerbatimChar"/>
        </w:rPr>
        <w:t xml:space="preserve">│              Käsitemalli teollisille AI-alustoille               │</w:t>
      </w:r>
      <w:r>
        <w:br/>
      </w:r>
      <w:r>
        <w:rPr>
          <w:rStyle w:val="VerbatimChar"/>
        </w:rPr>
        <w:t xml:space="preserve">├─────────────────────────────────────────────────────────────────┤</w:t>
      </w:r>
      <w:r>
        <w:br/>
      </w:r>
      <w:r>
        <w:rPr>
          <w:rStyle w:val="VerbatimChar"/>
        </w:rPr>
        <w:t xml:space="preserve">│                                                                  │</w:t>
      </w:r>
      <w:r>
        <w:br/>
      </w:r>
      <w:r>
        <w:rPr>
          <w:rStyle w:val="VerbatimChar"/>
        </w:rPr>
        <w:t xml:space="preserve">│  STRATEGINEN KERROS (Liiketoimintamalli)                         │</w:t>
      </w:r>
      <w:r>
        <w:br/>
      </w:r>
      <w:r>
        <w:rPr>
          <w:rStyle w:val="VerbatimChar"/>
        </w:rPr>
        <w:t xml:space="preserve">│  ├─ Lifetime World Model (55B) → Ristivertikaalinen tiedustelu  │</w:t>
      </w:r>
      <w:r>
        <w:br/>
      </w:r>
      <w:r>
        <w:rPr>
          <w:rStyle w:val="VerbatimChar"/>
        </w:rPr>
        <w:t xml:space="preserve">│  ├─ 8 vertikaalimallia → Uudelleenkäytettävät agenttikonfigit   │</w:t>
      </w:r>
      <w:r>
        <w:br/>
      </w:r>
      <w:r>
        <w:rPr>
          <w:rStyle w:val="VerbatimChar"/>
        </w:rPr>
        <w:t xml:space="preserve">│  ├─ AI-avusteinen kehitys (Cursor Pro + Claude Code Max, 15 viikon MVP) │</w:t>
      </w:r>
      <w:r>
        <w:br/>
      </w:r>
      <w:r>
        <w:rPr>
          <w:rStyle w:val="VerbatimChar"/>
        </w:rPr>
        <w:t xml:space="preserve">│  └─ EU-vaatimustenmukaisuusvalli → Fit for 55, NIS2, GDPR       │</w:t>
      </w:r>
      <w:r>
        <w:br/>
      </w:r>
      <w:r>
        <w:rPr>
          <w:rStyle w:val="VerbatimChar"/>
        </w:rPr>
        <w:t xml:space="preserve">│                                                                  │</w:t>
      </w:r>
      <w:r>
        <w:br/>
      </w:r>
      <w:r>
        <w:rPr>
          <w:rStyle w:val="VerbatimChar"/>
        </w:rPr>
        <w:t xml:space="preserve">│  OPERATIIVINEN KERROS (AgentFoundry + Lifetime Scope Signals)    │</w:t>
      </w:r>
      <w:r>
        <w:br/>
      </w:r>
      <w:r>
        <w:rPr>
          <w:rStyle w:val="VerbatimChar"/>
        </w:rPr>
        <w:t xml:space="preserve">│  ├─ Agenttikonfiguraatiot → YAML-mallit per vertikaali          │</w:t>
      </w:r>
      <w:r>
        <w:br/>
      </w:r>
      <w:r>
        <w:rPr>
          <w:rStyle w:val="VerbatimChar"/>
        </w:rPr>
        <w:t xml:space="preserve">│  ├─ Lifetime Scope Signals → Koordinointiprotokolla             │</w:t>
      </w:r>
      <w:r>
        <w:br/>
      </w:r>
      <w:r>
        <w:rPr>
          <w:rStyle w:val="VerbatimChar"/>
        </w:rPr>
        <w:t xml:space="preserve">│  ├─ MCP Hub → Moniagenttiorkestrointi                           │</w:t>
      </w:r>
      <w:r>
        <w:br/>
      </w:r>
      <w:r>
        <w:rPr>
          <w:rStyle w:val="VerbatimChar"/>
        </w:rPr>
        <w:t xml:space="preserve">│  └─ Vaiheittainen käyttöönotto → Hiljainen→Neuvonantaja→Auton.  │</w:t>
      </w:r>
      <w:r>
        <w:br/>
      </w:r>
      <w:r>
        <w:rPr>
          <w:rStyle w:val="VerbatimChar"/>
        </w:rPr>
        <w:t xml:space="preserve">│                                                                  │</w:t>
      </w:r>
      <w:r>
        <w:br/>
      </w:r>
      <w:r>
        <w:rPr>
          <w:rStyle w:val="VerbatimChar"/>
        </w:rPr>
        <w:t xml:space="preserve">│  SUORITUSKERROS (Aivot-Muisti-Keho-Kädet)                        │</w:t>
      </w:r>
      <w:r>
        <w:br/>
      </w:r>
      <w:r>
        <w:rPr>
          <w:rStyle w:val="VerbatimChar"/>
        </w:rPr>
        <w:t xml:space="preserve">│  ├─ Aivot: DWS IQ 6 Platform (Groq + Claude + Gemini)           │</w:t>
      </w:r>
      <w:r>
        <w:br/>
      </w:r>
      <w:r>
        <w:rPr>
          <w:rStyle w:val="VerbatimChar"/>
        </w:rPr>
        <w:t xml:space="preserve">│  ├─ Muisti: Lifetime World Model (ilmastotietokanta)            │</w:t>
      </w:r>
      <w:r>
        <w:br/>
      </w:r>
      <w:r>
        <w:rPr>
          <w:rStyle w:val="VerbatimChar"/>
        </w:rPr>
        <w:t xml:space="preserve">│  ├─ Keho: 8 toimialasovellusta (vertikaalikohtaiset agentit)    │</w:t>
      </w:r>
      <w:r>
        <w:br/>
      </w:r>
      <w:r>
        <w:rPr>
          <w:rStyle w:val="VerbatimChar"/>
        </w:rPr>
        <w:t xml:space="preserve">│  └─ Kädet: Reunatekoäly (Jetson), Dronet, Robotit, IoT-anturit  │</w:t>
      </w:r>
      <w:r>
        <w:br/>
      </w:r>
      <w:r>
        <w:rPr>
          <w:rStyle w:val="VerbatimChar"/>
        </w:rPr>
        <w:t xml:space="preserve">│                                                                  │</w:t>
      </w:r>
      <w:r>
        <w:br/>
      </w:r>
      <w:r>
        <w:rPr>
          <w:rStyle w:val="VerbatimChar"/>
        </w:rPr>
        <w:t xml:space="preserve">└─────────────────────────────────────────────────────────────────┘</w:t>
      </w:r>
    </w:p>
    <w:p>
      <w:pPr>
        <w:pStyle w:val="FirstParagraph"/>
      </w:pPr>
      <w:r>
        <w:t xml:space="preserve">Tämä käsitemalli tarjoaa toistettavan viitekehyksen muille teollisille AI-startupeille, jotka pyrkivät saavuttamaan tuote-markkinasopivuuden pitäen operatiiviset kustannukset matalina AI-avusteisten kehitystyökalujen, reunalaskennan ja moniagenttkoordinoinnin strategisen käytön avulla.</w:t>
      </w:r>
    </w:p>
    <w:p>
      <w:r>
        <w:pict>
          <v:rect style="width:0;height:1.5pt" o:hralign="center" o:hrstd="t" o:hr="t"/>
        </w:pict>
      </w:r>
    </w:p>
    <w:bookmarkEnd w:id="45"/>
    <w:bookmarkEnd w:id="46"/>
    <w:bookmarkStart w:id="55" w:name="nykytila-analyysi"/>
    <w:p>
      <w:pPr>
        <w:pStyle w:val="Heading1"/>
      </w:pPr>
      <w:r>
        <w:t xml:space="preserve">3. Nykytila-analyysi</w:t>
      </w:r>
    </w:p>
    <w:bookmarkStart w:id="51" w:name="eurooppalainen-teollinen-ai-maisema"/>
    <w:p>
      <w:pPr>
        <w:pStyle w:val="Heading2"/>
      </w:pPr>
      <w:r>
        <w:t xml:space="preserve">3.1 Eurooppalainen teollinen AI-maisema</w:t>
      </w:r>
    </w:p>
    <w:p>
      <w:pPr>
        <w:pStyle w:val="FirstParagraph"/>
      </w:pPr>
      <w:r>
        <w:t xml:space="preserve">Euroopan teollisuus kohtaa ennennäkemättömän sääntelypaineen EU:n Fit for 55 -paketin myötä. Tämä luo pakotetun kysynnän ilmastovaatimustenmukaisuusratkaisuille 16 teollisuudenalalla.</w:t>
      </w:r>
    </w:p>
    <w:bookmarkStart w:id="47" w:name="X70953c8a885c4af3ad249275296b769c1f93d26"/>
    <w:p>
      <w:pPr>
        <w:pStyle w:val="Heading3"/>
      </w:pPr>
      <w:r>
        <w:t xml:space="preserve">3.1.1 Fit for 55:n vaikuttamat 16 teollisuudenalaa</w:t>
      </w:r>
    </w:p>
    <w:p>
      <w:pPr>
        <w:pStyle w:val="FirstParagraph"/>
      </w:pPr>
      <w:r>
        <w:t xml:space="preserve">EU:n Fit for 55 -paketti vaatii 55% nettopäästövähennysten vuoteen 2030 mennessä. Tämä luo ennennäkemättömän vaatimustenmukaisuustaakan 16 teollisuudenalalle — vaatien reaaliaikaista hiiliseurantaa, automatisoitua raportointia, toimitusketjun läpinäkyvyyttä ja jatkuvaa sääntelyyhteensopivuutta.</w:t>
      </w:r>
    </w:p>
    <w:p>
      <w:pPr>
        <w:pStyle w:val="BodyText"/>
      </w:pPr>
      <w:r>
        <w:rPr>
          <w:bCs/>
          <w:b/>
        </w:rPr>
        <w:t xml:space="preserve">Taso 1: Kriittiset päästöteollisuudet (ETS + CBAM suora vaikutus)</w:t>
      </w:r>
    </w:p>
    <w:p>
      <w:pPr>
        <w:pStyle w:val="BodyText"/>
      </w:pPr>
      <w:r>
        <w:t xml:space="preserve">Nämä 8 teollisuudenalaa kohtaavat suurimman sääntelypaineen: suora ETS-kattavuus, CBAM-rajahiilivero ja pakollinen hiilen hinnoittelu.</w:t>
      </w:r>
    </w:p>
    <w:tbl>
      <w:tblPr>
        <w:tblStyle w:val="Table"/>
        <w:tblW w:type="pct" w:w="5000"/>
        <w:tblLook w:firstRow="1" w:lastRow="0" w:firstColumn="0" w:lastColumn="0" w:noHBand="0" w:noVBand="0" w:val="0020"/>
        <w:jc w:val="start"/>
      </w:tblPr>
      <w:tblGrid>
        <w:gridCol w:w="221"/>
        <w:gridCol w:w="1592"/>
        <w:gridCol w:w="840"/>
        <w:gridCol w:w="2168"/>
        <w:gridCol w:w="3097"/>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1</w:t>
            </w:r>
          </w:p>
        </w:tc>
        <w:tc>
          <w:tcPr/>
          <w:p>
            <w:pPr>
              <w:pStyle w:val="Compact"/>
              <w:jc w:val="left"/>
            </w:pPr>
            <w:r>
              <w:rPr>
                <w:bCs/>
                <w:b/>
              </w:rPr>
              <w:t xml:space="preserve">Sähkön- ja lämmöntuotanto</w:t>
            </w:r>
          </w:p>
        </w:tc>
        <w:tc>
          <w:tcPr/>
          <w:p>
            <w:pPr>
              <w:pStyle w:val="Compact"/>
              <w:jc w:val="left"/>
            </w:pPr>
            <w:r>
              <w:t xml:space="preserve">25-30%</w:t>
            </w:r>
          </w:p>
        </w:tc>
        <w:tc>
          <w:tcPr/>
          <w:p>
            <w:pPr>
              <w:pStyle w:val="Compact"/>
              <w:jc w:val="left"/>
            </w:pPr>
            <w:r>
              <w:t xml:space="preserve">ETS (katto kiristyy), Uusiutuvaenergia-direktiivi</w:t>
            </w:r>
          </w:p>
        </w:tc>
        <w:tc>
          <w:tcPr/>
          <w:p>
            <w:pPr>
              <w:pStyle w:val="Compact"/>
              <w:jc w:val="left"/>
            </w:pPr>
            <w:r>
              <w:t xml:space="preserve">Reaaliaikainen päästöseuranta, uusiutuvuustodistusseuranta</w:t>
            </w:r>
          </w:p>
        </w:tc>
      </w:tr>
      <w:tr>
        <w:tc>
          <w:tcPr/>
          <w:p>
            <w:pPr>
              <w:pStyle w:val="Compact"/>
              <w:jc w:val="left"/>
            </w:pPr>
            <w:r>
              <w:rPr>
                <w:bCs/>
                <w:b/>
              </w:rPr>
              <w:t xml:space="preserve">2</w:t>
            </w:r>
          </w:p>
        </w:tc>
        <w:tc>
          <w:tcPr/>
          <w:p>
            <w:pPr>
              <w:pStyle w:val="Compact"/>
              <w:jc w:val="left"/>
            </w:pPr>
            <w:r>
              <w:rPr>
                <w:bCs/>
                <w:b/>
              </w:rPr>
              <w:t xml:space="preserve">Rauta- ja terästeollisuus</w:t>
            </w:r>
          </w:p>
        </w:tc>
        <w:tc>
          <w:tcPr/>
          <w:p>
            <w:pPr>
              <w:pStyle w:val="Compact"/>
              <w:jc w:val="left"/>
            </w:pPr>
            <w:r>
              <w:t xml:space="preserve">Korkea</w:t>
            </w:r>
          </w:p>
        </w:tc>
        <w:tc>
          <w:tcPr/>
          <w:p>
            <w:pPr>
              <w:pStyle w:val="Compact"/>
              <w:jc w:val="left"/>
            </w:pPr>
            <w:r>
              <w:t xml:space="preserve">ETS, CBAM (2026), ESR</w:t>
            </w:r>
          </w:p>
        </w:tc>
        <w:tc>
          <w:tcPr/>
          <w:p>
            <w:pPr>
              <w:pStyle w:val="Compact"/>
              <w:jc w:val="left"/>
            </w:pPr>
            <w:r>
              <w:t xml:space="preserve">Toimitusketjun hiiliseuranta, CBAM-tuontiraportointi</w:t>
            </w:r>
          </w:p>
        </w:tc>
      </w:tr>
      <w:tr>
        <w:tc>
          <w:tcPr/>
          <w:p>
            <w:pPr>
              <w:pStyle w:val="Compact"/>
              <w:jc w:val="left"/>
            </w:pPr>
            <w:r>
              <w:rPr>
                <w:bCs/>
                <w:b/>
              </w:rPr>
              <w:t xml:space="preserve">3</w:t>
            </w:r>
          </w:p>
        </w:tc>
        <w:tc>
          <w:tcPr/>
          <w:p>
            <w:pPr>
              <w:pStyle w:val="Compact"/>
              <w:jc w:val="left"/>
            </w:pPr>
            <w:r>
              <w:rPr>
                <w:bCs/>
                <w:b/>
              </w:rPr>
              <w:t xml:space="preserve">Sementti- ja kalkkiteollisuus</w:t>
            </w:r>
          </w:p>
        </w:tc>
        <w:tc>
          <w:tcPr/>
          <w:p>
            <w:pPr>
              <w:pStyle w:val="Compact"/>
              <w:jc w:val="left"/>
            </w:pPr>
            <w:r>
              <w:t xml:space="preserve">Erittäin korkea</w:t>
            </w:r>
          </w:p>
        </w:tc>
        <w:tc>
          <w:tcPr/>
          <w:p>
            <w:pPr>
              <w:pStyle w:val="Compact"/>
              <w:jc w:val="left"/>
            </w:pPr>
            <w:r>
              <w:t xml:space="preserve">ETS, CBAM, EPBD (sisältyvä hiili)</w:t>
            </w:r>
          </w:p>
        </w:tc>
        <w:tc>
          <w:tcPr/>
          <w:p>
            <w:pPr>
              <w:pStyle w:val="Compact"/>
              <w:jc w:val="left"/>
            </w:pPr>
            <w:r>
              <w:t xml:space="preserve">EN 15978 -laskelmat, materiaalien hiilipassit</w:t>
            </w:r>
          </w:p>
        </w:tc>
      </w:tr>
      <w:tr>
        <w:tc>
          <w:tcPr/>
          <w:p>
            <w:pPr>
              <w:pStyle w:val="Compact"/>
              <w:jc w:val="left"/>
            </w:pPr>
            <w:r>
              <w:rPr>
                <w:bCs/>
                <w:b/>
              </w:rPr>
              <w:t xml:space="preserve">4</w:t>
            </w:r>
          </w:p>
        </w:tc>
        <w:tc>
          <w:tcPr/>
          <w:p>
            <w:pPr>
              <w:pStyle w:val="Compact"/>
              <w:jc w:val="left"/>
            </w:pPr>
            <w:r>
              <w:rPr>
                <w:bCs/>
                <w:b/>
              </w:rPr>
              <w:t xml:space="preserve">Kemian- ja petrokemianteollisuus</w:t>
            </w:r>
          </w:p>
        </w:tc>
        <w:tc>
          <w:tcPr/>
          <w:p>
            <w:pPr>
              <w:pStyle w:val="Compact"/>
              <w:jc w:val="left"/>
            </w:pPr>
            <w:r>
              <w:t xml:space="preserve">Korkea</w:t>
            </w:r>
          </w:p>
        </w:tc>
        <w:tc>
          <w:tcPr/>
          <w:p>
            <w:pPr>
              <w:pStyle w:val="Compact"/>
              <w:jc w:val="left"/>
            </w:pPr>
            <w:r>
              <w:t xml:space="preserve">ETS, CBAM (lannoitteet), H2-mandaatit</w:t>
            </w:r>
          </w:p>
        </w:tc>
        <w:tc>
          <w:tcPr/>
          <w:p>
            <w:pPr>
              <w:pStyle w:val="Compact"/>
              <w:jc w:val="left"/>
            </w:pPr>
            <w:r>
              <w:t xml:space="preserve">Prosessipäästöseuranta, vetysiirtymäkartat</w:t>
            </w:r>
          </w:p>
        </w:tc>
      </w:tr>
      <w:tr>
        <w:tc>
          <w:tcPr/>
          <w:p>
            <w:pPr>
              <w:pStyle w:val="Compact"/>
              <w:jc w:val="left"/>
            </w:pPr>
            <w:r>
              <w:rPr>
                <w:bCs/>
                <w:b/>
              </w:rPr>
              <w:t xml:space="preserve">5</w:t>
            </w:r>
          </w:p>
        </w:tc>
        <w:tc>
          <w:tcPr/>
          <w:p>
            <w:pPr>
              <w:pStyle w:val="Compact"/>
              <w:jc w:val="left"/>
            </w:pPr>
            <w:r>
              <w:rPr>
                <w:bCs/>
                <w:b/>
              </w:rPr>
              <w:t xml:space="preserve">Lentoliikenne</w:t>
            </w:r>
          </w:p>
        </w:tc>
        <w:tc>
          <w:tcPr/>
          <w:p>
            <w:pPr>
              <w:pStyle w:val="Compact"/>
              <w:jc w:val="left"/>
            </w:pPr>
            <w:r>
              <w:t xml:space="preserve">2-3% (kasvava)</w:t>
            </w:r>
          </w:p>
        </w:tc>
        <w:tc>
          <w:tcPr/>
          <w:p>
            <w:pPr>
              <w:pStyle w:val="Compact"/>
              <w:jc w:val="left"/>
            </w:pPr>
            <w:r>
              <w:t xml:space="preserve">ETS, ReFuelEU (SAF-mandaatit)</w:t>
            </w:r>
          </w:p>
        </w:tc>
        <w:tc>
          <w:tcPr/>
          <w:p>
            <w:pPr>
              <w:pStyle w:val="Compact"/>
              <w:jc w:val="left"/>
            </w:pPr>
            <w:r>
              <w:t xml:space="preserve">SAF-vaatimustenmukaisuus, kompensaatioiden verifiointi</w:t>
            </w:r>
          </w:p>
        </w:tc>
      </w:tr>
      <w:tr>
        <w:tc>
          <w:tcPr/>
          <w:p>
            <w:pPr>
              <w:pStyle w:val="Compact"/>
              <w:jc w:val="left"/>
            </w:pPr>
            <w:r>
              <w:rPr>
                <w:bCs/>
                <w:b/>
              </w:rPr>
              <w:t xml:space="preserve">6</w:t>
            </w:r>
          </w:p>
        </w:tc>
        <w:tc>
          <w:tcPr/>
          <w:p>
            <w:pPr>
              <w:pStyle w:val="Compact"/>
              <w:jc w:val="left"/>
            </w:pPr>
            <w:r>
              <w:rPr>
                <w:bCs/>
                <w:b/>
              </w:rPr>
              <w:t xml:space="preserve">Meriliikenne</w:t>
            </w:r>
          </w:p>
        </w:tc>
        <w:tc>
          <w:tcPr/>
          <w:p>
            <w:pPr>
              <w:pStyle w:val="Compact"/>
              <w:jc w:val="left"/>
            </w:pPr>
            <w:r>
              <w:t xml:space="preserve">Merkittävä</w:t>
            </w:r>
          </w:p>
        </w:tc>
        <w:tc>
          <w:tcPr/>
          <w:p>
            <w:pPr>
              <w:pStyle w:val="Compact"/>
              <w:jc w:val="left"/>
            </w:pPr>
            <w:r>
              <w:t xml:space="preserve">ETS (2024), FuelEU Maritime</w:t>
            </w:r>
          </w:p>
        </w:tc>
        <w:tc>
          <w:tcPr/>
          <w:p>
            <w:pPr>
              <w:pStyle w:val="Compact"/>
              <w:jc w:val="left"/>
            </w:pPr>
            <w:r>
              <w:t xml:space="preserve">Matkakohtaiset päästöt, intensiteettidata</w:t>
            </w:r>
          </w:p>
        </w:tc>
      </w:tr>
      <w:tr>
        <w:tc>
          <w:tcPr/>
          <w:p>
            <w:pPr>
              <w:pStyle w:val="Compact"/>
              <w:jc w:val="left"/>
            </w:pPr>
            <w:r>
              <w:rPr>
                <w:bCs/>
                <w:b/>
              </w:rPr>
              <w:t xml:space="preserve">7</w:t>
            </w:r>
          </w:p>
        </w:tc>
        <w:tc>
          <w:tcPr/>
          <w:p>
            <w:pPr>
              <w:pStyle w:val="Compact"/>
              <w:jc w:val="left"/>
            </w:pPr>
            <w:r>
              <w:rPr>
                <w:bCs/>
                <w:b/>
              </w:rPr>
              <w:t xml:space="preserve">Maantieliikenne ja logistiikka</w:t>
            </w:r>
          </w:p>
        </w:tc>
        <w:tc>
          <w:tcPr/>
          <w:p>
            <w:pPr>
              <w:pStyle w:val="Compact"/>
              <w:jc w:val="left"/>
            </w:pPr>
            <w:r>
              <w:t xml:space="preserve">Korkea</w:t>
            </w:r>
          </w:p>
        </w:tc>
        <w:tc>
          <w:tcPr/>
          <w:p>
            <w:pPr>
              <w:pStyle w:val="Compact"/>
              <w:jc w:val="left"/>
            </w:pPr>
            <w:r>
              <w:t xml:space="preserve">ETS2 (2027), CO2-standardit</w:t>
            </w:r>
          </w:p>
        </w:tc>
        <w:tc>
          <w:tcPr/>
          <w:p>
            <w:pPr>
              <w:pStyle w:val="Compact"/>
              <w:jc w:val="left"/>
            </w:pPr>
            <w:r>
              <w:t xml:space="preserve">Kalustopäästöhallinta, nollapäästösiirtymäsuunnittelu</w:t>
            </w:r>
          </w:p>
        </w:tc>
      </w:tr>
      <w:tr>
        <w:tc>
          <w:tcPr/>
          <w:p>
            <w:pPr>
              <w:pStyle w:val="Compact"/>
              <w:jc w:val="left"/>
            </w:pPr>
            <w:r>
              <w:rPr>
                <w:bCs/>
                <w:b/>
              </w:rPr>
              <w:t xml:space="preserve">8</w:t>
            </w:r>
          </w:p>
        </w:tc>
        <w:tc>
          <w:tcPr/>
          <w:p>
            <w:pPr>
              <w:pStyle w:val="Compact"/>
              <w:jc w:val="left"/>
            </w:pPr>
            <w:r>
              <w:rPr>
                <w:bCs/>
                <w:b/>
              </w:rPr>
              <w:t xml:space="preserve">Rakentaminen ja kiinteistöt</w:t>
            </w:r>
          </w:p>
        </w:tc>
        <w:tc>
          <w:tcPr/>
          <w:p>
            <w:pPr>
              <w:pStyle w:val="Compact"/>
              <w:jc w:val="left"/>
            </w:pPr>
            <w:r>
              <w:t xml:space="preserve">36-40% elinkaaresta</w:t>
            </w:r>
          </w:p>
        </w:tc>
        <w:tc>
          <w:tcPr/>
          <w:p>
            <w:pPr>
              <w:pStyle w:val="Compact"/>
              <w:jc w:val="left"/>
            </w:pPr>
            <w:r>
              <w:t xml:space="preserve">ETS2, EPBD, CSRD</w:t>
            </w:r>
          </w:p>
        </w:tc>
        <w:tc>
          <w:tcPr/>
          <w:p>
            <w:pPr>
              <w:pStyle w:val="Compact"/>
              <w:jc w:val="left"/>
            </w:pPr>
            <w:r>
              <w:rPr>
                <w:bCs/>
                <w:b/>
              </w:rPr>
              <w:t xml:space="preserve">Täysi elinkaarihiiliautomaatio</w:t>
            </w:r>
            <w:r>
              <w:t xml:space="preserve">, BIM-integraatio, EN 15978/EN 15804</w:t>
            </w:r>
          </w:p>
        </w:tc>
      </w:tr>
    </w:tbl>
    <w:p>
      <w:pPr>
        <w:pStyle w:val="BodyText"/>
      </w:pPr>
      <w:r>
        <w:rPr>
          <w:bCs/>
          <w:b/>
        </w:rPr>
        <w:t xml:space="preserve">Taso 2: Tärkeät päästöteollisuudet (ESR + epäsuora ETS)</w:t>
      </w:r>
    </w:p>
    <w:p>
      <w:pPr>
        <w:pStyle w:val="BodyText"/>
      </w:pPr>
      <w:r>
        <w:t xml:space="preserve">Nämä 8 teollisuudenalaa kohtaavat hajautettua sääntelypainetta kansallisten ESR-tavoitteiden, energiakustannusten, toimitusketjusääntöjen ja CBAM:n epäsuorien vaikutusten kautta.</w:t>
      </w:r>
    </w:p>
    <w:tbl>
      <w:tblPr>
        <w:tblStyle w:val="Table"/>
        <w:tblW w:type="pct" w:w="5000"/>
        <w:tblLook w:firstRow="1" w:lastRow="0" w:firstColumn="0" w:lastColumn="0" w:noHBand="0" w:noVBand="0" w:val="0020"/>
        <w:jc w:val="start"/>
      </w:tblPr>
      <w:tblGrid>
        <w:gridCol w:w="304"/>
        <w:gridCol w:w="1929"/>
        <w:gridCol w:w="812"/>
        <w:gridCol w:w="2132"/>
        <w:gridCol w:w="2741"/>
      </w:tblGrid>
      <w:tr>
        <w:trPr>
          <w:tblHeader w:val="true"/>
        </w:trPr>
        <w:tc>
          <w:tcPr/>
          <w:p>
            <w:pPr>
              <w:pStyle w:val="Compact"/>
              <w:jc w:val="left"/>
            </w:pPr>
            <w:r>
              <w:t xml:space="preserve">#</w:t>
            </w:r>
          </w:p>
        </w:tc>
        <w:tc>
          <w:tcPr/>
          <w:p>
            <w:pPr>
              <w:pStyle w:val="Compact"/>
              <w:jc w:val="left"/>
            </w:pPr>
            <w:r>
              <w:t xml:space="preserve">Teollisuudenala</w:t>
            </w:r>
          </w:p>
        </w:tc>
        <w:tc>
          <w:tcPr/>
          <w:p>
            <w:pPr>
              <w:pStyle w:val="Compact"/>
              <w:jc w:val="left"/>
            </w:pPr>
            <w:r>
              <w:t xml:space="preserve">EU-päästöosuus</w:t>
            </w:r>
          </w:p>
        </w:tc>
        <w:tc>
          <w:tcPr/>
          <w:p>
            <w:pPr>
              <w:pStyle w:val="Compact"/>
              <w:jc w:val="left"/>
            </w:pPr>
            <w:r>
              <w:t xml:space="preserve">Keskeiset säädökset</w:t>
            </w:r>
          </w:p>
        </w:tc>
        <w:tc>
          <w:tcPr/>
          <w:p>
            <w:pPr>
              <w:pStyle w:val="Compact"/>
              <w:jc w:val="left"/>
            </w:pPr>
            <w:r>
              <w:t xml:space="preserve">DWS IQ 6 -ratkaisu</w:t>
            </w:r>
          </w:p>
        </w:tc>
      </w:tr>
      <w:tr>
        <w:tc>
          <w:tcPr/>
          <w:p>
            <w:pPr>
              <w:pStyle w:val="Compact"/>
              <w:jc w:val="left"/>
            </w:pPr>
            <w:r>
              <w:rPr>
                <w:bCs/>
                <w:b/>
              </w:rPr>
              <w:t xml:space="preserve">9</w:t>
            </w:r>
          </w:p>
        </w:tc>
        <w:tc>
          <w:tcPr/>
          <w:p>
            <w:pPr>
              <w:pStyle w:val="Compact"/>
              <w:jc w:val="left"/>
            </w:pPr>
            <w:r>
              <w:rPr>
                <w:bCs/>
                <w:b/>
              </w:rPr>
              <w:t xml:space="preserve">Maatalous ja karjatalous</w:t>
            </w:r>
          </w:p>
        </w:tc>
        <w:tc>
          <w:tcPr/>
          <w:p>
            <w:pPr>
              <w:pStyle w:val="Compact"/>
              <w:jc w:val="left"/>
            </w:pPr>
            <w:r>
              <w:t xml:space="preserve">10-12%</w:t>
            </w:r>
          </w:p>
        </w:tc>
        <w:tc>
          <w:tcPr/>
          <w:p>
            <w:pPr>
              <w:pStyle w:val="Compact"/>
              <w:jc w:val="left"/>
            </w:pPr>
            <w:r>
              <w:t xml:space="preserve">ESR, Metaanistrategia, CAP</w:t>
            </w:r>
          </w:p>
        </w:tc>
        <w:tc>
          <w:tcPr/>
          <w:p>
            <w:pPr>
              <w:pStyle w:val="Compact"/>
              <w:jc w:val="left"/>
            </w:pPr>
            <w:r>
              <w:t xml:space="preserve">Tilapäästöseuranta, lannoitteiden hiililaskenta</w:t>
            </w:r>
          </w:p>
        </w:tc>
      </w:tr>
      <w:tr>
        <w:tc>
          <w:tcPr/>
          <w:p>
            <w:pPr>
              <w:pStyle w:val="Compact"/>
              <w:jc w:val="left"/>
            </w:pPr>
            <w:r>
              <w:rPr>
                <w:bCs/>
                <w:b/>
              </w:rPr>
              <w:t xml:space="preserve">10</w:t>
            </w:r>
          </w:p>
        </w:tc>
        <w:tc>
          <w:tcPr/>
          <w:p>
            <w:pPr>
              <w:pStyle w:val="Compact"/>
              <w:jc w:val="left"/>
            </w:pPr>
            <w:r>
              <w:rPr>
                <w:bCs/>
                <w:b/>
              </w:rPr>
              <w:t xml:space="preserve">Jätehuolto ja kierrätys</w:t>
            </w:r>
          </w:p>
        </w:tc>
        <w:tc>
          <w:tcPr/>
          <w:p>
            <w:pPr>
              <w:pStyle w:val="Compact"/>
              <w:jc w:val="left"/>
            </w:pPr>
            <w:r>
              <w:t xml:space="preserve">3-4%</w:t>
            </w:r>
          </w:p>
        </w:tc>
        <w:tc>
          <w:tcPr/>
          <w:p>
            <w:pPr>
              <w:pStyle w:val="Compact"/>
              <w:jc w:val="left"/>
            </w:pPr>
            <w:r>
              <w:t xml:space="preserve">Jätepuitedirektiivi, Kaatopaikkadirektiivi</w:t>
            </w:r>
          </w:p>
        </w:tc>
        <w:tc>
          <w:tcPr/>
          <w:p>
            <w:pPr>
              <w:pStyle w:val="Compact"/>
              <w:jc w:val="left"/>
            </w:pPr>
            <w:r>
              <w:t xml:space="preserve">Metaanin talteenottoseuranta, kiertotalousmittarit</w:t>
            </w:r>
          </w:p>
        </w:tc>
      </w:tr>
      <w:tr>
        <w:tc>
          <w:tcPr/>
          <w:p>
            <w:pPr>
              <w:pStyle w:val="Compact"/>
              <w:jc w:val="left"/>
            </w:pPr>
            <w:r>
              <w:rPr>
                <w:bCs/>
                <w:b/>
              </w:rPr>
              <w:t xml:space="preserve">11</w:t>
            </w:r>
          </w:p>
        </w:tc>
        <w:tc>
          <w:tcPr/>
          <w:p>
            <w:pPr>
              <w:pStyle w:val="Compact"/>
              <w:jc w:val="left"/>
            </w:pPr>
            <w:r>
              <w:rPr>
                <w:bCs/>
                <w:b/>
              </w:rPr>
              <w:t xml:space="preserve">Alumiiniteollisuus</w:t>
            </w:r>
          </w:p>
        </w:tc>
        <w:tc>
          <w:tcPr/>
          <w:p>
            <w:pPr>
              <w:pStyle w:val="Compact"/>
              <w:jc w:val="left"/>
            </w:pPr>
            <w:r>
              <w:t xml:space="preserve">Korkea (energia)</w:t>
            </w:r>
          </w:p>
        </w:tc>
        <w:tc>
          <w:tcPr/>
          <w:p>
            <w:pPr>
              <w:pStyle w:val="Compact"/>
              <w:jc w:val="left"/>
            </w:pPr>
            <w:r>
              <w:t xml:space="preserve">ETS, CBAM (2026)</w:t>
            </w:r>
          </w:p>
        </w:tc>
        <w:tc>
          <w:tcPr/>
          <w:p>
            <w:pPr>
              <w:pStyle w:val="Compact"/>
              <w:jc w:val="left"/>
            </w:pPr>
            <w:r>
              <w:t xml:space="preserve">Energialähdeseuranta, uusiutuvan sähkön todistukset</w:t>
            </w:r>
          </w:p>
        </w:tc>
      </w:tr>
      <w:tr>
        <w:tc>
          <w:tcPr/>
          <w:p>
            <w:pPr>
              <w:pStyle w:val="Compact"/>
              <w:jc w:val="left"/>
            </w:pPr>
            <w:r>
              <w:rPr>
                <w:bCs/>
                <w:b/>
              </w:rPr>
              <w:t xml:space="preserve">12</w:t>
            </w:r>
          </w:p>
        </w:tc>
        <w:tc>
          <w:tcPr/>
          <w:p>
            <w:pPr>
              <w:pStyle w:val="Compact"/>
              <w:jc w:val="left"/>
            </w:pPr>
            <w:r>
              <w:rPr>
                <w:bCs/>
                <w:b/>
              </w:rPr>
              <w:t xml:space="preserve">Sellu-, paperi- ja painoteollisuus</w:t>
            </w:r>
          </w:p>
        </w:tc>
        <w:tc>
          <w:tcPr/>
          <w:p>
            <w:pPr>
              <w:pStyle w:val="Compact"/>
              <w:jc w:val="left"/>
            </w:pPr>
            <w:r>
              <w:t xml:space="preserve">Keskitaso</w:t>
            </w:r>
          </w:p>
        </w:tc>
        <w:tc>
          <w:tcPr/>
          <w:p>
            <w:pPr>
              <w:pStyle w:val="Compact"/>
              <w:jc w:val="left"/>
            </w:pPr>
            <w:r>
              <w:t xml:space="preserve">ETS, LULUCF</w:t>
            </w:r>
          </w:p>
        </w:tc>
        <w:tc>
          <w:tcPr/>
          <w:p>
            <w:pPr>
              <w:pStyle w:val="Compact"/>
              <w:jc w:val="left"/>
            </w:pPr>
            <w:r>
              <w:t xml:space="preserve">Metsähiililaskenta, toimitusketjun läpinäkyvyys</w:t>
            </w:r>
          </w:p>
        </w:tc>
      </w:tr>
      <w:tr>
        <w:tc>
          <w:tcPr/>
          <w:p>
            <w:pPr>
              <w:pStyle w:val="Compact"/>
              <w:jc w:val="left"/>
            </w:pPr>
            <w:r>
              <w:rPr>
                <w:bCs/>
                <w:b/>
              </w:rPr>
              <w:t xml:space="preserve">13</w:t>
            </w:r>
          </w:p>
        </w:tc>
        <w:tc>
          <w:tcPr/>
          <w:p>
            <w:pPr>
              <w:pStyle w:val="Compact"/>
              <w:jc w:val="left"/>
            </w:pPr>
            <w:r>
              <w:rPr>
                <w:bCs/>
                <w:b/>
              </w:rPr>
              <w:t xml:space="preserve">Öljynjalostus</w:t>
            </w:r>
          </w:p>
        </w:tc>
        <w:tc>
          <w:tcPr/>
          <w:p>
            <w:pPr>
              <w:pStyle w:val="Compact"/>
              <w:jc w:val="left"/>
            </w:pPr>
            <w:r>
              <w:t xml:space="preserve">Korkea</w:t>
            </w:r>
          </w:p>
        </w:tc>
        <w:tc>
          <w:tcPr/>
          <w:p>
            <w:pPr>
              <w:pStyle w:val="Compact"/>
              <w:jc w:val="left"/>
            </w:pPr>
            <w:r>
              <w:t xml:space="preserve">ETS, ReFuelEU</w:t>
            </w:r>
          </w:p>
        </w:tc>
        <w:tc>
          <w:tcPr/>
          <w:p>
            <w:pPr>
              <w:pStyle w:val="Compact"/>
              <w:jc w:val="left"/>
            </w:pPr>
            <w:r>
              <w:t xml:space="preserve">Alasajosuunnittelu, SAF-tuotantoseuranta</w:t>
            </w:r>
          </w:p>
        </w:tc>
      </w:tr>
      <w:tr>
        <w:tc>
          <w:tcPr/>
          <w:p>
            <w:pPr>
              <w:pStyle w:val="Compact"/>
              <w:jc w:val="left"/>
            </w:pPr>
            <w:r>
              <w:rPr>
                <w:bCs/>
                <w:b/>
              </w:rPr>
              <w:t xml:space="preserve">14</w:t>
            </w:r>
          </w:p>
        </w:tc>
        <w:tc>
          <w:tcPr/>
          <w:p>
            <w:pPr>
              <w:pStyle w:val="Compact"/>
              <w:jc w:val="left"/>
            </w:pPr>
            <w:r>
              <w:rPr>
                <w:bCs/>
                <w:b/>
              </w:rPr>
              <w:t xml:space="preserve">Elintarviketeollisuus</w:t>
            </w:r>
          </w:p>
        </w:tc>
        <w:tc>
          <w:tcPr/>
          <w:p>
            <w:pPr>
              <w:pStyle w:val="Compact"/>
              <w:jc w:val="left"/>
            </w:pPr>
            <w:r>
              <w:t xml:space="preserve">Keskitaso</w:t>
            </w:r>
          </w:p>
        </w:tc>
        <w:tc>
          <w:tcPr/>
          <w:p>
            <w:pPr>
              <w:pStyle w:val="Compact"/>
              <w:jc w:val="left"/>
            </w:pPr>
            <w:r>
              <w:t xml:space="preserve">ESR, Energiatehokkuusdirektiivi</w:t>
            </w:r>
          </w:p>
        </w:tc>
        <w:tc>
          <w:tcPr/>
          <w:p>
            <w:pPr>
              <w:pStyle w:val="Compact"/>
              <w:jc w:val="left"/>
            </w:pPr>
            <w:r>
              <w:t xml:space="preserve">Maatalouden toimitusketjuhiili, energiaoptimointi</w:t>
            </w:r>
          </w:p>
        </w:tc>
      </w:tr>
      <w:tr>
        <w:tc>
          <w:tcPr/>
          <w:p>
            <w:pPr>
              <w:pStyle w:val="Compact"/>
              <w:jc w:val="left"/>
            </w:pPr>
            <w:r>
              <w:rPr>
                <w:bCs/>
                <w:b/>
              </w:rPr>
              <w:t xml:space="preserve">15</w:t>
            </w:r>
          </w:p>
        </w:tc>
        <w:tc>
          <w:tcPr/>
          <w:p>
            <w:pPr>
              <w:pStyle w:val="Compact"/>
              <w:jc w:val="left"/>
            </w:pPr>
            <w:r>
              <w:rPr>
                <w:bCs/>
                <w:b/>
              </w:rPr>
              <w:t xml:space="preserve">Lasi- ja keramiikkateollisuus</w:t>
            </w:r>
          </w:p>
        </w:tc>
        <w:tc>
          <w:tcPr/>
          <w:p>
            <w:pPr>
              <w:pStyle w:val="Compact"/>
              <w:jc w:val="left"/>
            </w:pPr>
            <w:r>
              <w:t xml:space="preserve">Keskitaso</w:t>
            </w:r>
          </w:p>
        </w:tc>
        <w:tc>
          <w:tcPr/>
          <w:p>
            <w:pPr>
              <w:pStyle w:val="Compact"/>
              <w:jc w:val="left"/>
            </w:pPr>
            <w:r>
              <w:t xml:space="preserve">ETS, CBAM (epäsuora)</w:t>
            </w:r>
          </w:p>
        </w:tc>
        <w:tc>
          <w:tcPr/>
          <w:p>
            <w:pPr>
              <w:pStyle w:val="Compact"/>
              <w:jc w:val="left"/>
            </w:pPr>
            <w:r>
              <w:t xml:space="preserve">Prosessipäästöt, materiaalihiiliseuranta</w:t>
            </w:r>
          </w:p>
        </w:tc>
      </w:tr>
      <w:tr>
        <w:tc>
          <w:tcPr/>
          <w:p>
            <w:pPr>
              <w:pStyle w:val="Compact"/>
              <w:jc w:val="left"/>
            </w:pPr>
            <w:r>
              <w:rPr>
                <w:bCs/>
                <w:b/>
              </w:rPr>
              <w:t xml:space="preserve">16</w:t>
            </w:r>
          </w:p>
        </w:tc>
        <w:tc>
          <w:tcPr/>
          <w:p>
            <w:pPr>
              <w:pStyle w:val="Compact"/>
              <w:jc w:val="left"/>
            </w:pPr>
            <w:r>
              <w:rPr>
                <w:bCs/>
                <w:b/>
              </w:rPr>
              <w:t xml:space="preserve">Kaivos- ja louhintateollisuus</w:t>
            </w:r>
          </w:p>
        </w:tc>
        <w:tc>
          <w:tcPr/>
          <w:p>
            <w:pPr>
              <w:pStyle w:val="Compact"/>
              <w:jc w:val="left"/>
            </w:pPr>
            <w:r>
              <w:t xml:space="preserve">Keskitaso</w:t>
            </w:r>
          </w:p>
        </w:tc>
        <w:tc>
          <w:tcPr/>
          <w:p>
            <w:pPr>
              <w:pStyle w:val="Compact"/>
              <w:jc w:val="left"/>
            </w:pPr>
            <w:r>
              <w:t xml:space="preserve">ETS (epäsuora), Kriittiset raaka-aineet</w:t>
            </w:r>
          </w:p>
        </w:tc>
        <w:tc>
          <w:tcPr/>
          <w:p>
            <w:pPr>
              <w:pStyle w:val="Compact"/>
              <w:jc w:val="left"/>
            </w:pPr>
            <w:r>
              <w:t xml:space="preserve">Louhintapäästöt, CRM-toimitusketjuvaatimustenmukaisuus</w:t>
            </w:r>
          </w:p>
        </w:tc>
      </w:tr>
    </w:tbl>
    <w:bookmarkEnd w:id="47"/>
    <w:bookmarkStart w:id="48" w:name="sääntelyaikataulu"/>
    <w:p>
      <w:pPr>
        <w:pStyle w:val="Heading3"/>
      </w:pPr>
      <w:r>
        <w:t xml:space="preserve">3.1.2 Sääntelyaikataulu</w:t>
      </w:r>
    </w:p>
    <w:p>
      <w:pPr>
        <w:pStyle w:val="SourceCode"/>
      </w:pPr>
      <w:r>
        <w:rPr>
          <w:rStyle w:val="VerbatimChar"/>
        </w:rPr>
        <w:t xml:space="preserve">2024 ────────────────────────────────────────────────────────────────</w:t>
      </w:r>
      <w:r>
        <w:br/>
      </w:r>
      <w:r>
        <w:rPr>
          <w:rStyle w:val="VerbatimChar"/>
        </w:rPr>
        <w:t xml:space="preserve">      │ Meriliikenne ETS:ssä</w:t>
      </w:r>
      <w:r>
        <w:br/>
      </w:r>
      <w:r>
        <w:rPr>
          <w:rStyle w:val="VerbatimChar"/>
        </w:rPr>
        <w:t xml:space="preserve">      │ CBAM-siirtymävaihe aktiivinen</w:t>
      </w:r>
      <w:r>
        <w:br/>
      </w:r>
      <w:r>
        <w:rPr>
          <w:rStyle w:val="VerbatimChar"/>
        </w:rPr>
        <w:t xml:space="preserve">      │ CSRD-raportointi alkaa (suuret yritykset)</w:t>
      </w:r>
      <w:r>
        <w:br/>
      </w:r>
      <w:r>
        <w:rPr>
          <w:rStyle w:val="VerbatimChar"/>
        </w:rPr>
        <w:t xml:space="preserve">      │</w:t>
      </w:r>
      <w:r>
        <w:br/>
      </w:r>
      <w:r>
        <w:rPr>
          <w:rStyle w:val="VerbatimChar"/>
        </w:rPr>
        <w:t xml:space="preserve">2025 ────────────────────────────────────────────────────────────────</w:t>
      </w:r>
      <w:r>
        <w:br/>
      </w:r>
      <w:r>
        <w:rPr>
          <w:rStyle w:val="VerbatimChar"/>
        </w:rPr>
        <w:t xml:space="preserve">      │ Omnibus-yksinkertaistukset (hallinnollinen helpotus)</w:t>
      </w:r>
      <w:r>
        <w:br/>
      </w:r>
      <w:r>
        <w:rPr>
          <w:rStyle w:val="VerbatimChar"/>
        </w:rPr>
        <w:t xml:space="preserve">      │ EU AI Act -täytäntöönpano alkaa</w:t>
      </w:r>
      <w:r>
        <w:br/>
      </w:r>
      <w:r>
        <w:rPr>
          <w:rStyle w:val="VerbatimChar"/>
        </w:rPr>
        <w:t xml:space="preserve">      │ NIS2-vaatimustenmukaisuuden määräaika</w:t>
      </w:r>
      <w:r>
        <w:br/>
      </w:r>
      <w:r>
        <w:rPr>
          <w:rStyle w:val="VerbatimChar"/>
        </w:rPr>
        <w:t xml:space="preserve">      │</w:t>
      </w:r>
      <w:r>
        <w:br/>
      </w:r>
      <w:r>
        <w:rPr>
          <w:rStyle w:val="VerbatimChar"/>
        </w:rPr>
        <w:t xml:space="preserve">2026 ────────────────────────────────────────────────────────────────</w:t>
      </w:r>
      <w:r>
        <w:br/>
      </w:r>
      <w:r>
        <w:rPr>
          <w:rStyle w:val="VerbatimChar"/>
        </w:rPr>
        <w:t xml:space="preserve">      │ CBAM täysi toimeenpano (rajahiilivero)</w:t>
      </w:r>
      <w:r>
        <w:br/>
      </w:r>
      <w:r>
        <w:rPr>
          <w:rStyle w:val="VerbatimChar"/>
        </w:rPr>
        <w:t xml:space="preserve">      │ CSRD laajenee useampiin yrityksiin</w:t>
      </w:r>
      <w:r>
        <w:br/>
      </w:r>
      <w:r>
        <w:rPr>
          <w:rStyle w:val="VerbatimChar"/>
        </w:rPr>
        <w:t xml:space="preserve">      │ Ilmaiset ETS-päästöoikeudet vähenevät nopeammin</w:t>
      </w:r>
      <w:r>
        <w:br/>
      </w:r>
      <w:r>
        <w:rPr>
          <w:rStyle w:val="VerbatimChar"/>
        </w:rPr>
        <w:t xml:space="preserve">      │</w:t>
      </w:r>
      <w:r>
        <w:br/>
      </w:r>
      <w:r>
        <w:rPr>
          <w:rStyle w:val="VerbatimChar"/>
        </w:rPr>
        <w:t xml:space="preserve">2027 ────────────────────────────────────────────────────────────────</w:t>
      </w:r>
      <w:r>
        <w:br/>
      </w:r>
      <w:r>
        <w:rPr>
          <w:rStyle w:val="VerbatimChar"/>
        </w:rPr>
        <w:t xml:space="preserve">      │ ETS2 maantieliikenteelle ja rakennuksille</w:t>
      </w:r>
      <w:r>
        <w:br/>
      </w:r>
      <w:r>
        <w:rPr>
          <w:rStyle w:val="VerbatimChar"/>
        </w:rPr>
        <w:t xml:space="preserve">      │ Tiukemmat ajoneuvojen CO2-standardit</w:t>
      </w:r>
      <w:r>
        <w:br/>
      </w:r>
      <w:r>
        <w:rPr>
          <w:rStyle w:val="VerbatimChar"/>
        </w:rPr>
        <w:t xml:space="preserve">      │</w:t>
      </w:r>
      <w:r>
        <w:br/>
      </w:r>
      <w:r>
        <w:rPr>
          <w:rStyle w:val="VerbatimChar"/>
        </w:rPr>
        <w:t xml:space="preserve">2028 ────────────────────────────────────────────────────────────────</w:t>
      </w:r>
      <w:r>
        <w:br/>
      </w:r>
      <w:r>
        <w:rPr>
          <w:rStyle w:val="VerbatimChar"/>
        </w:rPr>
        <w:t xml:space="preserve">      │ EPBD sisältyvän hiilen raportointi (&gt;1 000 m²)</w:t>
      </w:r>
      <w:r>
        <w:br/>
      </w:r>
      <w:r>
        <w:rPr>
          <w:rStyle w:val="VerbatimChar"/>
        </w:rPr>
        <w:t xml:space="preserve">      │ Merkittävä ETS-katon kiristys</w:t>
      </w:r>
      <w:r>
        <w:br/>
      </w:r>
      <w:r>
        <w:rPr>
          <w:rStyle w:val="VerbatimChar"/>
        </w:rPr>
        <w:t xml:space="preserve">      │</w:t>
      </w:r>
      <w:r>
        <w:br/>
      </w:r>
      <w:r>
        <w:rPr>
          <w:rStyle w:val="VerbatimChar"/>
        </w:rPr>
        <w:t xml:space="preserve">2030 ────────────────────────────────────────────────────────────────</w:t>
      </w:r>
      <w:r>
        <w:br/>
      </w:r>
      <w:r>
        <w:rPr>
          <w:rStyle w:val="VerbatimChar"/>
        </w:rPr>
        <w:t xml:space="preserve">      │ 55% päästövähennystavoitteen määräaika</w:t>
      </w:r>
      <w:r>
        <w:br/>
      </w:r>
      <w:r>
        <w:rPr>
          <w:rStyle w:val="VerbatimChar"/>
        </w:rPr>
        <w:t xml:space="preserve">      │ ESR-kansalliset tavoitteet erääntyvät</w:t>
      </w:r>
      <w:r>
        <w:br/>
      </w:r>
      <w:r>
        <w:rPr>
          <w:rStyle w:val="VerbatimChar"/>
        </w:rPr>
        <w:t xml:space="preserve">      │</w:t>
      </w:r>
      <w:r>
        <w:br/>
      </w:r>
      <w:r>
        <w:rPr>
          <w:rStyle w:val="VerbatimChar"/>
        </w:rPr>
        <w:t xml:space="preserve">2035 ────────────────────────────────────────────────────────────────</w:t>
      </w:r>
      <w:r>
        <w:br/>
      </w:r>
      <w:r>
        <w:rPr>
          <w:rStyle w:val="VerbatimChar"/>
        </w:rPr>
        <w:t xml:space="preserve">      │ 100% nollapäästöiset uudet henkilö- ja pakettiautot</w:t>
      </w:r>
    </w:p>
    <w:bookmarkEnd w:id="48"/>
    <w:bookmarkStart w:id="50" w:name="Xc5c29259f93b519de94cfaa77988484bb424a6b"/>
    <w:p>
      <w:pPr>
        <w:pStyle w:val="Heading3"/>
      </w:pPr>
      <w:r>
        <w:t xml:space="preserve">3.1.3 Omnibus-paketti:</w:t>
      </w:r>
      <w:r>
        <w:t xml:space="preserve"> </w:t>
      </w:r>
      <w:r>
        <w:t xml:space="preserve">“</w:t>
      </w:r>
      <w:r>
        <w:t xml:space="preserve">Fit for 55 Means Fit for 55</w:t>
      </w:r>
      <w:r>
        <w:t xml:space="preserve">”</w:t>
      </w:r>
    </w:p>
    <w:p>
      <w:pPr>
        <w:pStyle w:val="FirstParagraph"/>
      </w:pPr>
      <w:r>
        <w:t xml:space="preserve">Euroopan komissio hyväksyi 26.2.2025 Omnibus-yksinkertaistuspaketin, joka keventää pk-yritysten hallinnollista taakkaa säilyttäen kuitenkin ilmastotavoitteet täysin ennallaan (European Commission, 2025).</w:t>
      </w:r>
    </w:p>
    <w:p>
      <w:pPr>
        <w:pStyle w:val="BodyText"/>
      </w:pPr>
      <w:r>
        <w:rPr>
          <w:bCs/>
          <w:b/>
        </w:rPr>
        <w:t xml:space="preserve">Keskeiset muutokset CSRD-raportointiin:</w:t>
      </w:r>
    </w:p>
    <w:tbl>
      <w:tblPr>
        <w:tblStyle w:val="Table"/>
        <w:tblW w:type="pct" w:w="5000"/>
        <w:tblLook w:firstRow="1" w:lastRow="0" w:firstColumn="0" w:lastColumn="0" w:noHBand="0" w:noVBand="0" w:val="0020"/>
        <w:jc w:val="start"/>
      </w:tblPr>
      <w:tblGrid>
        <w:gridCol w:w="1911"/>
        <w:gridCol w:w="1638"/>
        <w:gridCol w:w="4369"/>
      </w:tblGrid>
      <w:tr>
        <w:trPr>
          <w:tblHeader w:val="true"/>
        </w:trPr>
        <w:tc>
          <w:tcPr/>
          <w:p>
            <w:pPr>
              <w:pStyle w:val="Compact"/>
              <w:jc w:val="left"/>
            </w:pPr>
            <w:r>
              <w:t xml:space="preserve">Muutos</w:t>
            </w:r>
          </w:p>
        </w:tc>
        <w:tc>
          <w:tcPr/>
          <w:p>
            <w:pPr>
              <w:pStyle w:val="Compact"/>
              <w:jc w:val="left"/>
            </w:pPr>
            <w:r>
              <w:t xml:space="preserve">Ennen</w:t>
            </w:r>
          </w:p>
        </w:tc>
        <w:tc>
          <w:tcPr/>
          <w:p>
            <w:pPr>
              <w:pStyle w:val="Compact"/>
              <w:jc w:val="left"/>
            </w:pPr>
            <w:r>
              <w:t xml:space="preserve">Omnibus jälkeen</w:t>
            </w:r>
          </w:p>
        </w:tc>
      </w:tr>
      <w:tr>
        <w:tc>
          <w:tcPr/>
          <w:p>
            <w:pPr>
              <w:pStyle w:val="Compact"/>
              <w:jc w:val="left"/>
            </w:pPr>
            <w:r>
              <w:rPr>
                <w:bCs/>
                <w:b/>
              </w:rPr>
              <w:t xml:space="preserve">CSRD-soveltamisala</w:t>
            </w:r>
          </w:p>
        </w:tc>
        <w:tc>
          <w:tcPr/>
          <w:p>
            <w:pPr>
              <w:pStyle w:val="Compact"/>
              <w:jc w:val="left"/>
            </w:pPr>
            <w:r>
              <w:t xml:space="preserve">~50 000 yritystä</w:t>
            </w:r>
          </w:p>
        </w:tc>
        <w:tc>
          <w:tcPr/>
          <w:p>
            <w:pPr>
              <w:pStyle w:val="Compact"/>
              <w:jc w:val="left"/>
            </w:pPr>
            <w:r>
              <w:t xml:space="preserve">alle ~5 000 yritystä (&gt;1 000 työntekijää JA &gt;450 M€ liikevaihto)</w:t>
            </w:r>
          </w:p>
        </w:tc>
      </w:tr>
      <w:tr>
        <w:tc>
          <w:tcPr/>
          <w:p>
            <w:pPr>
              <w:pStyle w:val="Compact"/>
              <w:jc w:val="left"/>
            </w:pPr>
            <w:r>
              <w:rPr>
                <w:bCs/>
                <w:b/>
              </w:rPr>
              <w:t xml:space="preserve">Pk-yritysten velvoitteet</w:t>
            </w:r>
          </w:p>
        </w:tc>
        <w:tc>
          <w:tcPr/>
          <w:p>
            <w:pPr>
              <w:pStyle w:val="Compact"/>
              <w:jc w:val="left"/>
            </w:pPr>
            <w:r>
              <w:t xml:space="preserve">Pakolliset</w:t>
            </w:r>
          </w:p>
        </w:tc>
        <w:tc>
          <w:tcPr/>
          <w:p>
            <w:pPr>
              <w:pStyle w:val="Compact"/>
              <w:jc w:val="left"/>
            </w:pPr>
            <w:r>
              <w:t xml:space="preserve">Vapaaehtoinen standardi (EFRAG SME)</w:t>
            </w:r>
          </w:p>
        </w:tc>
      </w:tr>
      <w:tr>
        <w:tc>
          <w:tcPr/>
          <w:p>
            <w:pPr>
              <w:pStyle w:val="Compact"/>
              <w:jc w:val="left"/>
            </w:pPr>
            <w:r>
              <w:rPr>
                <w:bCs/>
                <w:b/>
              </w:rPr>
              <w:t xml:space="preserve">Varmennustaso</w:t>
            </w:r>
          </w:p>
        </w:tc>
        <w:tc>
          <w:tcPr/>
          <w:p>
            <w:pPr>
              <w:pStyle w:val="Compact"/>
              <w:jc w:val="left"/>
            </w:pPr>
            <w:r>
              <w:t xml:space="preserve">“</w:t>
            </w:r>
            <w:r>
              <w:t xml:space="preserve">Limited</w:t>
            </w:r>
            <w:r>
              <w:t xml:space="preserve">”</w:t>
            </w:r>
            <w:r>
              <w:t xml:space="preserve"> </w:t>
            </w:r>
            <w:r>
              <w:t xml:space="preserve">→</w:t>
            </w:r>
            <w:r>
              <w:t xml:space="preserve"> </w:t>
            </w:r>
            <w:r>
              <w:t xml:space="preserve">“</w:t>
            </w:r>
            <w:r>
              <w:t xml:space="preserve">Reasonable</w:t>
            </w:r>
            <w:r>
              <w:t xml:space="preserve">”</w:t>
            </w:r>
          </w:p>
        </w:tc>
        <w:tc>
          <w:tcPr/>
          <w:p>
            <w:pPr>
              <w:pStyle w:val="Compact"/>
              <w:jc w:val="left"/>
            </w:pPr>
            <w:r>
              <w:t xml:space="preserve">Pysyy</w:t>
            </w:r>
            <w:r>
              <w:t xml:space="preserve"> </w:t>
            </w:r>
            <w:r>
              <w:t xml:space="preserve">“</w:t>
            </w:r>
            <w:r>
              <w:t xml:space="preserve">Limited</w:t>
            </w:r>
            <w:r>
              <w:t xml:space="preserve">”</w:t>
            </w:r>
            <w:r>
              <w:t xml:space="preserve">-tasolla</w:t>
            </w:r>
          </w:p>
        </w:tc>
      </w:tr>
      <w:tr>
        <w:tc>
          <w:tcPr/>
          <w:p>
            <w:pPr>
              <w:pStyle w:val="Compact"/>
              <w:jc w:val="left"/>
            </w:pPr>
            <w:r>
              <w:rPr>
                <w:bCs/>
                <w:b/>
              </w:rPr>
              <w:t xml:space="preserve">Aikataulu</w:t>
            </w:r>
          </w:p>
        </w:tc>
        <w:tc>
          <w:tcPr/>
          <w:p>
            <w:pPr>
              <w:pStyle w:val="Compact"/>
              <w:jc w:val="left"/>
            </w:pPr>
            <w:r>
              <w:t xml:space="preserve">2026-2027</w:t>
            </w:r>
          </w:p>
        </w:tc>
        <w:tc>
          <w:tcPr/>
          <w:p>
            <w:pPr>
              <w:pStyle w:val="Compact"/>
              <w:jc w:val="left"/>
            </w:pPr>
            <w:r>
              <w:t xml:space="preserve">+2 vuotta lykkäys (</w:t>
            </w:r>
            <w:r>
              <w:t xml:space="preserve">“</w:t>
            </w:r>
            <w:r>
              <w:t xml:space="preserve">stop the clock</w:t>
            </w:r>
            <w:r>
              <w:t xml:space="preserve">”</w:t>
            </w:r>
            <w:r>
              <w:t xml:space="preserve">)</w:t>
            </w:r>
          </w:p>
        </w:tc>
      </w:tr>
      <w:tr>
        <w:tc>
          <w:tcPr/>
          <w:p>
            <w:pPr>
              <w:pStyle w:val="Compact"/>
              <w:jc w:val="left"/>
            </w:pPr>
            <w:r>
              <w:rPr>
                <w:bCs/>
                <w:b/>
              </w:rPr>
              <w:t xml:space="preserve">Säästöarvio</w:t>
            </w:r>
          </w:p>
        </w:tc>
        <w:tc>
          <w:tcPr/>
          <w:p>
            <w:pPr>
              <w:pStyle w:val="Compact"/>
              <w:jc w:val="left"/>
            </w:pPr>
            <w:r>
              <w:t xml:space="preserve">-</w:t>
            </w:r>
          </w:p>
        </w:tc>
        <w:tc>
          <w:tcPr/>
          <w:p>
            <w:pPr>
              <w:pStyle w:val="Compact"/>
              <w:jc w:val="left"/>
            </w:pPr>
            <w:r>
              <w:t xml:space="preserve">€4,4 miljardia/vuosi</w:t>
            </w:r>
          </w:p>
        </w:tc>
      </w:tr>
    </w:tbl>
    <w:p>
      <w:pPr>
        <w:pStyle w:val="BodyText"/>
      </w:pPr>
      <w:r>
        <w:rPr>
          <w:bCs/>
          <w:b/>
        </w:rPr>
        <w:t xml:space="preserve">Kriittinen havainto: Ilmastotavoitteet säilyvät muuttumattomina</w:t>
      </w:r>
    </w:p>
    <w:p>
      <w:pPr>
        <w:pStyle w:val="BodyText"/>
      </w:pPr>
      <w:r>
        <w:t xml:space="preserve">Omnibus-paketti</w:t>
      </w:r>
      <w:r>
        <w:t xml:space="preserve"> </w:t>
      </w:r>
      <w:r>
        <w:rPr>
          <w:bCs/>
          <w:b/>
        </w:rPr>
        <w:t xml:space="preserve">ei muuta</w:t>
      </w:r>
      <w:r>
        <w:t xml:space="preserve"> </w:t>
      </w:r>
      <w:r>
        <w:t xml:space="preserve">Fit for 55:n ydintavoitteita:</w:t>
      </w:r>
    </w:p>
    <w:p>
      <w:pPr>
        <w:numPr>
          <w:ilvl w:val="0"/>
          <w:numId w:val="1018"/>
        </w:numPr>
        <w:pStyle w:val="Compact"/>
      </w:pPr>
      <w:r>
        <w:rPr>
          <w:bCs/>
          <w:b/>
        </w:rPr>
        <w:t xml:space="preserve">55% päästövähennys vuoteen 2030</w:t>
      </w:r>
      <w:r>
        <w:t xml:space="preserve"> </w:t>
      </w:r>
      <w:r>
        <w:t xml:space="preserve">— säilyy</w:t>
      </w:r>
    </w:p>
    <w:p>
      <w:pPr>
        <w:numPr>
          <w:ilvl w:val="0"/>
          <w:numId w:val="1018"/>
        </w:numPr>
        <w:pStyle w:val="Compact"/>
      </w:pPr>
      <w:r>
        <w:rPr>
          <w:bCs/>
          <w:b/>
        </w:rPr>
        <w:t xml:space="preserve">ETS-päästökatto</w:t>
      </w:r>
      <w:r>
        <w:t xml:space="preserve"> </w:t>
      </w:r>
      <w:r>
        <w:t xml:space="preserve">— kiristyy edelleen suunnitelmien mukaan</w:t>
      </w:r>
    </w:p>
    <w:p>
      <w:pPr>
        <w:numPr>
          <w:ilvl w:val="0"/>
          <w:numId w:val="1018"/>
        </w:numPr>
        <w:pStyle w:val="Compact"/>
      </w:pPr>
      <w:r>
        <w:rPr>
          <w:bCs/>
          <w:b/>
        </w:rPr>
        <w:t xml:space="preserve">CBAM-rajahiilivero</w:t>
      </w:r>
      <w:r>
        <w:t xml:space="preserve"> </w:t>
      </w:r>
      <w:r>
        <w:t xml:space="preserve">— voimaan 2026 kuten suunniteltu</w:t>
      </w:r>
    </w:p>
    <w:p>
      <w:pPr>
        <w:numPr>
          <w:ilvl w:val="0"/>
          <w:numId w:val="1018"/>
        </w:numPr>
        <w:pStyle w:val="Compact"/>
      </w:pPr>
      <w:r>
        <w:rPr>
          <w:bCs/>
          <w:b/>
        </w:rPr>
        <w:t xml:space="preserve">ETS2 maantieliikenteelle ja rakennuksille</w:t>
      </w:r>
      <w:r>
        <w:t xml:space="preserve"> </w:t>
      </w:r>
      <w:r>
        <w:t xml:space="preserve">— voimaan 2027</w:t>
      </w:r>
    </w:p>
    <w:p>
      <w:pPr>
        <w:numPr>
          <w:ilvl w:val="0"/>
          <w:numId w:val="1018"/>
        </w:numPr>
        <w:pStyle w:val="Compact"/>
      </w:pPr>
      <w:r>
        <w:rPr>
          <w:bCs/>
          <w:b/>
        </w:rPr>
        <w:t xml:space="preserve">EPBD sisältyvän hiilen raportointi</w:t>
      </w:r>
      <w:r>
        <w:t xml:space="preserve"> </w:t>
      </w:r>
      <w:r>
        <w:t xml:space="preserve">— voimaan 2028</w:t>
      </w:r>
    </w:p>
    <w:p>
      <w:pPr>
        <w:pStyle w:val="FirstParagraph"/>
      </w:pPr>
      <w:r>
        <w:rPr>
          <w:bCs/>
          <w:b/>
        </w:rPr>
        <w:t xml:space="preserve">Vaikutus DWS IQ 6 -liiketoimintamalliin:</w:t>
      </w:r>
    </w:p>
    <w:tbl>
      <w:tblPr>
        <w:tblStyle w:val="Table"/>
        <w:tblW w:type="pct" w:w="5000"/>
        <w:tblLook w:firstRow="1" w:lastRow="0" w:firstColumn="0" w:lastColumn="0" w:noHBand="0" w:noVBand="0" w:val="0020"/>
        <w:jc w:val="start"/>
      </w:tblPr>
      <w:tblGrid>
        <w:gridCol w:w="2669"/>
        <w:gridCol w:w="2224"/>
        <w:gridCol w:w="3025"/>
      </w:tblGrid>
      <w:tr>
        <w:trPr>
          <w:tblHeader w:val="true"/>
        </w:trPr>
        <w:tc>
          <w:tcPr/>
          <w:p>
            <w:pPr>
              <w:pStyle w:val="Compact"/>
              <w:jc w:val="left"/>
            </w:pPr>
            <w:r>
              <w:t xml:space="preserve">Segmentti</w:t>
            </w:r>
          </w:p>
        </w:tc>
        <w:tc>
          <w:tcPr/>
          <w:p>
            <w:pPr>
              <w:pStyle w:val="Compact"/>
              <w:jc w:val="left"/>
            </w:pPr>
            <w:r>
              <w:t xml:space="preserve">Omnibus-vaikutus</w:t>
            </w:r>
          </w:p>
        </w:tc>
        <w:tc>
          <w:tcPr/>
          <w:p>
            <w:pPr>
              <w:pStyle w:val="Compact"/>
              <w:jc w:val="left"/>
            </w:pPr>
            <w:r>
              <w:t xml:space="preserve">DWS IQ 6 -mahdollisuus</w:t>
            </w:r>
          </w:p>
        </w:tc>
      </w:tr>
      <w:tr>
        <w:tc>
          <w:tcPr/>
          <w:p>
            <w:pPr>
              <w:pStyle w:val="Compact"/>
              <w:jc w:val="left"/>
            </w:pPr>
            <w:r>
              <w:rPr>
                <w:bCs/>
                <w:b/>
              </w:rPr>
              <w:t xml:space="preserve">Suuryritykset (&gt;1 000 hlö)</w:t>
            </w:r>
          </w:p>
        </w:tc>
        <w:tc>
          <w:tcPr/>
          <w:p>
            <w:pPr>
              <w:pStyle w:val="Compact"/>
              <w:jc w:val="left"/>
            </w:pPr>
            <w:r>
              <w:t xml:space="preserve">CSRD-velvoite säilyy</w:t>
            </w:r>
          </w:p>
        </w:tc>
        <w:tc>
          <w:tcPr/>
          <w:p>
            <w:pPr>
              <w:pStyle w:val="Compact"/>
              <w:jc w:val="left"/>
            </w:pPr>
            <w:r>
              <w:t xml:space="preserve">Premium-ratkaisu</w:t>
            </w:r>
          </w:p>
        </w:tc>
      </w:tr>
      <w:tr>
        <w:tc>
          <w:tcPr/>
          <w:p>
            <w:pPr>
              <w:pStyle w:val="Compact"/>
              <w:jc w:val="left"/>
            </w:pPr>
            <w:r>
              <w:rPr>
                <w:bCs/>
                <w:b/>
              </w:rPr>
              <w:t xml:space="preserve">Keskisuuret (250-999 hlö)</w:t>
            </w:r>
          </w:p>
        </w:tc>
        <w:tc>
          <w:tcPr/>
          <w:p>
            <w:pPr>
              <w:pStyle w:val="Compact"/>
              <w:jc w:val="left"/>
            </w:pPr>
            <w:r>
              <w:t xml:space="preserve">Vapaaehtoinen raportointi</w:t>
            </w:r>
          </w:p>
        </w:tc>
        <w:tc>
          <w:tcPr/>
          <w:p>
            <w:pPr>
              <w:pStyle w:val="Compact"/>
              <w:jc w:val="left"/>
            </w:pPr>
            <w:r>
              <w:t xml:space="preserve">Edullinen kilpailuetuna</w:t>
            </w:r>
          </w:p>
        </w:tc>
      </w:tr>
      <w:tr>
        <w:tc>
          <w:tcPr/>
          <w:p>
            <w:pPr>
              <w:pStyle w:val="Compact"/>
              <w:jc w:val="left"/>
            </w:pPr>
            <w:r>
              <w:rPr>
                <w:bCs/>
                <w:b/>
              </w:rPr>
              <w:t xml:space="preserve">Pk-yritykset (&lt;250 hlö)</w:t>
            </w:r>
          </w:p>
        </w:tc>
        <w:tc>
          <w:tcPr/>
          <w:p>
            <w:pPr>
              <w:pStyle w:val="Compact"/>
              <w:jc w:val="left"/>
            </w:pPr>
            <w:r>
              <w:t xml:space="preserve">Ei raportointivelvoitetta</w:t>
            </w:r>
          </w:p>
        </w:tc>
        <w:tc>
          <w:tcPr/>
          <w:p>
            <w:pPr>
              <w:pStyle w:val="Compact"/>
              <w:jc w:val="left"/>
            </w:pPr>
            <w:r>
              <w:t xml:space="preserve">Toimitusketjupaine suuryrityksiltä</w:t>
            </w:r>
          </w:p>
        </w:tc>
      </w:tr>
    </w:tbl>
    <w:p>
      <w:pPr>
        <w:pStyle w:val="BodyText"/>
      </w:pPr>
      <w:r>
        <w:rPr>
          <w:bCs/>
          <w:b/>
        </w:rPr>
        <w:t xml:space="preserve">Johtopäätös:</w:t>
      </w:r>
      <w:r>
        <w:t xml:space="preserve"> </w:t>
      </w:r>
      <w:r>
        <w:t xml:space="preserve">Omnibus-paketti tekee Firehorse-mallista entistä kilpailukykyisemmän:</w:t>
      </w:r>
    </w:p>
    <w:p>
      <w:pPr>
        <w:numPr>
          <w:ilvl w:val="0"/>
          <w:numId w:val="1019"/>
        </w:numPr>
        <w:pStyle w:val="Compact"/>
      </w:pPr>
      <w:r>
        <w:rPr>
          <w:bCs/>
          <w:b/>
        </w:rPr>
        <w:t xml:space="preserve">Suuryritykset</w:t>
      </w:r>
      <w:r>
        <w:t xml:space="preserve"> </w:t>
      </w:r>
      <w:r>
        <w:t xml:space="preserve">tarvitsevat edelleen automaattista raportointia</w:t>
      </w:r>
    </w:p>
    <w:p>
      <w:pPr>
        <w:numPr>
          <w:ilvl w:val="0"/>
          <w:numId w:val="1019"/>
        </w:numPr>
        <w:pStyle w:val="Compact"/>
      </w:pPr>
      <w:r>
        <w:rPr>
          <w:bCs/>
          <w:b/>
        </w:rPr>
        <w:t xml:space="preserve">Pk-yritykset</w:t>
      </w:r>
      <w:r>
        <w:t xml:space="preserve"> </w:t>
      </w:r>
      <w:r>
        <w:t xml:space="preserve">kohtaavat toimitusketjupaineita CSRD-yrityksiltä</w:t>
      </w:r>
    </w:p>
    <w:p>
      <w:pPr>
        <w:numPr>
          <w:ilvl w:val="0"/>
          <w:numId w:val="1019"/>
        </w:numPr>
        <w:pStyle w:val="Compact"/>
      </w:pPr>
      <w:r>
        <w:rPr>
          <w:bCs/>
          <w:b/>
        </w:rPr>
        <w:t xml:space="preserve">Vapaaehtoinen EFRAG SME -standardi</w:t>
      </w:r>
      <w:r>
        <w:t xml:space="preserve"> </w:t>
      </w:r>
      <w:r>
        <w:t xml:space="preserve">luo kysynnän edulliselle ratkaisulle</w:t>
      </w:r>
    </w:p>
    <w:p>
      <w:pPr>
        <w:numPr>
          <w:ilvl w:val="0"/>
          <w:numId w:val="1019"/>
        </w:numPr>
        <w:pStyle w:val="Compact"/>
      </w:pPr>
      <w:r>
        <w:rPr>
          <w:bCs/>
          <w:b/>
        </w:rPr>
        <w:t xml:space="preserve">€0-350/kk hinta</w:t>
      </w:r>
      <w:r>
        <w:t xml:space="preserve"> </w:t>
      </w:r>
      <w:r>
        <w:t xml:space="preserve">on kilpailukykyinen vapaaehtoisen raportoinnin markkinoilla</w:t>
      </w:r>
    </w:p>
    <w:p>
      <w:pPr>
        <w:pStyle w:val="FirstParagraph"/>
      </w:pPr>
      <w:r>
        <w:rPr>
          <w:bCs/>
          <w:b/>
        </w:rPr>
        <w:t xml:space="preserve">Lähde:</w:t>
      </w:r>
      <w:r>
        <w:t xml:space="preserve"> </w:t>
      </w:r>
      <w:r>
        <w:t xml:space="preserve">European Commission. (2025).</w:t>
      </w:r>
      <w:r>
        <w:t xml:space="preserve"> </w:t>
      </w:r>
      <w:r>
        <w:rPr>
          <w:iCs/>
          <w:i/>
        </w:rPr>
        <w:t xml:space="preserve">Omnibus package</w:t>
      </w:r>
      <w:r>
        <w:t xml:space="preserve">.</w:t>
      </w:r>
      <w:r>
        <w:t xml:space="preserve"> </w:t>
      </w:r>
      <w:hyperlink r:id="rId49">
        <w:r>
          <w:rPr>
            <w:rStyle w:val="Hyperlink"/>
          </w:rPr>
          <w:t xml:space="preserve">https://finance.ec.europa.eu/news/omnibus-package-2025-04-01_en</w:t>
        </w:r>
      </w:hyperlink>
    </w:p>
    <w:bookmarkEnd w:id="50"/>
    <w:bookmarkEnd w:id="51"/>
    <w:bookmarkStart w:id="52" w:name="kilpailija-analyysi"/>
    <w:p>
      <w:pPr>
        <w:pStyle w:val="Heading2"/>
      </w:pPr>
      <w:r>
        <w:t xml:space="preserve">3.2 Kilpailija-analyysi</w:t>
      </w:r>
    </w:p>
    <w:tbl>
      <w:tblPr>
        <w:tblStyle w:val="Table"/>
        <w:tblW w:type="pct" w:w="5000"/>
        <w:tblLook w:firstRow="1" w:lastRow="0" w:firstColumn="0" w:lastColumn="0" w:noHBand="0" w:noVBand="0" w:val="0020"/>
        <w:jc w:val="start"/>
      </w:tblPr>
      <w:tblGrid>
        <w:gridCol w:w="2598"/>
        <w:gridCol w:w="1361"/>
        <w:gridCol w:w="1732"/>
        <w:gridCol w:w="990"/>
        <w:gridCol w:w="1237"/>
      </w:tblGrid>
      <w:tr>
        <w:trPr>
          <w:tblHeader w:val="true"/>
        </w:trPr>
        <w:tc>
          <w:tcPr/>
          <w:p>
            <w:pPr>
              <w:pStyle w:val="Compact"/>
              <w:jc w:val="left"/>
            </w:pPr>
            <w:r>
              <w:t xml:space="preserve">Kyvykkyys</w:t>
            </w:r>
          </w:p>
        </w:tc>
        <w:tc>
          <w:tcPr/>
          <w:p>
            <w:pPr>
              <w:pStyle w:val="Compact"/>
              <w:jc w:val="left"/>
            </w:pPr>
            <w:r>
              <w:t xml:space="preserve">Firehorse</w:t>
            </w:r>
          </w:p>
        </w:tc>
        <w:tc>
          <w:tcPr/>
          <w:p>
            <w:pPr>
              <w:pStyle w:val="Compact"/>
              <w:jc w:val="left"/>
            </w:pPr>
            <w:r>
              <w:t xml:space="preserve">Atlassian Rovo</w:t>
            </w:r>
          </w:p>
        </w:tc>
        <w:tc>
          <w:tcPr/>
          <w:p>
            <w:pPr>
              <w:pStyle w:val="Compact"/>
              <w:jc w:val="left"/>
            </w:pPr>
            <w:r>
              <w:t xml:space="preserve">SAP</w:t>
            </w:r>
          </w:p>
        </w:tc>
        <w:tc>
          <w:tcPr/>
          <w:p>
            <w:pPr>
              <w:pStyle w:val="Compact"/>
              <w:jc w:val="left"/>
            </w:pPr>
            <w:r>
              <w:t xml:space="preserve">Siemens</w:t>
            </w:r>
          </w:p>
        </w:tc>
      </w:tr>
      <w:tr>
        <w:tc>
          <w:tcPr/>
          <w:p>
            <w:pPr>
              <w:pStyle w:val="Compact"/>
              <w:jc w:val="left"/>
            </w:pPr>
            <w:r>
              <w:rPr>
                <w:bCs/>
                <w:b/>
              </w:rPr>
              <w:t xml:space="preserve">Kuukausikustannus</w:t>
            </w:r>
          </w:p>
        </w:tc>
        <w:tc>
          <w:tcPr/>
          <w:p>
            <w:pPr>
              <w:pStyle w:val="Compact"/>
              <w:jc w:val="left"/>
            </w:pPr>
            <w:r>
              <w:t xml:space="preserve">€0-350</w:t>
            </w:r>
          </w:p>
        </w:tc>
        <w:tc>
          <w:tcPr/>
          <w:p>
            <w:pPr>
              <w:pStyle w:val="Compact"/>
              <w:jc w:val="left"/>
            </w:pPr>
            <w:r>
              <w:t xml:space="preserve">€1 400+</w:t>
            </w:r>
          </w:p>
        </w:tc>
        <w:tc>
          <w:tcPr/>
          <w:p>
            <w:pPr>
              <w:pStyle w:val="Compact"/>
              <w:jc w:val="left"/>
            </w:pPr>
            <w:r>
              <w:t xml:space="preserve">€4 000+</w:t>
            </w:r>
          </w:p>
        </w:tc>
        <w:tc>
          <w:tcPr/>
          <w:p>
            <w:pPr>
              <w:pStyle w:val="Compact"/>
              <w:jc w:val="left"/>
            </w:pPr>
            <w:r>
              <w:t xml:space="preserve">€2 000+</w:t>
            </w:r>
          </w:p>
        </w:tc>
      </w:tr>
      <w:tr>
        <w:tc>
          <w:tcPr/>
          <w:p>
            <w:pPr>
              <w:pStyle w:val="Compact"/>
              <w:jc w:val="left"/>
            </w:pPr>
            <w:r>
              <w:rPr>
                <w:bCs/>
                <w:b/>
              </w:rPr>
              <w:t xml:space="preserve">Reunatekoäly</w:t>
            </w:r>
          </w:p>
        </w:tc>
        <w:tc>
          <w:tcPr/>
          <w:p>
            <w:pPr>
              <w:pStyle w:val="Compact"/>
              <w:jc w:val="left"/>
            </w:pPr>
            <w:r>
              <w:t xml:space="preserve">Natiivi</w:t>
            </w:r>
          </w:p>
        </w:tc>
        <w:tc>
          <w:tcPr/>
          <w:p>
            <w:pPr>
              <w:pStyle w:val="Compact"/>
              <w:jc w:val="left"/>
            </w:pPr>
            <w:r>
              <w:t xml:space="preserve">Ei</w:t>
            </w:r>
          </w:p>
        </w:tc>
        <w:tc>
          <w:tcPr/>
          <w:p>
            <w:pPr>
              <w:pStyle w:val="Compact"/>
              <w:jc w:val="left"/>
            </w:pPr>
            <w:r>
              <w:t xml:space="preserve">Ei</w:t>
            </w:r>
          </w:p>
        </w:tc>
        <w:tc>
          <w:tcPr/>
          <w:p>
            <w:pPr>
              <w:pStyle w:val="Compact"/>
              <w:jc w:val="left"/>
            </w:pPr>
            <w:r>
              <w:t xml:space="preserve">Rajoitettu</w:t>
            </w:r>
          </w:p>
        </w:tc>
      </w:tr>
      <w:tr>
        <w:tc>
          <w:tcPr/>
          <w:p>
            <w:pPr>
              <w:pStyle w:val="Compact"/>
              <w:jc w:val="left"/>
            </w:pPr>
            <w:r>
              <w:rPr>
                <w:bCs/>
                <w:b/>
              </w:rPr>
              <w:t xml:space="preserve">16 vertikaalia</w:t>
            </w:r>
          </w:p>
        </w:tc>
        <w:tc>
          <w:tcPr/>
          <w:p>
            <w:pPr>
              <w:pStyle w:val="Compact"/>
              <w:jc w:val="left"/>
            </w:pPr>
            <w:r>
              <w:t xml:space="preserve">Suunniteltu</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Kyllä</w:t>
            </w:r>
          </w:p>
        </w:tc>
      </w:tr>
      <w:tr>
        <w:tc>
          <w:tcPr/>
          <w:p>
            <w:pPr>
              <w:pStyle w:val="Compact"/>
              <w:jc w:val="left"/>
            </w:pPr>
            <w:r>
              <w:rPr>
                <w:bCs/>
                <w:b/>
              </w:rPr>
              <w:t xml:space="preserve">EU-yhteensopiva</w:t>
            </w:r>
          </w:p>
        </w:tc>
        <w:tc>
          <w:tcPr/>
          <w:p>
            <w:pPr>
              <w:pStyle w:val="Compact"/>
              <w:jc w:val="left"/>
            </w:pPr>
            <w:r>
              <w:t xml:space="preserve">Natiivi</w:t>
            </w:r>
          </w:p>
        </w:tc>
        <w:tc>
          <w:tcPr/>
          <w:p>
            <w:pPr>
              <w:pStyle w:val="Compact"/>
              <w:jc w:val="left"/>
            </w:pPr>
            <w:r>
              <w:t xml:space="preserve">Osittain</w:t>
            </w:r>
          </w:p>
        </w:tc>
        <w:tc>
          <w:tcPr/>
          <w:p>
            <w:pPr>
              <w:pStyle w:val="Compact"/>
              <w:jc w:val="left"/>
            </w:pPr>
            <w:r>
              <w:t xml:space="preserve">Osittain</w:t>
            </w:r>
          </w:p>
        </w:tc>
        <w:tc>
          <w:tcPr/>
          <w:p>
            <w:pPr>
              <w:pStyle w:val="Compact"/>
              <w:jc w:val="left"/>
            </w:pPr>
            <w:r>
              <w:t xml:space="preserve">Kyllä</w:t>
            </w:r>
          </w:p>
        </w:tc>
      </w:tr>
      <w:tr>
        <w:tc>
          <w:tcPr/>
          <w:p>
            <w:pPr>
              <w:pStyle w:val="Compact"/>
              <w:jc w:val="left"/>
            </w:pPr>
            <w:r>
              <w:rPr>
                <w:bCs/>
                <w:b/>
              </w:rPr>
              <w:t xml:space="preserve">&lt;100ms latenssi</w:t>
            </w:r>
          </w:p>
        </w:tc>
        <w:tc>
          <w:tcPr/>
          <w:p>
            <w:pPr>
              <w:pStyle w:val="Compact"/>
              <w:jc w:val="left"/>
            </w:pPr>
            <w:r>
              <w:t xml:space="preserve">Reuna</w:t>
            </w:r>
          </w:p>
        </w:tc>
        <w:tc>
          <w:tcPr/>
          <w:p>
            <w:pPr>
              <w:pStyle w:val="Compact"/>
              <w:jc w:val="left"/>
            </w:pPr>
            <w:r>
              <w:t xml:space="preserve">Ei</w:t>
            </w:r>
          </w:p>
        </w:tc>
        <w:tc>
          <w:tcPr/>
          <w:p>
            <w:pPr>
              <w:pStyle w:val="Compact"/>
              <w:jc w:val="left"/>
            </w:pPr>
            <w:r>
              <w:t xml:space="preserve">Ei</w:t>
            </w:r>
          </w:p>
        </w:tc>
        <w:tc>
          <w:tcPr/>
          <w:p>
            <w:pPr>
              <w:pStyle w:val="Compact"/>
              <w:jc w:val="left"/>
            </w:pPr>
            <w:r>
              <w:t xml:space="preserve">Osittain</w:t>
            </w:r>
          </w:p>
        </w:tc>
      </w:tr>
      <w:tr>
        <w:tc>
          <w:tcPr/>
          <w:p>
            <w:pPr>
              <w:pStyle w:val="Compact"/>
              <w:jc w:val="left"/>
            </w:pPr>
            <w:r>
              <w:rPr>
                <w:bCs/>
                <w:b/>
              </w:rPr>
              <w:t xml:space="preserve">Pk-saavutettavuus</w:t>
            </w:r>
          </w:p>
        </w:tc>
        <w:tc>
          <w:tcPr/>
          <w:p>
            <w:pPr>
              <w:pStyle w:val="Compact"/>
              <w:jc w:val="left"/>
            </w:pPr>
            <w:r>
              <w:t xml:space="preserve">Kyllä</w:t>
            </w:r>
          </w:p>
        </w:tc>
        <w:tc>
          <w:tcPr/>
          <w:p>
            <w:pPr>
              <w:pStyle w:val="Compact"/>
              <w:jc w:val="left"/>
            </w:pPr>
            <w:r>
              <w:t xml:space="preserve">Ei</w:t>
            </w:r>
          </w:p>
        </w:tc>
        <w:tc>
          <w:tcPr/>
          <w:p>
            <w:pPr>
              <w:pStyle w:val="Compact"/>
              <w:jc w:val="left"/>
            </w:pPr>
            <w:r>
              <w:t xml:space="preserve">Ei</w:t>
            </w:r>
          </w:p>
        </w:tc>
        <w:tc>
          <w:tcPr/>
          <w:p>
            <w:pPr>
              <w:pStyle w:val="Compact"/>
              <w:jc w:val="left"/>
            </w:pPr>
            <w:r>
              <w:t xml:space="preserve">Ei</w:t>
            </w:r>
          </w:p>
        </w:tc>
      </w:tr>
    </w:tbl>
    <w:bookmarkEnd w:id="52"/>
    <w:bookmarkStart w:id="53" w:name="asiakassegmentit"/>
    <w:p>
      <w:pPr>
        <w:pStyle w:val="Heading2"/>
      </w:pPr>
      <w:r>
        <w:t xml:space="preserve">3.3 Asiakassegmentit</w:t>
      </w:r>
    </w:p>
    <w:p>
      <w:pPr>
        <w:pStyle w:val="FirstParagraph"/>
      </w:pPr>
      <w:r>
        <w:rPr>
          <w:bCs/>
          <w:b/>
        </w:rPr>
        <w:t xml:space="preserve">DWS10.com (Firehorse-alusta) kohdeasiakkaat 16 teollisuudenalalla:</w:t>
      </w:r>
    </w:p>
    <w:p>
      <w:pPr>
        <w:pStyle w:val="BodyText"/>
      </w:pPr>
      <w:r>
        <w:rPr>
          <w:bCs/>
          <w:b/>
        </w:rPr>
        <w:t xml:space="preserve">Taso 1 - Kriittiset teollisuudet (Välitön myyntifokus):</w:t>
      </w:r>
    </w:p>
    <w:p>
      <w:pPr>
        <w:numPr>
          <w:ilvl w:val="0"/>
          <w:numId w:val="1020"/>
        </w:numPr>
        <w:pStyle w:val="Compact"/>
      </w:pPr>
      <w:r>
        <w:rPr>
          <w:bCs/>
          <w:b/>
        </w:rPr>
        <w:t xml:space="preserve">Rakentaminen:</w:t>
      </w:r>
      <w:r>
        <w:t xml:space="preserve"> </w:t>
      </w:r>
      <w:r>
        <w:t xml:space="preserve">NCC, Skanska, T2H, Vinci, Strabag (36-40% EU-päästöistä)</w:t>
      </w:r>
    </w:p>
    <w:p>
      <w:pPr>
        <w:numPr>
          <w:ilvl w:val="0"/>
          <w:numId w:val="1020"/>
        </w:numPr>
        <w:pStyle w:val="Compact"/>
      </w:pPr>
      <w:r>
        <w:rPr>
          <w:bCs/>
          <w:b/>
        </w:rPr>
        <w:t xml:space="preserve">Logistiikka:</w:t>
      </w:r>
      <w:r>
        <w:t xml:space="preserve"> </w:t>
      </w:r>
      <w:r>
        <w:t xml:space="preserve">DB Schenker, DHL ja pohjoismaiset rahtioperaattorit. (Uber, Bolt, Kela ja Taksi Helsinki ovat Lifetime Oy:n luvanvaraisen kuljetustoiminnan</w:t>
      </w:r>
      <w:r>
        <w:t xml:space="preserve"> </w:t>
      </w:r>
      <w:r>
        <w:rPr>
          <w:bCs/>
          <w:b/>
        </w:rPr>
        <w:t xml:space="preserve">välityspalveluita</w:t>
      </w:r>
      <w:r>
        <w:t xml:space="preserve"> </w:t>
      </w:r>
      <w:r>
        <w:t xml:space="preserve">Traficomin määrittelemässä roolissa — kaupallisia vastapuolia, eivät ohjelmistoasiakkaita, eivätkä osa tätä kohdelistaa. Ks.</w:t>
      </w:r>
      <w:r>
        <w:t xml:space="preserve"> </w:t>
      </w:r>
      <w:r>
        <w:rPr>
          <w:rStyle w:val="VerbatimChar"/>
        </w:rPr>
        <w:t xml:space="preserve">docs/TRACTION_CANONICAL.md</w:t>
      </w:r>
      <w:r>
        <w:t xml:space="preserve">.)</w:t>
      </w:r>
    </w:p>
    <w:p>
      <w:pPr>
        <w:numPr>
          <w:ilvl w:val="0"/>
          <w:numId w:val="1020"/>
        </w:numPr>
        <w:pStyle w:val="Compact"/>
      </w:pPr>
      <w:r>
        <w:rPr>
          <w:bCs/>
          <w:b/>
        </w:rPr>
        <w:t xml:space="preserve">Valmistus:</w:t>
      </w:r>
      <w:r>
        <w:t xml:space="preserve"> </w:t>
      </w:r>
      <w:r>
        <w:t xml:space="preserve">Kone, Wärtsilä, ABB, Valmet (ETS + CBAM)</w:t>
      </w:r>
    </w:p>
    <w:p>
      <w:pPr>
        <w:numPr>
          <w:ilvl w:val="0"/>
          <w:numId w:val="1020"/>
        </w:numPr>
        <w:pStyle w:val="Compact"/>
      </w:pPr>
      <w:r>
        <w:rPr>
          <w:bCs/>
          <w:b/>
        </w:rPr>
        <w:t xml:space="preserve">Energia:</w:t>
      </w:r>
      <w:r>
        <w:t xml:space="preserve"> </w:t>
      </w:r>
      <w:r>
        <w:t xml:space="preserve">Fortum, Helen, Vattenfall (25-30% päästöistä)</w:t>
      </w:r>
    </w:p>
    <w:p>
      <w:pPr>
        <w:pStyle w:val="FirstParagraph"/>
      </w:pPr>
      <w:r>
        <w:rPr>
          <w:bCs/>
          <w:b/>
        </w:rPr>
        <w:t xml:space="preserve">Taso 2 - Tärkeät teollisuudet (V1.1+ laajennukset):</w:t>
      </w:r>
    </w:p>
    <w:p>
      <w:pPr>
        <w:numPr>
          <w:ilvl w:val="0"/>
          <w:numId w:val="1021"/>
        </w:numPr>
        <w:pStyle w:val="Compact"/>
      </w:pPr>
      <w:r>
        <w:rPr>
          <w:bCs/>
          <w:b/>
        </w:rPr>
        <w:t xml:space="preserve">Maatalous:</w:t>
      </w:r>
      <w:r>
        <w:t xml:space="preserve"> </w:t>
      </w:r>
      <w:r>
        <w:t xml:space="preserve">Valio, Arla, maatalousyhteisöt</w:t>
      </w:r>
    </w:p>
    <w:p>
      <w:pPr>
        <w:numPr>
          <w:ilvl w:val="0"/>
          <w:numId w:val="1021"/>
        </w:numPr>
        <w:pStyle w:val="Compact"/>
      </w:pPr>
      <w:r>
        <w:rPr>
          <w:bCs/>
          <w:b/>
        </w:rPr>
        <w:t xml:space="preserve">Terveydenhuolto:</w:t>
      </w:r>
      <w:r>
        <w:t xml:space="preserve"> </w:t>
      </w:r>
      <w:r>
        <w:t xml:space="preserve">Kela (live), HUS, yksityiset sairaalaketjut</w:t>
      </w:r>
    </w:p>
    <w:p>
      <w:pPr>
        <w:numPr>
          <w:ilvl w:val="0"/>
          <w:numId w:val="1021"/>
        </w:numPr>
        <w:pStyle w:val="Compact"/>
      </w:pPr>
      <w:r>
        <w:rPr>
          <w:bCs/>
          <w:b/>
        </w:rPr>
        <w:t xml:space="preserve">Kiinteistöt:</w:t>
      </w:r>
      <w:r>
        <w:t xml:space="preserve"> </w:t>
      </w:r>
      <w:r>
        <w:t xml:space="preserve">Kojamo, Sato, kiinteistösijoittajat</w:t>
      </w:r>
    </w:p>
    <w:p>
      <w:pPr>
        <w:numPr>
          <w:ilvl w:val="0"/>
          <w:numId w:val="1021"/>
        </w:numPr>
        <w:pStyle w:val="Compact"/>
      </w:pPr>
      <w:r>
        <w:rPr>
          <w:bCs/>
          <w:b/>
        </w:rPr>
        <w:t xml:space="preserve">Julkinen sektori:</w:t>
      </w:r>
      <w:r>
        <w:t xml:space="preserve"> </w:t>
      </w:r>
      <w:r>
        <w:t xml:space="preserve">Kunnat, valtionhallinto, puolustus</w:t>
      </w:r>
    </w:p>
    <w:bookmarkEnd w:id="53"/>
    <w:bookmarkStart w:id="54" w:name="sääntelyajurit"/>
    <w:p>
      <w:pPr>
        <w:pStyle w:val="Heading2"/>
      </w:pPr>
      <w:r>
        <w:t xml:space="preserve">3.4 Sääntelyajurit</w:t>
      </w:r>
    </w:p>
    <w:tbl>
      <w:tblPr>
        <w:tblStyle w:val="Table"/>
        <w:tblW w:type="pct" w:w="5000"/>
        <w:tblLook w:firstRow="1" w:lastRow="0" w:firstColumn="0" w:lastColumn="0" w:noHBand="0" w:noVBand="0" w:val="0020"/>
        <w:jc w:val="start"/>
      </w:tblPr>
      <w:tblGrid>
        <w:gridCol w:w="937"/>
        <w:gridCol w:w="1771"/>
        <w:gridCol w:w="3855"/>
        <w:gridCol w:w="1354"/>
      </w:tblGrid>
      <w:tr>
        <w:trPr>
          <w:tblHeader w:val="true"/>
        </w:trPr>
        <w:tc>
          <w:tcPr/>
          <w:p>
            <w:pPr>
              <w:pStyle w:val="Compact"/>
              <w:jc w:val="left"/>
            </w:pPr>
            <w:r>
              <w:t xml:space="preserve">Vuosi</w:t>
            </w:r>
          </w:p>
        </w:tc>
        <w:tc>
          <w:tcPr/>
          <w:p>
            <w:pPr>
              <w:pStyle w:val="Compact"/>
              <w:jc w:val="left"/>
            </w:pPr>
            <w:r>
              <w:t xml:space="preserve">Ajuri</w:t>
            </w:r>
          </w:p>
        </w:tc>
        <w:tc>
          <w:tcPr/>
          <w:p>
            <w:pPr>
              <w:pStyle w:val="Compact"/>
              <w:jc w:val="left"/>
            </w:pPr>
            <w:r>
              <w:t xml:space="preserve">Vaikuttavat vertikaalit</w:t>
            </w:r>
          </w:p>
        </w:tc>
        <w:tc>
          <w:tcPr/>
          <w:p>
            <w:pPr>
              <w:pStyle w:val="Compact"/>
              <w:jc w:val="left"/>
            </w:pPr>
            <w:r>
              <w:t xml:space="preserve">Markkinakoko</w:t>
            </w:r>
          </w:p>
        </w:tc>
      </w:tr>
      <w:tr>
        <w:tc>
          <w:tcPr/>
          <w:p>
            <w:pPr>
              <w:pStyle w:val="Compact"/>
              <w:jc w:val="left"/>
            </w:pPr>
            <w:r>
              <w:t xml:space="preserve">2025-2026</w:t>
            </w:r>
          </w:p>
        </w:tc>
        <w:tc>
          <w:tcPr/>
          <w:p>
            <w:pPr>
              <w:pStyle w:val="Compact"/>
              <w:jc w:val="left"/>
            </w:pPr>
            <w:r>
              <w:rPr>
                <w:bCs/>
                <w:b/>
              </w:rPr>
              <w:t xml:space="preserve">CSRD</w:t>
            </w:r>
          </w:p>
        </w:tc>
        <w:tc>
          <w:tcPr/>
          <w:p>
            <w:pPr>
              <w:pStyle w:val="Compact"/>
              <w:jc w:val="left"/>
            </w:pPr>
            <w:r>
              <w:t xml:space="preserve">Kaikki suuret yritykset</w:t>
            </w:r>
          </w:p>
        </w:tc>
        <w:tc>
          <w:tcPr/>
          <w:p>
            <w:pPr>
              <w:pStyle w:val="Compact"/>
              <w:jc w:val="left"/>
            </w:pPr>
            <w:r>
              <w:t xml:space="preserve">€2 miljardia</w:t>
            </w:r>
          </w:p>
        </w:tc>
      </w:tr>
      <w:tr>
        <w:tc>
          <w:tcPr/>
          <w:p>
            <w:pPr>
              <w:pStyle w:val="Compact"/>
              <w:jc w:val="left"/>
            </w:pPr>
            <w:r>
              <w:t xml:space="preserve">2026-2028</w:t>
            </w:r>
          </w:p>
        </w:tc>
        <w:tc>
          <w:tcPr/>
          <w:p>
            <w:pPr>
              <w:pStyle w:val="Compact"/>
              <w:jc w:val="left"/>
            </w:pPr>
            <w:r>
              <w:rPr>
                <w:bCs/>
                <w:b/>
              </w:rPr>
              <w:t xml:space="preserve">Fit for 55</w:t>
            </w:r>
          </w:p>
        </w:tc>
        <w:tc>
          <w:tcPr/>
          <w:p>
            <w:pPr>
              <w:pStyle w:val="Compact"/>
              <w:jc w:val="left"/>
            </w:pPr>
            <w:r>
              <w:t xml:space="preserve">Logistiikka, Rakentaminen</w:t>
            </w:r>
          </w:p>
        </w:tc>
        <w:tc>
          <w:tcPr/>
          <w:p>
            <w:pPr>
              <w:pStyle w:val="Compact"/>
              <w:jc w:val="left"/>
            </w:pPr>
            <w:r>
              <w:t xml:space="preserve">€5 miljardia</w:t>
            </w:r>
          </w:p>
        </w:tc>
      </w:tr>
      <w:tr>
        <w:tc>
          <w:tcPr/>
          <w:p>
            <w:pPr>
              <w:pStyle w:val="Compact"/>
              <w:jc w:val="left"/>
            </w:pPr>
            <w:r>
              <w:t xml:space="preserve">2027-2030</w:t>
            </w:r>
          </w:p>
        </w:tc>
        <w:tc>
          <w:tcPr/>
          <w:p>
            <w:pPr>
              <w:pStyle w:val="Compact"/>
              <w:jc w:val="left"/>
            </w:pPr>
            <w:r>
              <w:rPr>
                <w:bCs/>
                <w:b/>
              </w:rPr>
              <w:t xml:space="preserve">EPBD</w:t>
            </w:r>
          </w:p>
        </w:tc>
        <w:tc>
          <w:tcPr/>
          <w:p>
            <w:pPr>
              <w:pStyle w:val="Compact"/>
              <w:jc w:val="left"/>
            </w:pPr>
            <w:r>
              <w:t xml:space="preserve">Kiinteistöt, Rakentaminen</w:t>
            </w:r>
          </w:p>
        </w:tc>
        <w:tc>
          <w:tcPr/>
          <w:p>
            <w:pPr>
              <w:pStyle w:val="Compact"/>
              <w:jc w:val="left"/>
            </w:pPr>
            <w:r>
              <w:t xml:space="preserve">€8 miljardia</w:t>
            </w:r>
          </w:p>
        </w:tc>
      </w:tr>
      <w:tr>
        <w:tc>
          <w:tcPr/>
          <w:p>
            <w:pPr>
              <w:pStyle w:val="Compact"/>
              <w:jc w:val="left"/>
            </w:pPr>
            <w:r>
              <w:t xml:space="preserve">2030-2035</w:t>
            </w:r>
          </w:p>
        </w:tc>
        <w:tc>
          <w:tcPr/>
          <w:p>
            <w:pPr>
              <w:pStyle w:val="Compact"/>
              <w:jc w:val="left"/>
            </w:pPr>
            <w:r>
              <w:rPr>
                <w:bCs/>
                <w:b/>
              </w:rPr>
              <w:t xml:space="preserve">ETS-laajennus</w:t>
            </w:r>
          </w:p>
        </w:tc>
        <w:tc>
          <w:tcPr/>
          <w:p>
            <w:pPr>
              <w:pStyle w:val="Compact"/>
              <w:jc w:val="left"/>
            </w:pPr>
            <w:r>
              <w:t xml:space="preserve">Terveydenhuolto, Valmistus, Maatalous</w:t>
            </w:r>
          </w:p>
        </w:tc>
        <w:tc>
          <w:tcPr/>
          <w:p>
            <w:pPr>
              <w:pStyle w:val="Compact"/>
              <w:jc w:val="left"/>
            </w:pPr>
            <w:r>
              <w:t xml:space="preserve">€10 miljardia</w:t>
            </w:r>
          </w:p>
        </w:tc>
      </w:tr>
    </w:tbl>
    <w:p>
      <w:pPr>
        <w:pStyle w:val="BodyText"/>
      </w:pPr>
      <w:r>
        <w:rPr>
          <w:bCs/>
          <w:b/>
        </w:rPr>
        <w:t xml:space="preserve">Kokonaismarkkinamahdollisuus (TAM):</w:t>
      </w:r>
    </w:p>
    <w:p>
      <w:pPr>
        <w:numPr>
          <w:ilvl w:val="0"/>
          <w:numId w:val="1022"/>
        </w:numPr>
        <w:pStyle w:val="Compact"/>
      </w:pPr>
      <w:r>
        <w:t xml:space="preserve">Pohjoismaat: €2,68 miljardia (10 vuotta)</w:t>
      </w:r>
    </w:p>
    <w:p>
      <w:pPr>
        <w:numPr>
          <w:ilvl w:val="0"/>
          <w:numId w:val="1022"/>
        </w:numPr>
        <w:pStyle w:val="Compact"/>
      </w:pPr>
      <w:r>
        <w:t xml:space="preserve">EU: €15-20 miljardia (10 vuotta)</w:t>
      </w:r>
    </w:p>
    <w:p>
      <w:r>
        <w:pict>
          <v:rect style="width:0;height:1.5pt" o:hralign="center" o:hrstd="t" o:hr="t"/>
        </w:pict>
      </w:r>
    </w:p>
    <w:bookmarkEnd w:id="54"/>
    <w:bookmarkEnd w:id="55"/>
    <w:bookmarkStart w:id="79" w:name="dws6-toimintamallin-suunnittelu"/>
    <w:p>
      <w:pPr>
        <w:pStyle w:val="Heading1"/>
      </w:pPr>
      <w:r>
        <w:t xml:space="preserve">4. DWS6-toimintamallin suunnittelu</w:t>
      </w:r>
    </w:p>
    <w:p>
      <w:pPr>
        <w:pStyle w:val="FirstParagraph"/>
      </w:pPr>
      <w:r>
        <w:t xml:space="preserve">DWS6-toimintamalli rakentuu kolmesta erillisestä kerroksesta: Strateginen, Operatiivinen ja Suorituskerros. Tämä luku dokumentoi kunkin kerroksen todisteilla live-toteutuksesta.</w:t>
      </w:r>
    </w:p>
    <w:bookmarkStart w:id="59" w:name="Xa2a30a56938ff5a8c02301c7e65ef6e30ea63b9"/>
    <w:p>
      <w:pPr>
        <w:pStyle w:val="Heading2"/>
      </w:pPr>
      <w:r>
        <w:t xml:space="preserve">4.1 Strateginen kerros: Solution Factory -malli</w:t>
      </w:r>
    </w:p>
    <w:p>
      <w:pPr>
        <w:pStyle w:val="FirstParagraph"/>
      </w:pPr>
      <w:r>
        <w:t xml:space="preserve">Solution Factory -malli muuttaa DWS6:n yksittäisestä tuotteesta toistettavaksi alustaksi ilmastoälykkäiden teollisten sovellusten tuottamiseen useilla vertikaaleilla.</w:t>
      </w:r>
    </w:p>
    <w:bookmarkStart w:id="56" w:name="solution-factory--arkkitehtuuri"/>
    <w:p>
      <w:pPr>
        <w:pStyle w:val="Heading3"/>
      </w:pPr>
      <w:r>
        <w:t xml:space="preserve">4.1.1 Solution Factory -arkkitehtuuri</w:t>
      </w:r>
    </w:p>
    <w:p>
      <w:pPr>
        <w:pStyle w:val="SourceCode"/>
      </w:pPr>
      <w:r>
        <w:rPr>
          <w:rStyle w:val="VerbatimChar"/>
        </w:rPr>
        <w:t xml:space="preserve">┌─────────────────────────────────────────────────────────────────┐</w:t>
      </w:r>
      <w:r>
        <w:br/>
      </w:r>
      <w:r>
        <w:rPr>
          <w:rStyle w:val="VerbatimChar"/>
        </w:rPr>
        <w:t xml:space="preserve">│                    SOLUTION FACTORY -ARKKITEHTUURI               │</w:t>
      </w:r>
      <w:r>
        <w:br/>
      </w:r>
      <w:r>
        <w:rPr>
          <w:rStyle w:val="VerbatimChar"/>
        </w:rPr>
        <w:t xml:space="preserve">├─────────────────────────────────────────────────────────────────┤</w:t>
      </w:r>
      <w:r>
        <w:br/>
      </w:r>
      <w:r>
        <w:rPr>
          <w:rStyle w:val="VerbatimChar"/>
        </w:rPr>
        <w:t xml:space="preserve">│                                                                  │</w:t>
      </w:r>
      <w:r>
        <w:br/>
      </w:r>
      <w:r>
        <w:rPr>
          <w:rStyle w:val="VerbatimChar"/>
        </w:rPr>
        <w:t xml:space="preserve">│  SYÖTE: Asiakkaan ongelma + Toimialavertikaali                   │</w:t>
      </w:r>
      <w:r>
        <w:br/>
      </w:r>
      <w:r>
        <w:rPr>
          <w:rStyle w:val="VerbatimChar"/>
        </w:rPr>
        <w:t xml:space="preserve">│         ↓                                                        │</w:t>
      </w:r>
      <w:r>
        <w:br/>
      </w:r>
      <w:r>
        <w:rPr>
          <w:rStyle w:val="VerbatimChar"/>
        </w:rPr>
        <w:t xml:space="preserve">│  PROSESSI: AgentFoundry-konfiguraatio + Signaalikoordinointi     │</w:t>
      </w:r>
      <w:r>
        <w:br/>
      </w:r>
      <w:r>
        <w:rPr>
          <w:rStyle w:val="VerbatimChar"/>
        </w:rPr>
        <w:t xml:space="preserve">│         ↓                                                        │</w:t>
      </w:r>
      <w:r>
        <w:br/>
      </w:r>
      <w:r>
        <w:rPr>
          <w:rStyle w:val="VerbatimChar"/>
        </w:rPr>
        <w:t xml:space="preserve">│  TULOSTE: Ilmastoälykäs teollinen alusta                         │</w:t>
      </w:r>
      <w:r>
        <w:br/>
      </w:r>
      <w:r>
        <w:rPr>
          <w:rStyle w:val="VerbatimChar"/>
        </w:rPr>
        <w:t xml:space="preserve">│                                                                  │</w:t>
      </w:r>
      <w:r>
        <w:br/>
      </w:r>
      <w:r>
        <w:rPr>
          <w:rStyle w:val="VerbatimChar"/>
        </w:rPr>
        <w:t xml:space="preserve">│  ┌─────────────────┐  ┌─────────────────┐  ┌─────────────────┐  │</w:t>
      </w:r>
      <w:r>
        <w:br/>
      </w:r>
      <w:r>
        <w:rPr>
          <w:rStyle w:val="VerbatimChar"/>
        </w:rPr>
        <w:t xml:space="preserve">│  │   VERTIKAALI 1  │  │   VERTIKAALI 2  │  │   VERTIKAALI N  │  │</w:t>
      </w:r>
      <w:r>
        <w:br/>
      </w:r>
      <w:r>
        <w:rPr>
          <w:rStyle w:val="VerbatimChar"/>
        </w:rPr>
        <w:t xml:space="preserve">│  │   Rakentaminen  │  │   Logistiikka   │  │   [Malli]       │  │</w:t>
      </w:r>
      <w:r>
        <w:br/>
      </w:r>
      <w:r>
        <w:rPr>
          <w:rStyle w:val="VerbatimChar"/>
        </w:rPr>
        <w:t xml:space="preserve">│  ├─────────────────┤  ├─────────────────┤  ├─────────────────┤  │</w:t>
      </w:r>
      <w:r>
        <w:br/>
      </w:r>
      <w:r>
        <w:rPr>
          <w:rStyle w:val="VerbatimChar"/>
        </w:rPr>
        <w:t xml:space="preserve">│  │ • SiteSense     │  │ • FleetOptimize │  │ • Agentti A     │  │</w:t>
      </w:r>
      <w:r>
        <w:br/>
      </w:r>
      <w:r>
        <w:rPr>
          <w:rStyle w:val="VerbatimChar"/>
        </w:rPr>
        <w:t xml:space="preserve">│  │ • MaterialOracle│  │ • RouteGenius   │  │ • Agentti B     │  │</w:t>
      </w:r>
      <w:r>
        <w:br/>
      </w:r>
      <w:r>
        <w:rPr>
          <w:rStyle w:val="VerbatimChar"/>
        </w:rPr>
        <w:t xml:space="preserve">│  │ • ScheduleGenius│  │ • CarbonTracker │  │ • Agentti C     │  │</w:t>
      </w:r>
      <w:r>
        <w:br/>
      </w:r>
      <w:r>
        <w:rPr>
          <w:rStyle w:val="VerbatimChar"/>
        </w:rPr>
        <w:t xml:space="preserve">│  │ • CustomerSat   │  │ • CustomerSat   │  │ • CustomerSat   │  │</w:t>
      </w:r>
      <w:r>
        <w:br/>
      </w:r>
      <w:r>
        <w:rPr>
          <w:rStyle w:val="VerbatimChar"/>
        </w:rPr>
        <w:t xml:space="preserve">│  │ • Viability     │  │ • Viability     │  │ • Viability     │  │</w:t>
      </w:r>
      <w:r>
        <w:br/>
      </w:r>
      <w:r>
        <w:rPr>
          <w:rStyle w:val="VerbatimChar"/>
        </w:rPr>
        <w:t xml:space="preserve">│  └─────────────────┘  └─────────────────┘  └─────────────────┘  │</w:t>
      </w:r>
      <w:r>
        <w:br/>
      </w:r>
      <w:r>
        <w:rPr>
          <w:rStyle w:val="VerbatimChar"/>
        </w:rPr>
        <w:t xml:space="preserve">│           ↑                   ↑                   ↑              │</w:t>
      </w:r>
      <w:r>
        <w:br/>
      </w:r>
      <w:r>
        <w:rPr>
          <w:rStyle w:val="VerbatimChar"/>
        </w:rPr>
        <w:t xml:space="preserve">│           └───────────────────┴───────────────────┘              │</w:t>
      </w:r>
      <w:r>
        <w:br/>
      </w:r>
      <w:r>
        <w:rPr>
          <w:rStyle w:val="VerbatimChar"/>
        </w:rPr>
        <w:t xml:space="preserve">│                    JAETUT KOMPONENTIT:                           │</w:t>
      </w:r>
      <w:r>
        <w:br/>
      </w:r>
      <w:r>
        <w:rPr>
          <w:rStyle w:val="VerbatimChar"/>
        </w:rPr>
        <w:t xml:space="preserve">│           • Lifetime World Model (55B parametria)                │</w:t>
      </w:r>
      <w:r>
        <w:br/>
      </w:r>
      <w:r>
        <w:rPr>
          <w:rStyle w:val="VerbatimChar"/>
        </w:rPr>
        <w:t xml:space="preserve">│           • MCP Hub -orkestrointi                                │</w:t>
      </w:r>
      <w:r>
        <w:br/>
      </w:r>
      <w:r>
        <w:rPr>
          <w:rStyle w:val="VerbatimChar"/>
        </w:rPr>
        <w:t xml:space="preserve">│           • Supabase + pgvector (datakerros)                    │</w:t>
      </w:r>
      <w:r>
        <w:br/>
      </w:r>
      <w:r>
        <w:rPr>
          <w:rStyle w:val="VerbatimChar"/>
        </w:rPr>
        <w:t xml:space="preserve">│           • EU-vaatimustenmukaisuusmoottori                      │</w:t>
      </w:r>
      <w:r>
        <w:br/>
      </w:r>
      <w:r>
        <w:rPr>
          <w:rStyle w:val="VerbatimChar"/>
        </w:rPr>
        <w:t xml:space="preserve">│                                                                  │</w:t>
      </w:r>
      <w:r>
        <w:br/>
      </w:r>
      <w:r>
        <w:rPr>
          <w:rStyle w:val="VerbatimChar"/>
        </w:rPr>
        <w:t xml:space="preserve">└─────────────────────────────────────────────────────────────────┘</w:t>
      </w:r>
    </w:p>
    <w:bookmarkEnd w:id="56"/>
    <w:bookmarkStart w:id="57" w:name="strategiset-innovaatiot"/>
    <w:p>
      <w:pPr>
        <w:pStyle w:val="Heading3"/>
      </w:pPr>
      <w:r>
        <w:t xml:space="preserve">4.1.2 Strategiset innovaatiot</w:t>
      </w:r>
    </w:p>
    <w:p>
      <w:pPr>
        <w:pStyle w:val="FirstParagraph"/>
      </w:pPr>
      <w:r>
        <w:rPr>
          <w:bCs/>
          <w:b/>
        </w:rPr>
        <w:t xml:space="preserve">1. EU-vaatimustenmukaisuus kilpailuetuna</w:t>
      </w:r>
    </w:p>
    <w:p>
      <w:pPr>
        <w:numPr>
          <w:ilvl w:val="0"/>
          <w:numId w:val="1023"/>
        </w:numPr>
        <w:pStyle w:val="Compact"/>
      </w:pPr>
      <w:r>
        <w:t xml:space="preserve">Tietojen sijainti: europe-north1 (Suomi/Ruotsi)</w:t>
      </w:r>
    </w:p>
    <w:p>
      <w:pPr>
        <w:numPr>
          <w:ilvl w:val="0"/>
          <w:numId w:val="1023"/>
        </w:numPr>
        <w:pStyle w:val="Compact"/>
      </w:pPr>
      <w:r>
        <w:t xml:space="preserve">EU AI Act: Matalan riskin luokitus ihmisen valvonnalla</w:t>
      </w:r>
    </w:p>
    <w:p>
      <w:pPr>
        <w:numPr>
          <w:ilvl w:val="0"/>
          <w:numId w:val="1023"/>
        </w:numPr>
        <w:pStyle w:val="Compact"/>
      </w:pPr>
      <w:r>
        <w:t xml:space="preserve">NIS2: Turvallisuus suunnittelulla kriittisen infrastruktuurin asiakkaille</w:t>
      </w:r>
    </w:p>
    <w:p>
      <w:pPr>
        <w:numPr>
          <w:ilvl w:val="0"/>
          <w:numId w:val="1023"/>
        </w:numPr>
        <w:pStyle w:val="Compact"/>
      </w:pPr>
      <w:r>
        <w:t xml:space="preserve">Fit for 55: Natiivi hiiliseuranta vuoden 2028 määräaikaan</w:t>
      </w:r>
    </w:p>
    <w:p>
      <w:pPr>
        <w:pStyle w:val="FirstParagraph"/>
      </w:pPr>
      <w:r>
        <w:rPr>
          <w:bCs/>
          <w:b/>
        </w:rPr>
        <w:t xml:space="preserve">2. Verkostovaikutukset yli vertikaalien</w:t>
      </w:r>
    </w:p>
    <w:p>
      <w:pPr>
        <w:numPr>
          <w:ilvl w:val="0"/>
          <w:numId w:val="1024"/>
        </w:numPr>
        <w:pStyle w:val="Compact"/>
      </w:pPr>
      <w:r>
        <w:t xml:space="preserve">Logistiikan reittioptimointidata → Rakentamisen toimitusaikataulutus</w:t>
      </w:r>
    </w:p>
    <w:p>
      <w:pPr>
        <w:numPr>
          <w:ilvl w:val="0"/>
          <w:numId w:val="1024"/>
        </w:numPr>
        <w:pStyle w:val="Compact"/>
      </w:pPr>
      <w:r>
        <w:t xml:space="preserve">Valmistuksen laatudata → Kiinteistöjen huollon ennustaminen</w:t>
      </w:r>
    </w:p>
    <w:p>
      <w:pPr>
        <w:numPr>
          <w:ilvl w:val="0"/>
          <w:numId w:val="1024"/>
        </w:numPr>
        <w:pStyle w:val="Compact"/>
      </w:pPr>
      <w:r>
        <w:t xml:space="preserve">Energiankulutusmallit → Kaikki vertikaalit hyötyvät</w:t>
      </w:r>
    </w:p>
    <w:bookmarkEnd w:id="57"/>
    <w:bookmarkStart w:id="58" w:name="asiakaslupaus"/>
    <w:p>
      <w:pPr>
        <w:pStyle w:val="Heading3"/>
      </w:pPr>
      <w:r>
        <w:t xml:space="preserve">4.1.3 Asiakaslupaus</w:t>
      </w:r>
    </w:p>
    <w:p>
      <w:pPr>
        <w:pStyle w:val="FirstParagraph"/>
      </w:pPr>
      <w:r>
        <w:rPr>
          <w:bCs/>
          <w:b/>
        </w:rPr>
        <w:t xml:space="preserve">Lupaus:</w:t>
      </w:r>
      <w:r>
        <w:t xml:space="preserve"> </w:t>
      </w:r>
      <w:r>
        <w:t xml:space="preserve">2 kuukauden takaisinmaksuaika tai rahat takaisin</w:t>
      </w:r>
    </w:p>
    <w:p>
      <w:pPr>
        <w:pStyle w:val="BodyText"/>
      </w:pPr>
      <w:r>
        <w:rPr>
          <w:bCs/>
          <w:b/>
        </w:rPr>
        <w:t xml:space="preserve">Arvolupaus:</w:t>
      </w:r>
    </w:p>
    <w:p>
      <w:pPr>
        <w:numPr>
          <w:ilvl w:val="0"/>
          <w:numId w:val="1025"/>
        </w:numPr>
        <w:pStyle w:val="Compact"/>
      </w:pPr>
      <w:r>
        <w:t xml:space="preserve">Reaaliaikainen päästöseuranta (EU-vaatimus 2028)</w:t>
      </w:r>
    </w:p>
    <w:p>
      <w:pPr>
        <w:numPr>
          <w:ilvl w:val="0"/>
          <w:numId w:val="1025"/>
        </w:numPr>
        <w:pStyle w:val="Compact"/>
      </w:pPr>
      <w:r>
        <w:t xml:space="preserve">Viabiliteettianalyysi (projektin kannattavuus)</w:t>
      </w:r>
    </w:p>
    <w:p>
      <w:pPr>
        <w:numPr>
          <w:ilvl w:val="0"/>
          <w:numId w:val="1025"/>
        </w:numPr>
        <w:pStyle w:val="Compact"/>
      </w:pPr>
      <w:r>
        <w:t xml:space="preserve">Automaattiset raportit (säästää 10h/viikko)</w:t>
      </w:r>
    </w:p>
    <w:p>
      <w:pPr>
        <w:pStyle w:val="FirstParagraph"/>
      </w:pPr>
      <w:r>
        <w:rPr>
          <w:bCs/>
          <w:b/>
        </w:rPr>
        <w:t xml:space="preserve">Validointi:</w:t>
      </w:r>
      <w:r>
        <w:t xml:space="preserve"> </w:t>
      </w:r>
      <w:r>
        <w:t xml:space="preserve">€10k MRR Uberilta, Boltilta ja Kelalta pilotin aikana todistaa asiakkaiden maksuhalukkuuden.</w:t>
      </w:r>
    </w:p>
    <w:bookmarkEnd w:id="58"/>
    <w:bookmarkEnd w:id="59"/>
    <w:bookmarkStart w:id="63" w:name="X7a85229cf1fccbcdc0810f678d42e0ba412c120"/>
    <w:p>
      <w:pPr>
        <w:pStyle w:val="Heading2"/>
      </w:pPr>
      <w:r>
        <w:t xml:space="preserve">4.2 Operatiivinen kerros: AgentFoundry ja Lifetime Scope Signals</w:t>
      </w:r>
    </w:p>
    <w:p>
      <w:pPr>
        <w:pStyle w:val="FirstParagraph"/>
      </w:pPr>
      <w:r>
        <w:t xml:space="preserve">Operatiivinen kerros dokumentoi todelliset toteutusmekanismit, jotka mahdollistavat Solution Factoryn toiminnan.</w:t>
      </w:r>
    </w:p>
    <w:bookmarkStart w:id="60" w:name="agentfoundry-arkkitehtuuri"/>
    <w:p>
      <w:pPr>
        <w:pStyle w:val="Heading3"/>
      </w:pPr>
      <w:r>
        <w:t xml:space="preserve">4.2.1 AgentFoundry-arkkitehtuuri</w:t>
      </w:r>
    </w:p>
    <w:p>
      <w:pPr>
        <w:pStyle w:val="FirstParagraph"/>
      </w:pPr>
      <w:r>
        <w:t xml:space="preserve">AgentFoundry on monimalli-, monivuokralainen kehys AI-agenttien käyttöönottoon teollisissa vertikaaleissa.</w:t>
      </w:r>
    </w:p>
    <w:bookmarkEnd w:id="60"/>
    <w:bookmarkStart w:id="61" w:name="lifetime-scope-signals--protokolla-1"/>
    <w:p>
      <w:pPr>
        <w:pStyle w:val="Heading3"/>
      </w:pPr>
      <w:r>
        <w:t xml:space="preserve">4.2.2 Lifetime Scope Signals -protokolla</w:t>
      </w:r>
    </w:p>
    <w:p>
      <w:pPr>
        <w:pStyle w:val="FirstParagraph"/>
      </w:pPr>
      <w:r>
        <w:rPr>
          <w:bCs/>
          <w:b/>
        </w:rPr>
        <w:t xml:space="preserve">V1.0 Agenttilaivasto (10 agenttia):</w:t>
      </w:r>
    </w:p>
    <w:tbl>
      <w:tblPr>
        <w:tblStyle w:val="Table"/>
        <w:tblW w:type="pct" w:w="5000"/>
        <w:tblLook w:firstRow="1" w:lastRow="0" w:firstColumn="0" w:lastColumn="0" w:noHBand="0" w:noVBand="0" w:val="0020"/>
        <w:jc w:val="start"/>
      </w:tblPr>
      <w:tblGrid>
        <w:gridCol w:w="918"/>
        <w:gridCol w:w="2066"/>
        <w:gridCol w:w="573"/>
        <w:gridCol w:w="1377"/>
        <w:gridCol w:w="2984"/>
      </w:tblGrid>
      <w:tr>
        <w:trPr>
          <w:tblHeader w:val="true"/>
        </w:trPr>
        <w:tc>
          <w:tcPr/>
          <w:p>
            <w:pPr>
              <w:pStyle w:val="Compact"/>
              <w:jc w:val="left"/>
            </w:pPr>
            <w:r>
              <w:t xml:space="preserve">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Signaalit</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jwt-service, supabase-auth</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report-api, automation-api</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dashboard-layout</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mcp-hub, sitesense</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offline-sync</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schema-users, rls-policies</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stripe-setup</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transactional</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api-docs</w:t>
            </w:r>
          </w:p>
        </w:tc>
      </w:tr>
    </w:tbl>
    <w:bookmarkEnd w:id="61"/>
    <w:bookmarkStart w:id="62" w:name="kolmivaiheinen-käyttöönottomalli"/>
    <w:p>
      <w:pPr>
        <w:pStyle w:val="Heading3"/>
      </w:pPr>
      <w:r>
        <w:t xml:space="preserve">4.2.3 Kolmivaiheinen käyttöönottomalli</w:t>
      </w:r>
    </w:p>
    <w:p>
      <w:pPr>
        <w:pStyle w:val="FirstParagraph"/>
      </w:pPr>
      <w:r>
        <w:rPr>
          <w:bCs/>
          <w:b/>
        </w:rPr>
        <w:t xml:space="preserve">Vaihe 1: Hiljainen pilotti (30 päivää)</w:t>
      </w:r>
    </w:p>
    <w:p>
      <w:pPr>
        <w:numPr>
          <w:ilvl w:val="0"/>
          <w:numId w:val="1026"/>
        </w:numPr>
        <w:pStyle w:val="Compact"/>
      </w:pPr>
      <w:r>
        <w:t xml:space="preserve">Agentti havainnoi ja kirjaa kaikki toiminnot</w:t>
      </w:r>
    </w:p>
    <w:p>
      <w:pPr>
        <w:numPr>
          <w:ilvl w:val="0"/>
          <w:numId w:val="1026"/>
        </w:numPr>
        <w:pStyle w:val="Compact"/>
      </w:pPr>
      <w:r>
        <w:t xml:space="preserve">Ei toimenpiteitä asiakkaan järjestelmissä</w:t>
      </w:r>
    </w:p>
    <w:p>
      <w:pPr>
        <w:numPr>
          <w:ilvl w:val="0"/>
          <w:numId w:val="1026"/>
        </w:numPr>
        <w:pStyle w:val="Compact"/>
      </w:pPr>
      <w:r>
        <w:t xml:space="preserve">Rakentaa perustason ymmärryksen toiminnoista</w:t>
      </w:r>
    </w:p>
    <w:p>
      <w:pPr>
        <w:pStyle w:val="FirstParagraph"/>
      </w:pPr>
      <w:r>
        <w:rPr>
          <w:bCs/>
          <w:b/>
        </w:rPr>
        <w:t xml:space="preserve">Vaihe 2: Neuvonantaja (60 päivää)</w:t>
      </w:r>
    </w:p>
    <w:p>
      <w:pPr>
        <w:numPr>
          <w:ilvl w:val="0"/>
          <w:numId w:val="1027"/>
        </w:numPr>
        <w:pStyle w:val="Compact"/>
      </w:pPr>
      <w:r>
        <w:t xml:space="preserve">Agentti suosittelee toimenpiteitä</w:t>
      </w:r>
    </w:p>
    <w:p>
      <w:pPr>
        <w:numPr>
          <w:ilvl w:val="0"/>
          <w:numId w:val="1027"/>
        </w:numPr>
        <w:pStyle w:val="Compact"/>
      </w:pPr>
      <w:r>
        <w:t xml:space="preserve">Kaikki suositukset vaativat ihmisen hyväksynnän</w:t>
      </w:r>
    </w:p>
    <w:p>
      <w:pPr>
        <w:numPr>
          <w:ilvl w:val="0"/>
          <w:numId w:val="1027"/>
        </w:numPr>
        <w:pStyle w:val="Compact"/>
      </w:pPr>
      <w:r>
        <w:t xml:space="preserve">Rakentaa luottamusta tarkkojen ennusteiden kautta</w:t>
      </w:r>
    </w:p>
    <w:p>
      <w:pPr>
        <w:pStyle w:val="FirstParagraph"/>
      </w:pPr>
      <w:r>
        <w:rPr>
          <w:bCs/>
          <w:b/>
        </w:rPr>
        <w:t xml:space="preserve">Vaihe 3: Autonominen</w:t>
      </w:r>
    </w:p>
    <w:p>
      <w:pPr>
        <w:numPr>
          <w:ilvl w:val="0"/>
          <w:numId w:val="1028"/>
        </w:numPr>
        <w:pStyle w:val="Compact"/>
      </w:pPr>
      <w:r>
        <w:t xml:space="preserve">Agentti toteuttaa määriteltyjen kaiteiden sisällä</w:t>
      </w:r>
    </w:p>
    <w:p>
      <w:pPr>
        <w:numPr>
          <w:ilvl w:val="0"/>
          <w:numId w:val="1028"/>
        </w:numPr>
        <w:pStyle w:val="Compact"/>
      </w:pPr>
      <w:r>
        <w:t xml:space="preserve">Ihmisen valvonta poikkeuksille</w:t>
      </w:r>
    </w:p>
    <w:p>
      <w:pPr>
        <w:numPr>
          <w:ilvl w:val="0"/>
          <w:numId w:val="1028"/>
        </w:numPr>
        <w:pStyle w:val="Compact"/>
      </w:pPr>
      <w:r>
        <w:t xml:space="preserve">Jatkuva valvonta ja säätö</w:t>
      </w:r>
    </w:p>
    <w:bookmarkEnd w:id="62"/>
    <w:bookmarkEnd w:id="63"/>
    <w:bookmarkStart w:id="66" w:name="X4cd4c04788136babe7df968adac8064808a969b"/>
    <w:p>
      <w:pPr>
        <w:pStyle w:val="Heading2"/>
      </w:pPr>
      <w:r>
        <w:t xml:space="preserve">4.3 Suorituskerros: Aivot-Muisti-Keho-Kädet -arkkitehtuuri</w:t>
      </w:r>
    </w:p>
    <w:bookmarkStart w:id="64" w:name="hybridi-pilvi-edge-arkkitehtuuri"/>
    <w:p>
      <w:pPr>
        <w:pStyle w:val="Heading3"/>
      </w:pPr>
      <w:r>
        <w:t xml:space="preserve">4.3.1 Hybridi pilvi-edge-arkkitehtuuri</w:t>
      </w:r>
    </w:p>
    <w:p>
      <w:pPr>
        <w:pStyle w:val="SourceCode"/>
      </w:pPr>
      <w:r>
        <w:rPr>
          <w:rStyle w:val="VerbatimChar"/>
        </w:rPr>
        <w:t xml:space="preserve">┌─────────────────────────────────────────────────┐</w:t>
      </w:r>
      <w:r>
        <w:br/>
      </w:r>
      <w:r>
        <w:rPr>
          <w:rStyle w:val="VerbatimChar"/>
        </w:rPr>
        <w:t xml:space="preserve">│  DWS6 HYBRIDIARKKITEHTUURI                       │</w:t>
      </w:r>
      <w:r>
        <w:br/>
      </w:r>
      <w:r>
        <w:rPr>
          <w:rStyle w:val="VerbatimChar"/>
        </w:rPr>
        <w:t xml:space="preserve">├─────────────────────────────────────────────────┤</w:t>
      </w:r>
      <w:r>
        <w:br/>
      </w:r>
      <w:r>
        <w:rPr>
          <w:rStyle w:val="VerbatimChar"/>
        </w:rPr>
        <w:t xml:space="preserve">│                                                 │</w:t>
      </w:r>
      <w:r>
        <w:br/>
      </w:r>
      <w:r>
        <w:rPr>
          <w:rStyle w:val="VerbatimChar"/>
        </w:rPr>
        <w:t xml:space="preserve">│  PILVIKERROS (Google Cloud Run)                 │</w:t>
      </w:r>
      <w:r>
        <w:br/>
      </w:r>
      <w:r>
        <w:rPr>
          <w:rStyle w:val="VerbatimChar"/>
        </w:rPr>
        <w:t xml:space="preserve">│  ├─ Groq API Router (FastAPI)                   │</w:t>
      </w:r>
      <w:r>
        <w:br/>
      </w:r>
      <w:r>
        <w:rPr>
          <w:rStyle w:val="VerbatimChar"/>
        </w:rPr>
        <w:t xml:space="preserve">│  ├─ Supabase (PostgreSQL)                       │</w:t>
      </w:r>
      <w:r>
        <w:br/>
      </w:r>
      <w:r>
        <w:rPr>
          <w:rStyle w:val="VerbatimChar"/>
        </w:rPr>
        <w:t xml:space="preserve">│  └─ Agenttien orkestrointi (LlamaStack)         │</w:t>
      </w:r>
      <w:r>
        <w:br/>
      </w:r>
      <w:r>
        <w:rPr>
          <w:rStyle w:val="VerbatimChar"/>
        </w:rPr>
        <w:t xml:space="preserve">│                                                 │</w:t>
      </w:r>
      <w:r>
        <w:br/>
      </w:r>
      <w:r>
        <w:rPr>
          <w:rStyle w:val="VerbatimChar"/>
        </w:rPr>
        <w:t xml:space="preserve">│  REUNAKERROS (NVIDIA Jetson Orin Nano)           │</w:t>
      </w:r>
      <w:r>
        <w:br/>
      </w:r>
      <w:r>
        <w:rPr>
          <w:rStyle w:val="VerbatimChar"/>
        </w:rPr>
        <w:t xml:space="preserve">│  ├─ SiteSense-agentti (työmaaseuranta)          │</w:t>
      </w:r>
      <w:r>
        <w:br/>
      </w:r>
      <w:r>
        <w:rPr>
          <w:rStyle w:val="VerbatimChar"/>
        </w:rPr>
        <w:t xml:space="preserve">│  ├─ Offline-toiminta (ei verkkoyhteyttä)        │</w:t>
      </w:r>
      <w:r>
        <w:br/>
      </w:r>
      <w:r>
        <w:rPr>
          <w:rStyle w:val="VerbatimChar"/>
        </w:rPr>
        <w:t xml:space="preserve">│  └─ &lt;100ms latenssi (25x nopeampi kuin pilvi)   │</w:t>
      </w:r>
      <w:r>
        <w:br/>
      </w:r>
      <w:r>
        <w:rPr>
          <w:rStyle w:val="VerbatimChar"/>
        </w:rPr>
        <w:t xml:space="preserve">│                                                 │</w:t>
      </w:r>
      <w:r>
        <w:br/>
      </w:r>
      <w:r>
        <w:rPr>
          <w:rStyle w:val="VerbatimChar"/>
        </w:rPr>
        <w:t xml:space="preserve">│  ASIAKASKERROS (Chromebook PWA)                 │</w:t>
      </w:r>
      <w:r>
        <w:br/>
      </w:r>
      <w:r>
        <w:rPr>
          <w:rStyle w:val="VerbatimChar"/>
        </w:rPr>
        <w:t xml:space="preserve">│  ├─ Progressive Web App                         │</w:t>
      </w:r>
      <w:r>
        <w:br/>
      </w:r>
      <w:r>
        <w:rPr>
          <w:rStyle w:val="VerbatimChar"/>
        </w:rPr>
        <w:t xml:space="preserve">│  ├─ Offline-first -suunnittelu                  │</w:t>
      </w:r>
      <w:r>
        <w:br/>
      </w:r>
      <w:r>
        <w:rPr>
          <w:rStyle w:val="VerbatimChar"/>
        </w:rPr>
        <w:t xml:space="preserve">│  └─ EU-datan sijainti (GDPR-yhteensopiva)       │</w:t>
      </w:r>
      <w:r>
        <w:br/>
      </w:r>
      <w:r>
        <w:rPr>
          <w:rStyle w:val="VerbatimChar"/>
        </w:rPr>
        <w:t xml:space="preserve">│                                                 │</w:t>
      </w:r>
      <w:r>
        <w:br/>
      </w:r>
      <w:r>
        <w:rPr>
          <w:rStyle w:val="VerbatimChar"/>
        </w:rPr>
        <w:t xml:space="preserve">└─────────────────────────────────────────────────┘</w:t>
      </w:r>
    </w:p>
    <w:bookmarkEnd w:id="64"/>
    <w:bookmarkStart w:id="65" w:name="mcp-hub--moniagenttiorkestrointialusta"/>
    <w:p>
      <w:pPr>
        <w:pStyle w:val="Heading3"/>
      </w:pPr>
      <w:r>
        <w:t xml:space="preserve">4.3.2 MCP Hub -moniagenttiorkestrointialusta</w:t>
      </w:r>
    </w:p>
    <w:p>
      <w:pPr>
        <w:pStyle w:val="FirstParagraph"/>
      </w:pPr>
      <w:r>
        <w:rPr>
          <w:bCs/>
          <w:b/>
        </w:rPr>
        <w:t xml:space="preserve">Visio:</w:t>
      </w:r>
      <w:r>
        <w:t xml:space="preserve"> </w:t>
      </w:r>
      <w:r>
        <w:t xml:space="preserve">Ohjauskerros, joka koordinoi Cursor-, Claude-, Gemini- ja DWS IQ -agentteja rakennussuunnittelutyökalujen ja Lifetime Firehorse -tuotteiden kanssa.</w:t>
      </w:r>
    </w:p>
    <w:p>
      <w:pPr>
        <w:pStyle w:val="BodyText"/>
      </w:pPr>
      <w:r>
        <w:rPr>
          <w:bCs/>
          <w:b/>
        </w:rPr>
        <w:t xml:space="preserve">Liiketoimintavaikutus:</w:t>
      </w:r>
    </w:p>
    <w:p>
      <w:pPr>
        <w:numPr>
          <w:ilvl w:val="0"/>
          <w:numId w:val="1029"/>
        </w:numPr>
        <w:pStyle w:val="Compact"/>
      </w:pPr>
      <w:r>
        <w:t xml:space="preserve">+62% kehitysnopeus</w:t>
      </w:r>
    </w:p>
    <w:p>
      <w:pPr>
        <w:numPr>
          <w:ilvl w:val="0"/>
          <w:numId w:val="1029"/>
        </w:numPr>
        <w:pStyle w:val="Compact"/>
      </w:pPr>
      <w:r>
        <w:t xml:space="preserve">-73% bugien vähennys</w:t>
      </w:r>
    </w:p>
    <w:p>
      <w:pPr>
        <w:numPr>
          <w:ilvl w:val="0"/>
          <w:numId w:val="1029"/>
        </w:numPr>
        <w:pStyle w:val="Compact"/>
      </w:pPr>
      <w:r>
        <w:t xml:space="preserve">€23 640/vuosi säästöt</w:t>
      </w:r>
    </w:p>
    <w:p>
      <w:pPr>
        <w:numPr>
          <w:ilvl w:val="0"/>
          <w:numId w:val="1029"/>
        </w:numPr>
        <w:pStyle w:val="Compact"/>
      </w:pPr>
      <w:r>
        <w:t xml:space="preserve">17,2 kuukauden runway €150K SAFE-rahoituksella (vs 6,7 kuukautta ilman MCP:tä)</w:t>
      </w:r>
    </w:p>
    <w:bookmarkEnd w:id="65"/>
    <w:bookmarkEnd w:id="66"/>
    <w:bookmarkStart w:id="67" w:name="kustannusmalli"/>
    <w:p>
      <w:pPr>
        <w:pStyle w:val="Heading2"/>
      </w:pPr>
      <w:r>
        <w:t xml:space="preserve">4.4 Kustannusmalli</w:t>
      </w:r>
    </w:p>
    <w:tbl>
      <w:tblPr>
        <w:tblStyle w:val="Table"/>
        <w:tblW w:type="pct" w:w="5000"/>
        <w:tblLook w:firstRow="1" w:lastRow="0" w:firstColumn="0" w:lastColumn="0" w:noHBand="0" w:noVBand="0" w:val="0020"/>
        <w:jc w:val="start"/>
      </w:tblPr>
      <w:tblGrid>
        <w:gridCol w:w="1033"/>
        <w:gridCol w:w="1147"/>
        <w:gridCol w:w="5739"/>
      </w:tblGrid>
      <w:tr>
        <w:trPr>
          <w:tblHeader w:val="true"/>
        </w:trPr>
        <w:tc>
          <w:tcPr/>
          <w:p>
            <w:pPr>
              <w:pStyle w:val="Compact"/>
              <w:jc w:val="left"/>
            </w:pPr>
            <w:r>
              <w:t xml:space="preserve">Vaihe</w:t>
            </w:r>
          </w:p>
        </w:tc>
        <w:tc>
          <w:tcPr/>
          <w:p>
            <w:pPr>
              <w:pStyle w:val="Compact"/>
              <w:jc w:val="left"/>
            </w:pPr>
            <w:r>
              <w:t xml:space="preserve">Kustannus</w:t>
            </w:r>
          </w:p>
        </w:tc>
        <w:tc>
          <w:tcPr/>
          <w:p>
            <w:pPr>
              <w:pStyle w:val="Compact"/>
              <w:jc w:val="left"/>
            </w:pPr>
            <w:r>
              <w:t xml:space="preserve">Teknologia</w:t>
            </w:r>
          </w:p>
        </w:tc>
      </w:tr>
      <w:tr>
        <w:tc>
          <w:tcPr/>
          <w:p>
            <w:pPr>
              <w:pStyle w:val="Compact"/>
              <w:jc w:val="left"/>
            </w:pPr>
            <w:r>
              <w:rPr>
                <w:bCs/>
                <w:b/>
              </w:rPr>
              <w:t xml:space="preserve">MVP</w:t>
            </w:r>
          </w:p>
        </w:tc>
        <w:tc>
          <w:tcPr/>
          <w:p>
            <w:pPr>
              <w:pStyle w:val="Compact"/>
              <w:jc w:val="left"/>
            </w:pPr>
            <w:r>
              <w:t xml:space="preserve">€0/kk</w:t>
            </w:r>
          </w:p>
        </w:tc>
        <w:tc>
          <w:tcPr/>
          <w:p>
            <w:pPr>
              <w:pStyle w:val="Compact"/>
              <w:jc w:val="left"/>
            </w:pPr>
            <w:r>
              <w:t xml:space="preserve">Cloud Run free tier + Cursor Pro + Claude Code Max</w:t>
            </w:r>
          </w:p>
        </w:tc>
      </w:tr>
      <w:tr>
        <w:tc>
          <w:tcPr/>
          <w:p>
            <w:pPr>
              <w:pStyle w:val="Compact"/>
              <w:jc w:val="left"/>
            </w:pPr>
            <w:r>
              <w:rPr>
                <w:bCs/>
                <w:b/>
              </w:rPr>
              <w:t xml:space="preserve">Alpha</w:t>
            </w:r>
          </w:p>
        </w:tc>
        <w:tc>
          <w:tcPr/>
          <w:p>
            <w:pPr>
              <w:pStyle w:val="Compact"/>
              <w:jc w:val="left"/>
            </w:pPr>
            <w:r>
              <w:t xml:space="preserve">€50-150/kk</w:t>
            </w:r>
          </w:p>
        </w:tc>
        <w:tc>
          <w:tcPr/>
          <w:p>
            <w:pPr>
              <w:pStyle w:val="Compact"/>
              <w:jc w:val="left"/>
            </w:pPr>
            <w:r>
              <w:t xml:space="preserve">Groq + Supabase Pro</w:t>
            </w:r>
          </w:p>
        </w:tc>
      </w:tr>
      <w:tr>
        <w:tc>
          <w:tcPr/>
          <w:p>
            <w:pPr>
              <w:pStyle w:val="Compact"/>
              <w:jc w:val="left"/>
            </w:pPr>
            <w:r>
              <w:rPr>
                <w:bCs/>
                <w:b/>
              </w:rPr>
              <w:t xml:space="preserve">V1</w:t>
            </w:r>
          </w:p>
        </w:tc>
        <w:tc>
          <w:tcPr/>
          <w:p>
            <w:pPr>
              <w:pStyle w:val="Compact"/>
              <w:jc w:val="left"/>
            </w:pPr>
            <w:r>
              <w:t xml:space="preserve">€350/kk</w:t>
            </w:r>
          </w:p>
        </w:tc>
        <w:tc>
          <w:tcPr/>
          <w:p>
            <w:pPr>
              <w:pStyle w:val="Compact"/>
              <w:jc w:val="left"/>
            </w:pPr>
            <w:r>
              <w:t xml:space="preserve">Groq + Supabase + Monitoring</w:t>
            </w:r>
          </w:p>
        </w:tc>
      </w:tr>
    </w:tbl>
    <w:bookmarkEnd w:id="67"/>
    <w:bookmarkStart w:id="68" w:name="go-to-market--strategia"/>
    <w:p>
      <w:pPr>
        <w:pStyle w:val="Heading2"/>
      </w:pPr>
      <w:r>
        <w:t xml:space="preserve">4.5 Go-to-Market -strategia</w:t>
      </w:r>
    </w:p>
    <w:tbl>
      <w:tblPr>
        <w:tblStyle w:val="Table"/>
        <w:tblW w:type="pct" w:w="5000"/>
        <w:tblLook w:firstRow="1" w:lastRow="0" w:firstColumn="0" w:lastColumn="0" w:noHBand="0" w:noVBand="0" w:val="0020"/>
        <w:jc w:val="start"/>
      </w:tblPr>
      <w:tblGrid>
        <w:gridCol w:w="1188"/>
        <w:gridCol w:w="1848"/>
        <w:gridCol w:w="3960"/>
        <w:gridCol w:w="924"/>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Asiakkaat</w:t>
            </w:r>
          </w:p>
        </w:tc>
        <w:tc>
          <w:tcPr/>
          <w:p>
            <w:pPr>
              <w:pStyle w:val="Compact"/>
              <w:jc w:val="left"/>
            </w:pPr>
            <w:r>
              <w:t xml:space="preserve">Agentit</w:t>
            </w:r>
          </w:p>
        </w:tc>
      </w:tr>
      <w:tr>
        <w:tc>
          <w:tcPr/>
          <w:p>
            <w:pPr>
              <w:pStyle w:val="Compact"/>
              <w:jc w:val="left"/>
            </w:pPr>
            <w:r>
              <w:rPr>
                <w:bCs/>
                <w:b/>
              </w:rPr>
              <w:t xml:space="preserve">MVP</w:t>
            </w:r>
          </w:p>
        </w:tc>
        <w:tc>
          <w:tcPr/>
          <w:p>
            <w:pPr>
              <w:pStyle w:val="Compact"/>
              <w:jc w:val="left"/>
            </w:pPr>
            <w:r>
              <w:t xml:space="preserve">Joulukuu 2025</w:t>
            </w:r>
          </w:p>
        </w:tc>
        <w:tc>
          <w:tcPr/>
          <w:p>
            <w:pPr>
              <w:pStyle w:val="Compact"/>
              <w:jc w:val="left"/>
            </w:pPr>
            <w:r>
              <w:t xml:space="preserve">5 rakennusasiakasta (ILMAINEN)</w:t>
            </w:r>
          </w:p>
        </w:tc>
        <w:tc>
          <w:tcPr/>
          <w:p>
            <w:pPr>
              <w:pStyle w:val="Compact"/>
              <w:jc w:val="left"/>
            </w:pPr>
            <w:r>
              <w:t xml:space="preserve">2</w:t>
            </w:r>
          </w:p>
        </w:tc>
      </w:tr>
      <w:tr>
        <w:tc>
          <w:tcPr/>
          <w:p>
            <w:pPr>
              <w:pStyle w:val="Compact"/>
              <w:jc w:val="left"/>
            </w:pPr>
            <w:r>
              <w:rPr>
                <w:bCs/>
                <w:b/>
              </w:rPr>
              <w:t xml:space="preserve">Alpha</w:t>
            </w:r>
          </w:p>
        </w:tc>
        <w:tc>
          <w:tcPr/>
          <w:p>
            <w:pPr>
              <w:pStyle w:val="Compact"/>
              <w:jc w:val="left"/>
            </w:pPr>
            <w:r>
              <w:t xml:space="preserve">Helmikuu 2026</w:t>
            </w:r>
          </w:p>
        </w:tc>
        <w:tc>
          <w:tcPr/>
          <w:p>
            <w:pPr>
              <w:pStyle w:val="Compact"/>
              <w:jc w:val="left"/>
            </w:pPr>
            <w:r>
              <w:t xml:space="preserve">20-50 asiakasta, 3 toimialaa</w:t>
            </w:r>
          </w:p>
        </w:tc>
        <w:tc>
          <w:tcPr/>
          <w:p>
            <w:pPr>
              <w:pStyle w:val="Compact"/>
              <w:jc w:val="left"/>
            </w:pPr>
            <w:r>
              <w:t xml:space="preserve">10</w:t>
            </w:r>
          </w:p>
        </w:tc>
      </w:tr>
      <w:tr>
        <w:tc>
          <w:tcPr/>
          <w:p>
            <w:pPr>
              <w:pStyle w:val="Compact"/>
              <w:jc w:val="left"/>
            </w:pPr>
            <w:r>
              <w:rPr>
                <w:bCs/>
                <w:b/>
              </w:rPr>
              <w:t xml:space="preserve">V1</w:t>
            </w:r>
          </w:p>
        </w:tc>
        <w:tc>
          <w:tcPr/>
          <w:p>
            <w:pPr>
              <w:pStyle w:val="Compact"/>
              <w:jc w:val="left"/>
            </w:pPr>
            <w:r>
              <w:t xml:space="preserve">Marraskuu 2026</w:t>
            </w:r>
          </w:p>
        </w:tc>
        <w:tc>
          <w:tcPr/>
          <w:p>
            <w:pPr>
              <w:pStyle w:val="Compact"/>
              <w:jc w:val="left"/>
            </w:pPr>
            <w:r>
              <w:t xml:space="preserve">100+ asiakasta, 8 toimialaa</w:t>
            </w:r>
          </w:p>
        </w:tc>
        <w:tc>
          <w:tcPr/>
          <w:p>
            <w:pPr>
              <w:pStyle w:val="Compact"/>
              <w:jc w:val="left"/>
            </w:pPr>
            <w:r>
              <w:t xml:space="preserve">33</w:t>
            </w:r>
          </w:p>
        </w:tc>
      </w:tr>
    </w:tbl>
    <w:bookmarkEnd w:id="68"/>
    <w:bookmarkStart w:id="69" w:name="X7f2a64ea9a5f5cf496c7cd97bff0a7b6831e093"/>
    <w:p>
      <w:pPr>
        <w:pStyle w:val="Heading2"/>
      </w:pPr>
      <w:r>
        <w:t xml:space="preserve">4.6 Firehorse Omnichannel: Markkinoinnin kohdennuksen optimointi</w:t>
      </w:r>
    </w:p>
    <w:p>
      <w:pPr>
        <w:pStyle w:val="FirstParagraph"/>
      </w:pPr>
      <w:r>
        <w:rPr>
          <w:bCs/>
          <w:b/>
        </w:rPr>
        <w:t xml:space="preserve">Ongelma:</w:t>
      </w:r>
      <w:r>
        <w:t xml:space="preserve"> </w:t>
      </w:r>
      <w:r>
        <w:t xml:space="preserve">Pk-yritysten on vaikea kohdentaa rajallinen markkinointibudjetti tehokkaasti.</w:t>
      </w:r>
    </w:p>
    <w:p>
      <w:pPr>
        <w:pStyle w:val="BodyText"/>
      </w:pPr>
      <w:r>
        <w:rPr>
          <w:bCs/>
          <w:b/>
        </w:rPr>
        <w:t xml:space="preserve">Ratkaisu:</w:t>
      </w:r>
      <w:r>
        <w:t xml:space="preserve"> </w:t>
      </w:r>
      <w:r>
        <w:t xml:space="preserve">Firehorse Omnichannel hyödyntää tekoälypohjaista markkinatiedustelua kanavavalinnan optimoimiseksi.</w:t>
      </w:r>
    </w:p>
    <w:p>
      <w:pPr>
        <w:pStyle w:val="BodyText"/>
      </w:pPr>
      <w:r>
        <w:rPr>
          <w:bCs/>
          <w:b/>
        </w:rPr>
        <w:t xml:space="preserve">Tulos:</w:t>
      </w:r>
      <w:r>
        <w:t xml:space="preserve"> </w:t>
      </w:r>
      <w:r>
        <w:t xml:space="preserve">“</w:t>
      </w:r>
      <w:r>
        <w:t xml:space="preserve">Oikea aika, oikea määrä</w:t>
      </w:r>
      <w:r>
        <w:t xml:space="preserve">”</w:t>
      </w:r>
      <w:r>
        <w:t xml:space="preserve"> </w:t>
      </w:r>
      <w:r>
        <w:t xml:space="preserve">-rahoitusstrategia, joka maksimoi ROI:n.</w:t>
      </w:r>
    </w:p>
    <w:bookmarkEnd w:id="69"/>
    <w:bookmarkStart w:id="74" w:name="X59c6ae6da3691ac3e131cb771c6ddb8f7699864"/>
    <w:p>
      <w:pPr>
        <w:pStyle w:val="Heading2"/>
      </w:pPr>
      <w:r>
        <w:t xml:space="preserve">4.7 Sääntelyn noudattaminen: Oikeudellinen vallihauta</w:t>
      </w:r>
    </w:p>
    <w:bookmarkStart w:id="70" w:name="gdpr-suvereniteetti"/>
    <w:p>
      <w:pPr>
        <w:pStyle w:val="Heading3"/>
      </w:pPr>
      <w:r>
        <w:t xml:space="preserve">4.7.1 GDPR &amp; Suvereniteetti</w:t>
      </w:r>
    </w:p>
    <w:p>
      <w:pPr>
        <w:pStyle w:val="FirstParagraph"/>
      </w:pPr>
      <w:r>
        <w:t xml:space="preserve">Private Cloud -arkkitehtuurin toteuttaminen varmistaa EU-datan sijainnin ja suvereniteetin.</w:t>
      </w:r>
    </w:p>
    <w:bookmarkEnd w:id="70"/>
    <w:bookmarkStart w:id="71" w:name="nis2-direktiivi"/>
    <w:p>
      <w:pPr>
        <w:pStyle w:val="Heading3"/>
      </w:pPr>
      <w:r>
        <w:t xml:space="preserve">4.7.2 NIS2-direktiivi</w:t>
      </w:r>
    </w:p>
    <w:p>
      <w:pPr>
        <w:pStyle w:val="FirstParagraph"/>
      </w:pPr>
      <w:r>
        <w:t xml:space="preserve">Yhdenmukaistaminen kyberturvallisuusvaatimusten kanssa kriittisille toimijoille.</w:t>
      </w:r>
    </w:p>
    <w:bookmarkEnd w:id="71"/>
    <w:bookmarkStart w:id="72" w:name="eu-ai-act"/>
    <w:p>
      <w:pPr>
        <w:pStyle w:val="Heading3"/>
      </w:pPr>
      <w:r>
        <w:t xml:space="preserve">4.7.3 EU AI Act</w:t>
      </w:r>
    </w:p>
    <w:p>
      <w:pPr>
        <w:pStyle w:val="FirstParagraph"/>
      </w:pPr>
      <w:r>
        <w:t xml:space="preserve">Läpinäkyvyysprotokollien (artikla 50) toteuttaminen AI-agenteille ja ihmisen valvonnan varmistaminen.</w:t>
      </w:r>
    </w:p>
    <w:bookmarkEnd w:id="72"/>
    <w:bookmarkStart w:id="73" w:name="digipalveluasetus-dsa"/>
    <w:p>
      <w:pPr>
        <w:pStyle w:val="Heading3"/>
      </w:pPr>
      <w:r>
        <w:t xml:space="preserve">4.7.4 Digipalveluasetus (DSA)</w:t>
      </w:r>
    </w:p>
    <w:p>
      <w:pPr>
        <w:pStyle w:val="FirstParagraph"/>
      </w:pPr>
      <w:r>
        <w:t xml:space="preserve">Yhteisösääntöjen ja moderoinnin luominen</w:t>
      </w:r>
      <w:r>
        <w:t xml:space="preserve"> </w:t>
      </w:r>
      <w:r>
        <w:t xml:space="preserve">“</w:t>
      </w:r>
      <w:r>
        <w:t xml:space="preserve">Lifetime World</w:t>
      </w:r>
      <w:r>
        <w:t xml:space="preserve">”</w:t>
      </w:r>
      <w:r>
        <w:t xml:space="preserve"> </w:t>
      </w:r>
      <w:r>
        <w:t xml:space="preserve">-alustalle.</w:t>
      </w:r>
    </w:p>
    <w:bookmarkEnd w:id="73"/>
    <w:bookmarkEnd w:id="74"/>
    <w:bookmarkStart w:id="78" w:name="Xc4f28052874eb4026b21019d6d7794f3d05e869"/>
    <w:p>
      <w:pPr>
        <w:pStyle w:val="Heading2"/>
      </w:pPr>
      <w:r>
        <w:t xml:space="preserve">4.8 dws6.com: Tuotantoympäristö ja verkkonäkyvyys</w:t>
      </w:r>
    </w:p>
    <w:bookmarkStart w:id="75" w:name="yleiskatsaus"/>
    <w:p>
      <w:pPr>
        <w:pStyle w:val="Heading3"/>
      </w:pPr>
      <w:r>
        <w:t xml:space="preserve">4.8.1 Yleiskatsaus</w:t>
      </w:r>
    </w:p>
    <w:p>
      <w:pPr>
        <w:pStyle w:val="FirstParagraph"/>
      </w:pPr>
      <w:r>
        <w:rPr>
          <w:bCs/>
          <w:b/>
        </w:rPr>
        <w:t xml:space="preserve">dws6.com</w:t>
      </w:r>
      <w:r>
        <w:t xml:space="preserve"> </w:t>
      </w:r>
      <w:r>
        <w:t xml:space="preserve">on DWS6-alustan tuotantoympäristö, joka tarjoaa keskitetyn pääsyn kaikkiin Firehorse-palveluihin.</w:t>
      </w:r>
    </w:p>
    <w:bookmarkEnd w:id="75"/>
    <w:bookmarkStart w:id="76" w:name="tekninen-toteutus"/>
    <w:p>
      <w:pPr>
        <w:pStyle w:val="Heading3"/>
      </w:pPr>
      <w:r>
        <w:t xml:space="preserve">4.8.2 Tekninen toteutus</w:t>
      </w:r>
    </w:p>
    <w:p>
      <w:pPr>
        <w:pStyle w:val="FirstParagraph"/>
      </w:pPr>
      <w:r>
        <w:rPr>
          <w:bCs/>
          <w:b/>
        </w:rPr>
        <w:t xml:space="preserve">Alusta:</w:t>
      </w:r>
      <w:r>
        <w:t xml:space="preserve"> </w:t>
      </w:r>
      <w:r>
        <w:t xml:space="preserve">Cloudflare Pages — Globaali CDN, automaattinen SSL/TLS, DDoS-suojaus, edge-välimuisti.</w:t>
      </w:r>
    </w:p>
    <w:bookmarkEnd w:id="76"/>
    <w:bookmarkStart w:id="77" w:name="suorituskyky"/>
    <w:p>
      <w:pPr>
        <w:pStyle w:val="Heading3"/>
      </w:pPr>
      <w:r>
        <w:t xml:space="preserve">4.8.3 Suorituskyky</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Tulos</w:t>
            </w:r>
          </w:p>
        </w:tc>
      </w:tr>
      <w:tr>
        <w:tc>
          <w:tcPr/>
          <w:p>
            <w:pPr>
              <w:pStyle w:val="Compact"/>
              <w:jc w:val="left"/>
            </w:pPr>
            <w:r>
              <w:rPr>
                <w:bCs/>
                <w:b/>
              </w:rPr>
              <w:t xml:space="preserve">Sivun latausaika</w:t>
            </w:r>
          </w:p>
        </w:tc>
        <w:tc>
          <w:tcPr/>
          <w:p>
            <w:pPr>
              <w:pStyle w:val="Compact"/>
              <w:jc w:val="left"/>
            </w:pPr>
            <w:r>
              <w:t xml:space="preserve">&lt;1s</w:t>
            </w:r>
          </w:p>
        </w:tc>
        <w:tc>
          <w:tcPr/>
          <w:p>
            <w:pPr>
              <w:pStyle w:val="Compact"/>
              <w:jc w:val="left"/>
            </w:pPr>
            <w:r>
              <w:t xml:space="preserve">0,8s</w:t>
            </w:r>
          </w:p>
        </w:tc>
      </w:tr>
      <w:tr>
        <w:tc>
          <w:tcPr/>
          <w:p>
            <w:pPr>
              <w:pStyle w:val="Compact"/>
              <w:jc w:val="left"/>
            </w:pPr>
            <w:r>
              <w:rPr>
                <w:bCs/>
                <w:b/>
              </w:rPr>
              <w:t xml:space="preserve">Käytettävyys</w:t>
            </w:r>
          </w:p>
        </w:tc>
        <w:tc>
          <w:tcPr/>
          <w:p>
            <w:pPr>
              <w:pStyle w:val="Compact"/>
              <w:jc w:val="left"/>
            </w:pPr>
            <w:r>
              <w:t xml:space="preserve">99,9%</w:t>
            </w:r>
          </w:p>
        </w:tc>
        <w:tc>
          <w:tcPr/>
          <w:p>
            <w:pPr>
              <w:pStyle w:val="Compact"/>
              <w:jc w:val="left"/>
            </w:pPr>
            <w:r>
              <w:t xml:space="preserve">99,95%</w:t>
            </w:r>
          </w:p>
        </w:tc>
      </w:tr>
      <w:tr>
        <w:tc>
          <w:tcPr/>
          <w:p>
            <w:pPr>
              <w:pStyle w:val="Compact"/>
              <w:jc w:val="left"/>
            </w:pPr>
            <w:r>
              <w:rPr>
                <w:bCs/>
                <w:b/>
              </w:rPr>
              <w:t xml:space="preserve">SSL-taso</w:t>
            </w:r>
          </w:p>
        </w:tc>
        <w:tc>
          <w:tcPr/>
          <w:p>
            <w:pPr>
              <w:pStyle w:val="Compact"/>
              <w:jc w:val="left"/>
            </w:pPr>
            <w:r>
              <w:t xml:space="preserve">A+</w:t>
            </w:r>
          </w:p>
        </w:tc>
        <w:tc>
          <w:tcPr/>
          <w:p>
            <w:pPr>
              <w:pStyle w:val="Compact"/>
              <w:jc w:val="left"/>
            </w:pPr>
            <w:r>
              <w:t xml:space="preserve">A+</w:t>
            </w:r>
          </w:p>
        </w:tc>
      </w:tr>
      <w:tr>
        <w:tc>
          <w:tcPr/>
          <w:p>
            <w:pPr>
              <w:pStyle w:val="Compact"/>
              <w:jc w:val="left"/>
            </w:pPr>
            <w:r>
              <w:rPr>
                <w:bCs/>
                <w:b/>
              </w:rPr>
              <w:t xml:space="preserve">Kokonaiskustannus</w:t>
            </w:r>
          </w:p>
        </w:tc>
        <w:tc>
          <w:tcPr/>
          <w:p>
            <w:pPr>
              <w:pStyle w:val="Compact"/>
              <w:jc w:val="left"/>
            </w:pPr>
            <w:r>
              <w:t xml:space="preserve">€0/kk</w:t>
            </w:r>
          </w:p>
        </w:tc>
        <w:tc>
          <w:tcPr/>
          <w:p>
            <w:pPr>
              <w:pStyle w:val="Compact"/>
              <w:jc w:val="left"/>
            </w:pPr>
            <w:r>
              <w:t xml:space="preserve">€0/kk</w:t>
            </w:r>
          </w:p>
        </w:tc>
      </w:tr>
    </w:tbl>
    <w:p>
      <w:r>
        <w:pict>
          <v:rect style="width:0;height:1.5pt" o:hralign="center" o:hrstd="t" o:hr="t"/>
        </w:pict>
      </w:r>
    </w:p>
    <w:bookmarkEnd w:id="77"/>
    <w:bookmarkEnd w:id="78"/>
    <w:bookmarkEnd w:id="79"/>
    <w:bookmarkStart w:id="87" w:name="toteutus-mvp-vaihe"/>
    <w:p>
      <w:pPr>
        <w:pStyle w:val="Heading1"/>
      </w:pPr>
      <w:r>
        <w:t xml:space="preserve">5. Toteutus (MVP-vaihe)</w:t>
      </w:r>
    </w:p>
    <w:p>
      <w:pPr>
        <w:pStyle w:val="FirstParagraph"/>
      </w:pPr>
      <w:r>
        <w:t xml:space="preserve">Tämä luku dokumentoi Firehorse-toimintamallin toteutuksen MVP-vaiheessa (joulukuu 2025 - helmikuu 2026).</w:t>
      </w:r>
    </w:p>
    <w:bookmarkStart w:id="82" w:name="infrastruktuurin-käyttöönotto"/>
    <w:p>
      <w:pPr>
        <w:pStyle w:val="Heading2"/>
      </w:pPr>
      <w:r>
        <w:t xml:space="preserve">5.1 Infrastruktuurin käyttöönotto</w:t>
      </w:r>
    </w:p>
    <w:bookmarkStart w:id="80" w:name="pilvi-infrastruktuuri"/>
    <w:p>
      <w:pPr>
        <w:pStyle w:val="Heading3"/>
      </w:pPr>
      <w:r>
        <w:t xml:space="preserve">5.1.1 Pilvi-infrastruktuuri</w:t>
      </w:r>
    </w:p>
    <w:p>
      <w:pPr>
        <w:pStyle w:val="FirstParagraph"/>
      </w:pPr>
      <w:r>
        <w:rPr>
          <w:bCs/>
          <w:b/>
        </w:rPr>
        <w:t xml:space="preserve">Google Cloud Run (europe-north1):</w:t>
      </w:r>
    </w:p>
    <w:p>
      <w:pPr>
        <w:numPr>
          <w:ilvl w:val="0"/>
          <w:numId w:val="1030"/>
        </w:numPr>
        <w:pStyle w:val="Compact"/>
      </w:pPr>
      <w:r>
        <w:t xml:space="preserve">MCP Hub käyttöön portissa 8765</w:t>
      </w:r>
    </w:p>
    <w:p>
      <w:pPr>
        <w:numPr>
          <w:ilvl w:val="0"/>
          <w:numId w:val="1030"/>
        </w:numPr>
        <w:pStyle w:val="Compact"/>
      </w:pPr>
      <w:r>
        <w:t xml:space="preserve">Supabase MCP Server portissa 8766</w:t>
      </w:r>
    </w:p>
    <w:p>
      <w:pPr>
        <w:numPr>
          <w:ilvl w:val="0"/>
          <w:numId w:val="1030"/>
        </w:numPr>
        <w:pStyle w:val="Compact"/>
      </w:pPr>
      <w:r>
        <w:t xml:space="preserve">FastAPI-pohjainen Groq API Router</w:t>
      </w:r>
    </w:p>
    <w:p>
      <w:pPr>
        <w:numPr>
          <w:ilvl w:val="0"/>
          <w:numId w:val="1030"/>
        </w:numPr>
        <w:pStyle w:val="Compact"/>
      </w:pPr>
      <w:r>
        <w:t xml:space="preserve">Automaattinen skaalaus ja GDPR-yhteensopiva datan sijainti</w:t>
      </w:r>
    </w:p>
    <w:bookmarkEnd w:id="80"/>
    <w:bookmarkStart w:id="81" w:name="tietokanta-arkkitehtuuri"/>
    <w:p>
      <w:pPr>
        <w:pStyle w:val="Heading3"/>
      </w:pPr>
      <w:r>
        <w:t xml:space="preserve">5.1.2 Tietokanta-arkkitehtuuri</w:t>
      </w:r>
    </w:p>
    <w:p>
      <w:pPr>
        <w:pStyle w:val="FirstParagraph"/>
      </w:pPr>
      <w:r>
        <w:rPr>
          <w:bCs/>
          <w:b/>
        </w:rPr>
        <w:t xml:space="preserve">Supabase PostgreSQL + pgvector:</w:t>
      </w:r>
    </w:p>
    <w:p>
      <w:pPr>
        <w:numPr>
          <w:ilvl w:val="0"/>
          <w:numId w:val="1031"/>
        </w:numPr>
        <w:pStyle w:val="Compact"/>
      </w:pPr>
      <w:r>
        <w:t xml:space="preserve">Käyttäjät ja Organisaatiot -taulut RLS-politiikoilla</w:t>
      </w:r>
    </w:p>
    <w:p>
      <w:pPr>
        <w:numPr>
          <w:ilvl w:val="0"/>
          <w:numId w:val="1031"/>
        </w:numPr>
        <w:pStyle w:val="Compact"/>
      </w:pPr>
      <w:r>
        <w:t xml:space="preserve">Agenttimuisti ja keskustelujen tallennus</w:t>
      </w:r>
    </w:p>
    <w:p>
      <w:pPr>
        <w:numPr>
          <w:ilvl w:val="0"/>
          <w:numId w:val="1031"/>
        </w:numPr>
        <w:pStyle w:val="Compact"/>
      </w:pPr>
      <w:r>
        <w:t xml:space="preserve">Vektoriupotukset semanttiseen hakuun</w:t>
      </w:r>
    </w:p>
    <w:bookmarkEnd w:id="81"/>
    <w:bookmarkEnd w:id="82"/>
    <w:bookmarkStart w:id="84" w:name="agenttikehitys"/>
    <w:p>
      <w:pPr>
        <w:pStyle w:val="Heading2"/>
      </w:pPr>
      <w:r>
        <w:t xml:space="preserve">5.2 Agenttikehitys</w:t>
      </w:r>
    </w:p>
    <w:p>
      <w:pPr>
        <w:pStyle w:val="FirstParagraph"/>
      </w:pPr>
      <w:r>
        <w:t xml:space="preserve">10 agentin kehityslaivastoa koordinoidaan Lifetime Scope Signals -protokollalla:</w:t>
      </w:r>
    </w:p>
    <w:p>
      <w:pPr>
        <w:pStyle w:val="BodyText"/>
      </w:pPr>
      <w:r>
        <w:rPr>
          <w:bCs/>
          <w:b/>
        </w:rPr>
        <w:t xml:space="preserve">Vaihe 1 (Perusta):</w:t>
      </w:r>
      <w:r>
        <w:t xml:space="preserve"> </w:t>
      </w:r>
      <w:r>
        <w:t xml:space="preserve">Agent-01: DWS IQ Login, Agent-07: Supabase Database, Agent-10: Dokumentaatio</w:t>
      </w:r>
    </w:p>
    <w:p>
      <w:pPr>
        <w:pStyle w:val="BodyText"/>
      </w:pPr>
      <w:r>
        <w:rPr>
          <w:bCs/>
          <w:b/>
        </w:rPr>
        <w:t xml:space="preserve">Vaihe 2 (Ydinbackend):</w:t>
      </w:r>
      <w:r>
        <w:t xml:space="preserve"> </w:t>
      </w:r>
      <w:r>
        <w:t xml:space="preserve">Agent-02: Firehorse Apps, Agent-04: AI Agents, Agent-09: Sähköpostijärjestelmä</w:t>
      </w:r>
    </w:p>
    <w:p>
      <w:pPr>
        <w:pStyle w:val="BodyText"/>
      </w:pPr>
      <w:r>
        <w:rPr>
          <w:bCs/>
          <w:b/>
        </w:rPr>
        <w:t xml:space="preserve">Vaihe 3 (Frontend):</w:t>
      </w:r>
      <w:r>
        <w:t xml:space="preserve"> </w:t>
      </w:r>
      <w:r>
        <w:t xml:space="preserve">Agent-03: Asiakaskoontinäyttö, Agent-05: Mobiilikoontinäyttö</w:t>
      </w:r>
    </w:p>
    <w:bookmarkStart w:id="83" w:name="X1544742af97dd813e2006941ff5d1f53bae26a6"/>
    <w:p>
      <w:pPr>
        <w:pStyle w:val="Heading3"/>
      </w:pPr>
      <w:r>
        <w:t xml:space="preserve">5.2.1 Merkkipaalu: Agentit → Silmukat → Työnkulut (kesäkuu 2026)</w:t>
      </w:r>
    </w:p>
    <w:p>
      <w:pPr>
        <w:pStyle w:val="FirstParagraph"/>
      </w:pPr>
      <w:r>
        <w:t xml:space="preserve">Kesäkuussa 2026 DWS6-alusta saavutti kolmen rakenteellisen kerroksen täydellisen tuotantokäyttöön ottamisen:</w:t>
      </w:r>
    </w:p>
    <w:p>
      <w:pPr>
        <w:pStyle w:val="BodyText"/>
      </w:pPr>
      <w:r>
        <w:rPr>
          <w:bCs/>
          <w:b/>
        </w:rPr>
        <w:t xml:space="preserve">Taso 1 — Agentit (perusta)</w:t>
      </w:r>
    </w:p>
    <w:p>
      <w:pPr>
        <w:pStyle w:val="BodyText"/>
      </w:pPr>
      <w:r>
        <w:t xml:space="preserve">Tuotantoflottaan kuuluu 50 Skilled Agentia, jotka kaikki laajentavat</w:t>
      </w:r>
      <w:r>
        <w:t xml:space="preserve"> </w:t>
      </w:r>
      <w:r>
        <w:rPr>
          <w:rStyle w:val="VerbatimChar"/>
        </w:rPr>
        <w:t xml:space="preserve">BaseAgent</w:t>
      </w:r>
      <w:r>
        <w:t xml:space="preserve">-luokkaa ja noudattavat kirjanpitonatiivista tulossopimusta (Firehorse 7 -standardi). Jokainen agentti tuottaa rakenteisen</w:t>
      </w:r>
      <w:r>
        <w:t xml:space="preserve"> </w:t>
      </w:r>
      <w:r>
        <w:rPr>
          <w:rStyle w:val="VerbatimChar"/>
        </w:rPr>
        <w:t xml:space="preserve">journalEntries</w:t>
      </w:r>
      <w:r>
        <w:t xml:space="preserve">-ulostulon,</w:t>
      </w:r>
      <w:r>
        <w:t xml:space="preserve"> </w:t>
      </w:r>
      <w:r>
        <w:rPr>
          <w:rStyle w:val="VerbatimChar"/>
        </w:rPr>
        <w:t xml:space="preserve">regulatoryArtifact</w:t>
      </w:r>
      <w:r>
        <w:t xml:space="preserve">-paketin vaatimustenmukaisuusdokumentaatiota varten ja</w:t>
      </w:r>
      <w:r>
        <w:t xml:space="preserve"> </w:t>
      </w:r>
      <w:r>
        <w:rPr>
          <w:rStyle w:val="VerbatimChar"/>
        </w:rPr>
        <w:t xml:space="preserve">lineage</w:t>
      </w:r>
      <w:r>
        <w:t xml:space="preserve">-ketjun auditointijäljitettävyyttä varten. Flotta koostuu kuudesta Skilled Agent -orkestroijasta sekä 20:stä Industrial Specialist Agentista, joissa on yksi kutakin EU:n säädeltyjä toimialoja varten.</w:t>
      </w:r>
    </w:p>
    <w:p>
      <w:pPr>
        <w:pStyle w:val="BodyText"/>
      </w:pPr>
      <w:r>
        <w:rPr>
          <w:bCs/>
          <w:b/>
        </w:rPr>
        <w:t xml:space="preserve">Taso 2 — Silmukat (toimitettu 8.6.2026)</w:t>
      </w:r>
    </w:p>
    <w:p>
      <w:pPr>
        <w:pStyle w:val="BodyText"/>
      </w:pPr>
      <w:r>
        <w:t xml:space="preserve">Loop Engineering toteutettiin pull requestilla #1447 (commit</w:t>
      </w:r>
      <w:r>
        <w:t xml:space="preserve"> </w:t>
      </w:r>
      <w:r>
        <w:rPr>
          <w:rStyle w:val="VerbatimChar"/>
        </w:rPr>
        <w:t xml:space="preserve">d34876a</w:t>
      </w:r>
      <w:r>
        <w:t xml:space="preserve">) ja toimitettiin 8. kesäkuuta 2026. Toteutus (</w:t>
      </w:r>
      <w:r>
        <w:rPr>
          <w:rStyle w:val="VerbatimChar"/>
        </w:rPr>
        <w:t xml:space="preserve">src/agents/loop-engineering/</w:t>
      </w:r>
      <w:r>
        <w:t xml:space="preserve">) toteuttaa Tekijä–Tarkastaja-syklin (Maker–Checker), jossa on levylle tallennettu tila, budjettipuolusti (lopettaa ennen taloudellista ylikuormitusta), turvallisuuspuolusti (estää EU AI Actin 12/14/15-artiklojen rikkomukset) ja jatkettavuus (toimintakierrokset palautuvat tietyllä tarkistuspisteeltä). Silmukoilla mahdollistetaan itsekorjaava automaatio valvotuissa liiketoimintaprosesseissa.</w:t>
      </w:r>
    </w:p>
    <w:p>
      <w:pPr>
        <w:pStyle w:val="BodyText"/>
      </w:pPr>
      <w:r>
        <w:rPr>
          <w:bCs/>
          <w:b/>
        </w:rPr>
        <w:t xml:space="preserve">Taso 3 — Työnkulut (live)</w:t>
      </w:r>
    </w:p>
    <w:p>
      <w:pPr>
        <w:pStyle w:val="BodyText"/>
      </w:pPr>
      <w:r>
        <w:t xml:space="preserve">Moniagenttinen orkestrointi on käytössä</w:t>
      </w:r>
      <w:r>
        <w:t xml:space="preserve"> </w:t>
      </w:r>
      <w:r>
        <w:rPr>
          <w:rStyle w:val="VerbatimChar"/>
        </w:rPr>
        <w:t xml:space="preserve">/workflow</w:t>
      </w:r>
      <w:r>
        <w:t xml:space="preserve">-taidon,</w:t>
      </w:r>
      <w:r>
        <w:t xml:space="preserve"> </w:t>
      </w:r>
      <w:r>
        <w:rPr>
          <w:rStyle w:val="VerbatimChar"/>
        </w:rPr>
        <w:t xml:space="preserve">src/agents/workflow/</w:t>
      </w:r>
      <w:r>
        <w:t xml:space="preserve">-orkestroijien ja MCP Hub -integraation kautta. Tuetut kuviot: fan-out (rinnakkainen useiden erikoistuneiden agenttien kutsu), peräkkäinen (vaiheistettu orkestraatio tilasiirroilla) ja reflektio (agentin itsearviointi varmistussilmukoiden kautta). Työnkulut mahdollistavat monimutkaiset, monivaiheinen vaatimustenmukaisuusprosessit yhdellä käyttäjän aloitteella.</w:t>
      </w:r>
    </w:p>
    <w:p>
      <w:pPr>
        <w:pStyle w:val="BodyText"/>
      </w:pPr>
      <w:r>
        <w:rPr>
          <w:bCs/>
          <w:b/>
        </w:rPr>
        <w:t xml:space="preserve">Yhteenveto:</w:t>
      </w:r>
    </w:p>
    <w:tbl>
      <w:tblPr>
        <w:tblStyle w:val="Table"/>
        <w:tblW w:type="pct" w:w="5000"/>
        <w:tblLook w:firstRow="1" w:lastRow="0" w:firstColumn="0" w:lastColumn="0" w:noHBand="0" w:noVBand="0" w:val="0020"/>
        <w:jc w:val="start"/>
      </w:tblPr>
      <w:tblGrid>
        <w:gridCol w:w="705"/>
        <w:gridCol w:w="5567"/>
        <w:gridCol w:w="862"/>
        <w:gridCol w:w="784"/>
      </w:tblGrid>
      <w:tr>
        <w:trPr>
          <w:tblHeader w:val="true"/>
        </w:trPr>
        <w:tc>
          <w:tcPr/>
          <w:p>
            <w:pPr>
              <w:pStyle w:val="Compact"/>
              <w:jc w:val="left"/>
            </w:pPr>
            <w:r>
              <w:t xml:space="preserve">Taso</w:t>
            </w:r>
          </w:p>
        </w:tc>
        <w:tc>
          <w:tcPr/>
          <w:p>
            <w:pPr>
              <w:pStyle w:val="Compact"/>
              <w:jc w:val="left"/>
            </w:pPr>
            <w:r>
              <w:t xml:space="preserve">Komponentti</w:t>
            </w:r>
          </w:p>
        </w:tc>
        <w:tc>
          <w:tcPr/>
          <w:p>
            <w:pPr>
              <w:pStyle w:val="Compact"/>
              <w:jc w:val="left"/>
            </w:pPr>
            <w:r>
              <w:t xml:space="preserve">Tila</w:t>
            </w:r>
          </w:p>
        </w:tc>
        <w:tc>
          <w:tcPr/>
          <w:p>
            <w:pPr>
              <w:pStyle w:val="Compact"/>
              <w:jc w:val="left"/>
            </w:pPr>
            <w:r>
              <w:t xml:space="preserve">Toimitettu</w:t>
            </w:r>
          </w:p>
        </w:tc>
      </w:tr>
      <w:tr>
        <w:tc>
          <w:tcPr/>
          <w:p>
            <w:pPr>
              <w:pStyle w:val="Compact"/>
              <w:jc w:val="left"/>
            </w:pPr>
            <w:r>
              <w:t xml:space="preserve">Agentit</w:t>
            </w:r>
          </w:p>
        </w:tc>
        <w:tc>
          <w:tcPr/>
          <w:p>
            <w:pPr>
              <w:pStyle w:val="Compact"/>
              <w:jc w:val="left"/>
            </w:pPr>
            <w:r>
              <w:t xml:space="preserve">50 tuotanto-Skilled Agentia (BaseAgent, kirjanpitonatiivinen)</w:t>
            </w:r>
          </w:p>
        </w:tc>
        <w:tc>
          <w:tcPr/>
          <w:p>
            <w:pPr>
              <w:pStyle w:val="Compact"/>
              <w:jc w:val="left"/>
            </w:pPr>
            <w:r>
              <w:t xml:space="preserve">Tuotannossa</w:t>
            </w:r>
          </w:p>
        </w:tc>
        <w:tc>
          <w:tcPr/>
          <w:p>
            <w:pPr>
              <w:pStyle w:val="Compact"/>
              <w:jc w:val="left"/>
            </w:pPr>
            <w:r>
              <w:t xml:space="preserve">2025–2026</w:t>
            </w:r>
          </w:p>
        </w:tc>
      </w:tr>
      <w:tr>
        <w:tc>
          <w:tcPr/>
          <w:p>
            <w:pPr>
              <w:pStyle w:val="Compact"/>
              <w:jc w:val="left"/>
            </w:pPr>
            <w:r>
              <w:t xml:space="preserve">Silmukat</w:t>
            </w:r>
          </w:p>
        </w:tc>
        <w:tc>
          <w:tcPr/>
          <w:p>
            <w:pPr>
              <w:pStyle w:val="Compact"/>
              <w:jc w:val="left"/>
            </w:pPr>
            <w:r>
              <w:t xml:space="preserve">Loop Engineering — Tekijä–Tarkastaja, budjetti- ja turvallisuuspuolusti</w:t>
            </w:r>
          </w:p>
        </w:tc>
        <w:tc>
          <w:tcPr/>
          <w:p>
            <w:pPr>
              <w:pStyle w:val="Compact"/>
              <w:jc w:val="left"/>
            </w:pPr>
            <w:r>
              <w:t xml:space="preserve">Toimitettu</w:t>
            </w:r>
          </w:p>
        </w:tc>
        <w:tc>
          <w:tcPr/>
          <w:p>
            <w:pPr>
              <w:pStyle w:val="Compact"/>
              <w:jc w:val="left"/>
            </w:pPr>
            <w:r>
              <w:t xml:space="preserve">8.6.2026</w:t>
            </w:r>
          </w:p>
        </w:tc>
      </w:tr>
      <w:tr>
        <w:tc>
          <w:tcPr/>
          <w:p>
            <w:pPr>
              <w:pStyle w:val="Compact"/>
              <w:jc w:val="left"/>
            </w:pPr>
            <w:r>
              <w:t xml:space="preserve">Työnkulut</w:t>
            </w:r>
          </w:p>
        </w:tc>
        <w:tc>
          <w:tcPr/>
          <w:p>
            <w:pPr>
              <w:pStyle w:val="Compact"/>
              <w:jc w:val="left"/>
            </w:pPr>
            <w:r>
              <w:t xml:space="preserve">MCP Hub — fan-out / peräkkäinen / reflektio</w:t>
            </w:r>
          </w:p>
        </w:tc>
        <w:tc>
          <w:tcPr/>
          <w:p>
            <w:pPr>
              <w:pStyle w:val="Compact"/>
              <w:jc w:val="left"/>
            </w:pPr>
            <w:r>
              <w:t xml:space="preserve">Tuotannossa</w:t>
            </w:r>
          </w:p>
        </w:tc>
        <w:tc>
          <w:tcPr/>
          <w:p>
            <w:pPr>
              <w:pStyle w:val="Compact"/>
              <w:jc w:val="left"/>
            </w:pPr>
            <w:r>
              <w:t xml:space="preserve">2025–2026</w:t>
            </w:r>
          </w:p>
        </w:tc>
      </w:tr>
    </w:tbl>
    <w:p>
      <w:pPr>
        <w:pStyle w:val="BodyText"/>
      </w:pPr>
      <w:r>
        <w:t xml:space="preserve">Kolmen kerroksen malli on DWS IQ 6:n toteutusstrategian ydintulos tässä opinnäytetyössä dokumentoidulla ajanjaksolla.</w:t>
      </w:r>
    </w:p>
    <w:bookmarkEnd w:id="83"/>
    <w:bookmarkEnd w:id="84"/>
    <w:bookmarkStart w:id="85" w:name="asiakkaiden-perehdytys"/>
    <w:p>
      <w:pPr>
        <w:pStyle w:val="Heading2"/>
      </w:pPr>
      <w:r>
        <w:t xml:space="preserve">5.3 Asiakkaiden perehdytys</w:t>
      </w:r>
    </w:p>
    <w:p>
      <w:pPr>
        <w:pStyle w:val="FirstParagraph"/>
      </w:pPr>
      <w:r>
        <w:rPr>
          <w:bCs/>
          <w:b/>
        </w:rPr>
        <w:t xml:space="preserve">Pilottiasiakkaat (Validoitu):</w:t>
      </w:r>
    </w:p>
    <w:p>
      <w:pPr>
        <w:numPr>
          <w:ilvl w:val="0"/>
          <w:numId w:val="1032"/>
        </w:numPr>
        <w:pStyle w:val="Compact"/>
      </w:pPr>
      <w:r>
        <w:rPr>
          <w:bCs/>
          <w:b/>
        </w:rPr>
        <w:t xml:space="preserve">Logistiikka:</w:t>
      </w:r>
      <w:r>
        <w:t xml:space="preserve"> </w:t>
      </w:r>
      <w:r>
        <w:t xml:space="preserve">Uber Taksi Helsinki, Bolt (Eurooppa), Kela</w:t>
      </w:r>
    </w:p>
    <w:p>
      <w:pPr>
        <w:numPr>
          <w:ilvl w:val="0"/>
          <w:numId w:val="1032"/>
        </w:numPr>
        <w:pStyle w:val="Compact"/>
      </w:pPr>
      <w:r>
        <w:rPr>
          <w:bCs/>
          <w:b/>
        </w:rPr>
        <w:t xml:space="preserve">Rakentaminen:</w:t>
      </w:r>
      <w:r>
        <w:t xml:space="preserve"> </w:t>
      </w:r>
      <w:r>
        <w:t xml:space="preserve">NCC, T2H (5 projektia, €50M salkku)</w:t>
      </w:r>
    </w:p>
    <w:p>
      <w:pPr>
        <w:numPr>
          <w:ilvl w:val="0"/>
          <w:numId w:val="1032"/>
        </w:numPr>
        <w:pStyle w:val="Compact"/>
      </w:pPr>
      <w:r>
        <w:rPr>
          <w:bCs/>
          <w:b/>
        </w:rPr>
        <w:t xml:space="preserve">Liikevaihto pilotin aikana:</w:t>
      </w:r>
      <w:r>
        <w:t xml:space="preserve"> </w:t>
      </w:r>
      <w:r>
        <w:t xml:space="preserve">€10k MRR</w:t>
      </w:r>
    </w:p>
    <w:bookmarkEnd w:id="85"/>
    <w:bookmarkStart w:id="86" w:name="toteutuksen-tulokset"/>
    <w:p>
      <w:pPr>
        <w:pStyle w:val="Heading2"/>
      </w:pPr>
      <w:r>
        <w:t xml:space="preserve">5.4 Toteutuksen tulokset</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Mittari</w:t>
            </w:r>
          </w:p>
        </w:tc>
        <w:tc>
          <w:tcPr/>
          <w:p>
            <w:pPr>
              <w:pStyle w:val="Compact"/>
              <w:jc w:val="left"/>
            </w:pPr>
            <w:r>
              <w:t xml:space="preserve">Tavoite</w:t>
            </w:r>
          </w:p>
        </w:tc>
        <w:tc>
          <w:tcPr/>
          <w:p>
            <w:pPr>
              <w:pStyle w:val="Compact"/>
              <w:jc w:val="left"/>
            </w:pPr>
            <w:r>
              <w:t xml:space="preserve">Toteutunut</w:t>
            </w:r>
          </w:p>
        </w:tc>
      </w:tr>
      <w:tr>
        <w:tc>
          <w:tcPr/>
          <w:p>
            <w:pPr>
              <w:pStyle w:val="Compact"/>
              <w:jc w:val="left"/>
            </w:pPr>
            <w:r>
              <w:t xml:space="preserve">Kehitysnopeus</w:t>
            </w:r>
          </w:p>
        </w:tc>
        <w:tc>
          <w:tcPr/>
          <w:p>
            <w:pPr>
              <w:pStyle w:val="Compact"/>
              <w:jc w:val="left"/>
            </w:pPr>
            <w:r>
              <w:t xml:space="preserve">+50%</w:t>
            </w:r>
          </w:p>
        </w:tc>
        <w:tc>
          <w:tcPr/>
          <w:p>
            <w:pPr>
              <w:pStyle w:val="Compact"/>
              <w:jc w:val="left"/>
            </w:pPr>
            <w:r>
              <w:t xml:space="preserve">+62% (MCP Hubilla)</w:t>
            </w:r>
          </w:p>
        </w:tc>
      </w:tr>
      <w:tr>
        <w:tc>
          <w:tcPr/>
          <w:p>
            <w:pPr>
              <w:pStyle w:val="Compact"/>
              <w:jc w:val="left"/>
            </w:pPr>
            <w:r>
              <w:t xml:space="preserve">Virhevähennys</w:t>
            </w:r>
          </w:p>
        </w:tc>
        <w:tc>
          <w:tcPr/>
          <w:p>
            <w:pPr>
              <w:pStyle w:val="Compact"/>
              <w:jc w:val="left"/>
            </w:pPr>
            <w:r>
              <w:t xml:space="preserve">-50%</w:t>
            </w:r>
          </w:p>
        </w:tc>
        <w:tc>
          <w:tcPr/>
          <w:p>
            <w:pPr>
              <w:pStyle w:val="Compact"/>
              <w:jc w:val="left"/>
            </w:pPr>
            <w:r>
              <w:t xml:space="preserve">-73%</w:t>
            </w:r>
          </w:p>
        </w:tc>
      </w:tr>
      <w:tr>
        <w:tc>
          <w:tcPr/>
          <w:p>
            <w:pPr>
              <w:pStyle w:val="Compact"/>
              <w:jc w:val="left"/>
            </w:pPr>
            <w:r>
              <w:t xml:space="preserve">Aika ensimmäiseen asiakkaaseen</w:t>
            </w:r>
          </w:p>
        </w:tc>
        <w:tc>
          <w:tcPr/>
          <w:p>
            <w:pPr>
              <w:pStyle w:val="Compact"/>
              <w:jc w:val="left"/>
            </w:pPr>
            <w:r>
              <w:t xml:space="preserve">60 päivää</w:t>
            </w:r>
          </w:p>
        </w:tc>
        <w:tc>
          <w:tcPr/>
          <w:p>
            <w:pPr>
              <w:pStyle w:val="Compact"/>
              <w:jc w:val="left"/>
            </w:pPr>
            <w:r>
              <w:t xml:space="preserve">45 päivää</w:t>
            </w:r>
          </w:p>
        </w:tc>
      </w:tr>
      <w:tr>
        <w:tc>
          <w:tcPr/>
          <w:p>
            <w:pPr>
              <w:pStyle w:val="Compact"/>
              <w:jc w:val="left"/>
            </w:pPr>
            <w:r>
              <w:t xml:space="preserve">Agentin käyttöönottoaika</w:t>
            </w:r>
          </w:p>
        </w:tc>
        <w:tc>
          <w:tcPr/>
          <w:p>
            <w:pPr>
              <w:pStyle w:val="Compact"/>
              <w:jc w:val="left"/>
            </w:pPr>
            <w:r>
              <w:t xml:space="preserve">7 päivää</w:t>
            </w:r>
          </w:p>
        </w:tc>
        <w:tc>
          <w:tcPr/>
          <w:p>
            <w:pPr>
              <w:pStyle w:val="Compact"/>
              <w:jc w:val="left"/>
            </w:pPr>
            <w:r>
              <w:t xml:space="preserve">3 päivää (malleilla)</w:t>
            </w:r>
          </w:p>
        </w:tc>
      </w:tr>
    </w:tbl>
    <w:p>
      <w:r>
        <w:pict>
          <v:rect style="width:0;height:1.5pt" o:hralign="center" o:hrstd="t" o:hr="t"/>
        </w:pict>
      </w:r>
    </w:p>
    <w:bookmarkEnd w:id="86"/>
    <w:bookmarkEnd w:id="87"/>
    <w:bookmarkStart w:id="102" w:name="dws10.com-verkkokaupan-integraatio"/>
    <w:p>
      <w:pPr>
        <w:pStyle w:val="Heading1"/>
      </w:pPr>
      <w:r>
        <w:t xml:space="preserve">6. DWS10.com-verkkokaupan integraatio</w:t>
      </w:r>
    </w:p>
    <w:bookmarkStart w:id="88" w:name="kaupan-arkkitehtuuri"/>
    <w:p>
      <w:pPr>
        <w:pStyle w:val="Heading2"/>
      </w:pPr>
      <w:r>
        <w:t xml:space="preserve">6.1 Kaupan arkkitehtuuri</w:t>
      </w:r>
    </w:p>
    <w:p>
      <w:pPr>
        <w:pStyle w:val="FirstParagraph"/>
      </w:pPr>
      <w:r>
        <w:t xml:space="preserve">DWS10.com-kauppa validoi Firehorse-toimintamallin suoramyynnin kautta:</w:t>
      </w:r>
    </w:p>
    <w:p>
      <w:pPr>
        <w:pStyle w:val="SourceCode"/>
      </w:pPr>
      <w:r>
        <w:rPr>
          <w:rStyle w:val="VerbatimChar"/>
        </w:rPr>
        <w:t xml:space="preserve">dws10.com/</w:t>
      </w:r>
      <w:r>
        <w:br/>
      </w:r>
      <w:r>
        <w:rPr>
          <w:rStyle w:val="VerbatimChar"/>
        </w:rPr>
        <w:t xml:space="preserve">├── buy/                    # Kauppasivut</w:t>
      </w:r>
      <w:r>
        <w:br/>
      </w:r>
      <w:r>
        <w:rPr>
          <w:rStyle w:val="VerbatimChar"/>
        </w:rPr>
        <w:t xml:space="preserve">│   ├── index.html         # Pääkauppa (Sivu 1)</w:t>
      </w:r>
      <w:r>
        <w:br/>
      </w:r>
      <w:r>
        <w:rPr>
          <w:rStyle w:val="VerbatimChar"/>
        </w:rPr>
        <w:t xml:space="preserve">│   ├── page2/index.html   # Lisätuotteet (Sivu 2)</w:t>
      </w:r>
      <w:r>
        <w:br/>
      </w:r>
      <w:r>
        <w:rPr>
          <w:rStyle w:val="VerbatimChar"/>
        </w:rPr>
        <w:t xml:space="preserve">│   └── page3/index.html   # Konsultointi &amp; Koulutus (Sivu 3)</w:t>
      </w:r>
      <w:r>
        <w:br/>
      </w:r>
      <w:r>
        <w:rPr>
          <w:rStyle w:val="VerbatimChar"/>
        </w:rPr>
        <w:t xml:space="preserve">├── config/</w:t>
      </w:r>
      <w:r>
        <w:br/>
      </w:r>
      <w:r>
        <w:rPr>
          <w:rStyle w:val="VerbatimChar"/>
        </w:rPr>
        <w:t xml:space="preserve">│   └── products.json      # Keskitetty tuotekatalogi (30 tuotetta)</w:t>
      </w:r>
      <w:r>
        <w:br/>
      </w:r>
      <w:r>
        <w:rPr>
          <w:rStyle w:val="VerbatimChar"/>
        </w:rPr>
        <w:t xml:space="preserve">├── feeds/</w:t>
      </w:r>
      <w:r>
        <w:br/>
      </w:r>
      <w:r>
        <w:rPr>
          <w:rStyle w:val="VerbatimChar"/>
        </w:rPr>
        <w:t xml:space="preserve">│   ├── generate-feed.cjs  # Node.js-syötegeneraattori</w:t>
      </w:r>
      <w:r>
        <w:br/>
      </w:r>
      <w:r>
        <w:rPr>
          <w:rStyle w:val="VerbatimChar"/>
        </w:rPr>
        <w:t xml:space="preserve">│   └── google-products.xml # Google Merchant -syöte</w:t>
      </w:r>
      <w:r>
        <w:br/>
      </w:r>
      <w:r>
        <w:rPr>
          <w:rStyle w:val="VerbatimChar"/>
        </w:rPr>
        <w:t xml:space="preserve">├── return-policy/</w:t>
      </w:r>
      <w:r>
        <w:br/>
      </w:r>
      <w:r>
        <w:rPr>
          <w:rStyle w:val="VerbatimChar"/>
        </w:rPr>
        <w:t xml:space="preserve">│   └── index.html         # Palautuskäytäntö (Googlen vaatimus)</w:t>
      </w:r>
      <w:r>
        <w:br/>
      </w:r>
      <w:r>
        <w:rPr>
          <w:rStyle w:val="VerbatimChar"/>
        </w:rPr>
        <w:t xml:space="preserve">└── docs/                   # Dokumentaatio</w:t>
      </w:r>
    </w:p>
    <w:bookmarkEnd w:id="88"/>
    <w:bookmarkStart w:id="89" w:name="tuotekatalogi"/>
    <w:p>
      <w:pPr>
        <w:pStyle w:val="Heading2"/>
      </w:pPr>
      <w:r>
        <w:t xml:space="preserve">6.2 Tuotekatalogi</w:t>
      </w:r>
    </w:p>
    <w:tbl>
      <w:tblPr>
        <w:tblStyle w:val="Table"/>
        <w:tblW w:type="pct" w:w="5000"/>
        <w:tblLook w:firstRow="1" w:lastRow="0" w:firstColumn="0" w:lastColumn="0" w:noHBand="0" w:noVBand="0" w:val="0020"/>
        <w:jc w:val="start"/>
      </w:tblPr>
      <w:tblGrid>
        <w:gridCol w:w="2079"/>
        <w:gridCol w:w="792"/>
        <w:gridCol w:w="1386"/>
        <w:gridCol w:w="3663"/>
      </w:tblGrid>
      <w:tr>
        <w:trPr>
          <w:tblHeader w:val="true"/>
        </w:trPr>
        <w:tc>
          <w:tcPr/>
          <w:p>
            <w:pPr>
              <w:pStyle w:val="Compact"/>
              <w:jc w:val="left"/>
            </w:pPr>
            <w:r>
              <w:t xml:space="preserve">Kategoria</w:t>
            </w:r>
          </w:p>
        </w:tc>
        <w:tc>
          <w:tcPr/>
          <w:p>
            <w:pPr>
              <w:pStyle w:val="Compact"/>
              <w:jc w:val="left"/>
            </w:pPr>
            <w:r>
              <w:t xml:space="preserve">Tuotteet</w:t>
            </w:r>
          </w:p>
        </w:tc>
        <w:tc>
          <w:tcPr/>
          <w:p>
            <w:pPr>
              <w:pStyle w:val="Compact"/>
              <w:jc w:val="left"/>
            </w:pPr>
            <w:r>
              <w:t xml:space="preserve">Hintaluokka</w:t>
            </w:r>
          </w:p>
        </w:tc>
        <w:tc>
          <w:tcPr/>
          <w:p>
            <w:pPr>
              <w:pStyle w:val="Compact"/>
              <w:jc w:val="left"/>
            </w:pPr>
            <w:r>
              <w:t xml:space="preserve">Esimerkit</w:t>
            </w:r>
          </w:p>
        </w:tc>
      </w:tr>
      <w:tr>
        <w:tc>
          <w:tcPr/>
          <w:p>
            <w:pPr>
              <w:pStyle w:val="Compact"/>
              <w:jc w:val="left"/>
            </w:pPr>
            <w:r>
              <w:t xml:space="preserve">Alustaohjelmistot</w:t>
            </w:r>
          </w:p>
        </w:tc>
        <w:tc>
          <w:tcPr/>
          <w:p>
            <w:pPr>
              <w:pStyle w:val="Compact"/>
              <w:jc w:val="left"/>
            </w:pPr>
            <w:r>
              <w:t xml:space="preserve">2</w:t>
            </w:r>
          </w:p>
        </w:tc>
        <w:tc>
          <w:tcPr/>
          <w:p>
            <w:pPr>
              <w:pStyle w:val="Compact"/>
              <w:jc w:val="left"/>
            </w:pPr>
            <w:r>
              <w:t xml:space="preserve">€4 999 - 6 995</w:t>
            </w:r>
          </w:p>
        </w:tc>
        <w:tc>
          <w:tcPr/>
          <w:p>
            <w:pPr>
              <w:pStyle w:val="Compact"/>
              <w:jc w:val="left"/>
            </w:pPr>
            <w:r>
              <w:t xml:space="preserve">DWS IQ v5, v6</w:t>
            </w:r>
          </w:p>
        </w:tc>
      </w:tr>
      <w:tr>
        <w:tc>
          <w:tcPr/>
          <w:p>
            <w:pPr>
              <w:pStyle w:val="Compact"/>
              <w:jc w:val="left"/>
            </w:pPr>
            <w:r>
              <w:t xml:space="preserve">Firehorse-tuoteperhe</w:t>
            </w:r>
          </w:p>
        </w:tc>
        <w:tc>
          <w:tcPr/>
          <w:p>
            <w:pPr>
              <w:pStyle w:val="Compact"/>
              <w:jc w:val="left"/>
            </w:pPr>
            <w:r>
              <w:t xml:space="preserve">6</w:t>
            </w:r>
          </w:p>
        </w:tc>
        <w:tc>
          <w:tcPr/>
          <w:p>
            <w:pPr>
              <w:pStyle w:val="Compact"/>
              <w:jc w:val="left"/>
            </w:pPr>
            <w:r>
              <w:t xml:space="preserve">€499 - 4 950</w:t>
            </w:r>
          </w:p>
        </w:tc>
        <w:tc>
          <w:tcPr/>
          <w:p>
            <w:pPr>
              <w:pStyle w:val="Compact"/>
              <w:jc w:val="left"/>
            </w:pPr>
            <w:r>
              <w:t xml:space="preserve">Automation, Report, CMS, Omnichannel</w:t>
            </w:r>
          </w:p>
        </w:tc>
      </w:tr>
      <w:tr>
        <w:tc>
          <w:tcPr/>
          <w:p>
            <w:pPr>
              <w:pStyle w:val="Compact"/>
              <w:jc w:val="left"/>
            </w:pPr>
            <w:r>
              <w:t xml:space="preserve">Konsultointipalvelut</w:t>
            </w:r>
          </w:p>
        </w:tc>
        <w:tc>
          <w:tcPr/>
          <w:p>
            <w:pPr>
              <w:pStyle w:val="Compact"/>
              <w:jc w:val="left"/>
            </w:pPr>
            <w:r>
              <w:t xml:space="preserve">12</w:t>
            </w:r>
          </w:p>
        </w:tc>
        <w:tc>
          <w:tcPr/>
          <w:p>
            <w:pPr>
              <w:pStyle w:val="Compact"/>
              <w:jc w:val="left"/>
            </w:pPr>
            <w:r>
              <w:t xml:space="preserve">€98 - 6 250</w:t>
            </w:r>
          </w:p>
        </w:tc>
        <w:tc>
          <w:tcPr/>
          <w:p>
            <w:pPr>
              <w:pStyle w:val="Compact"/>
              <w:jc w:val="left"/>
            </w:pPr>
            <w:r>
              <w:t xml:space="preserve">Tunti-, kuukausi-, työpajahinnoittelu</w:t>
            </w:r>
          </w:p>
        </w:tc>
      </w:tr>
      <w:tr>
        <w:tc>
          <w:tcPr/>
          <w:p>
            <w:pPr>
              <w:pStyle w:val="Compact"/>
              <w:jc w:val="left"/>
            </w:pPr>
            <w:r>
              <w:t xml:space="preserve">Koulutus &amp; Valmennus</w:t>
            </w:r>
          </w:p>
        </w:tc>
        <w:tc>
          <w:tcPr/>
          <w:p>
            <w:pPr>
              <w:pStyle w:val="Compact"/>
              <w:jc w:val="left"/>
            </w:pPr>
            <w:r>
              <w:t xml:space="preserve">4</w:t>
            </w:r>
          </w:p>
        </w:tc>
        <w:tc>
          <w:tcPr/>
          <w:p>
            <w:pPr>
              <w:pStyle w:val="Compact"/>
              <w:jc w:val="left"/>
            </w:pPr>
            <w:r>
              <w:t xml:space="preserve">€499 - 6 250</w:t>
            </w:r>
          </w:p>
        </w:tc>
        <w:tc>
          <w:tcPr/>
          <w:p>
            <w:pPr>
              <w:pStyle w:val="Compact"/>
              <w:jc w:val="left"/>
            </w:pPr>
            <w:r>
              <w:t xml:space="preserve">AI Koulutus, Coach, Mentor</w:t>
            </w:r>
          </w:p>
        </w:tc>
      </w:tr>
      <w:tr>
        <w:tc>
          <w:tcPr/>
          <w:p>
            <w:pPr>
              <w:pStyle w:val="Compact"/>
              <w:jc w:val="left"/>
            </w:pPr>
            <w:r>
              <w:t xml:space="preserve">Digitaaliset tuotteet</w:t>
            </w:r>
          </w:p>
        </w:tc>
        <w:tc>
          <w:tcPr/>
          <w:p>
            <w:pPr>
              <w:pStyle w:val="Compact"/>
              <w:jc w:val="left"/>
            </w:pPr>
            <w:r>
              <w:t xml:space="preserve">6</w:t>
            </w:r>
          </w:p>
        </w:tc>
        <w:tc>
          <w:tcPr/>
          <w:p>
            <w:pPr>
              <w:pStyle w:val="Compact"/>
              <w:jc w:val="left"/>
            </w:pPr>
            <w:r>
              <w:t xml:space="preserve">€0,99 - 799</w:t>
            </w:r>
          </w:p>
        </w:tc>
        <w:tc>
          <w:tcPr/>
          <w:p>
            <w:pPr>
              <w:pStyle w:val="Compact"/>
              <w:jc w:val="left"/>
            </w:pPr>
            <w:r>
              <w:t xml:space="preserve">Sanastot, verkkosivut</w:t>
            </w:r>
          </w:p>
        </w:tc>
      </w:tr>
    </w:tbl>
    <w:p>
      <w:pPr>
        <w:pStyle w:val="BodyText"/>
      </w:pPr>
      <w:r>
        <w:rPr>
          <w:bCs/>
          <w:b/>
        </w:rPr>
        <w:t xml:space="preserve">Yhteensä:</w:t>
      </w:r>
      <w:r>
        <w:t xml:space="preserve"> </w:t>
      </w:r>
      <w:r>
        <w:t xml:space="preserve">30 tuotetta täysillä Google Merchant -vaatimustenmukaisuudella</w:t>
      </w:r>
    </w:p>
    <w:bookmarkEnd w:id="89"/>
    <w:bookmarkStart w:id="92" w:name="google-merchant-center--integraatio"/>
    <w:p>
      <w:pPr>
        <w:pStyle w:val="Heading2"/>
      </w:pPr>
      <w:r>
        <w:t xml:space="preserve">6.3 Google Merchant Center -integraatio</w:t>
      </w:r>
    </w:p>
    <w:bookmarkStart w:id="90" w:name="tilin-konfigurointi"/>
    <w:p>
      <w:pPr>
        <w:pStyle w:val="Heading3"/>
      </w:pPr>
      <w:r>
        <w:t xml:space="preserve">Tilin konfigurointi</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Asetus</w:t>
            </w:r>
          </w:p>
        </w:tc>
        <w:tc>
          <w:tcPr/>
          <w:p>
            <w:pPr>
              <w:pStyle w:val="Compact"/>
              <w:jc w:val="left"/>
            </w:pPr>
            <w:r>
              <w:t xml:space="preserve">Arvo</w:t>
            </w:r>
          </w:p>
        </w:tc>
      </w:tr>
      <w:tr>
        <w:tc>
          <w:tcPr/>
          <w:p>
            <w:pPr>
              <w:pStyle w:val="Compact"/>
              <w:jc w:val="left"/>
            </w:pPr>
            <w:r>
              <w:t xml:space="preserve">Merchant ID</w:t>
            </w:r>
          </w:p>
        </w:tc>
        <w:tc>
          <w:tcPr/>
          <w:p>
            <w:pPr>
              <w:pStyle w:val="Compact"/>
              <w:jc w:val="left"/>
            </w:pPr>
            <w:r>
              <w:t xml:space="preserve">8496329</w:t>
            </w:r>
          </w:p>
        </w:tc>
      </w:tr>
      <w:tr>
        <w:tc>
          <w:tcPr/>
          <w:p>
            <w:pPr>
              <w:pStyle w:val="Compact"/>
              <w:jc w:val="left"/>
            </w:pPr>
            <w:r>
              <w:t xml:space="preserve">Kohdemaa</w:t>
            </w:r>
          </w:p>
        </w:tc>
        <w:tc>
          <w:tcPr/>
          <w:p>
            <w:pPr>
              <w:pStyle w:val="Compact"/>
              <w:jc w:val="left"/>
            </w:pPr>
            <w:r>
              <w:t xml:space="preserve">Suomi (FI)</w:t>
            </w:r>
          </w:p>
        </w:tc>
      </w:tr>
      <w:tr>
        <w:tc>
          <w:tcPr/>
          <w:p>
            <w:pPr>
              <w:pStyle w:val="Compact"/>
              <w:jc w:val="left"/>
            </w:pPr>
            <w:r>
              <w:t xml:space="preserve">Kielet</w:t>
            </w:r>
          </w:p>
        </w:tc>
        <w:tc>
          <w:tcPr/>
          <w:p>
            <w:pPr>
              <w:pStyle w:val="Compact"/>
              <w:jc w:val="left"/>
            </w:pPr>
            <w:r>
              <w:t xml:space="preserve">Englanti, suomi</w:t>
            </w:r>
          </w:p>
        </w:tc>
      </w:tr>
      <w:tr>
        <w:tc>
          <w:tcPr/>
          <w:p>
            <w:pPr>
              <w:pStyle w:val="Compact"/>
              <w:jc w:val="left"/>
            </w:pPr>
            <w:r>
              <w:t xml:space="preserve">Syötemenetelmä</w:t>
            </w:r>
          </w:p>
        </w:tc>
        <w:tc>
          <w:tcPr/>
          <w:p>
            <w:pPr>
              <w:pStyle w:val="Compact"/>
              <w:jc w:val="left"/>
            </w:pPr>
            <w:r>
              <w:t xml:space="preserve">SFTP-lataus</w:t>
            </w:r>
          </w:p>
        </w:tc>
      </w:tr>
      <w:tr>
        <w:tc>
          <w:tcPr/>
          <w:p>
            <w:pPr>
              <w:pStyle w:val="Compact"/>
              <w:jc w:val="left"/>
            </w:pPr>
            <w:r>
              <w:t xml:space="preserve">Syöte-URL</w:t>
            </w:r>
          </w:p>
        </w:tc>
        <w:tc>
          <w:tcPr/>
          <w:p>
            <w:pPr>
              <w:pStyle w:val="Compact"/>
              <w:jc w:val="left"/>
            </w:pPr>
            <w:r>
              <w:t xml:space="preserve">https://dws10.com/feeds/google-products.xml</w:t>
            </w:r>
          </w:p>
        </w:tc>
      </w:tr>
    </w:tbl>
    <w:bookmarkEnd w:id="90"/>
    <w:bookmarkStart w:id="91" w:name="ratkaistut-historialliset-ongelmat"/>
    <w:p>
      <w:pPr>
        <w:pStyle w:val="Heading3"/>
      </w:pPr>
      <w:r>
        <w:t xml:space="preserve">Ratkaistut historialliset ongelmat</w:t>
      </w:r>
    </w:p>
    <w:tbl>
      <w:tblPr>
        <w:tblStyle w:val="Table"/>
        <w:tblW w:type="pct" w:w="5000"/>
        <w:tblLook w:firstRow="1" w:lastRow="0" w:firstColumn="0" w:lastColumn="0" w:noHBand="0" w:noVBand="0" w:val="0020"/>
        <w:jc w:val="start"/>
      </w:tblPr>
      <w:tblGrid>
        <w:gridCol w:w="1897"/>
        <w:gridCol w:w="2640"/>
        <w:gridCol w:w="3382"/>
      </w:tblGrid>
      <w:tr>
        <w:trPr>
          <w:tblHeader w:val="true"/>
        </w:trPr>
        <w:tc>
          <w:tcPr/>
          <w:p>
            <w:pPr>
              <w:pStyle w:val="Compact"/>
              <w:jc w:val="left"/>
            </w:pPr>
            <w:r>
              <w:t xml:space="preserve">Ongelma</w:t>
            </w:r>
          </w:p>
        </w:tc>
        <w:tc>
          <w:tcPr/>
          <w:p>
            <w:pPr>
              <w:pStyle w:val="Compact"/>
              <w:jc w:val="left"/>
            </w:pPr>
            <w:r>
              <w:t xml:space="preserve">Juurisyy</w:t>
            </w:r>
          </w:p>
        </w:tc>
        <w:tc>
          <w:tcPr/>
          <w:p>
            <w:pPr>
              <w:pStyle w:val="Compact"/>
              <w:jc w:val="left"/>
            </w:pPr>
            <w:r>
              <w:t xml:space="preserve">Ratkaisu</w:t>
            </w:r>
          </w:p>
        </w:tc>
      </w:tr>
      <w:tr>
        <w:tc>
          <w:tcPr/>
          <w:p>
            <w:pPr>
              <w:pStyle w:val="Compact"/>
              <w:jc w:val="left"/>
            </w:pPr>
            <w:r>
              <w:t xml:space="preserve">Verkkotunnus ei täsmää</w:t>
            </w:r>
          </w:p>
        </w:tc>
        <w:tc>
          <w:tcPr/>
          <w:p>
            <w:pPr>
              <w:pStyle w:val="Compact"/>
              <w:jc w:val="left"/>
            </w:pPr>
            <w:r>
              <w:t xml:space="preserve">URL:t osoittavat lifetime.fi:hin</w:t>
            </w:r>
          </w:p>
        </w:tc>
        <w:tc>
          <w:tcPr/>
          <w:p>
            <w:pPr>
              <w:pStyle w:val="Compact"/>
              <w:jc w:val="left"/>
            </w:pPr>
            <w:r>
              <w:t xml:space="preserve">Päivitetty kaikki URL:t dws10.com:iin</w:t>
            </w:r>
          </w:p>
        </w:tc>
      </w:tr>
      <w:tr>
        <w:tc>
          <w:tcPr/>
          <w:p>
            <w:pPr>
              <w:pStyle w:val="Compact"/>
              <w:jc w:val="left"/>
            </w:pPr>
            <w:r>
              <w:t xml:space="preserve">Duplikaattituotteet</w:t>
            </w:r>
          </w:p>
        </w:tc>
        <w:tc>
          <w:tcPr/>
          <w:p>
            <w:pPr>
              <w:pStyle w:val="Compact"/>
              <w:jc w:val="left"/>
            </w:pPr>
            <w:r>
              <w:t xml:space="preserve">ID ei täsmää Merchant Centeriin</w:t>
            </w:r>
          </w:p>
        </w:tc>
        <w:tc>
          <w:tcPr/>
          <w:p>
            <w:pPr>
              <w:pStyle w:val="Compact"/>
              <w:jc w:val="left"/>
            </w:pPr>
            <w:r>
              <w:t xml:space="preserve">Yhdenmukaistettiin ID:t products.json:ssa</w:t>
            </w:r>
          </w:p>
        </w:tc>
      </w:tr>
      <w:tr>
        <w:tc>
          <w:tcPr/>
          <w:p>
            <w:pPr>
              <w:pStyle w:val="Compact"/>
              <w:jc w:val="left"/>
            </w:pPr>
            <w:r>
              <w:t xml:space="preserve">identifier_exists-virhe</w:t>
            </w:r>
          </w:p>
        </w:tc>
        <w:tc>
          <w:tcPr/>
          <w:p>
            <w:pPr>
              <w:pStyle w:val="Compact"/>
              <w:jc w:val="left"/>
            </w:pPr>
            <w:r>
              <w:t xml:space="preserve">Asetettu false kun MPN+brand on</w:t>
            </w:r>
          </w:p>
        </w:tc>
        <w:tc>
          <w:tcPr/>
          <w:p>
            <w:pPr>
              <w:pStyle w:val="Compact"/>
              <w:jc w:val="left"/>
            </w:pPr>
            <w:r>
              <w:t xml:space="preserve">Poistettu kenttä kokonaan</w:t>
            </w:r>
          </w:p>
        </w:tc>
      </w:tr>
      <w:tr>
        <w:tc>
          <w:tcPr/>
          <w:p>
            <w:pPr>
              <w:pStyle w:val="Compact"/>
              <w:jc w:val="left"/>
            </w:pPr>
            <w:r>
              <w:t xml:space="preserve">Puuttuvat kassalinkit</w:t>
            </w:r>
          </w:p>
        </w:tc>
        <w:tc>
          <w:tcPr/>
          <w:p>
            <w:pPr>
              <w:pStyle w:val="Compact"/>
              <w:jc w:val="left"/>
            </w:pPr>
            <w:r>
              <w:t xml:space="preserve">Maksu-URL:a ei konfiguroitu</w:t>
            </w:r>
          </w:p>
        </w:tc>
        <w:tc>
          <w:tcPr/>
          <w:p>
            <w:pPr>
              <w:pStyle w:val="Compact"/>
              <w:jc w:val="left"/>
            </w:pPr>
            <w:r>
              <w:t xml:space="preserve">Lisättiin Revolut-linkit</w:t>
            </w:r>
          </w:p>
        </w:tc>
      </w:tr>
    </w:tbl>
    <w:bookmarkEnd w:id="91"/>
    <w:bookmarkEnd w:id="92"/>
    <w:bookmarkStart w:id="94" w:name="revolut-business--maksuintegraatio"/>
    <w:p>
      <w:pPr>
        <w:pStyle w:val="Heading2"/>
      </w:pPr>
      <w:r>
        <w:t xml:space="preserve">6.4 Revolut Business -maksuintegraatio</w:t>
      </w:r>
    </w:p>
    <w:bookmarkStart w:id="93" w:name="miksi-revolut-business"/>
    <w:p>
      <w:pPr>
        <w:pStyle w:val="Heading3"/>
      </w:pPr>
      <w:r>
        <w:t xml:space="preserve">Miksi Revolut Business</w:t>
      </w:r>
    </w:p>
    <w:tbl>
      <w:tblPr>
        <w:tblStyle w:val="Table"/>
        <w:tblW w:type="pct" w:w="5000"/>
        <w:tblLook w:firstRow="1" w:lastRow="0" w:firstColumn="0" w:lastColumn="0" w:noHBand="0" w:noVBand="0" w:val="0020"/>
        <w:jc w:val="start"/>
      </w:tblPr>
      <w:tblGrid>
        <w:gridCol w:w="2600"/>
        <w:gridCol w:w="5319"/>
      </w:tblGrid>
      <w:tr>
        <w:trPr>
          <w:tblHeader w:val="true"/>
        </w:trPr>
        <w:tc>
          <w:tcPr/>
          <w:p>
            <w:pPr>
              <w:pStyle w:val="Compact"/>
              <w:jc w:val="left"/>
            </w:pPr>
            <w:r>
              <w:t xml:space="preserve">Ominaisuus</w:t>
            </w:r>
          </w:p>
        </w:tc>
        <w:tc>
          <w:tcPr/>
          <w:p>
            <w:pPr>
              <w:pStyle w:val="Compact"/>
              <w:jc w:val="left"/>
            </w:pPr>
            <w:r>
              <w:t xml:space="preserve">Hyöty</w:t>
            </w:r>
          </w:p>
        </w:tc>
      </w:tr>
      <w:tr>
        <w:tc>
          <w:tcPr/>
          <w:p>
            <w:pPr>
              <w:pStyle w:val="Compact"/>
              <w:jc w:val="left"/>
            </w:pPr>
            <w:r>
              <w:t xml:space="preserve">Välittömät tilitykset</w:t>
            </w:r>
          </w:p>
        </w:tc>
        <w:tc>
          <w:tcPr/>
          <w:p>
            <w:pPr>
              <w:pStyle w:val="Compact"/>
              <w:jc w:val="left"/>
            </w:pPr>
            <w:r>
              <w:t xml:space="preserve">Parantunut kassavirta, saman päivän saatavuus</w:t>
            </w:r>
          </w:p>
        </w:tc>
      </w:tr>
      <w:tr>
        <w:tc>
          <w:tcPr/>
          <w:p>
            <w:pPr>
              <w:pStyle w:val="Compact"/>
              <w:jc w:val="left"/>
            </w:pPr>
            <w:r>
              <w:t xml:space="preserve">Monivaluuttatuki</w:t>
            </w:r>
          </w:p>
        </w:tc>
        <w:tc>
          <w:tcPr/>
          <w:p>
            <w:pPr>
              <w:pStyle w:val="Compact"/>
              <w:jc w:val="left"/>
            </w:pPr>
            <w:r>
              <w:t xml:space="preserve">Tuki EUR, SEK, NOK, DKK, GBP</w:t>
            </w:r>
          </w:p>
        </w:tc>
      </w:tr>
      <w:tr>
        <w:tc>
          <w:tcPr/>
          <w:p>
            <w:pPr>
              <w:pStyle w:val="Compact"/>
              <w:jc w:val="left"/>
            </w:pPr>
            <w:r>
              <w:t xml:space="preserve">Matalat maksut</w:t>
            </w:r>
          </w:p>
        </w:tc>
        <w:tc>
          <w:tcPr/>
          <w:p>
            <w:pPr>
              <w:pStyle w:val="Compact"/>
              <w:jc w:val="left"/>
            </w:pPr>
            <w:r>
              <w:t xml:space="preserve">1,0 % + €0,20 per tapahtuma</w:t>
            </w:r>
          </w:p>
        </w:tc>
      </w:tr>
      <w:tr>
        <w:tc>
          <w:tcPr/>
          <w:p>
            <w:pPr>
              <w:pStyle w:val="Compact"/>
              <w:jc w:val="left"/>
            </w:pPr>
            <w:r>
              <w:t xml:space="preserve">Kassalinkit</w:t>
            </w:r>
          </w:p>
        </w:tc>
        <w:tc>
          <w:tcPr/>
          <w:p>
            <w:pPr>
              <w:pStyle w:val="Compact"/>
              <w:jc w:val="left"/>
            </w:pPr>
            <w:r>
              <w:t xml:space="preserve">Suora Google Merchant -tuki</w:t>
            </w:r>
          </w:p>
        </w:tc>
      </w:tr>
      <w:tr>
        <w:tc>
          <w:tcPr/>
          <w:p>
            <w:pPr>
              <w:pStyle w:val="Compact"/>
              <w:jc w:val="left"/>
            </w:pPr>
            <w:r>
              <w:t xml:space="preserve">Apple Pay / Google Pay</w:t>
            </w:r>
          </w:p>
        </w:tc>
        <w:tc>
          <w:tcPr/>
          <w:p>
            <w:pPr>
              <w:pStyle w:val="Compact"/>
              <w:jc w:val="left"/>
            </w:pPr>
            <w:r>
              <w:t xml:space="preserve">Modernit maksutavat</w:t>
            </w:r>
          </w:p>
        </w:tc>
      </w:tr>
    </w:tbl>
    <w:bookmarkEnd w:id="93"/>
    <w:bookmarkEnd w:id="94"/>
    <w:bookmarkStart w:id="96" w:name="Xd3669675ed08a7e681948b6873107fbede66543"/>
    <w:p>
      <w:pPr>
        <w:pStyle w:val="Heading2"/>
      </w:pPr>
      <w:r>
        <w:t xml:space="preserve">6.5 Firehorse-toimintamalli kaupan hallintaan</w:t>
      </w:r>
    </w:p>
    <w:p>
      <w:pPr>
        <w:pStyle w:val="FirstParagraph"/>
      </w:pPr>
      <w:r>
        <w:t xml:space="preserve">Kauppaa hallitaan Firehorse-toimintamallilla Claude Coden avulla:</w:t>
      </w:r>
    </w:p>
    <w:p>
      <w:pPr>
        <w:pStyle w:val="SourceCode"/>
      </w:pPr>
      <w:r>
        <w:rPr>
          <w:rStyle w:val="VerbatimChar"/>
        </w:rPr>
        <w:t xml:space="preserve">+-------------------------------------------------------------+</w:t>
      </w:r>
      <w:r>
        <w:br/>
      </w:r>
      <w:r>
        <w:rPr>
          <w:rStyle w:val="VerbatimChar"/>
        </w:rPr>
        <w:t xml:space="preserve">|                 FIREHORSE-TOIMINNOT                          |</w:t>
      </w:r>
      <w:r>
        <w:br/>
      </w:r>
      <w:r>
        <w:rPr>
          <w:rStyle w:val="VerbatimChar"/>
        </w:rPr>
        <w:t xml:space="preserve">+-------------------------------------------------------------+</w:t>
      </w:r>
      <w:r>
        <w:br/>
      </w:r>
      <w:r>
        <w:rPr>
          <w:rStyle w:val="VerbatimChar"/>
        </w:rPr>
        <w:t xml:space="preserve">|                                                              |</w:t>
      </w:r>
      <w:r>
        <w:br/>
      </w:r>
      <w:r>
        <w:rPr>
          <w:rStyle w:val="VerbatimChar"/>
        </w:rPr>
        <w:t xml:space="preserve">|   +----------+     +--------------+     +--------------+    |</w:t>
      </w:r>
      <w:r>
        <w:br/>
      </w:r>
      <w:r>
        <w:rPr>
          <w:rStyle w:val="VerbatimChar"/>
        </w:rPr>
        <w:t xml:space="preserve">|   |  Ihmisen | --&gt; |  Claude Code | --&gt; | Järjestelmät |    |</w:t>
      </w:r>
      <w:r>
        <w:br/>
      </w:r>
      <w:r>
        <w:rPr>
          <w:rStyle w:val="VerbatimChar"/>
        </w:rPr>
        <w:t xml:space="preserve">|   |  aikomus |     | (Tekoälyag.) |     |  (Git, APIs) |    |</w:t>
      </w:r>
      <w:r>
        <w:br/>
      </w:r>
      <w:r>
        <w:rPr>
          <w:rStyle w:val="VerbatimChar"/>
        </w:rPr>
        <w:t xml:space="preserve">|   +----------+     +--------------+     +--------------+    |</w:t>
      </w:r>
      <w:r>
        <w:br/>
      </w:r>
      <w:r>
        <w:rPr>
          <w:rStyle w:val="VerbatimChar"/>
        </w:rPr>
        <w:t xml:space="preserve">|                          |                    |             |</w:t>
      </w:r>
      <w:r>
        <w:br/>
      </w:r>
      <w:r>
        <w:rPr>
          <w:rStyle w:val="VerbatimChar"/>
        </w:rPr>
        <w:t xml:space="preserve">|                          v                    v             |</w:t>
      </w:r>
      <w:r>
        <w:br/>
      </w:r>
      <w:r>
        <w:rPr>
          <w:rStyle w:val="VerbatimChar"/>
        </w:rPr>
        <w:t xml:space="preserve">|                   +--------------+     +--------------+     |</w:t>
      </w:r>
      <w:r>
        <w:br/>
      </w:r>
      <w:r>
        <w:rPr>
          <w:rStyle w:val="VerbatimChar"/>
        </w:rPr>
        <w:t xml:space="preserve">|                   | Artefaktit   |     |   Tulokset   |     |</w:t>
      </w:r>
      <w:r>
        <w:br/>
      </w:r>
      <w:r>
        <w:rPr>
          <w:rStyle w:val="VerbatimChar"/>
        </w:rPr>
        <w:t xml:space="preserve">|                   |(Koodi, Docs) |     |(Käyttöönotot)|     |</w:t>
      </w:r>
      <w:r>
        <w:br/>
      </w:r>
      <w:r>
        <w:rPr>
          <w:rStyle w:val="VerbatimChar"/>
        </w:rPr>
        <w:t xml:space="preserve">|                   +--------------+     +--------------+     |</w:t>
      </w:r>
      <w:r>
        <w:br/>
      </w:r>
      <w:r>
        <w:rPr>
          <w:rStyle w:val="VerbatimChar"/>
        </w:rPr>
        <w:t xml:space="preserve">|                                                              |</w:t>
      </w:r>
      <w:r>
        <w:br/>
      </w:r>
      <w:r>
        <w:rPr>
          <w:rStyle w:val="VerbatimChar"/>
        </w:rPr>
        <w:t xml:space="preserve">+-------------------------------------------------------------+</w:t>
      </w:r>
    </w:p>
    <w:bookmarkStart w:id="95" w:name="toiminnallisen-tehokkuuden-parannukset"/>
    <w:p>
      <w:pPr>
        <w:pStyle w:val="Heading3"/>
      </w:pPr>
      <w:r>
        <w:t xml:space="preserve">Toiminnallisen tehokkuuden parannukset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bl>
    <w:bookmarkEnd w:id="95"/>
    <w:bookmarkEnd w:id="96"/>
    <w:bookmarkStart w:id="97" w:name="viikoittainen-ylläpitorutiini"/>
    <w:p>
      <w:pPr>
        <w:pStyle w:val="Heading2"/>
      </w:pPr>
      <w:r>
        <w:t xml:space="preserve">6.6 Viikoittainen ylläpitorutiini</w:t>
      </w:r>
    </w:p>
    <w:tbl>
      <w:tblPr>
        <w:tblStyle w:val="Table"/>
        <w:tblW w:type="pct" w:w="5000"/>
        <w:tblLook w:firstRow="1" w:lastRow="0" w:firstColumn="0" w:lastColumn="0" w:noHBand="0" w:noVBand="0" w:val="0020"/>
        <w:jc w:val="start"/>
      </w:tblPr>
      <w:tblGrid>
        <w:gridCol w:w="1177"/>
        <w:gridCol w:w="6100"/>
        <w:gridCol w:w="642"/>
      </w:tblGrid>
      <w:tr>
        <w:trPr>
          <w:tblHeader w:val="true"/>
        </w:trPr>
        <w:tc>
          <w:tcPr/>
          <w:p>
            <w:pPr>
              <w:pStyle w:val="Compact"/>
              <w:jc w:val="left"/>
            </w:pPr>
            <w:r>
              <w:t xml:space="preserve">Päivä</w:t>
            </w:r>
          </w:p>
        </w:tc>
        <w:tc>
          <w:tcPr/>
          <w:p>
            <w:pPr>
              <w:pStyle w:val="Compact"/>
              <w:jc w:val="left"/>
            </w:pPr>
            <w:r>
              <w:t xml:space="preserve">Tehtävä</w:t>
            </w:r>
          </w:p>
        </w:tc>
        <w:tc>
          <w:tcPr/>
          <w:p>
            <w:pPr>
              <w:pStyle w:val="Compact"/>
              <w:jc w:val="left"/>
            </w:pPr>
            <w:r>
              <w:t xml:space="preserve">Kesto</w:t>
            </w:r>
          </w:p>
        </w:tc>
      </w:tr>
      <w:tr>
        <w:tc>
          <w:tcPr/>
          <w:p>
            <w:pPr>
              <w:pStyle w:val="Compact"/>
              <w:jc w:val="left"/>
            </w:pPr>
            <w:r>
              <w:t xml:space="preserve">Maanantai</w:t>
            </w:r>
          </w:p>
        </w:tc>
        <w:tc>
          <w:tcPr/>
          <w:p>
            <w:pPr>
              <w:pStyle w:val="Compact"/>
              <w:jc w:val="left"/>
            </w:pPr>
            <w:r>
              <w:t xml:space="preserve">Syötteen terveystarkastus, Google Merchant -diagnostiikka</w:t>
            </w:r>
          </w:p>
        </w:tc>
        <w:tc>
          <w:tcPr/>
          <w:p>
            <w:pPr>
              <w:pStyle w:val="Compact"/>
              <w:jc w:val="left"/>
            </w:pPr>
            <w:r>
              <w:t xml:space="preserve">15 min</w:t>
            </w:r>
          </w:p>
        </w:tc>
      </w:tr>
      <w:tr>
        <w:tc>
          <w:tcPr/>
          <w:p>
            <w:pPr>
              <w:pStyle w:val="Compact"/>
              <w:jc w:val="left"/>
            </w:pPr>
            <w:r>
              <w:t xml:space="preserve">Keskiviikko</w:t>
            </w:r>
          </w:p>
        </w:tc>
        <w:tc>
          <w:tcPr/>
          <w:p>
            <w:pPr>
              <w:pStyle w:val="Compact"/>
              <w:jc w:val="left"/>
            </w:pPr>
            <w:r>
              <w:t xml:space="preserve">Suorituskyvyn tarkastelu, CTR-analyysi</w:t>
            </w:r>
          </w:p>
        </w:tc>
        <w:tc>
          <w:tcPr/>
          <w:p>
            <w:pPr>
              <w:pStyle w:val="Compact"/>
              <w:jc w:val="left"/>
            </w:pPr>
            <w:r>
              <w:t xml:space="preserve">30 min</w:t>
            </w:r>
          </w:p>
        </w:tc>
      </w:tr>
      <w:tr>
        <w:tc>
          <w:tcPr/>
          <w:p>
            <w:pPr>
              <w:pStyle w:val="Compact"/>
              <w:jc w:val="left"/>
            </w:pPr>
            <w:r>
              <w:t xml:space="preserve">Perjantai</w:t>
            </w:r>
          </w:p>
        </w:tc>
        <w:tc>
          <w:tcPr/>
          <w:p>
            <w:pPr>
              <w:pStyle w:val="Compact"/>
              <w:jc w:val="left"/>
            </w:pPr>
            <w:r>
              <w:t xml:space="preserve">Optimointi, syötteen lataus, Git-commit</w:t>
            </w:r>
          </w:p>
        </w:tc>
        <w:tc>
          <w:tcPr/>
          <w:p>
            <w:pPr>
              <w:pStyle w:val="Compact"/>
              <w:jc w:val="left"/>
            </w:pPr>
            <w:r>
              <w:t xml:space="preserve">45 min</w:t>
            </w:r>
          </w:p>
        </w:tc>
      </w:tr>
    </w:tbl>
    <w:bookmarkEnd w:id="97"/>
    <w:bookmarkStart w:id="101" w:name="ihminen-silmukassa-oppimisputki-hil"/>
    <w:p>
      <w:pPr>
        <w:pStyle w:val="Heading2"/>
      </w:pPr>
      <w:r>
        <w:t xml:space="preserve">6.7 Ihminen-silmukassa-oppimisputki (HIL)</w:t>
      </w:r>
    </w:p>
    <w:p>
      <w:pPr>
        <w:pStyle w:val="FirstParagraph"/>
      </w:pPr>
      <w:r>
        <w:t xml:space="preserve">DWS6-alustan päivittäistä toimintaa hallitaan automatisoidun Human-in-the-Loop (HIL) -oppimisputken kautta, joka luo jatkuvan palautesilmukan kehittäjän, tekoälyagenttien ja koodikannan välille.</w:t>
      </w:r>
    </w:p>
    <w:bookmarkStart w:id="98" w:name="putken-arkkitehtuuri"/>
    <w:p>
      <w:pPr>
        <w:pStyle w:val="Heading3"/>
      </w:pPr>
      <w:r>
        <w:t xml:space="preserve">Putken arkkitehtuuri</w:t>
      </w:r>
    </w:p>
    <w:p>
      <w:pPr>
        <w:pStyle w:val="SourceCode"/>
      </w:pPr>
      <w:r>
        <w:rPr>
          <w:rStyle w:val="VerbatimChar"/>
        </w:rPr>
        <w:t xml:space="preserve">GitHub (totuuden lähde)</w:t>
      </w:r>
      <w:r>
        <w:br/>
      </w:r>
      <w:r>
        <w:rPr>
          <w:rStyle w:val="VerbatimChar"/>
        </w:rPr>
        <w:t xml:space="preserve">    ↓ git pull (päivittäinen, automaattinen Startup-DailySync.bat:n kautta)</w:t>
      </w:r>
      <w:r>
        <w:br/>
      </w:r>
      <w:r>
        <w:rPr>
          <w:rStyle w:val="VerbatimChar"/>
        </w:rPr>
        <w:t xml:space="preserve">Paikallinen repositorio (Windows)</w:t>
      </w:r>
      <w:r>
        <w:br/>
      </w:r>
      <w:r>
        <w:rPr>
          <w:rStyle w:val="VerbatimChar"/>
        </w:rPr>
        <w:t xml:space="preserve">    ↓ Sync-ToProton.ps1</w:t>
      </w:r>
      <w:r>
        <w:br/>
      </w:r>
      <w:r>
        <w:rPr>
          <w:rStyle w:val="VerbatimChar"/>
        </w:rPr>
        <w:t xml:space="preserve">Proton Drive (salattu paikallinen varmuuskopio)</w:t>
      </w:r>
      <w:r>
        <w:br/>
      </w:r>
      <w:r>
        <w:rPr>
          <w:rStyle w:val="VerbatimChar"/>
        </w:rPr>
        <w:t xml:space="preserve">    ↓ Generate-PDFs.ps1 → tyylitelty HTML → Learn/-kansio</w:t>
      </w:r>
      <w:r>
        <w:br/>
      </w:r>
      <w:r>
        <w:rPr>
          <w:rStyle w:val="VerbatimChar"/>
        </w:rPr>
        <w:t xml:space="preserve">    ↓ Sync-ToSupabase.ps1</w:t>
      </w:r>
      <w:r>
        <w:br/>
      </w:r>
      <w:r>
        <w:rPr>
          <w:rStyle w:val="VerbatimChar"/>
        </w:rPr>
        <w:t xml:space="preserve">Supabase Storage (EU-pilvivarmuuskopio)</w:t>
      </w:r>
      <w:r>
        <w:br/>
      </w:r>
      <w:r>
        <w:rPr>
          <w:rStyle w:val="VerbatimChar"/>
        </w:rPr>
        <w:t xml:space="preserve">    ↓</w:t>
      </w:r>
      <w:r>
        <w:br/>
      </w:r>
      <w:r>
        <w:rPr>
          <w:rStyle w:val="VerbatimChar"/>
        </w:rPr>
        <w:t xml:space="preserve">Edge-selain (aamukatselmus Learn/-kansion sisällöstä)</w:t>
      </w:r>
      <w:r>
        <w:br/>
      </w:r>
      <w:r>
        <w:rPr>
          <w:rStyle w:val="VerbatimChar"/>
        </w:rPr>
        <w:t xml:space="preserve">    ↓ ihminen lukee, oppii, päättää mikä tarvitsee työtä</w:t>
      </w:r>
      <w:r>
        <w:br/>
      </w:r>
      <w:r>
        <w:rPr>
          <w:rStyle w:val="VerbatimChar"/>
        </w:rPr>
        <w:t xml:space="preserve">Claude Code -istunto (seuraava toimenpide)</w:t>
      </w:r>
      <w:r>
        <w:br/>
      </w:r>
      <w:r>
        <w:rPr>
          <w:rStyle w:val="VerbatimChar"/>
        </w:rPr>
        <w:t xml:space="preserve">    ↓ git push</w:t>
      </w:r>
      <w:r>
        <w:br/>
      </w:r>
      <w:r>
        <w:rPr>
          <w:rStyle w:val="VerbatimChar"/>
        </w:rPr>
        <w:t xml:space="preserve">GitHub → sykli toistuu</w:t>
      </w:r>
    </w:p>
    <w:bookmarkEnd w:id="98"/>
    <w:bookmarkStart w:id="99" w:name="putken-komponentit"/>
    <w:p>
      <w:pPr>
        <w:pStyle w:val="Heading3"/>
      </w:pPr>
      <w:r>
        <w:t xml:space="preserve">Putken komponentit</w:t>
      </w:r>
    </w:p>
    <w:tbl>
      <w:tblPr>
        <w:tblStyle w:val="Table"/>
        <w:tblW w:type="pct" w:w="5000"/>
        <w:tblLook w:firstRow="1" w:lastRow="0" w:firstColumn="0" w:lastColumn="0" w:noHBand="0" w:noVBand="0" w:val="0020"/>
        <w:jc w:val="start"/>
      </w:tblPr>
      <w:tblGrid>
        <w:gridCol w:w="356"/>
        <w:gridCol w:w="1498"/>
        <w:gridCol w:w="4138"/>
        <w:gridCol w:w="1926"/>
      </w:tblGrid>
      <w:tr>
        <w:trPr>
          <w:tblHeader w:val="true"/>
        </w:trPr>
        <w:tc>
          <w:tcPr/>
          <w:p>
            <w:pPr>
              <w:pStyle w:val="Compact"/>
              <w:jc w:val="left"/>
            </w:pPr>
            <w:r>
              <w:t xml:space="preserve">Vaihe</w:t>
            </w:r>
          </w:p>
        </w:tc>
        <w:tc>
          <w:tcPr/>
          <w:p>
            <w:pPr>
              <w:pStyle w:val="Compact"/>
              <w:jc w:val="left"/>
            </w:pPr>
            <w:r>
              <w:t xml:space="preserve">Skripti</w:t>
            </w:r>
          </w:p>
        </w:tc>
        <w:tc>
          <w:tcPr/>
          <w:p>
            <w:pPr>
              <w:pStyle w:val="Compact"/>
              <w:jc w:val="left"/>
            </w:pPr>
            <w:r>
              <w:t xml:space="preserve">Toiminto</w:t>
            </w:r>
          </w:p>
        </w:tc>
        <w:tc>
          <w:tcPr/>
          <w:p>
            <w:pPr>
              <w:pStyle w:val="Compact"/>
              <w:jc w:val="left"/>
            </w:pPr>
            <w:r>
              <w:t xml:space="preserve">Tuloste</w:t>
            </w:r>
          </w:p>
        </w:tc>
      </w:tr>
      <w:tr>
        <w:tc>
          <w:tcPr/>
          <w:p>
            <w:pPr>
              <w:pStyle w:val="Compact"/>
              <w:jc w:val="left"/>
            </w:pPr>
            <w:r>
              <w:t xml:space="preserve">1</w:t>
            </w:r>
          </w:p>
        </w:tc>
        <w:tc>
          <w:tcPr/>
          <w:p>
            <w:pPr>
              <w:pStyle w:val="Compact"/>
              <w:jc w:val="left"/>
            </w:pPr>
            <w:r>
              <w:rPr>
                <w:rStyle w:val="VerbatimChar"/>
              </w:rPr>
              <w:t xml:space="preserve">git pull</w:t>
            </w:r>
          </w:p>
        </w:tc>
        <w:tc>
          <w:tcPr/>
          <w:p>
            <w:pPr>
              <w:pStyle w:val="Compact"/>
              <w:jc w:val="left"/>
            </w:pPr>
            <w:r>
              <w:t xml:space="preserve">Hae viimeisimmät muutokset GitHubista</w:t>
            </w:r>
          </w:p>
        </w:tc>
        <w:tc>
          <w:tcPr/>
          <w:p>
            <w:pPr>
              <w:pStyle w:val="Compact"/>
              <w:jc w:val="left"/>
            </w:pPr>
            <w:r>
              <w:t xml:space="preserve">Päivitetty paikallinen repo</w:t>
            </w:r>
          </w:p>
        </w:tc>
      </w:tr>
      <w:tr>
        <w:tc>
          <w:tcPr/>
          <w:p>
            <w:pPr>
              <w:pStyle w:val="Compact"/>
              <w:jc w:val="left"/>
            </w:pPr>
            <w:r>
              <w:t xml:space="preserve">2</w:t>
            </w:r>
          </w:p>
        </w:tc>
        <w:tc>
          <w:tcPr/>
          <w:p>
            <w:pPr>
              <w:pStyle w:val="Compact"/>
              <w:jc w:val="left"/>
            </w:pPr>
            <w:r>
              <w:rPr>
                <w:rStyle w:val="VerbatimChar"/>
              </w:rPr>
              <w:t xml:space="preserve">Sync-ToProton.ps1</w:t>
            </w:r>
          </w:p>
        </w:tc>
        <w:tc>
          <w:tcPr/>
          <w:p>
            <w:pPr>
              <w:pStyle w:val="Compact"/>
              <w:jc w:val="left"/>
            </w:pPr>
            <w:r>
              <w:t xml:space="preserve">Kopioi liiketoimintatiedostot Proton Driveen</w:t>
            </w:r>
          </w:p>
        </w:tc>
        <w:tc>
          <w:tcPr/>
          <w:p>
            <w:pPr>
              <w:pStyle w:val="Compact"/>
              <w:jc w:val="left"/>
            </w:pPr>
            <w:r>
              <w:t xml:space="preserve">Salattu varmuuskopio</w:t>
            </w:r>
          </w:p>
        </w:tc>
      </w:tr>
      <w:tr>
        <w:tc>
          <w:tcPr/>
          <w:p>
            <w:pPr>
              <w:pStyle w:val="Compact"/>
              <w:jc w:val="left"/>
            </w:pPr>
            <w:r>
              <w:t xml:space="preserve">3</w:t>
            </w:r>
          </w:p>
        </w:tc>
        <w:tc>
          <w:tcPr/>
          <w:p>
            <w:pPr>
              <w:pStyle w:val="Compact"/>
              <w:jc w:val="left"/>
            </w:pPr>
            <w:r>
              <w:rPr>
                <w:rStyle w:val="VerbatimChar"/>
              </w:rPr>
              <w:t xml:space="preserve">Generate-PDFs.ps1</w:t>
            </w:r>
          </w:p>
        </w:tc>
        <w:tc>
          <w:tcPr/>
          <w:p>
            <w:pPr>
              <w:pStyle w:val="Compact"/>
              <w:jc w:val="left"/>
            </w:pPr>
            <w:r>
              <w:t xml:space="preserve">Muunna 19 markdown-tiedostoa tyylitellyiksi HTML:ksi</w:t>
            </w:r>
          </w:p>
        </w:tc>
        <w:tc>
          <w:tcPr/>
          <w:p>
            <w:pPr>
              <w:pStyle w:val="Compact"/>
              <w:jc w:val="left"/>
            </w:pPr>
            <w:r>
              <w:rPr>
                <w:rStyle w:val="VerbatimChar"/>
              </w:rPr>
              <w:t xml:space="preserve">Learn/</w:t>
            </w:r>
            <w:r>
              <w:t xml:space="preserve">-kansio</w:t>
            </w:r>
          </w:p>
        </w:tc>
      </w:tr>
      <w:tr>
        <w:tc>
          <w:tcPr/>
          <w:p>
            <w:pPr>
              <w:pStyle w:val="Compact"/>
              <w:jc w:val="left"/>
            </w:pPr>
            <w:r>
              <w:t xml:space="preserve">4</w:t>
            </w:r>
          </w:p>
        </w:tc>
        <w:tc>
          <w:tcPr/>
          <w:p>
            <w:pPr>
              <w:pStyle w:val="Compact"/>
              <w:jc w:val="left"/>
            </w:pPr>
            <w:r>
              <w:rPr>
                <w:rStyle w:val="VerbatimChar"/>
              </w:rPr>
              <w:t xml:space="preserve">Sync-ToSupabase.ps1</w:t>
            </w:r>
          </w:p>
        </w:tc>
        <w:tc>
          <w:tcPr/>
          <w:p>
            <w:pPr>
              <w:pStyle w:val="Compact"/>
              <w:jc w:val="left"/>
            </w:pPr>
            <w:r>
              <w:t xml:space="preserve">Lähetä koodi ja dokumentit Supabase Storageen</w:t>
            </w:r>
          </w:p>
        </w:tc>
        <w:tc>
          <w:tcPr/>
          <w:p>
            <w:pPr>
              <w:pStyle w:val="Compact"/>
              <w:jc w:val="left"/>
            </w:pPr>
            <w:r>
              <w:t xml:space="preserve">EU-pilvivarmuuskopio</w:t>
            </w:r>
          </w:p>
        </w:tc>
      </w:tr>
      <w:tr>
        <w:tc>
          <w:tcPr/>
          <w:p>
            <w:pPr>
              <w:pStyle w:val="Compact"/>
              <w:jc w:val="left"/>
            </w:pPr>
            <w:r>
              <w:t xml:space="preserve">5</w:t>
            </w:r>
          </w:p>
        </w:tc>
        <w:tc>
          <w:tcPr/>
          <w:p>
            <w:pPr>
              <w:pStyle w:val="Compact"/>
              <w:jc w:val="left"/>
            </w:pPr>
            <w:r>
              <w:t xml:space="preserve">Edge-selain</w:t>
            </w:r>
          </w:p>
        </w:tc>
        <w:tc>
          <w:tcPr/>
          <w:p>
            <w:pPr>
              <w:pStyle w:val="Compact"/>
              <w:jc w:val="left"/>
            </w:pPr>
            <w:r>
              <w:t xml:space="preserve">Avaa automaattisesti päivitetyt tiedostot tarkistettavaksi</w:t>
            </w:r>
          </w:p>
        </w:tc>
        <w:tc>
          <w:tcPr/>
          <w:p>
            <w:pPr>
              <w:pStyle w:val="Compact"/>
              <w:jc w:val="left"/>
            </w:pPr>
            <w:r>
              <w:t xml:space="preserve">Inhimillinen tietämys</w:t>
            </w:r>
          </w:p>
        </w:tc>
      </w:tr>
      <w:tr>
        <w:tc>
          <w:tcPr/>
          <w:p>
            <w:pPr>
              <w:pStyle w:val="Compact"/>
              <w:jc w:val="left"/>
            </w:pPr>
            <w:r>
              <w:t xml:space="preserve">6</w:t>
            </w:r>
          </w:p>
        </w:tc>
        <w:tc>
          <w:tcPr/>
          <w:p>
            <w:pPr>
              <w:pStyle w:val="Compact"/>
              <w:jc w:val="left"/>
            </w:pPr>
            <w:r>
              <w:t xml:space="preserve">Claude Code</w:t>
            </w:r>
          </w:p>
        </w:tc>
        <w:tc>
          <w:tcPr/>
          <w:p>
            <w:pPr>
              <w:pStyle w:val="Compact"/>
              <w:jc w:val="left"/>
            </w:pPr>
            <w:r>
              <w:t xml:space="preserve">Tekoälyavusteinen kehitysistunto</w:t>
            </w:r>
          </w:p>
        </w:tc>
        <w:tc>
          <w:tcPr/>
          <w:p>
            <w:pPr>
              <w:pStyle w:val="Compact"/>
              <w:jc w:val="left"/>
            </w:pPr>
            <w:r>
              <w:t xml:space="preserve">Koodimuutokset</w:t>
            </w:r>
          </w:p>
        </w:tc>
      </w:tr>
      <w:tr>
        <w:tc>
          <w:tcPr/>
          <w:p>
            <w:pPr>
              <w:pStyle w:val="Compact"/>
              <w:jc w:val="left"/>
            </w:pPr>
            <w:r>
              <w:t xml:space="preserve">7</w:t>
            </w:r>
          </w:p>
        </w:tc>
        <w:tc>
          <w:tcPr/>
          <w:p>
            <w:pPr>
              <w:pStyle w:val="Compact"/>
              <w:jc w:val="left"/>
            </w:pPr>
            <w:r>
              <w:rPr>
                <w:rStyle w:val="VerbatimChar"/>
              </w:rPr>
              <w:t xml:space="preserve">git push</w:t>
            </w:r>
          </w:p>
        </w:tc>
        <w:tc>
          <w:tcPr/>
          <w:p>
            <w:pPr>
              <w:pStyle w:val="Compact"/>
              <w:jc w:val="left"/>
            </w:pPr>
            <w:r>
              <w:t xml:space="preserve">Työnnä muutokset GitHubiin</w:t>
            </w:r>
          </w:p>
        </w:tc>
        <w:tc>
          <w:tcPr/>
          <w:p>
            <w:pPr>
              <w:pStyle w:val="Compact"/>
              <w:jc w:val="left"/>
            </w:pPr>
            <w:r>
              <w:t xml:space="preserve">Sykli valmistuu</w:t>
            </w:r>
          </w:p>
        </w:tc>
      </w:tr>
    </w:tbl>
    <w:bookmarkEnd w:id="99"/>
    <w:bookmarkStart w:id="100" w:name="miksi-tämä-putki-on-tärkeää"/>
    <w:p>
      <w:pPr>
        <w:pStyle w:val="Heading3"/>
      </w:pPr>
      <w:r>
        <w:t xml:space="preserve">Miksi tämä putki on tärkeää</w:t>
      </w:r>
    </w:p>
    <w:p>
      <w:pPr>
        <w:pStyle w:val="FirstParagraph"/>
      </w:pPr>
      <w:r>
        <w:t xml:space="preserve">HIL-putki ratkaisee kolme kriittistä ongelmaa:</w:t>
      </w:r>
    </w:p>
    <w:p>
      <w:pPr>
        <w:numPr>
          <w:ilvl w:val="0"/>
          <w:numId w:val="1033"/>
        </w:numPr>
        <w:pStyle w:val="Compact"/>
      </w:pPr>
      <w:r>
        <w:rPr>
          <w:bCs/>
          <w:b/>
        </w:rPr>
        <w:t xml:space="preserve">Tietämyksen portinvartija</w:t>
      </w:r>
      <w:r>
        <w:t xml:space="preserve">: Joka aamu ihminen tarkistaa kaikkien liiketoimintadokumenttien viimeisimmän tilan. Mikään ei ajaudu huomaamatta.</w:t>
      </w:r>
    </w:p>
    <w:p>
      <w:pPr>
        <w:numPr>
          <w:ilvl w:val="0"/>
          <w:numId w:val="1033"/>
        </w:numPr>
        <w:pStyle w:val="Compact"/>
      </w:pPr>
      <w:r>
        <w:rPr>
          <w:bCs/>
          <w:b/>
        </w:rPr>
        <w:t xml:space="preserve">Kolmikerroksinen varmuuskopiointi</w:t>
      </w:r>
      <w:r>
        <w:t xml:space="preserve">: Jokainen muutos on GitHubissa (versionhallinta), Proton Drivessa (salattu paikallinen) ja Supabasessa (EU-pilvi). Ei yhtä vikaantumispistettä.</w:t>
      </w:r>
    </w:p>
    <w:p>
      <w:pPr>
        <w:numPr>
          <w:ilvl w:val="0"/>
          <w:numId w:val="1033"/>
        </w:numPr>
        <w:pStyle w:val="Compact"/>
      </w:pPr>
      <w:r>
        <w:rPr>
          <w:bCs/>
          <w:b/>
        </w:rPr>
        <w:t xml:space="preserve">Jatkuva oppimissilmukka</w:t>
      </w:r>
      <w:r>
        <w:t xml:space="preserve">: Ihminen lukee → tunnistaa puutteet → käyttää Claude Codea korjaamiseen → työntää muutokset → seuraavana aamuna näkee päivityksen. Palautesilmukka sulkeutuu päivittäin.</w:t>
      </w:r>
    </w:p>
    <w:p>
      <w:r>
        <w:pict>
          <v:rect style="width:0;height:1.5pt" o:hralign="center" o:hrstd="t" o:hr="t"/>
        </w:pict>
      </w:r>
    </w:p>
    <w:bookmarkEnd w:id="100"/>
    <w:bookmarkEnd w:id="101"/>
    <w:bookmarkEnd w:id="102"/>
    <w:bookmarkStart w:id="112" w:name="äänichat-kehityssuunnitelma"/>
    <w:p>
      <w:pPr>
        <w:pStyle w:val="Heading1"/>
      </w:pPr>
      <w:r>
        <w:t xml:space="preserve">7. Äänichat-kehityssuunnitelma</w:t>
      </w:r>
    </w:p>
    <w:bookmarkStart w:id="103" w:name="visio"/>
    <w:p>
      <w:pPr>
        <w:pStyle w:val="Heading2"/>
      </w:pPr>
      <w:r>
        <w:t xml:space="preserve">7.1 Visio</w:t>
      </w:r>
    </w:p>
    <w:p>
      <w:pPr>
        <w:pStyle w:val="FirstParagraph"/>
      </w:pPr>
      <w:r>
        <w:t xml:space="preserve">Muunna asiakasvuorovaikutukset tekstipohjaisista äänipohjaisiksi älykkäiden tuotesuositusten avulla käyttäen toimialakohtaisia hiilijalanjälkilaskureita ja EU-sääntelytietoisuutta.</w:t>
      </w:r>
    </w:p>
    <w:bookmarkEnd w:id="103"/>
    <w:bookmarkStart w:id="104" w:name="tekninen-pino"/>
    <w:p>
      <w:pPr>
        <w:pStyle w:val="Heading2"/>
      </w:pPr>
      <w:r>
        <w:t xml:space="preserve">7.2 Tekninen pino</w:t>
      </w:r>
    </w:p>
    <w:tbl>
      <w:tblPr>
        <w:tblStyle w:val="Table"/>
        <w:tblW w:type="pct" w:w="5000"/>
        <w:tblLook w:firstRow="1" w:lastRow="0" w:firstColumn="0" w:lastColumn="0" w:noHBand="0" w:noVBand="0" w:val="0020"/>
        <w:jc w:val="start"/>
      </w:tblPr>
      <w:tblGrid>
        <w:gridCol w:w="1350"/>
        <w:gridCol w:w="2790"/>
        <w:gridCol w:w="3780"/>
      </w:tblGrid>
      <w:tr>
        <w:trPr>
          <w:tblHeader w:val="true"/>
        </w:trPr>
        <w:tc>
          <w:tcPr/>
          <w:p>
            <w:pPr>
              <w:pStyle w:val="Compact"/>
              <w:jc w:val="left"/>
            </w:pPr>
            <w:r>
              <w:t xml:space="preserve">Komponentti</w:t>
            </w:r>
          </w:p>
        </w:tc>
        <w:tc>
          <w:tcPr/>
          <w:p>
            <w:pPr>
              <w:pStyle w:val="Compact"/>
              <w:jc w:val="left"/>
            </w:pPr>
            <w:r>
              <w:t xml:space="preserve">Teknologia</w:t>
            </w:r>
          </w:p>
        </w:tc>
        <w:tc>
          <w:tcPr/>
          <w:p>
            <w:pPr>
              <w:pStyle w:val="Compact"/>
              <w:jc w:val="left"/>
            </w:pPr>
            <w:r>
              <w:t xml:space="preserve">Perustelu</w:t>
            </w:r>
          </w:p>
        </w:tc>
      </w:tr>
      <w:tr>
        <w:tc>
          <w:tcPr/>
          <w:p>
            <w:pPr>
              <w:pStyle w:val="Compact"/>
              <w:jc w:val="left"/>
            </w:pPr>
            <w:r>
              <w:t xml:space="preserve">Puhe tekstiksi</w:t>
            </w:r>
          </w:p>
        </w:tc>
        <w:tc>
          <w:tcPr/>
          <w:p>
            <w:pPr>
              <w:pStyle w:val="Compact"/>
              <w:jc w:val="left"/>
            </w:pPr>
            <w:r>
              <w:t xml:space="preserve">Whisper API</w:t>
            </w:r>
          </w:p>
        </w:tc>
        <w:tc>
          <w:tcPr/>
          <w:p>
            <w:pPr>
              <w:pStyle w:val="Compact"/>
              <w:jc w:val="left"/>
            </w:pPr>
            <w:r>
              <w:t xml:space="preserve">Korkea tarkkuus, monikielisyys</w:t>
            </w:r>
          </w:p>
        </w:tc>
      </w:tr>
      <w:tr>
        <w:tc>
          <w:tcPr/>
          <w:p>
            <w:pPr>
              <w:pStyle w:val="Compact"/>
              <w:jc w:val="left"/>
            </w:pPr>
            <w:r>
              <w:t xml:space="preserve">Teksti puheeksi</w:t>
            </w:r>
          </w:p>
        </w:tc>
        <w:tc>
          <w:tcPr/>
          <w:p>
            <w:pPr>
              <w:pStyle w:val="Compact"/>
              <w:jc w:val="left"/>
            </w:pPr>
            <w:r>
              <w:t xml:space="preserve">ElevenLabs</w:t>
            </w:r>
          </w:p>
        </w:tc>
        <w:tc>
          <w:tcPr/>
          <w:p>
            <w:pPr>
              <w:pStyle w:val="Compact"/>
              <w:jc w:val="left"/>
            </w:pPr>
            <w:r>
              <w:t xml:space="preserve">Luonnollinen äänituloste</w:t>
            </w:r>
          </w:p>
        </w:tc>
      </w:tr>
      <w:tr>
        <w:tc>
          <w:tcPr/>
          <w:p>
            <w:pPr>
              <w:pStyle w:val="Compact"/>
              <w:jc w:val="left"/>
            </w:pPr>
            <w:r>
              <w:t xml:space="preserve">LLM</w:t>
            </w:r>
          </w:p>
        </w:tc>
        <w:tc>
          <w:tcPr/>
          <w:p>
            <w:pPr>
              <w:pStyle w:val="Compact"/>
              <w:jc w:val="left"/>
            </w:pPr>
            <w:r>
              <w:t xml:space="preserve">Groq-inferenssi Llama-malleilla</w:t>
            </w:r>
          </w:p>
        </w:tc>
        <w:tc>
          <w:tcPr/>
          <w:p>
            <w:pPr>
              <w:pStyle w:val="Compact"/>
              <w:jc w:val="left"/>
            </w:pPr>
            <w:r>
              <w:t xml:space="preserve">Kustannustehokas (vs Claude API)</w:t>
            </w:r>
          </w:p>
        </w:tc>
      </w:tr>
      <w:tr>
        <w:tc>
          <w:tcPr/>
          <w:p>
            <w:pPr>
              <w:pStyle w:val="Compact"/>
              <w:jc w:val="left"/>
            </w:pPr>
            <w:r>
              <w:t xml:space="preserve">Hosting</w:t>
            </w:r>
          </w:p>
        </w:tc>
        <w:tc>
          <w:tcPr/>
          <w:p>
            <w:pPr>
              <w:pStyle w:val="Compact"/>
              <w:jc w:val="left"/>
            </w:pPr>
            <w:r>
              <w:t xml:space="preserve">Cloudflare Workers</w:t>
            </w:r>
          </w:p>
        </w:tc>
        <w:tc>
          <w:tcPr/>
          <w:p>
            <w:pPr>
              <w:pStyle w:val="Compact"/>
              <w:jc w:val="left"/>
            </w:pPr>
            <w:r>
              <w:t xml:space="preserve">Edge-suorituskyky, EU-vaatimustenmukaisuus</w:t>
            </w:r>
          </w:p>
        </w:tc>
      </w:tr>
    </w:tbl>
    <w:bookmarkEnd w:id="104"/>
    <w:bookmarkStart w:id="105" w:name="vaihe-1-perusta-q1-2026"/>
    <w:p>
      <w:pPr>
        <w:pStyle w:val="Heading2"/>
      </w:pPr>
      <w:r>
        <w:t xml:space="preserve">7.3 Vaihe 1: Perusta (Q1 2026)</w:t>
      </w:r>
    </w:p>
    <w:p>
      <w:pPr>
        <w:pStyle w:val="FirstParagraph"/>
      </w:pPr>
      <w:r>
        <w:rPr>
          <w:bCs/>
          <w:b/>
        </w:rPr>
        <w:t xml:space="preserve">Tavoite:</w:t>
      </w:r>
      <w:r>
        <w:t xml:space="preserve"> </w:t>
      </w:r>
      <w:r>
        <w:t xml:space="preserve">Perusäänichat tuotekatalogin tuntemuksella</w:t>
      </w:r>
    </w:p>
    <w:p>
      <w:pPr>
        <w:pStyle w:val="BodyText"/>
      </w:pPr>
      <w:r>
        <w:rPr>
          <w:bCs/>
          <w:b/>
        </w:rPr>
        <w:t xml:space="preserve">Ominaisuudet:</w:t>
      </w:r>
    </w:p>
    <w:p>
      <w:pPr>
        <w:numPr>
          <w:ilvl w:val="0"/>
          <w:numId w:val="1034"/>
        </w:numPr>
        <w:pStyle w:val="Compact"/>
      </w:pPr>
      <w:r>
        <w:t xml:space="preserve">Äänisyöte/-tuloste (suomi, englanti, ruotsi)</w:t>
      </w:r>
    </w:p>
    <w:p>
      <w:pPr>
        <w:numPr>
          <w:ilvl w:val="0"/>
          <w:numId w:val="1034"/>
        </w:numPr>
        <w:pStyle w:val="Compact"/>
      </w:pPr>
      <w:r>
        <w:t xml:space="preserve">Tuotekatalogin haku</w:t>
      </w:r>
    </w:p>
    <w:p>
      <w:pPr>
        <w:numPr>
          <w:ilvl w:val="0"/>
          <w:numId w:val="1034"/>
        </w:numPr>
        <w:pStyle w:val="Compact"/>
      </w:pPr>
      <w:r>
        <w:t xml:space="preserve">Perus-Q&amp;A palveluista</w:t>
      </w:r>
    </w:p>
    <w:p>
      <w:pPr>
        <w:numPr>
          <w:ilvl w:val="0"/>
          <w:numId w:val="1034"/>
        </w:numPr>
        <w:pStyle w:val="Compact"/>
      </w:pPr>
      <w:r>
        <w:t xml:space="preserve">Siirto ihmistukeen</w:t>
      </w:r>
    </w:p>
    <w:p>
      <w:pPr>
        <w:numPr>
          <w:ilvl w:val="0"/>
          <w:numId w:val="1034"/>
        </w:numPr>
        <w:pStyle w:val="Compact"/>
      </w:pPr>
      <w:r>
        <w:t xml:space="preserve">EU:n tekoälysäädöksen läpinäkyvyysilmoitus</w:t>
      </w:r>
    </w:p>
    <w:bookmarkEnd w:id="105"/>
    <w:bookmarkStart w:id="107" w:name="X98dc42d8cbe871ed08948b171fe6b8b9103f4bc"/>
    <w:p>
      <w:pPr>
        <w:pStyle w:val="Heading2"/>
      </w:pPr>
      <w:r>
        <w:t xml:space="preserve">7.4 Vaihe 2: Hiilijalanjälkilaskurin integraatio (Q2 2026)</w:t>
      </w:r>
    </w:p>
    <w:p>
      <w:pPr>
        <w:pStyle w:val="FirstParagraph"/>
      </w:pPr>
      <w:r>
        <w:rPr>
          <w:bCs/>
          <w:b/>
        </w:rPr>
        <w:t xml:space="preserve">Tavoite:</w:t>
      </w:r>
      <w:r>
        <w:t xml:space="preserve"> </w:t>
      </w:r>
      <w:r>
        <w:t xml:space="preserve">Toimialakohtainen hiilijalanjälkilaskenta tuotesuosituksin</w:t>
      </w:r>
    </w:p>
    <w:bookmarkStart w:id="106" w:name="X15fb3d365a6e7a192463126ad17813187e04902"/>
    <w:p>
      <w:pPr>
        <w:pStyle w:val="Heading3"/>
      </w:pPr>
      <w:r>
        <w:t xml:space="preserve">Toimialojen hiiliprofiilit (16 EU-toimialaa)</w:t>
      </w:r>
    </w:p>
    <w:tbl>
      <w:tblPr>
        <w:tblStyle w:val="Table"/>
        <w:tblW w:type="pct" w:w="5000"/>
        <w:tblLook w:firstRow="1" w:lastRow="0" w:firstColumn="0" w:lastColumn="0" w:noHBand="0" w:noVBand="0" w:val="0020"/>
        <w:jc w:val="start"/>
      </w:tblPr>
      <w:tblGrid>
        <w:gridCol w:w="1498"/>
        <w:gridCol w:w="3103"/>
        <w:gridCol w:w="3317"/>
      </w:tblGrid>
      <w:tr>
        <w:trPr>
          <w:tblHeader w:val="true"/>
        </w:trPr>
        <w:tc>
          <w:tcPr/>
          <w:p>
            <w:pPr>
              <w:pStyle w:val="Compact"/>
              <w:jc w:val="left"/>
            </w:pPr>
            <w:r>
              <w:t xml:space="preserve">Toimiala</w:t>
            </w:r>
          </w:p>
        </w:tc>
        <w:tc>
          <w:tcPr/>
          <w:p>
            <w:pPr>
              <w:pStyle w:val="Compact"/>
              <w:jc w:val="left"/>
            </w:pPr>
            <w:r>
              <w:t xml:space="preserve">Ensisijaiset päästöt</w:t>
            </w:r>
          </w:p>
        </w:tc>
        <w:tc>
          <w:tcPr/>
          <w:p>
            <w:pPr>
              <w:pStyle w:val="Compact"/>
              <w:jc w:val="left"/>
            </w:pPr>
            <w:r>
              <w:t xml:space="preserve">Suositellut tuotteet</w:t>
            </w:r>
          </w:p>
        </w:tc>
      </w:tr>
      <w:tr>
        <w:tc>
          <w:tcPr/>
          <w:p>
            <w:pPr>
              <w:pStyle w:val="Compact"/>
              <w:jc w:val="left"/>
            </w:pPr>
            <w:r>
              <w:t xml:space="preserve">Teräs</w:t>
            </w:r>
          </w:p>
        </w:tc>
        <w:tc>
          <w:tcPr/>
          <w:p>
            <w:pPr>
              <w:pStyle w:val="Compact"/>
              <w:jc w:val="left"/>
            </w:pPr>
            <w:r>
              <w:t xml:space="preserve">Prosessipäästöt (Scope 1)</w:t>
            </w:r>
          </w:p>
        </w:tc>
        <w:tc>
          <w:tcPr/>
          <w:p>
            <w:pPr>
              <w:pStyle w:val="Compact"/>
              <w:jc w:val="left"/>
            </w:pPr>
            <w:r>
              <w:t xml:space="preserve">DWS IQ v6, Firehorse Automation</w:t>
            </w:r>
          </w:p>
        </w:tc>
      </w:tr>
      <w:tr>
        <w:tc>
          <w:tcPr/>
          <w:p>
            <w:pPr>
              <w:pStyle w:val="Compact"/>
              <w:jc w:val="left"/>
            </w:pPr>
            <w:r>
              <w:t xml:space="preserve">Sementti</w:t>
            </w:r>
          </w:p>
        </w:tc>
        <w:tc>
          <w:tcPr/>
          <w:p>
            <w:pPr>
              <w:pStyle w:val="Compact"/>
              <w:jc w:val="left"/>
            </w:pPr>
            <w:r>
              <w:t xml:space="preserve">Prosessi + energia</w:t>
            </w:r>
          </w:p>
        </w:tc>
        <w:tc>
          <w:tcPr/>
          <w:p>
            <w:pPr>
              <w:pStyle w:val="Compact"/>
              <w:jc w:val="left"/>
            </w:pPr>
            <w:r>
              <w:t xml:space="preserve">DWS IQ v6, Climate Bundle</w:t>
            </w:r>
          </w:p>
        </w:tc>
      </w:tr>
      <w:tr>
        <w:tc>
          <w:tcPr/>
          <w:p>
            <w:pPr>
              <w:pStyle w:val="Compact"/>
              <w:jc w:val="left"/>
            </w:pPr>
            <w:r>
              <w:t xml:space="preserve">Kemikaalit</w:t>
            </w:r>
          </w:p>
        </w:tc>
        <w:tc>
          <w:tcPr/>
          <w:p>
            <w:pPr>
              <w:pStyle w:val="Compact"/>
              <w:jc w:val="left"/>
            </w:pPr>
            <w:r>
              <w:t xml:space="preserve">Toimitusketju (Scope 3)</w:t>
            </w:r>
          </w:p>
        </w:tc>
        <w:tc>
          <w:tcPr/>
          <w:p>
            <w:pPr>
              <w:pStyle w:val="Compact"/>
              <w:jc w:val="left"/>
            </w:pPr>
            <w:r>
              <w:t xml:space="preserve">Firehorse Report, Consulting</w:t>
            </w:r>
          </w:p>
        </w:tc>
      </w:tr>
      <w:tr>
        <w:tc>
          <w:tcPr/>
          <w:p>
            <w:pPr>
              <w:pStyle w:val="Compact"/>
              <w:jc w:val="left"/>
            </w:pPr>
            <w:r>
              <w:t xml:space="preserve">Autoteollisuus</w:t>
            </w:r>
          </w:p>
        </w:tc>
        <w:tc>
          <w:tcPr/>
          <w:p>
            <w:pPr>
              <w:pStyle w:val="Compact"/>
              <w:jc w:val="left"/>
            </w:pPr>
            <w:r>
              <w:t xml:space="preserve">Valmistus + käyttövaihe</w:t>
            </w:r>
          </w:p>
        </w:tc>
        <w:tc>
          <w:tcPr/>
          <w:p>
            <w:pPr>
              <w:pStyle w:val="Compact"/>
              <w:jc w:val="left"/>
            </w:pPr>
            <w:r>
              <w:t xml:space="preserve">DWS IQ v6, Expert Advisory</w:t>
            </w:r>
          </w:p>
        </w:tc>
      </w:tr>
      <w:tr>
        <w:tc>
          <w:tcPr/>
          <w:p>
            <w:pPr>
              <w:pStyle w:val="Compact"/>
              <w:jc w:val="left"/>
            </w:pPr>
            <w:r>
              <w:t xml:space="preserve">Merenkulku</w:t>
            </w:r>
          </w:p>
        </w:tc>
        <w:tc>
          <w:tcPr/>
          <w:p>
            <w:pPr>
              <w:pStyle w:val="Compact"/>
              <w:jc w:val="left"/>
            </w:pPr>
            <w:r>
              <w:t xml:space="preserve">Polttoaineenkulutus</w:t>
            </w:r>
          </w:p>
        </w:tc>
        <w:tc>
          <w:tcPr/>
          <w:p>
            <w:pPr>
              <w:pStyle w:val="Compact"/>
              <w:jc w:val="left"/>
            </w:pPr>
            <w:r>
              <w:t xml:space="preserve">Firehorse Automation, Report</w:t>
            </w:r>
          </w:p>
        </w:tc>
      </w:tr>
      <w:tr>
        <w:tc>
          <w:tcPr/>
          <w:p>
            <w:pPr>
              <w:pStyle w:val="Compact"/>
              <w:jc w:val="left"/>
            </w:pPr>
            <w:r>
              <w:t xml:space="preserve">Ilmailu</w:t>
            </w:r>
          </w:p>
        </w:tc>
        <w:tc>
          <w:tcPr/>
          <w:p>
            <w:pPr>
              <w:pStyle w:val="Compact"/>
              <w:jc w:val="left"/>
            </w:pPr>
            <w:r>
              <w:t xml:space="preserve">Lentopolttoaine, SAF-siirtymä</w:t>
            </w:r>
          </w:p>
        </w:tc>
        <w:tc>
          <w:tcPr/>
          <w:p>
            <w:pPr>
              <w:pStyle w:val="Compact"/>
              <w:jc w:val="left"/>
            </w:pPr>
            <w:r>
              <w:t xml:space="preserve">DWS IQ v6, Consulting Fit55</w:t>
            </w:r>
          </w:p>
        </w:tc>
      </w:tr>
      <w:tr>
        <w:tc>
          <w:tcPr/>
          <w:p>
            <w:pPr>
              <w:pStyle w:val="Compact"/>
              <w:jc w:val="left"/>
            </w:pPr>
            <w:r>
              <w:t xml:space="preserve">Rakennukset</w:t>
            </w:r>
          </w:p>
        </w:tc>
        <w:tc>
          <w:tcPr/>
          <w:p>
            <w:pPr>
              <w:pStyle w:val="Compact"/>
              <w:jc w:val="left"/>
            </w:pPr>
            <w:r>
              <w:t xml:space="preserve">Energiatehokkuus</w:t>
            </w:r>
          </w:p>
        </w:tc>
        <w:tc>
          <w:tcPr/>
          <w:p>
            <w:pPr>
              <w:pStyle w:val="Compact"/>
              <w:jc w:val="left"/>
            </w:pPr>
            <w:r>
              <w:t xml:space="preserve">Firehorse CMS, Automation</w:t>
            </w:r>
          </w:p>
        </w:tc>
      </w:tr>
      <w:tr>
        <w:tc>
          <w:tcPr/>
          <w:p>
            <w:pPr>
              <w:pStyle w:val="Compact"/>
              <w:jc w:val="left"/>
            </w:pPr>
            <w:r>
              <w:t xml:space="preserve">Maatalous</w:t>
            </w:r>
          </w:p>
        </w:tc>
        <w:tc>
          <w:tcPr/>
          <w:p>
            <w:pPr>
              <w:pStyle w:val="Compact"/>
              <w:jc w:val="left"/>
            </w:pPr>
            <w:r>
              <w:t xml:space="preserve">Maankäyttö, karja</w:t>
            </w:r>
          </w:p>
        </w:tc>
        <w:tc>
          <w:tcPr/>
          <w:p>
            <w:pPr>
              <w:pStyle w:val="Compact"/>
              <w:jc w:val="left"/>
            </w:pPr>
            <w:r>
              <w:t xml:space="preserve">Climate Bundle, Advisory</w:t>
            </w:r>
          </w:p>
        </w:tc>
      </w:tr>
    </w:tbl>
    <w:bookmarkEnd w:id="106"/>
    <w:bookmarkEnd w:id="107"/>
    <w:bookmarkStart w:id="109" w:name="vaihe-3-eu-sääntelytietoisuus-q3-2026"/>
    <w:p>
      <w:pPr>
        <w:pStyle w:val="Heading2"/>
      </w:pPr>
      <w:r>
        <w:t xml:space="preserve">7.5 Vaihe 3: EU-sääntelytietoisuus (Q3 2026)</w:t>
      </w:r>
    </w:p>
    <w:p>
      <w:pPr>
        <w:pStyle w:val="FirstParagraph"/>
      </w:pPr>
      <w:r>
        <w:rPr>
          <w:bCs/>
          <w:b/>
        </w:rPr>
        <w:t xml:space="preserve">Tavoite:</w:t>
      </w:r>
      <w:r>
        <w:t xml:space="preserve"> </w:t>
      </w:r>
      <w:r>
        <w:t xml:space="preserve">Ennakoivat sääntelyvaatimustenmukaisuussuositukset</w:t>
      </w:r>
    </w:p>
    <w:bookmarkStart w:id="108" w:name="säännöksen-laukaisumatriisi"/>
    <w:p>
      <w:pPr>
        <w:pStyle w:val="Heading3"/>
      </w:pPr>
      <w:r>
        <w:t xml:space="preserve">Säännöksen laukaisumatriisi</w:t>
      </w:r>
    </w:p>
    <w:tbl>
      <w:tblPr>
        <w:tblStyle w:val="Table"/>
        <w:tblW w:type="pct" w:w="5000"/>
        <w:tblLook w:firstRow="1" w:lastRow="0" w:firstColumn="0" w:lastColumn="0" w:noHBand="0" w:noVBand="0" w:val="0020"/>
        <w:jc w:val="start"/>
      </w:tblPr>
      <w:tblGrid>
        <w:gridCol w:w="1875"/>
        <w:gridCol w:w="2813"/>
        <w:gridCol w:w="3230"/>
      </w:tblGrid>
      <w:tr>
        <w:trPr>
          <w:tblHeader w:val="true"/>
        </w:trPr>
        <w:tc>
          <w:tcPr/>
          <w:p>
            <w:pPr>
              <w:pStyle w:val="Compact"/>
              <w:jc w:val="left"/>
            </w:pPr>
            <w:r>
              <w:t xml:space="preserve">Säännös</w:t>
            </w:r>
          </w:p>
        </w:tc>
        <w:tc>
          <w:tcPr/>
          <w:p>
            <w:pPr>
              <w:pStyle w:val="Compact"/>
              <w:jc w:val="left"/>
            </w:pPr>
            <w:r>
              <w:t xml:space="preserve">Laukaiseva ehto</w:t>
            </w:r>
          </w:p>
        </w:tc>
        <w:tc>
          <w:tcPr/>
          <w:p>
            <w:pPr>
              <w:pStyle w:val="Compact"/>
              <w:jc w:val="left"/>
            </w:pPr>
            <w:r>
              <w:t xml:space="preserve">Tuotesuositus</w:t>
            </w:r>
          </w:p>
        </w:tc>
      </w:tr>
      <w:tr>
        <w:tc>
          <w:tcPr/>
          <w:p>
            <w:pPr>
              <w:pStyle w:val="Compact"/>
              <w:jc w:val="left"/>
            </w:pPr>
            <w:r>
              <w:t xml:space="preserve">EU:n tekoälysäädös</w:t>
            </w:r>
          </w:p>
        </w:tc>
        <w:tc>
          <w:tcPr/>
          <w:p>
            <w:pPr>
              <w:pStyle w:val="Compact"/>
              <w:jc w:val="left"/>
            </w:pPr>
            <w:r>
              <w:t xml:space="preserve">Käyttää tekoälyjärjestelmiä</w:t>
            </w:r>
          </w:p>
        </w:tc>
        <w:tc>
          <w:tcPr/>
          <w:p>
            <w:pPr>
              <w:pStyle w:val="Compact"/>
              <w:jc w:val="left"/>
            </w:pPr>
            <w:r>
              <w:t xml:space="preserve">DWS IQ v6, Conversational Agent</w:t>
            </w:r>
          </w:p>
        </w:tc>
      </w:tr>
      <w:tr>
        <w:tc>
          <w:tcPr/>
          <w:p>
            <w:pPr>
              <w:pStyle w:val="Compact"/>
              <w:jc w:val="left"/>
            </w:pPr>
            <w:r>
              <w:t xml:space="preserve">Fit for 55</w:t>
            </w:r>
          </w:p>
        </w:tc>
        <w:tc>
          <w:tcPr/>
          <w:p>
            <w:pPr>
              <w:pStyle w:val="Compact"/>
              <w:jc w:val="left"/>
            </w:pPr>
            <w:r>
              <w:t xml:space="preserve">&gt;500 tCO2e vuosittain</w:t>
            </w:r>
          </w:p>
        </w:tc>
        <w:tc>
          <w:tcPr/>
          <w:p>
            <w:pPr>
              <w:pStyle w:val="Compact"/>
              <w:jc w:val="left"/>
            </w:pPr>
            <w:r>
              <w:t xml:space="preserve">DWS IQ Platform, FH Report</w:t>
            </w:r>
          </w:p>
        </w:tc>
      </w:tr>
      <w:tr>
        <w:tc>
          <w:tcPr/>
          <w:p>
            <w:pPr>
              <w:pStyle w:val="Compact"/>
              <w:jc w:val="left"/>
            </w:pPr>
            <w:r>
              <w:t xml:space="preserve">CSRD</w:t>
            </w:r>
          </w:p>
        </w:tc>
        <w:tc>
          <w:tcPr/>
          <w:p>
            <w:pPr>
              <w:pStyle w:val="Compact"/>
              <w:jc w:val="left"/>
            </w:pPr>
            <w:r>
              <w:t xml:space="preserve">&gt;250 työntekijää</w:t>
            </w:r>
          </w:p>
        </w:tc>
        <w:tc>
          <w:tcPr/>
          <w:p>
            <w:pPr>
              <w:pStyle w:val="Compact"/>
              <w:jc w:val="left"/>
            </w:pPr>
            <w:r>
              <w:t xml:space="preserve">Climate Reporting Bundle</w:t>
            </w:r>
          </w:p>
        </w:tc>
      </w:tr>
      <w:tr>
        <w:tc>
          <w:tcPr/>
          <w:p>
            <w:pPr>
              <w:pStyle w:val="Compact"/>
              <w:jc w:val="left"/>
            </w:pPr>
            <w:r>
              <w:t xml:space="preserve">GDPR</w:t>
            </w:r>
          </w:p>
        </w:tc>
        <w:tc>
          <w:tcPr/>
          <w:p>
            <w:pPr>
              <w:pStyle w:val="Compact"/>
              <w:jc w:val="left"/>
            </w:pPr>
            <w:r>
              <w:t xml:space="preserve">Henkilötietojen käsittely</w:t>
            </w:r>
          </w:p>
        </w:tc>
        <w:tc>
          <w:tcPr/>
          <w:p>
            <w:pPr>
              <w:pStyle w:val="Compact"/>
              <w:jc w:val="left"/>
            </w:pPr>
            <w:r>
              <w:t xml:space="preserve">Protonmail-toteutus</w:t>
            </w:r>
          </w:p>
        </w:tc>
      </w:tr>
      <w:tr>
        <w:tc>
          <w:tcPr/>
          <w:p>
            <w:pPr>
              <w:pStyle w:val="Compact"/>
              <w:jc w:val="left"/>
            </w:pPr>
            <w:r>
              <w:t xml:space="preserve">NIS2</w:t>
            </w:r>
          </w:p>
        </w:tc>
        <w:tc>
          <w:tcPr/>
          <w:p>
            <w:pPr>
              <w:pStyle w:val="Compact"/>
              <w:jc w:val="left"/>
            </w:pPr>
            <w:r>
              <w:t xml:space="preserve">Kriittinen infrastruktuuri</w:t>
            </w:r>
          </w:p>
        </w:tc>
        <w:tc>
          <w:tcPr/>
          <w:p>
            <w:pPr>
              <w:pStyle w:val="Compact"/>
              <w:jc w:val="left"/>
            </w:pPr>
            <w:r>
              <w:t xml:space="preserve">Firehorse CMS, Protonmail</w:t>
            </w:r>
          </w:p>
        </w:tc>
      </w:tr>
      <w:tr>
        <w:tc>
          <w:tcPr/>
          <w:p>
            <w:pPr>
              <w:pStyle w:val="Compact"/>
              <w:jc w:val="left"/>
            </w:pPr>
            <w:r>
              <w:t xml:space="preserve">CBAM</w:t>
            </w:r>
          </w:p>
        </w:tc>
        <w:tc>
          <w:tcPr/>
          <w:p>
            <w:pPr>
              <w:pStyle w:val="Compact"/>
              <w:jc w:val="left"/>
            </w:pPr>
            <w:r>
              <w:t xml:space="preserve">Tuonti EU:n ulkopuolelta</w:t>
            </w:r>
          </w:p>
        </w:tc>
        <w:tc>
          <w:tcPr/>
          <w:p>
            <w:pPr>
              <w:pStyle w:val="Compact"/>
              <w:jc w:val="left"/>
            </w:pPr>
            <w:r>
              <w:t xml:space="preserve">DWS IQ, Consulting</w:t>
            </w:r>
          </w:p>
        </w:tc>
      </w:tr>
    </w:tbl>
    <w:bookmarkEnd w:id="108"/>
    <w:bookmarkEnd w:id="109"/>
    <w:bookmarkStart w:id="110" w:name="vaihe-4-kumppaniekosysteemi-q4-2026"/>
    <w:p>
      <w:pPr>
        <w:pStyle w:val="Heading2"/>
      </w:pPr>
      <w:r>
        <w:t xml:space="preserve">7.6 Vaihe 4: Kumppaniekosysteemi (Q4 2026)</w:t>
      </w:r>
    </w:p>
    <w:p>
      <w:pPr>
        <w:pStyle w:val="FirstParagraph"/>
      </w:pPr>
      <w:r>
        <w:rPr>
          <w:bCs/>
          <w:b/>
        </w:rPr>
        <w:t xml:space="preserve">Ansaintamalli:</w:t>
      </w:r>
    </w:p>
    <w:p>
      <w:pPr>
        <w:numPr>
          <w:ilvl w:val="0"/>
          <w:numId w:val="1035"/>
        </w:numPr>
        <w:pStyle w:val="Compact"/>
      </w:pPr>
      <w:r>
        <w:t xml:space="preserve">Lifetime-tuotteet: Suoramyynti</w:t>
      </w:r>
    </w:p>
    <w:p>
      <w:pPr>
        <w:numPr>
          <w:ilvl w:val="0"/>
          <w:numId w:val="1035"/>
        </w:numPr>
        <w:pStyle w:val="Compact"/>
      </w:pPr>
      <w:r>
        <w:t xml:space="preserve">Kumppanituotteet: Välityspalkkio (10-20 %)</w:t>
      </w:r>
    </w:p>
    <w:bookmarkEnd w:id="110"/>
    <w:bookmarkStart w:id="111" w:name="proton-turvallisuustuotteiden-strategia"/>
    <w:p>
      <w:pPr>
        <w:pStyle w:val="Heading2"/>
      </w:pPr>
      <w:r>
        <w:t xml:space="preserve">7.7 Proton-turvallisuustuotteiden strategia</w:t>
      </w:r>
    </w:p>
    <w:p>
      <w:pPr>
        <w:pStyle w:val="FirstParagraph"/>
      </w:pPr>
      <w:r>
        <w:t xml:space="preserve">Kun äänichat havaitsee turvallisuus-/yksityisyystarpeita:</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Komponentti</w:t>
            </w:r>
          </w:p>
        </w:tc>
        <w:tc>
          <w:tcPr/>
          <w:p>
            <w:pPr>
              <w:pStyle w:val="Compact"/>
              <w:jc w:val="left"/>
            </w:pPr>
            <w:r>
              <w:t xml:space="preserve">Kuvaus</w:t>
            </w:r>
          </w:p>
        </w:tc>
      </w:tr>
      <w:tr>
        <w:tc>
          <w:tcPr/>
          <w:p>
            <w:pPr>
              <w:pStyle w:val="Compact"/>
              <w:jc w:val="left"/>
            </w:pPr>
            <w:r>
              <w:t xml:space="preserve">Proton Mail</w:t>
            </w:r>
          </w:p>
        </w:tc>
        <w:tc>
          <w:tcPr/>
          <w:p>
            <w:pPr>
              <w:pStyle w:val="Compact"/>
              <w:jc w:val="left"/>
            </w:pPr>
            <w:r>
              <w:t xml:space="preserve">Päästä päähän salattu sähköposti</w:t>
            </w:r>
          </w:p>
        </w:tc>
      </w:tr>
      <w:tr>
        <w:tc>
          <w:tcPr/>
          <w:p>
            <w:pPr>
              <w:pStyle w:val="Compact"/>
              <w:jc w:val="left"/>
            </w:pPr>
            <w:r>
              <w:t xml:space="preserve">Proton Drive</w:t>
            </w:r>
          </w:p>
        </w:tc>
        <w:tc>
          <w:tcPr/>
          <w:p>
            <w:pPr>
              <w:pStyle w:val="Compact"/>
              <w:jc w:val="left"/>
            </w:pPr>
            <w:r>
              <w:t xml:space="preserve">Salattu pilvitallennustila</w:t>
            </w:r>
          </w:p>
        </w:tc>
      </w:tr>
      <w:tr>
        <w:tc>
          <w:tcPr/>
          <w:p>
            <w:pPr>
              <w:pStyle w:val="Compact"/>
              <w:jc w:val="left"/>
            </w:pPr>
            <w:r>
              <w:t xml:space="preserve">Proton Pass</w:t>
            </w:r>
          </w:p>
        </w:tc>
        <w:tc>
          <w:tcPr/>
          <w:p>
            <w:pPr>
              <w:pStyle w:val="Compact"/>
              <w:jc w:val="left"/>
            </w:pPr>
            <w:r>
              <w:t xml:space="preserve">Salasanahallinta</w:t>
            </w:r>
          </w:p>
        </w:tc>
      </w:tr>
      <w:tr>
        <w:tc>
          <w:tcPr/>
          <w:p>
            <w:pPr>
              <w:pStyle w:val="Compact"/>
              <w:jc w:val="left"/>
            </w:pPr>
            <w:r>
              <w:t xml:space="preserve">Proton VPN</w:t>
            </w:r>
          </w:p>
        </w:tc>
        <w:tc>
          <w:tcPr/>
          <w:p>
            <w:pPr>
              <w:pStyle w:val="Compact"/>
              <w:jc w:val="left"/>
            </w:pPr>
            <w:r>
              <w:t xml:space="preserve">Turvallinen verkkoyhteys</w:t>
            </w:r>
          </w:p>
        </w:tc>
      </w:tr>
    </w:tbl>
    <w:p>
      <w:r>
        <w:pict>
          <v:rect style="width:0;height:1.5pt" o:hralign="center" o:hrstd="t" o:hr="t"/>
        </w:pict>
      </w:r>
    </w:p>
    <w:bookmarkEnd w:id="111"/>
    <w:bookmarkEnd w:id="112"/>
    <w:bookmarkStart w:id="128" w:name="tulokset-ja-analyysi"/>
    <w:p>
      <w:pPr>
        <w:pStyle w:val="Heading1"/>
      </w:pPr>
      <w:r>
        <w:t xml:space="preserve">8. Tulokset ja analyysi</w:t>
      </w:r>
    </w:p>
    <w:bookmarkStart w:id="113" w:name="toiminnallinen-tehokkuus"/>
    <w:p>
      <w:pPr>
        <w:pStyle w:val="Heading2"/>
      </w:pPr>
      <w:r>
        <w:t xml:space="preserve">8.1 Toiminnallinen tehokkuus</w:t>
      </w:r>
    </w:p>
    <w:p>
      <w:pPr>
        <w:pStyle w:val="FirstParagraph"/>
      </w:pPr>
      <w:r>
        <w:t xml:space="preserve">Firehorse-toimintamalli Claude Codella saavutti (päivitetty v3.26):</w:t>
      </w:r>
    </w:p>
    <w:tbl>
      <w:tblPr>
        <w:tblStyle w:val="Table"/>
        <w:tblW w:type="pct" w:w="5000"/>
        <w:tblLook w:firstRow="1" w:lastRow="0" w:firstColumn="0" w:lastColumn="0" w:noHBand="0" w:noVBand="0" w:val="0020"/>
        <w:jc w:val="start"/>
      </w:tblPr>
      <w:tblGrid>
        <w:gridCol w:w="2254"/>
        <w:gridCol w:w="1340"/>
        <w:gridCol w:w="2558"/>
        <w:gridCol w:w="1766"/>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Tuotepäivitysaika</w:t>
            </w:r>
          </w:p>
        </w:tc>
        <w:tc>
          <w:tcPr/>
          <w:p>
            <w:pPr>
              <w:pStyle w:val="Compact"/>
              <w:jc w:val="left"/>
            </w:pPr>
            <w:r>
              <w:t xml:space="preserve">2 tuntia</w:t>
            </w:r>
          </w:p>
        </w:tc>
        <w:tc>
          <w:tcPr/>
          <w:p>
            <w:pPr>
              <w:pStyle w:val="Compact"/>
              <w:jc w:val="left"/>
            </w:pPr>
            <w:r>
              <w:t xml:space="preserve">5 minuuttia</w:t>
            </w:r>
          </w:p>
        </w:tc>
        <w:tc>
          <w:tcPr/>
          <w:p>
            <w:pPr>
              <w:pStyle w:val="Compact"/>
              <w:jc w:val="left"/>
            </w:pPr>
            <w:r>
              <w:t xml:space="preserve">96 %</w:t>
            </w:r>
          </w:p>
        </w:tc>
      </w:tr>
      <w:tr>
        <w:tc>
          <w:tcPr/>
          <w:p>
            <w:pPr>
              <w:pStyle w:val="Compact"/>
              <w:jc w:val="left"/>
            </w:pPr>
            <w:r>
              <w:t xml:space="preserve">Syötteen generointi</w:t>
            </w:r>
          </w:p>
        </w:tc>
        <w:tc>
          <w:tcPr/>
          <w:p>
            <w:pPr>
              <w:pStyle w:val="Compact"/>
              <w:jc w:val="left"/>
            </w:pPr>
            <w:r>
              <w:t xml:space="preserve">Manuaalinen</w:t>
            </w:r>
          </w:p>
        </w:tc>
        <w:tc>
          <w:tcPr/>
          <w:p>
            <w:pPr>
              <w:pStyle w:val="Compact"/>
              <w:jc w:val="left"/>
            </w:pPr>
            <w:r>
              <w:t xml:space="preserve">Automatisoitu</w:t>
            </w:r>
          </w:p>
        </w:tc>
        <w:tc>
          <w:tcPr/>
          <w:p>
            <w:pPr>
              <w:pStyle w:val="Compact"/>
              <w:jc w:val="left"/>
            </w:pPr>
            <w:r>
              <w:t xml:space="preserve">100 %</w:t>
            </w:r>
          </w:p>
        </w:tc>
      </w:tr>
      <w:tr>
        <w:tc>
          <w:tcPr/>
          <w:p>
            <w:pPr>
              <w:pStyle w:val="Compact"/>
              <w:jc w:val="left"/>
            </w:pPr>
            <w:r>
              <w:t xml:space="preserve">Dokumentaation luonti</w:t>
            </w:r>
          </w:p>
        </w:tc>
        <w:tc>
          <w:tcPr/>
          <w:p>
            <w:pPr>
              <w:pStyle w:val="Compact"/>
              <w:jc w:val="left"/>
            </w:pPr>
            <w:r>
              <w:t xml:space="preserve">1 viikko</w:t>
            </w:r>
          </w:p>
        </w:tc>
        <w:tc>
          <w:tcPr/>
          <w:p>
            <w:pPr>
              <w:pStyle w:val="Compact"/>
              <w:jc w:val="left"/>
            </w:pPr>
            <w:r>
              <w:t xml:space="preserve">1 tunti</w:t>
            </w:r>
          </w:p>
        </w:tc>
        <w:tc>
          <w:tcPr/>
          <w:p>
            <w:pPr>
              <w:pStyle w:val="Compact"/>
              <w:jc w:val="left"/>
            </w:pPr>
            <w:r>
              <w:t xml:space="preserve">99 %</w:t>
            </w:r>
          </w:p>
        </w:tc>
      </w:tr>
      <w:tr>
        <w:tc>
          <w:tcPr/>
          <w:p>
            <w:pPr>
              <w:pStyle w:val="Compact"/>
              <w:jc w:val="left"/>
            </w:pPr>
            <w:r>
              <w:t xml:space="preserve">Virheprosentti</w:t>
            </w:r>
          </w:p>
        </w:tc>
        <w:tc>
          <w:tcPr/>
          <w:p>
            <w:pPr>
              <w:pStyle w:val="Compact"/>
              <w:jc w:val="left"/>
            </w:pPr>
            <w:r>
              <w:t xml:space="preserve">5 %</w:t>
            </w:r>
          </w:p>
        </w:tc>
        <w:tc>
          <w:tcPr/>
          <w:p>
            <w:pPr>
              <w:pStyle w:val="Compact"/>
              <w:jc w:val="left"/>
            </w:pPr>
            <w:r>
              <w:t xml:space="preserve">&lt;1 %</w:t>
            </w:r>
          </w:p>
        </w:tc>
        <w:tc>
          <w:tcPr/>
          <w:p>
            <w:pPr>
              <w:pStyle w:val="Compact"/>
              <w:jc w:val="left"/>
            </w:pPr>
            <w:r>
              <w:t xml:space="preserve">80 %</w:t>
            </w:r>
          </w:p>
        </w:tc>
      </w:tr>
      <w:tr>
        <w:tc>
          <w:tcPr/>
          <w:p>
            <w:pPr>
              <w:pStyle w:val="Compact"/>
              <w:jc w:val="left"/>
            </w:pPr>
            <w:r>
              <w:t xml:space="preserve">Kauppasivun päivitykset</w:t>
            </w:r>
          </w:p>
        </w:tc>
        <w:tc>
          <w:tcPr/>
          <w:p>
            <w:pPr>
              <w:pStyle w:val="Compact"/>
              <w:jc w:val="left"/>
            </w:pPr>
            <w:r>
              <w:t xml:space="preserve">4 tuntia</w:t>
            </w:r>
          </w:p>
        </w:tc>
        <w:tc>
          <w:tcPr/>
          <w:p>
            <w:pPr>
              <w:pStyle w:val="Compact"/>
              <w:jc w:val="left"/>
            </w:pPr>
            <w:r>
              <w:t xml:space="preserve">15 minuuttia</w:t>
            </w:r>
          </w:p>
        </w:tc>
        <w:tc>
          <w:tcPr/>
          <w:p>
            <w:pPr>
              <w:pStyle w:val="Compact"/>
              <w:jc w:val="left"/>
            </w:pPr>
            <w:r>
              <w:t xml:space="preserve">94 %</w:t>
            </w:r>
          </w:p>
        </w:tc>
      </w:tr>
      <w:tr>
        <w:tc>
          <w:tcPr/>
          <w:p>
            <w:pPr>
              <w:pStyle w:val="Compact"/>
              <w:jc w:val="left"/>
            </w:pPr>
            <w:r>
              <w:rPr>
                <w:bCs/>
                <w:b/>
              </w:rPr>
              <w:t xml:space="preserve">Harness engineering -vertailuarvo</w:t>
            </w:r>
          </w:p>
        </w:tc>
        <w:tc>
          <w:tcPr/>
          <w:p>
            <w:pPr>
              <w:pStyle w:val="Compact"/>
              <w:jc w:val="left"/>
            </w:pPr>
            <w:r>
              <w:rPr>
                <w:bCs/>
                <w:b/>
              </w:rPr>
              <w:t xml:space="preserve">52,8 %</w:t>
            </w:r>
          </w:p>
        </w:tc>
        <w:tc>
          <w:tcPr/>
          <w:p>
            <w:pPr>
              <w:pStyle w:val="Compact"/>
              <w:jc w:val="left"/>
            </w:pPr>
            <w:r>
              <w:rPr>
                <w:bCs/>
                <w:b/>
              </w:rPr>
              <w:t xml:space="preserve">66,5 %</w:t>
            </w:r>
          </w:p>
        </w:tc>
        <w:tc>
          <w:tcPr/>
          <w:p>
            <w:pPr>
              <w:pStyle w:val="Compact"/>
              <w:jc w:val="left"/>
            </w:pPr>
            <w:r>
              <w:rPr>
                <w:bCs/>
                <w:b/>
              </w:rPr>
              <w:t xml:space="preserve">+26 % (malli muuttumaton)</w:t>
            </w:r>
          </w:p>
        </w:tc>
      </w:tr>
      <w:tr>
        <w:tc>
          <w:tcPr/>
          <w:p>
            <w:pPr>
              <w:pStyle w:val="Compact"/>
              <w:jc w:val="left"/>
            </w:pPr>
            <w:r>
              <w:rPr>
                <w:bCs/>
                <w:b/>
              </w:rPr>
              <w:t xml:space="preserve">PR-katselmointisykli</w:t>
            </w:r>
          </w:p>
        </w:tc>
        <w:tc>
          <w:tcPr/>
          <w:p>
            <w:pPr>
              <w:pStyle w:val="Compact"/>
              <w:jc w:val="left"/>
            </w:pPr>
            <w:r>
              <w:rPr>
                <w:bCs/>
                <w:b/>
              </w:rPr>
              <w:t xml:space="preserve">Manuaalinen (2-4h)</w:t>
            </w:r>
          </w:p>
        </w:tc>
        <w:tc>
          <w:tcPr/>
          <w:p>
            <w:pPr>
              <w:pStyle w:val="Compact"/>
              <w:jc w:val="left"/>
            </w:pPr>
            <w:r>
              <w:rPr>
                <w:bCs/>
                <w:b/>
              </w:rPr>
              <w:t xml:space="preserve">Kaksoismallin AI (15 min)</w:t>
            </w:r>
          </w:p>
        </w:tc>
        <w:tc>
          <w:tcPr/>
          <w:p>
            <w:pPr>
              <w:pStyle w:val="Compact"/>
              <w:jc w:val="left"/>
            </w:pPr>
            <w:r>
              <w:rPr>
                <w:bCs/>
                <w:b/>
              </w:rPr>
              <w:t xml:space="preserve">94 %</w:t>
            </w:r>
          </w:p>
        </w:tc>
      </w:tr>
      <w:tr>
        <w:tc>
          <w:tcPr/>
          <w:p>
            <w:pPr>
              <w:pStyle w:val="Compact"/>
              <w:jc w:val="left"/>
            </w:pPr>
            <w:r>
              <w:rPr>
                <w:bCs/>
                <w:b/>
              </w:rPr>
              <w:t xml:space="preserve">Agenttilaivueen koko</w:t>
            </w:r>
          </w:p>
        </w:tc>
        <w:tc>
          <w:tcPr/>
          <w:p>
            <w:pPr>
              <w:pStyle w:val="Compact"/>
              <w:jc w:val="left"/>
            </w:pPr>
            <w:r>
              <w:rPr>
                <w:bCs/>
                <w:b/>
              </w:rPr>
              <w:t xml:space="preserve">0 agenttia</w:t>
            </w:r>
          </w:p>
        </w:tc>
        <w:tc>
          <w:tcPr/>
          <w:p>
            <w:pPr>
              <w:pStyle w:val="Compact"/>
              <w:jc w:val="left"/>
            </w:pPr>
            <w:r>
              <w:rPr>
                <w:bCs/>
                <w:b/>
              </w:rPr>
              <w:t xml:space="preserve">13 agenttia (Pantheon)</w:t>
            </w:r>
          </w:p>
        </w:tc>
        <w:tc>
          <w:tcPr/>
          <w:p>
            <w:pPr>
              <w:pStyle w:val="Compact"/>
              <w:jc w:val="left"/>
            </w:pPr>
            <w:r>
              <w:rPr>
                <w:bCs/>
                <w:b/>
              </w:rPr>
              <w:t xml:space="preserve">∞</w:t>
            </w:r>
          </w:p>
        </w:tc>
      </w:tr>
      <w:tr>
        <w:tc>
          <w:tcPr/>
          <w:p>
            <w:pPr>
              <w:pStyle w:val="Compact"/>
              <w:jc w:val="left"/>
            </w:pPr>
            <w:r>
              <w:rPr>
                <w:bCs/>
                <w:b/>
              </w:rPr>
              <w:t xml:space="preserve">Asiakasominaisuudet</w:t>
            </w:r>
          </w:p>
        </w:tc>
        <w:tc>
          <w:tcPr/>
          <w:p>
            <w:pPr>
              <w:pStyle w:val="Compact"/>
              <w:jc w:val="left"/>
            </w:pPr>
            <w:r>
              <w:rPr>
                <w:bCs/>
                <w:b/>
              </w:rPr>
              <w:t xml:space="preserve">0</w:t>
            </w:r>
          </w:p>
        </w:tc>
        <w:tc>
          <w:tcPr/>
          <w:p>
            <w:pPr>
              <w:pStyle w:val="Compact"/>
              <w:jc w:val="left"/>
            </w:pPr>
            <w:r>
              <w:rPr>
                <w:bCs/>
                <w:b/>
              </w:rPr>
              <w:t xml:space="preserve">3 (API-avaimet, mittarointi, raportit)</w:t>
            </w:r>
          </w:p>
        </w:tc>
        <w:tc>
          <w:tcPr/>
          <w:p>
            <w:pPr>
              <w:pStyle w:val="Compact"/>
              <w:jc w:val="left"/>
            </w:pPr>
            <w:r>
              <w:rPr>
                <w:bCs/>
                <w:b/>
              </w:rPr>
              <w:t xml:space="preserve">SaaS-valmis</w:t>
            </w:r>
          </w:p>
        </w:tc>
      </w:tr>
    </w:tbl>
    <w:p>
      <w:pPr>
        <w:pStyle w:val="BodyText"/>
      </w:pPr>
      <w:r>
        <w:rPr>
          <w:bCs/>
          <w:b/>
        </w:rPr>
        <w:t xml:space="preserve">Uutta v3.26:ssa:</w:t>
      </w:r>
      <w:r>
        <w:t xml:space="preserve"> </w:t>
      </w:r>
      <w:r>
        <w:t xml:space="preserve">Harness engineering -tulos (osio 10.16) osoittaa, että järjestelmätason parannukset (prompt-scaffolding, reititys, orkestrointi) yksinään tuottavat 52,8%→66,5% vertailuarvoparannuksen ilman mallin vaihtamista — validoi Firehorse-arkkitehtuurilähestymistavan.</w:t>
      </w:r>
    </w:p>
    <w:bookmarkEnd w:id="113"/>
    <w:bookmarkStart w:id="114" w:name="google-merchant-center--suorituskyky"/>
    <w:p>
      <w:pPr>
        <w:pStyle w:val="Heading2"/>
      </w:pPr>
      <w:r>
        <w:t xml:space="preserve">8.2 Google Merchant Center -suorituskyky</w:t>
      </w:r>
    </w:p>
    <w:tbl>
      <w:tblPr>
        <w:tblStyle w:val="Table"/>
        <w:tblW w:type="pct" w:w="5000"/>
        <w:tblLook w:firstRow="1" w:lastRow="0" w:firstColumn="0" w:lastColumn="0" w:noHBand="0" w:noVBand="0" w:val="0020"/>
        <w:jc w:val="start"/>
      </w:tblPr>
      <w:tblGrid>
        <w:gridCol w:w="2741"/>
        <w:gridCol w:w="3274"/>
        <w:gridCol w:w="1903"/>
      </w:tblGrid>
      <w:tr>
        <w:trPr>
          <w:tblHeader w:val="true"/>
        </w:trPr>
        <w:tc>
          <w:tcPr/>
          <w:p>
            <w:pPr>
              <w:pStyle w:val="Compact"/>
              <w:jc w:val="left"/>
            </w:pPr>
            <w:r>
              <w:t xml:space="preserve">Mittari</w:t>
            </w:r>
          </w:p>
        </w:tc>
        <w:tc>
          <w:tcPr/>
          <w:p>
            <w:pPr>
              <w:pStyle w:val="Compact"/>
              <w:jc w:val="left"/>
            </w:pPr>
            <w:r>
              <w:t xml:space="preserve">Tulos</w:t>
            </w:r>
          </w:p>
        </w:tc>
        <w:tc>
          <w:tcPr/>
          <w:p>
            <w:pPr>
              <w:pStyle w:val="Compact"/>
              <w:jc w:val="left"/>
            </w:pPr>
            <w:r>
              <w:t xml:space="preserve">Lähde</w:t>
            </w:r>
          </w:p>
        </w:tc>
      </w:tr>
      <w:tr>
        <w:tc>
          <w:tcPr/>
          <w:p>
            <w:pPr>
              <w:pStyle w:val="Compact"/>
              <w:jc w:val="left"/>
            </w:pPr>
            <w:r>
              <w:t xml:space="preserve">Tuotteen hyväksymisprosentti</w:t>
            </w:r>
          </w:p>
        </w:tc>
        <w:tc>
          <w:tcPr/>
          <w:p>
            <w:pPr>
              <w:pStyle w:val="Compact"/>
              <w:jc w:val="left"/>
            </w:pPr>
            <w:r>
              <w:t xml:space="preserve">100 % (30/30 tuotetta)</w:t>
            </w:r>
          </w:p>
        </w:tc>
        <w:tc>
          <w:tcPr/>
          <w:p>
            <w:pPr>
              <w:pStyle w:val="Compact"/>
              <w:jc w:val="left"/>
            </w:pPr>
            <w:r>
              <w:t xml:space="preserve">Google Merchant Center</w:t>
            </w:r>
          </w:p>
        </w:tc>
      </w:tr>
      <w:tr>
        <w:tc>
          <w:tcPr/>
          <w:p>
            <w:pPr>
              <w:pStyle w:val="Compact"/>
              <w:jc w:val="left"/>
            </w:pPr>
            <w:r>
              <w:t xml:space="preserve">Syötteen käsittelyaika</w:t>
            </w:r>
          </w:p>
        </w:tc>
        <w:tc>
          <w:tcPr/>
          <w:p>
            <w:pPr>
              <w:pStyle w:val="Compact"/>
              <w:jc w:val="left"/>
            </w:pPr>
            <w:r>
              <w:t xml:space="preserve">&lt;24 tuntia</w:t>
            </w:r>
          </w:p>
        </w:tc>
        <w:tc>
          <w:tcPr/>
          <w:p>
            <w:pPr>
              <w:pStyle w:val="Compact"/>
              <w:jc w:val="left"/>
            </w:pPr>
            <w:r>
              <w:t xml:space="preserve">Automatisoitu SFTP-lataus</w:t>
            </w:r>
          </w:p>
        </w:tc>
      </w:tr>
      <w:tr>
        <w:tc>
          <w:tcPr/>
          <w:p>
            <w:pPr>
              <w:pStyle w:val="Compact"/>
              <w:jc w:val="left"/>
            </w:pPr>
            <w:r>
              <w:t xml:space="preserve">Kassakonversio</w:t>
            </w:r>
          </w:p>
        </w:tc>
        <w:tc>
          <w:tcPr/>
          <w:p>
            <w:pPr>
              <w:pStyle w:val="Compact"/>
              <w:jc w:val="left"/>
            </w:pPr>
            <w:r>
              <w:t xml:space="preserve">Suoraan maksuun</w:t>
            </w:r>
          </w:p>
        </w:tc>
        <w:tc>
          <w:tcPr/>
          <w:p>
            <w:pPr>
              <w:pStyle w:val="Compact"/>
              <w:jc w:val="left"/>
            </w:pPr>
            <w:r>
              <w:t xml:space="preserve">Revolut Business</w:t>
            </w:r>
          </w:p>
        </w:tc>
      </w:tr>
      <w:tr>
        <w:tc>
          <w:tcPr/>
          <w:p>
            <w:pPr>
              <w:pStyle w:val="Compact"/>
              <w:jc w:val="left"/>
            </w:pPr>
            <w:r>
              <w:t xml:space="preserve">Syötetiedoston koko</w:t>
            </w:r>
          </w:p>
        </w:tc>
        <w:tc>
          <w:tcPr/>
          <w:p>
            <w:pPr>
              <w:pStyle w:val="Compact"/>
              <w:jc w:val="left"/>
            </w:pPr>
            <w:r>
              <w:t xml:space="preserve">32 893 tavua</w:t>
            </w:r>
          </w:p>
        </w:tc>
        <w:tc>
          <w:tcPr/>
          <w:p>
            <w:pPr>
              <w:pStyle w:val="Compact"/>
              <w:jc w:val="left"/>
            </w:pPr>
            <w:r>
              <w:t xml:space="preserve">XML-syöte</w:t>
            </w:r>
          </w:p>
        </w:tc>
      </w:tr>
      <w:tr>
        <w:tc>
          <w:tcPr/>
          <w:p>
            <w:pPr>
              <w:pStyle w:val="Compact"/>
              <w:jc w:val="left"/>
            </w:pPr>
            <w:r>
              <w:rPr>
                <w:bCs/>
                <w:b/>
              </w:rPr>
              <w:t xml:space="preserve">A/B-testi: tuotekuvaukset</w:t>
            </w:r>
          </w:p>
        </w:tc>
        <w:tc>
          <w:tcPr/>
          <w:p>
            <w:pPr>
              <w:pStyle w:val="Compact"/>
              <w:jc w:val="left"/>
            </w:pPr>
            <w:r>
              <w:rPr>
                <w:bCs/>
                <w:b/>
              </w:rPr>
              <w:t xml:space="preserve">+18 % CTR (AI-generoitu vs manuaalinen)</w:t>
            </w:r>
          </w:p>
        </w:tc>
        <w:tc>
          <w:tcPr/>
          <w:p>
            <w:pPr>
              <w:pStyle w:val="Compact"/>
              <w:jc w:val="left"/>
            </w:pPr>
            <w:r>
              <w:rPr>
                <w:bCs/>
                <w:b/>
              </w:rPr>
              <w:t xml:space="preserve">Google Merchant A/B</w:t>
            </w:r>
          </w:p>
        </w:tc>
      </w:tr>
      <w:tr>
        <w:tc>
          <w:tcPr/>
          <w:p>
            <w:pPr>
              <w:pStyle w:val="Compact"/>
              <w:jc w:val="left"/>
            </w:pPr>
            <w:r>
              <w:rPr>
                <w:bCs/>
                <w:b/>
              </w:rPr>
              <w:t xml:space="preserve">Kategoriasivu poistumisprosentti</w:t>
            </w:r>
          </w:p>
        </w:tc>
        <w:tc>
          <w:tcPr/>
          <w:p>
            <w:pPr>
              <w:pStyle w:val="Compact"/>
              <w:jc w:val="left"/>
            </w:pPr>
            <w:r>
              <w:rPr>
                <w:bCs/>
                <w:b/>
              </w:rPr>
              <w:t xml:space="preserve">-12 % (hierarkkinen vs litteä)</w:t>
            </w:r>
          </w:p>
        </w:tc>
        <w:tc>
          <w:tcPr/>
          <w:p>
            <w:pPr>
              <w:pStyle w:val="Compact"/>
              <w:jc w:val="left"/>
            </w:pPr>
            <w:r>
              <w:rPr>
                <w:bCs/>
                <w:b/>
              </w:rPr>
              <w:t xml:space="preserve">SEO-analytiikka</w:t>
            </w:r>
          </w:p>
        </w:tc>
      </w:tr>
    </w:tbl>
    <w:bookmarkEnd w:id="114"/>
    <w:bookmarkStart w:id="115" w:name="vaatimustenmukaisuusvalmius"/>
    <w:p>
      <w:pPr>
        <w:pStyle w:val="Heading2"/>
      </w:pPr>
      <w:r>
        <w:t xml:space="preserve">8.3 Vaatimustenmukaisuusvalmius</w:t>
      </w:r>
    </w:p>
    <w:tbl>
      <w:tblPr>
        <w:tblStyle w:val="Table"/>
        <w:tblW w:type="pct" w:w="5000"/>
        <w:tblLook w:firstRow="1" w:lastRow="0" w:firstColumn="0" w:lastColumn="0" w:noHBand="0" w:noVBand="0" w:val="0020"/>
        <w:jc w:val="start"/>
      </w:tblPr>
      <w:tblGrid>
        <w:gridCol w:w="1239"/>
        <w:gridCol w:w="344"/>
        <w:gridCol w:w="550"/>
        <w:gridCol w:w="413"/>
        <w:gridCol w:w="5371"/>
      </w:tblGrid>
      <w:tr>
        <w:trPr>
          <w:tblHeader w:val="true"/>
        </w:trPr>
        <w:tc>
          <w:tcPr/>
          <w:p>
            <w:pPr>
              <w:pStyle w:val="Compact"/>
              <w:jc w:val="left"/>
            </w:pPr>
            <w:r>
              <w:t xml:space="preserve">Säännös</w:t>
            </w:r>
          </w:p>
        </w:tc>
        <w:tc>
          <w:tcPr/>
          <w:p>
            <w:pPr>
              <w:pStyle w:val="Compact"/>
              <w:jc w:val="left"/>
            </w:pPr>
            <w:r>
              <w:t xml:space="preserve">v3.15</w:t>
            </w:r>
          </w:p>
        </w:tc>
        <w:tc>
          <w:tcPr/>
          <w:p>
            <w:pPr>
              <w:pStyle w:val="Compact"/>
              <w:jc w:val="left"/>
            </w:pPr>
            <w:r>
              <w:t xml:space="preserve">v3.26</w:t>
            </w:r>
          </w:p>
        </w:tc>
        <w:tc>
          <w:tcPr/>
          <w:p>
            <w:pPr>
              <w:pStyle w:val="Compact"/>
              <w:jc w:val="left"/>
            </w:pPr>
            <w:r>
              <w:t xml:space="preserve">Muutos</w:t>
            </w:r>
          </w:p>
        </w:tc>
        <w:tc>
          <w:tcPr/>
          <w:p>
            <w:pPr>
              <w:pStyle w:val="Compact"/>
              <w:jc w:val="left"/>
            </w:pPr>
            <w:r>
              <w:t xml:space="preserve">Todiste</w:t>
            </w:r>
          </w:p>
        </w:tc>
      </w:tr>
      <w:tr>
        <w:tc>
          <w:tcPr/>
          <w:p>
            <w:pPr>
              <w:pStyle w:val="Compact"/>
              <w:jc w:val="left"/>
            </w:pPr>
            <w:r>
              <w:t xml:space="preserve">EU:n tekoälysäädös</w:t>
            </w:r>
          </w:p>
        </w:tc>
        <w:tc>
          <w:tcPr/>
          <w:p>
            <w:pPr>
              <w:pStyle w:val="Compact"/>
              <w:jc w:val="left"/>
            </w:pPr>
            <w:r>
              <w:t xml:space="preserve">80 %</w:t>
            </w:r>
          </w:p>
        </w:tc>
        <w:tc>
          <w:tcPr/>
          <w:p>
            <w:pPr>
              <w:pStyle w:val="Compact"/>
              <w:jc w:val="left"/>
            </w:pPr>
            <w:r>
              <w:rPr>
                <w:bCs/>
                <w:b/>
              </w:rPr>
              <w:t xml:space="preserve">92 %</w:t>
            </w:r>
          </w:p>
        </w:tc>
        <w:tc>
          <w:tcPr/>
          <w:p>
            <w:pPr>
              <w:pStyle w:val="Compact"/>
              <w:jc w:val="left"/>
            </w:pPr>
            <w:r>
              <w:t xml:space="preserve">+12 %</w:t>
            </w:r>
          </w:p>
        </w:tc>
        <w:tc>
          <w:tcPr/>
          <w:p>
            <w:pPr>
              <w:pStyle w:val="Compact"/>
              <w:jc w:val="left"/>
            </w:pPr>
            <w:r>
              <w:t xml:space="preserve">Artikla 12 -lokitus toteutettu (Pantheon-agentit), SOUL.md-malli</w:t>
            </w:r>
          </w:p>
        </w:tc>
      </w:tr>
      <w:tr>
        <w:tc>
          <w:tcPr/>
          <w:p>
            <w:pPr>
              <w:pStyle w:val="Compact"/>
              <w:jc w:val="left"/>
            </w:pPr>
            <w:r>
              <w:t xml:space="preserve">GDPR</w:t>
            </w:r>
          </w:p>
        </w:tc>
        <w:tc>
          <w:tcPr/>
          <w:p>
            <w:pPr>
              <w:pStyle w:val="Compact"/>
              <w:jc w:val="left"/>
            </w:pPr>
            <w:r>
              <w:t xml:space="preserve">95 %</w:t>
            </w:r>
          </w:p>
        </w:tc>
        <w:tc>
          <w:tcPr/>
          <w:p>
            <w:pPr>
              <w:pStyle w:val="Compact"/>
              <w:jc w:val="left"/>
            </w:pPr>
            <w:r>
              <w:rPr>
                <w:bCs/>
                <w:b/>
              </w:rPr>
              <w:t xml:space="preserve">97 %</w:t>
            </w:r>
          </w:p>
        </w:tc>
        <w:tc>
          <w:tcPr/>
          <w:p>
            <w:pPr>
              <w:pStyle w:val="Compact"/>
              <w:jc w:val="left"/>
            </w:pPr>
            <w:r>
              <w:t xml:space="preserve">+2 %</w:t>
            </w:r>
          </w:p>
        </w:tc>
        <w:tc>
          <w:tcPr/>
          <w:p>
            <w:pPr>
              <w:pStyle w:val="Compact"/>
              <w:jc w:val="left"/>
            </w:pPr>
            <w:r>
              <w:t xml:space="preserve">Proton + Supabase RLS + europe-north1</w:t>
            </w:r>
          </w:p>
        </w:tc>
      </w:tr>
      <w:tr>
        <w:tc>
          <w:tcPr/>
          <w:p>
            <w:pPr>
              <w:pStyle w:val="Compact"/>
              <w:jc w:val="left"/>
            </w:pPr>
            <w:r>
              <w:t xml:space="preserve">Fit for 55</w:t>
            </w:r>
          </w:p>
        </w:tc>
        <w:tc>
          <w:tcPr/>
          <w:p>
            <w:pPr>
              <w:pStyle w:val="Compact"/>
              <w:jc w:val="left"/>
            </w:pPr>
            <w:r>
              <w:t xml:space="preserve">90 %</w:t>
            </w:r>
          </w:p>
        </w:tc>
        <w:tc>
          <w:tcPr/>
          <w:p>
            <w:pPr>
              <w:pStyle w:val="Compact"/>
              <w:jc w:val="left"/>
            </w:pPr>
            <w:r>
              <w:rPr>
                <w:bCs/>
                <w:b/>
              </w:rPr>
              <w:t xml:space="preserve">93 %</w:t>
            </w:r>
          </w:p>
        </w:tc>
        <w:tc>
          <w:tcPr/>
          <w:p>
            <w:pPr>
              <w:pStyle w:val="Compact"/>
              <w:jc w:val="left"/>
            </w:pPr>
            <w:r>
              <w:t xml:space="preserve">+3 %</w:t>
            </w:r>
          </w:p>
        </w:tc>
        <w:tc>
          <w:tcPr/>
          <w:p>
            <w:pPr>
              <w:pStyle w:val="Compact"/>
              <w:jc w:val="left"/>
            </w:pPr>
            <w:r>
              <w:t xml:space="preserve">20 toimialan hiililaskuri, tuotekatalogi</w:t>
            </w:r>
          </w:p>
        </w:tc>
      </w:tr>
      <w:tr>
        <w:tc>
          <w:tcPr/>
          <w:p>
            <w:pPr>
              <w:pStyle w:val="Compact"/>
              <w:jc w:val="left"/>
            </w:pPr>
            <w:r>
              <w:t xml:space="preserve">NIS2</w:t>
            </w:r>
          </w:p>
        </w:tc>
        <w:tc>
          <w:tcPr/>
          <w:p>
            <w:pPr>
              <w:pStyle w:val="Compact"/>
              <w:jc w:val="left"/>
            </w:pPr>
            <w:r>
              <w:t xml:space="preserve">75 %</w:t>
            </w:r>
          </w:p>
        </w:tc>
        <w:tc>
          <w:tcPr/>
          <w:p>
            <w:pPr>
              <w:pStyle w:val="Compact"/>
              <w:jc w:val="left"/>
            </w:pPr>
            <w:r>
              <w:rPr>
                <w:bCs/>
                <w:b/>
              </w:rPr>
              <w:t xml:space="preserve">85 %</w:t>
            </w:r>
          </w:p>
        </w:tc>
        <w:tc>
          <w:tcPr/>
          <w:p>
            <w:pPr>
              <w:pStyle w:val="Compact"/>
              <w:jc w:val="left"/>
            </w:pPr>
            <w:r>
              <w:t xml:space="preserve">+10 %</w:t>
            </w:r>
          </w:p>
        </w:tc>
        <w:tc>
          <w:tcPr/>
          <w:p>
            <w:pPr>
              <w:pStyle w:val="Compact"/>
              <w:jc w:val="left"/>
            </w:pPr>
            <w:r>
              <w:t xml:space="preserve">Turvallisuuskoventaminen (RC2-RC4), Snyk MCP, agenttijärjestelmän koventaminen</w:t>
            </w:r>
          </w:p>
        </w:tc>
      </w:tr>
      <w:tr>
        <w:tc>
          <w:tcPr/>
          <w:p>
            <w:pPr>
              <w:pStyle w:val="Compact"/>
              <w:jc w:val="left"/>
            </w:pPr>
            <w:r>
              <w:t xml:space="preserve">CSRD</w:t>
            </w:r>
          </w:p>
        </w:tc>
        <w:tc>
          <w:tcPr/>
          <w:p>
            <w:pPr>
              <w:pStyle w:val="Compact"/>
              <w:jc w:val="left"/>
            </w:pPr>
            <w:r>
              <w:t xml:space="preserve">85 %</w:t>
            </w:r>
          </w:p>
        </w:tc>
        <w:tc>
          <w:tcPr/>
          <w:p>
            <w:pPr>
              <w:pStyle w:val="Compact"/>
              <w:jc w:val="left"/>
            </w:pPr>
            <w:r>
              <w:rPr>
                <w:bCs/>
                <w:b/>
              </w:rPr>
              <w:t xml:space="preserve">88 %</w:t>
            </w:r>
          </w:p>
        </w:tc>
        <w:tc>
          <w:tcPr/>
          <w:p>
            <w:pPr>
              <w:pStyle w:val="Compact"/>
              <w:jc w:val="left"/>
            </w:pPr>
            <w:r>
              <w:t xml:space="preserve">+3 %</w:t>
            </w:r>
          </w:p>
        </w:tc>
        <w:tc>
          <w:tcPr/>
          <w:p>
            <w:pPr>
              <w:pStyle w:val="Compact"/>
              <w:jc w:val="left"/>
            </w:pPr>
            <w:r>
              <w:t xml:space="preserve">Raportointipohjat + vaatimustenmukaisuusraportin vientiominaisuus</w:t>
            </w:r>
          </w:p>
        </w:tc>
      </w:tr>
      <w:tr>
        <w:tc>
          <w:tcPr/>
          <w:p>
            <w:pPr>
              <w:pStyle w:val="Compact"/>
              <w:jc w:val="left"/>
            </w:pPr>
            <w:r>
              <w:rPr>
                <w:bCs/>
                <w:b/>
              </w:rPr>
              <w:t xml:space="preserve">EU Data Act</w:t>
            </w:r>
          </w:p>
        </w:tc>
        <w:tc>
          <w:tcPr/>
          <w:p>
            <w:pPr>
              <w:pStyle w:val="Compact"/>
              <w:jc w:val="left"/>
            </w:pPr>
            <w:r>
              <w:t xml:space="preserve">—</w:t>
            </w:r>
          </w:p>
        </w:tc>
        <w:tc>
          <w:tcPr/>
          <w:p>
            <w:pPr>
              <w:pStyle w:val="Compact"/>
              <w:jc w:val="left"/>
            </w:pPr>
            <w:r>
              <w:rPr>
                <w:bCs/>
                <w:b/>
              </w:rPr>
              <w:t xml:space="preserve">80 %</w:t>
            </w:r>
          </w:p>
        </w:tc>
        <w:tc>
          <w:tcPr/>
          <w:p>
            <w:pPr>
              <w:pStyle w:val="Compact"/>
              <w:jc w:val="left"/>
            </w:pPr>
            <w:r>
              <w:t xml:space="preserve">Uusi</w:t>
            </w:r>
          </w:p>
        </w:tc>
        <w:tc>
          <w:tcPr/>
          <w:p>
            <w:pPr>
              <w:pStyle w:val="Compact"/>
              <w:jc w:val="left"/>
            </w:pPr>
            <w:r>
              <w:t xml:space="preserve">DWS-tietostandardi, HTAP-arkkitehtuuri</w:t>
            </w:r>
          </w:p>
        </w:tc>
      </w:tr>
    </w:tbl>
    <w:bookmarkEnd w:id="115"/>
    <w:bookmarkStart w:id="116" w:name="kustannusmallin-validointi"/>
    <w:p>
      <w:pPr>
        <w:pStyle w:val="Heading2"/>
      </w:pPr>
      <w:r>
        <w:t xml:space="preserve">8.4 Kustannusmallin validointi</w:t>
      </w:r>
    </w:p>
    <w:tbl>
      <w:tblPr>
        <w:tblStyle w:val="Table"/>
        <w:tblW w:type="pct" w:w="5000"/>
        <w:tblLook w:firstRow="1" w:lastRow="0" w:firstColumn="0" w:lastColumn="0" w:noHBand="0" w:noVBand="0" w:val="0020"/>
        <w:jc w:val="start"/>
      </w:tblPr>
      <w:tblGrid>
        <w:gridCol w:w="450"/>
        <w:gridCol w:w="900"/>
        <w:gridCol w:w="1350"/>
        <w:gridCol w:w="1620"/>
        <w:gridCol w:w="3600"/>
      </w:tblGrid>
      <w:tr>
        <w:trPr>
          <w:tblHeader w:val="true"/>
        </w:trPr>
        <w:tc>
          <w:tcPr/>
          <w:p>
            <w:pPr>
              <w:pStyle w:val="Compact"/>
              <w:jc w:val="left"/>
            </w:pPr>
            <w:r>
              <w:t xml:space="preserve">Vaihe</w:t>
            </w:r>
          </w:p>
        </w:tc>
        <w:tc>
          <w:tcPr/>
          <w:p>
            <w:pPr>
              <w:pStyle w:val="Compact"/>
              <w:jc w:val="left"/>
            </w:pPr>
            <w:r>
              <w:t xml:space="preserve">Tavoite</w:t>
            </w:r>
          </w:p>
        </w:tc>
        <w:tc>
          <w:tcPr/>
          <w:p>
            <w:pPr>
              <w:pStyle w:val="Compact"/>
              <w:jc w:val="left"/>
            </w:pPr>
            <w:r>
              <w:t xml:space="preserve">Toteutunut</w:t>
            </w:r>
          </w:p>
        </w:tc>
        <w:tc>
          <w:tcPr/>
          <w:p>
            <w:pPr>
              <w:pStyle w:val="Compact"/>
              <w:jc w:val="left"/>
            </w:pPr>
            <w:r>
              <w:t xml:space="preserve">Tila</w:t>
            </w:r>
          </w:p>
        </w:tc>
        <w:tc>
          <w:tcPr/>
          <w:p>
            <w:pPr>
              <w:pStyle w:val="Compact"/>
              <w:jc w:val="left"/>
            </w:pPr>
            <w:r>
              <w:t xml:space="preserve">Todiste</w:t>
            </w:r>
          </w:p>
        </w:tc>
      </w:tr>
      <w:tr>
        <w:tc>
          <w:tcPr/>
          <w:p>
            <w:pPr>
              <w:pStyle w:val="Compact"/>
              <w:jc w:val="left"/>
            </w:pPr>
            <w:r>
              <w:t xml:space="preserve">MVP</w:t>
            </w:r>
          </w:p>
        </w:tc>
        <w:tc>
          <w:tcPr/>
          <w:p>
            <w:pPr>
              <w:pStyle w:val="Compact"/>
              <w:jc w:val="left"/>
            </w:pPr>
            <w:r>
              <w:t xml:space="preserve">€0/kk</w:t>
            </w:r>
          </w:p>
        </w:tc>
        <w:tc>
          <w:tcPr/>
          <w:p>
            <w:pPr>
              <w:pStyle w:val="Compact"/>
              <w:jc w:val="left"/>
            </w:pPr>
            <w:r>
              <w:t xml:space="preserve">€0/kk</w:t>
            </w:r>
          </w:p>
        </w:tc>
        <w:tc>
          <w:tcPr/>
          <w:p>
            <w:pPr>
              <w:pStyle w:val="Compact"/>
              <w:jc w:val="left"/>
            </w:pPr>
            <w:r>
              <w:rPr>
                <w:bCs/>
                <w:b/>
              </w:rPr>
              <w:t xml:space="preserve">SAAVUTETTU</w:t>
            </w:r>
          </w:p>
        </w:tc>
        <w:tc>
          <w:tcPr/>
          <w:p>
            <w:pPr>
              <w:pStyle w:val="Compact"/>
              <w:jc w:val="left"/>
            </w:pPr>
            <w:r>
              <w:t xml:space="preserve">Ilmaistason pino toiminnassa</w:t>
            </w:r>
          </w:p>
        </w:tc>
      </w:tr>
      <w:tr>
        <w:tc>
          <w:tcPr/>
          <w:p>
            <w:pPr>
              <w:pStyle w:val="Compact"/>
              <w:jc w:val="left"/>
            </w:pPr>
            <w:r>
              <w:t xml:space="preserve">Alpha</w:t>
            </w:r>
          </w:p>
        </w:tc>
        <w:tc>
          <w:tcPr/>
          <w:p>
            <w:pPr>
              <w:pStyle w:val="Compact"/>
              <w:jc w:val="left"/>
            </w:pPr>
            <w:r>
              <w:t xml:space="preserve">€50-150/kk</w:t>
            </w:r>
          </w:p>
        </w:tc>
        <w:tc>
          <w:tcPr/>
          <w:p>
            <w:pPr>
              <w:pStyle w:val="Compact"/>
              <w:jc w:val="left"/>
            </w:pPr>
            <w:r>
              <w:t xml:space="preserve">€75/kk</w:t>
            </w:r>
          </w:p>
        </w:tc>
        <w:tc>
          <w:tcPr/>
          <w:p>
            <w:pPr>
              <w:pStyle w:val="Compact"/>
              <w:jc w:val="left"/>
            </w:pPr>
            <w:r>
              <w:rPr>
                <w:bCs/>
                <w:b/>
              </w:rPr>
              <w:t xml:space="preserve">SUUNNITELMASSA</w:t>
            </w:r>
          </w:p>
        </w:tc>
        <w:tc>
          <w:tcPr/>
          <w:p>
            <w:pPr>
              <w:pStyle w:val="Compact"/>
              <w:jc w:val="left"/>
            </w:pPr>
            <w:r>
              <w:t xml:space="preserve">Aiven hallittu + reuna</w:t>
            </w:r>
          </w:p>
        </w:tc>
      </w:tr>
      <w:tr>
        <w:tc>
          <w:tcPr/>
          <w:p>
            <w:pPr>
              <w:pStyle w:val="Compact"/>
              <w:jc w:val="left"/>
            </w:pPr>
            <w:r>
              <w:t xml:space="preserve">V1</w:t>
            </w:r>
          </w:p>
        </w:tc>
        <w:tc>
          <w:tcPr/>
          <w:p>
            <w:pPr>
              <w:pStyle w:val="Compact"/>
              <w:jc w:val="left"/>
            </w:pPr>
            <w:r>
              <w:t xml:space="preserve">€350/kk</w:t>
            </w:r>
          </w:p>
        </w:tc>
        <w:tc>
          <w:tcPr/>
          <w:p>
            <w:pPr>
              <w:pStyle w:val="Compact"/>
              <w:jc w:val="left"/>
            </w:pPr>
            <w:r>
              <w:t xml:space="preserve">€280/kk (arvio)</w:t>
            </w:r>
          </w:p>
        </w:tc>
        <w:tc>
          <w:tcPr/>
          <w:p>
            <w:pPr>
              <w:pStyle w:val="Compact"/>
              <w:jc w:val="left"/>
            </w:pPr>
            <w:r>
              <w:rPr>
                <w:bCs/>
                <w:b/>
              </w:rPr>
              <w:t xml:space="preserve">EDELLÄ</w:t>
            </w:r>
          </w:p>
        </w:tc>
        <w:tc>
          <w:tcPr/>
          <w:p>
            <w:pPr>
              <w:pStyle w:val="Compact"/>
              <w:jc w:val="left"/>
            </w:pPr>
            <w:r>
              <w:t xml:space="preserve">Kaksitasoinen HTAP vähentää kustannuksia</w:t>
            </w:r>
          </w:p>
        </w:tc>
      </w:tr>
    </w:tbl>
    <w:p>
      <w:pPr>
        <w:pStyle w:val="BodyText"/>
      </w:pPr>
      <w:r>
        <w:rPr>
          <w:bCs/>
          <w:b/>
        </w:rPr>
        <w:t xml:space="preserve">Uutta v3.26:ssa:</w:t>
      </w:r>
      <w:r>
        <w:t xml:space="preserve"> </w:t>
      </w:r>
      <w:r>
        <w:t xml:space="preserve">Kaksitasoinen HTAP-arkkitehtuuri (Aiven hallittu + GN100 reuna) asettaa V1-kustannukset tavoitteen alle reunaanalytiikan keventäessä työkuormia.</w:t>
      </w:r>
    </w:p>
    <w:bookmarkEnd w:id="116"/>
    <w:bookmarkStart w:id="121" w:name="tutkimuskysymyksiin-vastaaminen"/>
    <w:p>
      <w:pPr>
        <w:pStyle w:val="Heading2"/>
      </w:pPr>
      <w:r>
        <w:t xml:space="preserve">8.5 Tutkimuskysymyksiin vastaaminen</w:t>
      </w:r>
    </w:p>
    <w:bookmarkStart w:id="117" w:name="tk1-tuote-ja-liiketoimintamalli"/>
    <w:p>
      <w:pPr>
        <w:pStyle w:val="Heading3"/>
      </w:pPr>
      <w:r>
        <w:t xml:space="preserve">8.5.1 TK1: Tuote ja liiketoimintamalli</w:t>
      </w:r>
    </w:p>
    <w:p>
      <w:pPr>
        <w:pStyle w:val="FirstParagraph"/>
      </w:pPr>
      <w:r>
        <w:t xml:space="preserve">2 kuukauden takaisinmaksulupaus on validoitu todellisilla asiakaskäyttöönotoilla:</w:t>
      </w:r>
    </w:p>
    <w:tbl>
      <w:tblPr>
        <w:tblStyle w:val="Table"/>
        <w:tblW w:type="pct" w:w="5000"/>
        <w:tblLook w:firstRow="1" w:lastRow="0" w:firstColumn="0" w:lastColumn="0" w:noHBand="0" w:noVBand="0" w:val="0020"/>
        <w:jc w:val="start"/>
      </w:tblPr>
      <w:tblGrid>
        <w:gridCol w:w="2241"/>
        <w:gridCol w:w="2839"/>
        <w:gridCol w:w="2839"/>
      </w:tblGrid>
      <w:tr>
        <w:trPr>
          <w:tblHeader w:val="true"/>
        </w:trPr>
        <w:tc>
          <w:tcPr/>
          <w:p>
            <w:pPr>
              <w:pStyle w:val="Compact"/>
              <w:jc w:val="left"/>
            </w:pPr>
            <w:r>
              <w:t xml:space="preserve">Todiste</w:t>
            </w:r>
          </w:p>
        </w:tc>
        <w:tc>
          <w:tcPr/>
          <w:p>
            <w:pPr>
              <w:pStyle w:val="Compact"/>
              <w:jc w:val="left"/>
            </w:pPr>
            <w:r>
              <w:t xml:space="preserve">Lähde</w:t>
            </w:r>
          </w:p>
        </w:tc>
        <w:tc>
          <w:tcPr/>
          <w:p>
            <w:pPr>
              <w:pStyle w:val="Compact"/>
              <w:jc w:val="left"/>
            </w:pPr>
            <w:r>
              <w:t xml:space="preserve">Tulos</w:t>
            </w:r>
          </w:p>
        </w:tc>
      </w:tr>
      <w:tr>
        <w:tc>
          <w:tcPr/>
          <w:p>
            <w:pPr>
              <w:pStyle w:val="Compact"/>
              <w:jc w:val="left"/>
            </w:pPr>
            <w:r>
              <w:t xml:space="preserve">Takaisinmaksuaika</w:t>
            </w:r>
          </w:p>
        </w:tc>
        <w:tc>
          <w:tcPr/>
          <w:p>
            <w:pPr>
              <w:pStyle w:val="Compact"/>
              <w:jc w:val="left"/>
            </w:pPr>
            <w:r>
              <w:t xml:space="preserve">Reunatekoälyn ROI-laskelma</w:t>
            </w:r>
          </w:p>
        </w:tc>
        <w:tc>
          <w:tcPr/>
          <w:p>
            <w:pPr>
              <w:pStyle w:val="Compact"/>
              <w:jc w:val="left"/>
            </w:pPr>
            <w:r>
              <w:t xml:space="preserve">1,95 kk</w:t>
            </w:r>
          </w:p>
        </w:tc>
      </w:tr>
      <w:tr>
        <w:tc>
          <w:tcPr/>
          <w:p>
            <w:pPr>
              <w:pStyle w:val="Compact"/>
              <w:jc w:val="left"/>
            </w:pPr>
            <w:r>
              <w:t xml:space="preserve">Asiakasvalidointi</w:t>
            </w:r>
          </w:p>
        </w:tc>
        <w:tc>
          <w:tcPr/>
          <w:p>
            <w:pPr>
              <w:pStyle w:val="Compact"/>
              <w:jc w:val="left"/>
            </w:pPr>
            <w:r>
              <w:t xml:space="preserve">Uber, Bolt, Kela -pilotit</w:t>
            </w:r>
          </w:p>
        </w:tc>
        <w:tc>
          <w:tcPr/>
          <w:p>
            <w:pPr>
              <w:pStyle w:val="Compact"/>
              <w:jc w:val="left"/>
            </w:pPr>
            <w:r>
              <w:t xml:space="preserve">€10k MRR pilotin aikana</w:t>
            </w:r>
          </w:p>
        </w:tc>
      </w:tr>
      <w:tr>
        <w:tc>
          <w:tcPr/>
          <w:p>
            <w:pPr>
              <w:pStyle w:val="Compact"/>
              <w:jc w:val="left"/>
            </w:pPr>
            <w:r>
              <w:t xml:space="preserve">Kansainvälinen skaalaus</w:t>
            </w:r>
          </w:p>
        </w:tc>
        <w:tc>
          <w:tcPr/>
          <w:p>
            <w:pPr>
              <w:pStyle w:val="Compact"/>
              <w:jc w:val="left"/>
            </w:pPr>
            <w:r>
              <w:t xml:space="preserve">8 vertikaalipohjaa</w:t>
            </w:r>
          </w:p>
        </w:tc>
        <w:tc>
          <w:tcPr/>
          <w:p>
            <w:pPr>
              <w:pStyle w:val="Compact"/>
              <w:jc w:val="left"/>
            </w:pPr>
            <w:r>
              <w:t xml:space="preserve">Valmis monikansalliseen käyttöönottoon</w:t>
            </w:r>
          </w:p>
        </w:tc>
      </w:tr>
      <w:tr>
        <w:tc>
          <w:tcPr/>
          <w:p>
            <w:pPr>
              <w:pStyle w:val="Compact"/>
              <w:jc w:val="left"/>
            </w:pPr>
            <w:r>
              <w:rPr>
                <w:bCs/>
                <w:b/>
              </w:rPr>
              <w:t xml:space="preserve">Asiakkaan MVP-ominaisuudet</w:t>
            </w:r>
          </w:p>
        </w:tc>
        <w:tc>
          <w:tcPr/>
          <w:p>
            <w:pPr>
              <w:pStyle w:val="Compact"/>
              <w:jc w:val="left"/>
            </w:pPr>
            <w:r>
              <w:rPr>
                <w:bCs/>
                <w:b/>
              </w:rPr>
              <w:t xml:space="preserve">API-avaimet, mittarointi, raportit</w:t>
            </w:r>
          </w:p>
        </w:tc>
        <w:tc>
          <w:tcPr/>
          <w:p>
            <w:pPr>
              <w:pStyle w:val="Compact"/>
              <w:jc w:val="left"/>
            </w:pPr>
            <w:r>
              <w:rPr>
                <w:bCs/>
                <w:b/>
              </w:rPr>
              <w:t xml:space="preserve">SaaS-valmis maksaville asiakkaille</w:t>
            </w:r>
          </w:p>
        </w:tc>
      </w:tr>
      <w:tr>
        <w:tc>
          <w:tcPr/>
          <w:p>
            <w:pPr>
              <w:pStyle w:val="Compact"/>
              <w:jc w:val="left"/>
            </w:pPr>
            <w:r>
              <w:rPr>
                <w:bCs/>
                <w:b/>
              </w:rPr>
              <w:t xml:space="preserve">Sijoittajavalmius</w:t>
            </w:r>
          </w:p>
        </w:tc>
        <w:tc>
          <w:tcPr/>
          <w:p>
            <w:pPr>
              <w:pStyle w:val="Compact"/>
              <w:jc w:val="left"/>
            </w:pPr>
            <w:r>
              <w:rPr>
                <w:bCs/>
                <w:b/>
              </w:rPr>
              <w:t xml:space="preserve">InvestEU-putkisto</w:t>
            </w:r>
          </w:p>
        </w:tc>
        <w:tc>
          <w:tcPr/>
          <w:p>
            <w:pPr>
              <w:pStyle w:val="Compact"/>
              <w:jc w:val="left"/>
            </w:pPr>
            <w:r>
              <w:rPr>
                <w:bCs/>
                <w:b/>
              </w:rPr>
              <w:t xml:space="preserve">Tuotevalikoima validoitu Q1 2026</w:t>
            </w:r>
          </w:p>
        </w:tc>
      </w:tr>
    </w:tbl>
    <w:bookmarkEnd w:id="117"/>
    <w:bookmarkStart w:id="118" w:name="tk2-teknologia-monialustainen-kehitys"/>
    <w:p>
      <w:pPr>
        <w:pStyle w:val="Heading3"/>
      </w:pPr>
      <w:r>
        <w:t xml:space="preserve">8.5.2 TK2: Teknologia — Monialustainen kehitys</w:t>
      </w:r>
    </w:p>
    <w:tbl>
      <w:tblPr>
        <w:tblStyle w:val="Table"/>
        <w:tblW w:type="pct" w:w="5000"/>
        <w:tblLook w:firstRow="1" w:lastRow="0" w:firstColumn="0" w:lastColumn="0" w:noHBand="0" w:noVBand="0" w:val="0020"/>
        <w:jc w:val="start"/>
      </w:tblPr>
      <w:tblGrid>
        <w:gridCol w:w="1111"/>
        <w:gridCol w:w="2570"/>
        <w:gridCol w:w="4237"/>
      </w:tblGrid>
      <w:tr>
        <w:trPr>
          <w:tblHeader w:val="true"/>
        </w:trPr>
        <w:tc>
          <w:tcPr/>
          <w:p>
            <w:pPr>
              <w:pStyle w:val="Compact"/>
              <w:jc w:val="left"/>
            </w:pPr>
            <w:r>
              <w:t xml:space="preserve">Alusta</w:t>
            </w:r>
          </w:p>
        </w:tc>
        <w:tc>
          <w:tcPr/>
          <w:p>
            <w:pPr>
              <w:pStyle w:val="Compact"/>
              <w:jc w:val="left"/>
            </w:pPr>
            <w:r>
              <w:t xml:space="preserve">Teknologia</w:t>
            </w:r>
          </w:p>
        </w:tc>
        <w:tc>
          <w:tcPr/>
          <w:p>
            <w:pPr>
              <w:pStyle w:val="Compact"/>
              <w:jc w:val="left"/>
            </w:pPr>
            <w:r>
              <w:t xml:space="preserve">Todiste</w:t>
            </w:r>
          </w:p>
        </w:tc>
      </w:tr>
      <w:tr>
        <w:tc>
          <w:tcPr/>
          <w:p>
            <w:pPr>
              <w:pStyle w:val="Compact"/>
              <w:jc w:val="left"/>
            </w:pPr>
            <w:r>
              <w:rPr>
                <w:bCs/>
                <w:b/>
              </w:rPr>
              <w:t xml:space="preserve">Pilvi</w:t>
            </w:r>
          </w:p>
        </w:tc>
        <w:tc>
          <w:tcPr/>
          <w:p>
            <w:pPr>
              <w:pStyle w:val="Compact"/>
              <w:jc w:val="left"/>
            </w:pPr>
            <w:r>
              <w:t xml:space="preserve">Google Cloud Run + Groq API</w:t>
            </w:r>
          </w:p>
        </w:tc>
        <w:tc>
          <w:tcPr/>
          <w:p>
            <w:pPr>
              <w:pStyle w:val="Compact"/>
              <w:jc w:val="left"/>
            </w:pPr>
            <w:r>
              <w:t xml:space="preserve">MCP Hub portissa 8765</w:t>
            </w:r>
          </w:p>
        </w:tc>
      </w:tr>
      <w:tr>
        <w:tc>
          <w:tcPr/>
          <w:p>
            <w:pPr>
              <w:pStyle w:val="Compact"/>
              <w:jc w:val="left"/>
            </w:pPr>
            <w:r>
              <w:rPr>
                <w:bCs/>
                <w:b/>
              </w:rPr>
              <w:t xml:space="preserve">Reuna</w:t>
            </w:r>
          </w:p>
        </w:tc>
        <w:tc>
          <w:tcPr/>
          <w:p>
            <w:pPr>
              <w:pStyle w:val="Compact"/>
              <w:jc w:val="left"/>
            </w:pPr>
            <w:r>
              <w:t xml:space="preserve">NVIDIA Jetson Orin Nano + Acer GN100</w:t>
            </w:r>
          </w:p>
        </w:tc>
        <w:tc>
          <w:tcPr/>
          <w:p>
            <w:pPr>
              <w:pStyle w:val="Compact"/>
              <w:jc w:val="left"/>
            </w:pPr>
            <w:r>
              <w:t xml:space="preserve">&lt;100ms päättely (25x nopeampi)</w:t>
            </w:r>
          </w:p>
        </w:tc>
      </w:tr>
      <w:tr>
        <w:tc>
          <w:tcPr/>
          <w:p>
            <w:pPr>
              <w:pStyle w:val="Compact"/>
              <w:jc w:val="left"/>
            </w:pPr>
            <w:r>
              <w:rPr>
                <w:bCs/>
                <w:b/>
              </w:rPr>
              <w:t xml:space="preserve">Verkkokauppa</w:t>
            </w:r>
          </w:p>
        </w:tc>
        <w:tc>
          <w:tcPr/>
          <w:p>
            <w:pPr>
              <w:pStyle w:val="Compact"/>
              <w:jc w:val="left"/>
            </w:pPr>
            <w:r>
              <w:t xml:space="preserve">dws10.com (Cloudflare Pages)</w:t>
            </w:r>
          </w:p>
        </w:tc>
        <w:tc>
          <w:tcPr/>
          <w:p>
            <w:pPr>
              <w:pStyle w:val="Compact"/>
              <w:jc w:val="left"/>
            </w:pPr>
            <w:r>
              <w:t xml:space="preserve">€0/kk, 99,95 % käytettävyys</w:t>
            </w:r>
          </w:p>
        </w:tc>
      </w:tr>
      <w:tr>
        <w:tc>
          <w:tcPr/>
          <w:p>
            <w:pPr>
              <w:pStyle w:val="Compact"/>
              <w:jc w:val="left"/>
            </w:pPr>
            <w:r>
              <w:rPr>
                <w:bCs/>
                <w:b/>
              </w:rPr>
              <w:t xml:space="preserve">Orkestrointi</w:t>
            </w:r>
          </w:p>
        </w:tc>
        <w:tc>
          <w:tcPr/>
          <w:p>
            <w:pPr>
              <w:pStyle w:val="Compact"/>
              <w:jc w:val="left"/>
            </w:pPr>
            <w:r>
              <w:t xml:space="preserve">MCP Hub + LlamaStack</w:t>
            </w:r>
          </w:p>
        </w:tc>
        <w:tc>
          <w:tcPr/>
          <w:p>
            <w:pPr>
              <w:pStyle w:val="Compact"/>
              <w:jc w:val="left"/>
            </w:pPr>
            <w:r>
              <w:t xml:space="preserve">4 työnkulkumallia (Fan-Out, Sequential, Reflection, Pipeline)</w:t>
            </w:r>
          </w:p>
        </w:tc>
      </w:tr>
      <w:tr>
        <w:tc>
          <w:tcPr/>
          <w:p>
            <w:pPr>
              <w:pStyle w:val="Compact"/>
              <w:jc w:val="left"/>
            </w:pPr>
            <w:r>
              <w:rPr>
                <w:bCs/>
                <w:b/>
              </w:rPr>
              <w:t xml:space="preserve">Data</w:t>
            </w:r>
          </w:p>
        </w:tc>
        <w:tc>
          <w:tcPr/>
          <w:p>
            <w:pPr>
              <w:pStyle w:val="Compact"/>
              <w:jc w:val="left"/>
            </w:pPr>
            <w:r>
              <w:t xml:space="preserve">PostgreSQL HTAP (Aiven + TimescaleDB)</w:t>
            </w:r>
          </w:p>
        </w:tc>
        <w:tc>
          <w:tcPr/>
          <w:p>
            <w:pPr>
              <w:pStyle w:val="Compact"/>
              <w:jc w:val="left"/>
            </w:pPr>
            <w:r>
              <w:t xml:space="preserve">Kaksitasoinen: hallittu + reunaanalytiikka</w:t>
            </w:r>
          </w:p>
        </w:tc>
      </w:tr>
      <w:tr>
        <w:tc>
          <w:tcPr/>
          <w:p>
            <w:pPr>
              <w:pStyle w:val="Compact"/>
              <w:jc w:val="left"/>
            </w:pPr>
            <w:r>
              <w:rPr>
                <w:bCs/>
                <w:b/>
              </w:rPr>
              <w:t xml:space="preserve">Agentit</w:t>
            </w:r>
          </w:p>
        </w:tc>
        <w:tc>
          <w:tcPr/>
          <w:p>
            <w:pPr>
              <w:pStyle w:val="Compact"/>
              <w:jc w:val="left"/>
            </w:pPr>
            <w:r>
              <w:t xml:space="preserve">Climate IQ Pantheon (13 agenttia)</w:t>
            </w:r>
          </w:p>
        </w:tc>
        <w:tc>
          <w:tcPr/>
          <w:p>
            <w:pPr>
              <w:pStyle w:val="Compact"/>
              <w:jc w:val="left"/>
            </w:pPr>
            <w:r>
              <w:t xml:space="preserve">6 orkestraattoria + 7 toimialaerityistä</w:t>
            </w:r>
          </w:p>
        </w:tc>
      </w:tr>
    </w:tbl>
    <w:bookmarkEnd w:id="118"/>
    <w:bookmarkStart w:id="119" w:name="tk3-teknisen-ratkaisun-arviointi"/>
    <w:p>
      <w:pPr>
        <w:pStyle w:val="Heading3"/>
      </w:pPr>
      <w:r>
        <w:t xml:space="preserve">8.5.3 TK3: Teknisen ratkaisun arviointi</w:t>
      </w:r>
    </w:p>
    <w:tbl>
      <w:tblPr>
        <w:tblStyle w:val="Table"/>
        <w:tblW w:type="pct" w:w="5000"/>
        <w:tblLook w:firstRow="1" w:lastRow="0" w:firstColumn="0" w:lastColumn="0" w:noHBand="0" w:noVBand="0" w:val="0020"/>
        <w:jc w:val="start"/>
      </w:tblPr>
      <w:tblGrid>
        <w:gridCol w:w="2702"/>
        <w:gridCol w:w="1211"/>
        <w:gridCol w:w="1211"/>
        <w:gridCol w:w="1304"/>
        <w:gridCol w:w="1490"/>
      </w:tblGrid>
      <w:tr>
        <w:trPr>
          <w:tblHeader w:val="true"/>
        </w:trPr>
        <w:tc>
          <w:tcPr/>
          <w:p>
            <w:pPr>
              <w:pStyle w:val="Compact"/>
              <w:jc w:val="left"/>
            </w:pPr>
            <w:r>
              <w:t xml:space="preserve">Ratkaisu</w:t>
            </w:r>
          </w:p>
        </w:tc>
        <w:tc>
          <w:tcPr/>
          <w:p>
            <w:pPr>
              <w:pStyle w:val="Compact"/>
              <w:jc w:val="left"/>
            </w:pPr>
            <w:r>
              <w:t xml:space="preserve">Kehitysnopeus</w:t>
            </w:r>
          </w:p>
        </w:tc>
        <w:tc>
          <w:tcPr/>
          <w:p>
            <w:pPr>
              <w:pStyle w:val="Compact"/>
              <w:jc w:val="left"/>
            </w:pPr>
            <w:r>
              <w:t xml:space="preserve">Virhevähennys</w:t>
            </w:r>
          </w:p>
        </w:tc>
        <w:tc>
          <w:tcPr/>
          <w:p>
            <w:pPr>
              <w:pStyle w:val="Compact"/>
              <w:jc w:val="left"/>
            </w:pPr>
            <w:r>
              <w:t xml:space="preserve">Kustannus</w:t>
            </w:r>
          </w:p>
        </w:tc>
        <w:tc>
          <w:tcPr/>
          <w:p>
            <w:pPr>
              <w:pStyle w:val="Compact"/>
              <w:jc w:val="left"/>
            </w:pPr>
            <w:r>
              <w:t xml:space="preserve">Arvio</w:t>
            </w:r>
          </w:p>
        </w:tc>
      </w:tr>
      <w:tr>
        <w:tc>
          <w:tcPr/>
          <w:p>
            <w:pPr>
              <w:pStyle w:val="Compact"/>
              <w:jc w:val="left"/>
            </w:pPr>
            <w:r>
              <w:t xml:space="preserve">Perinteinen kehitys</w:t>
            </w:r>
          </w:p>
        </w:tc>
        <w:tc>
          <w:tcPr/>
          <w:p>
            <w:pPr>
              <w:pStyle w:val="Compact"/>
              <w:jc w:val="left"/>
            </w:pPr>
            <w:r>
              <w:t xml:space="preserve">Lähtötaso</w:t>
            </w:r>
          </w:p>
        </w:tc>
        <w:tc>
          <w:tcPr/>
          <w:p>
            <w:pPr>
              <w:pStyle w:val="Compact"/>
              <w:jc w:val="left"/>
            </w:pPr>
            <w:r>
              <w:t xml:space="preserve">Lähtötaso</w:t>
            </w:r>
          </w:p>
        </w:tc>
        <w:tc>
          <w:tcPr/>
          <w:p>
            <w:pPr>
              <w:pStyle w:val="Compact"/>
              <w:jc w:val="left"/>
            </w:pPr>
            <w:r>
              <w:t xml:space="preserve">Korkea</w:t>
            </w:r>
          </w:p>
        </w:tc>
        <w:tc>
          <w:tcPr/>
          <w:p>
            <w:pPr>
              <w:pStyle w:val="Compact"/>
              <w:jc w:val="left"/>
            </w:pPr>
            <w:r>
              <w:t xml:space="preserve">Ei sovellu</w:t>
            </w:r>
          </w:p>
        </w:tc>
      </w:tr>
      <w:tr>
        <w:tc>
          <w:tcPr/>
          <w:p>
            <w:pPr>
              <w:pStyle w:val="Compact"/>
              <w:jc w:val="left"/>
            </w:pPr>
            <w:r>
              <w:t xml:space="preserve">Pelkkä pilvi-AI</w:t>
            </w:r>
          </w:p>
        </w:tc>
        <w:tc>
          <w:tcPr/>
          <w:p>
            <w:pPr>
              <w:pStyle w:val="Compact"/>
              <w:jc w:val="left"/>
            </w:pPr>
            <w:r>
              <w:t xml:space="preserve">+30 %</w:t>
            </w:r>
          </w:p>
        </w:tc>
        <w:tc>
          <w:tcPr/>
          <w:p>
            <w:pPr>
              <w:pStyle w:val="Compact"/>
              <w:jc w:val="left"/>
            </w:pPr>
            <w:r>
              <w:t xml:space="preserve">-40 %</w:t>
            </w:r>
          </w:p>
        </w:tc>
        <w:tc>
          <w:tcPr/>
          <w:p>
            <w:pPr>
              <w:pStyle w:val="Compact"/>
              <w:jc w:val="left"/>
            </w:pPr>
            <w:r>
              <w:t xml:space="preserve">€555/kk</w:t>
            </w:r>
          </w:p>
        </w:tc>
        <w:tc>
          <w:tcPr/>
          <w:p>
            <w:pPr>
              <w:pStyle w:val="Compact"/>
              <w:jc w:val="left"/>
            </w:pPr>
            <w:r>
              <w:t xml:space="preserve">Osittain</w:t>
            </w:r>
          </w:p>
        </w:tc>
      </w:tr>
      <w:tr>
        <w:tc>
          <w:tcPr/>
          <w:p>
            <w:pPr>
              <w:pStyle w:val="Compact"/>
              <w:jc w:val="left"/>
            </w:pPr>
            <w:r>
              <w:rPr>
                <w:bCs/>
                <w:b/>
              </w:rPr>
              <w:t xml:space="preserve">MCP Hub + Reunatekoäly</w:t>
            </w:r>
          </w:p>
        </w:tc>
        <w:tc>
          <w:tcPr/>
          <w:p>
            <w:pPr>
              <w:pStyle w:val="Compact"/>
              <w:jc w:val="left"/>
            </w:pPr>
            <w:r>
              <w:rPr>
                <w:bCs/>
                <w:b/>
              </w:rPr>
              <w:t xml:space="preserve">+62 %</w:t>
            </w:r>
          </w:p>
        </w:tc>
        <w:tc>
          <w:tcPr/>
          <w:p>
            <w:pPr>
              <w:pStyle w:val="Compact"/>
              <w:jc w:val="left"/>
            </w:pPr>
            <w:r>
              <w:rPr>
                <w:bCs/>
                <w:b/>
              </w:rPr>
              <w:t xml:space="preserve">-73 %</w:t>
            </w:r>
          </w:p>
        </w:tc>
        <w:tc>
          <w:tcPr/>
          <w:p>
            <w:pPr>
              <w:pStyle w:val="Compact"/>
              <w:jc w:val="left"/>
            </w:pPr>
            <w:r>
              <w:rPr>
                <w:bCs/>
                <w:b/>
              </w:rPr>
              <w:t xml:space="preserve">€25-350/kk</w:t>
            </w:r>
          </w:p>
        </w:tc>
        <w:tc>
          <w:tcPr/>
          <w:p>
            <w:pPr>
              <w:pStyle w:val="Compact"/>
              <w:jc w:val="left"/>
            </w:pPr>
            <w:r>
              <w:rPr>
                <w:bCs/>
                <w:b/>
              </w:rPr>
              <w:t xml:space="preserve">Paras</w:t>
            </w:r>
          </w:p>
        </w:tc>
      </w:tr>
      <w:tr>
        <w:tc>
          <w:tcPr/>
          <w:p>
            <w:pPr>
              <w:pStyle w:val="Compact"/>
              <w:jc w:val="left"/>
            </w:pPr>
            <w:r>
              <w:rPr>
                <w:bCs/>
                <w:b/>
              </w:rPr>
              <w:t xml:space="preserve">Harness-optimoitu (v3.26)</w:t>
            </w:r>
          </w:p>
        </w:tc>
        <w:tc>
          <w:tcPr/>
          <w:p>
            <w:pPr>
              <w:pStyle w:val="Compact"/>
              <w:jc w:val="left"/>
            </w:pPr>
            <w:r>
              <w:rPr>
                <w:bCs/>
                <w:b/>
              </w:rPr>
              <w:t xml:space="preserve">+85 %</w:t>
            </w:r>
          </w:p>
        </w:tc>
        <w:tc>
          <w:tcPr/>
          <w:p>
            <w:pPr>
              <w:pStyle w:val="Compact"/>
              <w:jc w:val="left"/>
            </w:pPr>
            <w:r>
              <w:rPr>
                <w:bCs/>
                <w:b/>
              </w:rPr>
              <w:t xml:space="preserve">-80 %</w:t>
            </w:r>
          </w:p>
        </w:tc>
        <w:tc>
          <w:tcPr/>
          <w:p>
            <w:pPr>
              <w:pStyle w:val="Compact"/>
              <w:jc w:val="left"/>
            </w:pPr>
            <w:r>
              <w:rPr>
                <w:bCs/>
                <w:b/>
              </w:rPr>
              <w:t xml:space="preserve">€25-280/kk</w:t>
            </w:r>
          </w:p>
        </w:tc>
        <w:tc>
          <w:tcPr/>
          <w:p>
            <w:pPr>
              <w:pStyle w:val="Compact"/>
              <w:jc w:val="left"/>
            </w:pPr>
            <w:r>
              <w:rPr>
                <w:bCs/>
                <w:b/>
              </w:rPr>
              <w:t xml:space="preserve">Optimaalinen</w:t>
            </w:r>
          </w:p>
        </w:tc>
      </w:tr>
    </w:tbl>
    <w:p>
      <w:pPr>
        <w:pStyle w:val="BodyText"/>
      </w:pPr>
      <w:r>
        <w:rPr>
          <w:bCs/>
          <w:b/>
        </w:rPr>
        <w:t xml:space="preserve">Uutta v3.26:ssa:</w:t>
      </w:r>
      <w:r>
        <w:t xml:space="preserve"> </w:t>
      </w:r>
      <w:r>
        <w:t xml:space="preserve">Harness engineering lisää neljännen rivin — järjestelmätason optimointi ilman mallimuutoksia saavuttaa +23 % kehitysnopeuden ja -7 % virhevähennyksen lisää verrattuna MCP Hub -peruslähestymistapaan.</w:t>
      </w:r>
    </w:p>
    <w:bookmarkEnd w:id="119"/>
    <w:bookmarkStart w:id="120" w:name="X4165017df13588ffaca5a778ae0209de47391de"/>
    <w:p>
      <w:pPr>
        <w:pStyle w:val="Heading3"/>
      </w:pPr>
      <w:r>
        <w:t xml:space="preserve">8.5.4 TK4: Yritysturvallisuus ja vaatimustenmukaisuus</w:t>
      </w:r>
    </w:p>
    <w:tbl>
      <w:tblPr>
        <w:tblStyle w:val="Table"/>
        <w:tblW w:type="pct" w:w="5000"/>
        <w:tblLook w:firstRow="1" w:lastRow="0" w:firstColumn="0" w:lastColumn="0" w:noHBand="0" w:noVBand="0" w:val="0020"/>
        <w:jc w:val="start"/>
      </w:tblPr>
      <w:tblGrid>
        <w:gridCol w:w="1279"/>
        <w:gridCol w:w="2315"/>
        <w:gridCol w:w="2924"/>
        <w:gridCol w:w="1401"/>
      </w:tblGrid>
      <w:tr>
        <w:trPr>
          <w:tblHeader w:val="true"/>
        </w:trPr>
        <w:tc>
          <w:tcPr/>
          <w:p>
            <w:pPr>
              <w:pStyle w:val="Compact"/>
              <w:jc w:val="left"/>
            </w:pPr>
            <w:r>
              <w:t xml:space="preserve">Sääntely</w:t>
            </w:r>
          </w:p>
        </w:tc>
        <w:tc>
          <w:tcPr/>
          <w:p>
            <w:pPr>
              <w:pStyle w:val="Compact"/>
              <w:jc w:val="left"/>
            </w:pPr>
            <w:r>
              <w:t xml:space="preserve">Vaatimus</w:t>
            </w:r>
          </w:p>
        </w:tc>
        <w:tc>
          <w:tcPr/>
          <w:p>
            <w:pPr>
              <w:pStyle w:val="Compact"/>
              <w:jc w:val="left"/>
            </w:pPr>
            <w:r>
              <w:t xml:space="preserve">Toteutus</w:t>
            </w:r>
          </w:p>
        </w:tc>
        <w:tc>
          <w:tcPr/>
          <w:p>
            <w:pPr>
              <w:pStyle w:val="Compact"/>
              <w:jc w:val="left"/>
            </w:pPr>
            <w:r>
              <w:t xml:space="preserve">Tila</w:t>
            </w:r>
          </w:p>
        </w:tc>
      </w:tr>
      <w:tr>
        <w:tc>
          <w:tcPr/>
          <w:p>
            <w:pPr>
              <w:pStyle w:val="Compact"/>
              <w:jc w:val="left"/>
            </w:pPr>
            <w:r>
              <w:rPr>
                <w:bCs/>
                <w:b/>
              </w:rPr>
              <w:t xml:space="preserve">NIS 2</w:t>
            </w:r>
          </w:p>
        </w:tc>
        <w:tc>
          <w:tcPr/>
          <w:p>
            <w:pPr>
              <w:pStyle w:val="Compact"/>
              <w:jc w:val="left"/>
            </w:pPr>
            <w:r>
              <w:t xml:space="preserve">Kyberturvallisuuden riskinhallinta</w:t>
            </w:r>
          </w:p>
        </w:tc>
        <w:tc>
          <w:tcPr/>
          <w:p>
            <w:pPr>
              <w:pStyle w:val="Compact"/>
              <w:jc w:val="left"/>
            </w:pPr>
            <w:r>
              <w:t xml:space="preserve">Security Agent + Snyk MCP + RC2-RC4 koventaminen</w:t>
            </w:r>
          </w:p>
        </w:tc>
        <w:tc>
          <w:tcPr/>
          <w:p>
            <w:pPr>
              <w:pStyle w:val="Compact"/>
              <w:jc w:val="left"/>
            </w:pPr>
            <w:r>
              <w:rPr>
                <w:bCs/>
                <w:b/>
              </w:rPr>
              <w:t xml:space="preserve">Aktiivinen</w:t>
            </w:r>
          </w:p>
        </w:tc>
      </w:tr>
      <w:tr>
        <w:tc>
          <w:tcPr/>
          <w:p>
            <w:pPr>
              <w:pStyle w:val="Compact"/>
              <w:jc w:val="left"/>
            </w:pPr>
            <w:r>
              <w:rPr>
                <w:bCs/>
                <w:b/>
              </w:rPr>
              <w:t xml:space="preserve">EU AI Act</w:t>
            </w:r>
          </w:p>
        </w:tc>
        <w:tc>
          <w:tcPr/>
          <w:p>
            <w:pPr>
              <w:pStyle w:val="Compact"/>
              <w:jc w:val="left"/>
            </w:pPr>
            <w:r>
              <w:t xml:space="preserve">Läpinäkyvyys, ihmisen valvonta</w:t>
            </w:r>
          </w:p>
        </w:tc>
        <w:tc>
          <w:tcPr/>
          <w:p>
            <w:pPr>
              <w:pStyle w:val="Compact"/>
              <w:jc w:val="left"/>
            </w:pPr>
            <w:r>
              <w:t xml:space="preserve">Art. 12 -lokitus, SOUL.md, Pantheon-agentit</w:t>
            </w:r>
          </w:p>
        </w:tc>
        <w:tc>
          <w:tcPr/>
          <w:p>
            <w:pPr>
              <w:pStyle w:val="Compact"/>
              <w:jc w:val="left"/>
            </w:pPr>
            <w:r>
              <w:rPr>
                <w:bCs/>
                <w:b/>
              </w:rPr>
              <w:t xml:space="preserve">Yhteensopiva (92 %)</w:t>
            </w:r>
          </w:p>
        </w:tc>
      </w:tr>
      <w:tr>
        <w:tc>
          <w:tcPr/>
          <w:p>
            <w:pPr>
              <w:pStyle w:val="Compact"/>
              <w:jc w:val="left"/>
            </w:pPr>
            <w:r>
              <w:rPr>
                <w:bCs/>
                <w:b/>
              </w:rPr>
              <w:t xml:space="preserve">GDPR</w:t>
            </w:r>
          </w:p>
        </w:tc>
        <w:tc>
          <w:tcPr/>
          <w:p>
            <w:pPr>
              <w:pStyle w:val="Compact"/>
              <w:jc w:val="left"/>
            </w:pPr>
            <w:r>
              <w:t xml:space="preserve">Datan sijainti, rekisteröidyn oikeudet</w:t>
            </w:r>
          </w:p>
        </w:tc>
        <w:tc>
          <w:tcPr/>
          <w:p>
            <w:pPr>
              <w:pStyle w:val="Compact"/>
              <w:jc w:val="left"/>
            </w:pPr>
            <w:r>
              <w:t xml:space="preserve">europe-north1, Supabase RLS, Aiven EU</w:t>
            </w:r>
          </w:p>
        </w:tc>
        <w:tc>
          <w:tcPr/>
          <w:p>
            <w:pPr>
              <w:pStyle w:val="Compact"/>
              <w:jc w:val="left"/>
            </w:pPr>
            <w:r>
              <w:rPr>
                <w:bCs/>
                <w:b/>
              </w:rPr>
              <w:t xml:space="preserve">Yhteensopiva</w:t>
            </w:r>
          </w:p>
        </w:tc>
      </w:tr>
      <w:tr>
        <w:tc>
          <w:tcPr/>
          <w:p>
            <w:pPr>
              <w:pStyle w:val="Compact"/>
              <w:jc w:val="left"/>
            </w:pPr>
            <w:r>
              <w:rPr>
                <w:bCs/>
                <w:b/>
              </w:rPr>
              <w:t xml:space="preserve">Cybersecurity Act</w:t>
            </w:r>
          </w:p>
        </w:tc>
        <w:tc>
          <w:tcPr/>
          <w:p>
            <w:pPr>
              <w:pStyle w:val="Compact"/>
              <w:jc w:val="left"/>
            </w:pPr>
            <w:r>
              <w:t xml:space="preserve">Turvallisuussertifiointi</w:t>
            </w:r>
          </w:p>
        </w:tc>
        <w:tc>
          <w:tcPr/>
          <w:p>
            <w:pPr>
              <w:pStyle w:val="Compact"/>
              <w:jc w:val="left"/>
            </w:pPr>
            <w:r>
              <w:t xml:space="preserve">ISO 27001 tavoite Q3 2026</w:t>
            </w:r>
          </w:p>
        </w:tc>
        <w:tc>
          <w:tcPr/>
          <w:p>
            <w:pPr>
              <w:pStyle w:val="Compact"/>
              <w:jc w:val="left"/>
            </w:pPr>
            <w:r>
              <w:t xml:space="preserve">Suunniteltu</w:t>
            </w:r>
          </w:p>
        </w:tc>
      </w:tr>
      <w:tr>
        <w:tc>
          <w:tcPr/>
          <w:p>
            <w:pPr>
              <w:pStyle w:val="Compact"/>
              <w:jc w:val="left"/>
            </w:pPr>
            <w:r>
              <w:rPr>
                <w:bCs/>
                <w:b/>
              </w:rPr>
              <w:t xml:space="preserve">EU Data Act</w:t>
            </w:r>
          </w:p>
        </w:tc>
        <w:tc>
          <w:tcPr/>
          <w:p>
            <w:pPr>
              <w:pStyle w:val="Compact"/>
              <w:jc w:val="left"/>
            </w:pPr>
            <w:r>
              <w:t xml:space="preserve">Datan siirrettävyys, yhteentoimivuus</w:t>
            </w:r>
          </w:p>
        </w:tc>
        <w:tc>
          <w:tcPr/>
          <w:p>
            <w:pPr>
              <w:pStyle w:val="Compact"/>
              <w:jc w:val="left"/>
            </w:pPr>
            <w:r>
              <w:t xml:space="preserve">DWS-tietostandardi, HTAP-arkkitehtuuri</w:t>
            </w:r>
          </w:p>
        </w:tc>
        <w:tc>
          <w:tcPr/>
          <w:p>
            <w:pPr>
              <w:pStyle w:val="Compact"/>
              <w:jc w:val="left"/>
            </w:pPr>
            <w:r>
              <w:rPr>
                <w:bCs/>
                <w:b/>
              </w:rPr>
              <w:t xml:space="preserve">Käynnissä (80 %)</w:t>
            </w:r>
          </w:p>
        </w:tc>
      </w:tr>
    </w:tbl>
    <w:bookmarkEnd w:id="120"/>
    <w:bookmarkEnd w:id="121"/>
    <w:bookmarkStart w:id="126" w:name="swot-analyysi-päivitetty-v3.26"/>
    <w:p>
      <w:pPr>
        <w:pStyle w:val="Heading2"/>
      </w:pPr>
      <w:r>
        <w:t xml:space="preserve">8.6 SWOT-analyysi (päivitetty v3.26)</w:t>
      </w:r>
    </w:p>
    <w:bookmarkStart w:id="122" w:name="vahvuudet"/>
    <w:p>
      <w:pPr>
        <w:pStyle w:val="Heading3"/>
      </w:pPr>
      <w:r>
        <w:t xml:space="preserve">Vahvuudet</w:t>
      </w:r>
    </w:p>
    <w:p>
      <w:pPr>
        <w:numPr>
          <w:ilvl w:val="0"/>
          <w:numId w:val="1036"/>
        </w:numPr>
        <w:pStyle w:val="Compact"/>
      </w:pPr>
      <w:r>
        <w:t xml:space="preserve">Täydellinen toteutus (live-järjestelmä €10k MRR:llä)</w:t>
      </w:r>
    </w:p>
    <w:p>
      <w:pPr>
        <w:numPr>
          <w:ilvl w:val="0"/>
          <w:numId w:val="1036"/>
        </w:numPr>
        <w:pStyle w:val="Compact"/>
      </w:pPr>
      <w:r>
        <w:t xml:space="preserve">Uusi koordinointiprotokolla (Lifetime Scope Signals)</w:t>
      </w:r>
    </w:p>
    <w:p>
      <w:pPr>
        <w:numPr>
          <w:ilvl w:val="0"/>
          <w:numId w:val="1036"/>
        </w:numPr>
        <w:pStyle w:val="Compact"/>
      </w:pPr>
      <w:r>
        <w:t xml:space="preserve">Kustannusjohtajuus (82 % halvempi kuin kilpailijat)</w:t>
      </w:r>
    </w:p>
    <w:p>
      <w:pPr>
        <w:numPr>
          <w:ilvl w:val="0"/>
          <w:numId w:val="1036"/>
        </w:numPr>
        <w:pStyle w:val="Compact"/>
      </w:pPr>
      <w:r>
        <w:t xml:space="preserve">EU-vaatimustenmukaisuus sisäänrakennettu (5 sääntelyä seurannassa)</w:t>
      </w:r>
    </w:p>
    <w:p>
      <w:pPr>
        <w:numPr>
          <w:ilvl w:val="0"/>
          <w:numId w:val="1036"/>
        </w:numPr>
        <w:pStyle w:val="Compact"/>
      </w:pPr>
      <w:r>
        <w:rPr>
          <w:bCs/>
          <w:b/>
        </w:rPr>
        <w:t xml:space="preserve">13 agentin Pantheon-järjestelmä toiminnassa</w:t>
      </w:r>
    </w:p>
    <w:p>
      <w:pPr>
        <w:numPr>
          <w:ilvl w:val="0"/>
          <w:numId w:val="1036"/>
        </w:numPr>
        <w:pStyle w:val="Compact"/>
      </w:pPr>
      <w:r>
        <w:rPr>
          <w:bCs/>
          <w:b/>
        </w:rPr>
        <w:t xml:space="preserve">Harness engineering validoitu (+26 % pelkästä järjestelmästä)</w:t>
      </w:r>
    </w:p>
    <w:p>
      <w:pPr>
        <w:numPr>
          <w:ilvl w:val="0"/>
          <w:numId w:val="1036"/>
        </w:numPr>
        <w:pStyle w:val="Compact"/>
      </w:pPr>
      <w:r>
        <w:rPr>
          <w:bCs/>
          <w:b/>
        </w:rPr>
        <w:t xml:space="preserve">Strategiset kumppanuudet: NVIDIA, Siemens, ABB, xAI, Mistral, Red Hat</w:t>
      </w:r>
    </w:p>
    <w:bookmarkEnd w:id="122"/>
    <w:bookmarkStart w:id="123" w:name="heikkoudet"/>
    <w:p>
      <w:pPr>
        <w:pStyle w:val="Heading3"/>
      </w:pPr>
      <w:r>
        <w:t xml:space="preserve">Heikkoudet</w:t>
      </w:r>
    </w:p>
    <w:p>
      <w:pPr>
        <w:numPr>
          <w:ilvl w:val="0"/>
          <w:numId w:val="1037"/>
        </w:numPr>
        <w:pStyle w:val="Compact"/>
      </w:pPr>
      <w:r>
        <w:t xml:space="preserve">Yksi kehittäjä -riippuvuus (lievennetty toimitusjohtajan automaatioagenteilla)</w:t>
      </w:r>
    </w:p>
    <w:p>
      <w:pPr>
        <w:numPr>
          <w:ilvl w:val="0"/>
          <w:numId w:val="1037"/>
        </w:numPr>
        <w:pStyle w:val="Compact"/>
      </w:pPr>
      <w:r>
        <w:t xml:space="preserve">Ulkoinen validointi rajallista (A/B-testausdata kasvamassa)</w:t>
      </w:r>
    </w:p>
    <w:p>
      <w:pPr>
        <w:numPr>
          <w:ilvl w:val="0"/>
          <w:numId w:val="1037"/>
        </w:numPr>
        <w:pStyle w:val="Compact"/>
      </w:pPr>
      <w:r>
        <w:t xml:space="preserve">Reunalaitteisto-riippuvuus (nyt 2 laitetta: Jetson + GN100)</w:t>
      </w:r>
    </w:p>
    <w:bookmarkEnd w:id="123"/>
    <w:bookmarkStart w:id="124" w:name="mahdollisuudet"/>
    <w:p>
      <w:pPr>
        <w:pStyle w:val="Heading3"/>
      </w:pPr>
      <w:r>
        <w:t xml:space="preserve">Mahdollisuudet</w:t>
      </w:r>
    </w:p>
    <w:p>
      <w:pPr>
        <w:numPr>
          <w:ilvl w:val="0"/>
          <w:numId w:val="1038"/>
        </w:numPr>
        <w:pStyle w:val="Compact"/>
      </w:pPr>
      <w:r>
        <w:t xml:space="preserve">EU Fit for 55 -toimeksianto (€15-20 miljardia EU TAM)</w:t>
      </w:r>
    </w:p>
    <w:p>
      <w:pPr>
        <w:numPr>
          <w:ilvl w:val="0"/>
          <w:numId w:val="1038"/>
        </w:numPr>
        <w:pStyle w:val="Compact"/>
      </w:pPr>
      <w:r>
        <w:t xml:space="preserve">Solution Factory -replikointi (8 vertikaalia)</w:t>
      </w:r>
    </w:p>
    <w:p>
      <w:pPr>
        <w:numPr>
          <w:ilvl w:val="0"/>
          <w:numId w:val="1038"/>
        </w:numPr>
        <w:pStyle w:val="Compact"/>
      </w:pPr>
      <w:r>
        <w:t xml:space="preserve">NCC-hallituskumppanuus</w:t>
      </w:r>
    </w:p>
    <w:p>
      <w:pPr>
        <w:numPr>
          <w:ilvl w:val="0"/>
          <w:numId w:val="1038"/>
        </w:numPr>
        <w:pStyle w:val="Compact"/>
      </w:pPr>
      <w:r>
        <w:rPr>
          <w:bCs/>
          <w:b/>
        </w:rPr>
        <w:t xml:space="preserve">EU Data Act -vaatimustenmukaisuus erottautumistekijänä</w:t>
      </w:r>
    </w:p>
    <w:p>
      <w:pPr>
        <w:numPr>
          <w:ilvl w:val="0"/>
          <w:numId w:val="1038"/>
        </w:numPr>
        <w:pStyle w:val="Compact"/>
      </w:pPr>
      <w:r>
        <w:rPr>
          <w:bCs/>
          <w:b/>
        </w:rPr>
        <w:t xml:space="preserve">Harness engineering IP-vallihautana</w:t>
      </w:r>
    </w:p>
    <w:p>
      <w:pPr>
        <w:numPr>
          <w:ilvl w:val="0"/>
          <w:numId w:val="1038"/>
        </w:numPr>
        <w:pStyle w:val="Compact"/>
      </w:pPr>
      <w:r>
        <w:rPr>
          <w:bCs/>
          <w:b/>
        </w:rPr>
        <w:t xml:space="preserve">644 miljardin dollarin GenAI-markkina (2025), 76,4 % vuosikasvu validoi yritys-AI-kysynnän</w:t>
      </w:r>
    </w:p>
    <w:p>
      <w:pPr>
        <w:numPr>
          <w:ilvl w:val="0"/>
          <w:numId w:val="1038"/>
        </w:numPr>
        <w:pStyle w:val="Compact"/>
      </w:pPr>
      <w:r>
        <w:rPr>
          <w:bCs/>
          <w:b/>
        </w:rPr>
        <w:t xml:space="preserve">Inferenssimuutos: 80 %+ kiihdyttimistä inferenssiin 2028 mennessä validoi reuna-ensin-arkkitehtuurin</w:t>
      </w:r>
    </w:p>
    <w:bookmarkEnd w:id="124"/>
    <w:bookmarkStart w:id="125" w:name="uhat"/>
    <w:p>
      <w:pPr>
        <w:pStyle w:val="Heading3"/>
      </w:pPr>
      <w:r>
        <w:t xml:space="preserve">Uhat</w:t>
      </w:r>
    </w:p>
    <w:p>
      <w:pPr>
        <w:numPr>
          <w:ilvl w:val="0"/>
          <w:numId w:val="1039"/>
        </w:numPr>
        <w:pStyle w:val="Compact"/>
      </w:pPr>
      <w:r>
        <w:t xml:space="preserve">Isojen teknologiayritysten tulo markkinoille</w:t>
      </w:r>
    </w:p>
    <w:p>
      <w:pPr>
        <w:numPr>
          <w:ilvl w:val="0"/>
          <w:numId w:val="1039"/>
        </w:numPr>
        <w:pStyle w:val="Compact"/>
      </w:pPr>
      <w:r>
        <w:t xml:space="preserve">Kustannusten skaalautuminen kasvuvaiheessa</w:t>
      </w:r>
    </w:p>
    <w:p>
      <w:pPr>
        <w:numPr>
          <w:ilvl w:val="0"/>
          <w:numId w:val="1039"/>
        </w:numPr>
        <w:pStyle w:val="Compact"/>
      </w:pPr>
      <w:r>
        <w:t xml:space="preserve">Kilpailu vakiintuneilta toimijoilta</w:t>
      </w:r>
    </w:p>
    <w:p>
      <w:pPr>
        <w:numPr>
          <w:ilvl w:val="0"/>
          <w:numId w:val="1039"/>
        </w:numPr>
        <w:pStyle w:val="Compact"/>
      </w:pPr>
      <w:r>
        <w:rPr>
          <w:bCs/>
          <w:b/>
        </w:rPr>
        <w:t xml:space="preserve">EU AI Act -täytäntöönpanon aikataulu (elokuu 2026)</w:t>
      </w:r>
    </w:p>
    <w:bookmarkEnd w:id="125"/>
    <w:bookmarkEnd w:id="126"/>
    <w:bookmarkStart w:id="127" w:name="Xa093906c48ab7e52564e8d112c2e3cec77d88d7"/>
    <w:p>
      <w:pPr>
        <w:pStyle w:val="Heading2"/>
      </w:pPr>
      <w:r>
        <w:t xml:space="preserve">8.7 A/B-testauksen ja palautekanavien tulokset</w:t>
      </w:r>
    </w:p>
    <w:p>
      <w:pPr>
        <w:pStyle w:val="FirstParagraph"/>
      </w:pPr>
      <w:r>
        <w:t xml:space="preserve">Tuotevalidointi neliportaisen palautekanavoinnin kautta (osio 1.6):</w:t>
      </w:r>
    </w:p>
    <w:tbl>
      <w:tblPr>
        <w:tblStyle w:val="Table"/>
        <w:tblW w:type="pct" w:w="5000"/>
        <w:tblLook w:firstRow="1" w:lastRow="0" w:firstColumn="0" w:lastColumn="0" w:noHBand="0" w:noVBand="0" w:val="0020"/>
        <w:jc w:val="start"/>
      </w:tblPr>
      <w:tblGrid>
        <w:gridCol w:w="1213"/>
        <w:gridCol w:w="2618"/>
        <w:gridCol w:w="1277"/>
        <w:gridCol w:w="2107"/>
        <w:gridCol w:w="702"/>
      </w:tblGrid>
      <w:tr>
        <w:trPr>
          <w:tblHeader w:val="true"/>
        </w:trPr>
        <w:tc>
          <w:tcPr/>
          <w:p>
            <w:pPr>
              <w:pStyle w:val="Compact"/>
              <w:jc w:val="left"/>
            </w:pPr>
            <w:r>
              <w:t xml:space="preserve">Kanava</w:t>
            </w:r>
          </w:p>
        </w:tc>
        <w:tc>
          <w:tcPr/>
          <w:p>
            <w:pPr>
              <w:pStyle w:val="Compact"/>
              <w:jc w:val="left"/>
            </w:pPr>
            <w:r>
              <w:t xml:space="preserve">Mittari</w:t>
            </w:r>
          </w:p>
        </w:tc>
        <w:tc>
          <w:tcPr/>
          <w:p>
            <w:pPr>
              <w:pStyle w:val="Compact"/>
              <w:jc w:val="left"/>
            </w:pPr>
            <w:r>
              <w:t xml:space="preserve">Lähtötaso (v3.15)</w:t>
            </w:r>
          </w:p>
        </w:tc>
        <w:tc>
          <w:tcPr/>
          <w:p>
            <w:pPr>
              <w:pStyle w:val="Compact"/>
              <w:jc w:val="left"/>
            </w:pPr>
            <w:r>
              <w:t xml:space="preserve">Nykyinen (v3.26)</w:t>
            </w:r>
          </w:p>
        </w:tc>
        <w:tc>
          <w:tcPr/>
          <w:p>
            <w:pPr>
              <w:pStyle w:val="Compact"/>
              <w:jc w:val="left"/>
            </w:pPr>
            <w:r>
              <w:t xml:space="preserve">Δ</w:t>
            </w:r>
          </w:p>
        </w:tc>
      </w:tr>
      <w:tr>
        <w:tc>
          <w:tcPr/>
          <w:p>
            <w:pPr>
              <w:pStyle w:val="Compact"/>
              <w:jc w:val="left"/>
            </w:pPr>
            <w:r>
              <w:rPr>
                <w:bCs/>
                <w:b/>
              </w:rPr>
              <w:t xml:space="preserve">Google Merchant</w:t>
            </w:r>
          </w:p>
        </w:tc>
        <w:tc>
          <w:tcPr/>
          <w:p>
            <w:pPr>
              <w:pStyle w:val="Compact"/>
              <w:jc w:val="left"/>
            </w:pPr>
            <w:r>
              <w:t xml:space="preserve">Tuotehyväksyntäaste</w:t>
            </w:r>
          </w:p>
        </w:tc>
        <w:tc>
          <w:tcPr/>
          <w:p>
            <w:pPr>
              <w:pStyle w:val="Compact"/>
              <w:jc w:val="left"/>
            </w:pPr>
            <w:r>
              <w:t xml:space="preserve">30/30 (100 %)</w:t>
            </w:r>
          </w:p>
        </w:tc>
        <w:tc>
          <w:tcPr/>
          <w:p>
            <w:pPr>
              <w:pStyle w:val="Compact"/>
              <w:jc w:val="left"/>
            </w:pPr>
            <w:r>
              <w:t xml:space="preserve">30/30 (100 %)</w:t>
            </w:r>
          </w:p>
        </w:tc>
        <w:tc>
          <w:tcPr/>
          <w:p>
            <w:pPr>
              <w:pStyle w:val="Compact"/>
              <w:jc w:val="left"/>
            </w:pPr>
            <w:r>
              <w:t xml:space="preserve">Ylläpidetty</w:t>
            </w:r>
          </w:p>
        </w:tc>
      </w:tr>
      <w:tr>
        <w:tc>
          <w:tcPr/>
          <w:p>
            <w:pPr>
              <w:pStyle w:val="Compact"/>
              <w:jc w:val="left"/>
            </w:pPr>
            <w:r>
              <w:rPr>
                <w:bCs/>
                <w:b/>
              </w:rPr>
              <w:t xml:space="preserve">Google Merchant</w:t>
            </w:r>
          </w:p>
        </w:tc>
        <w:tc>
          <w:tcPr/>
          <w:p>
            <w:pPr>
              <w:pStyle w:val="Compact"/>
              <w:jc w:val="left"/>
            </w:pPr>
            <w:r>
              <w:t xml:space="preserve">Keskimääräinen CTR</w:t>
            </w:r>
          </w:p>
        </w:tc>
        <w:tc>
          <w:tcPr/>
          <w:p>
            <w:pPr>
              <w:pStyle w:val="Compact"/>
              <w:jc w:val="left"/>
            </w:pPr>
            <w:r>
              <w:t xml:space="preserve">1,2 %</w:t>
            </w:r>
          </w:p>
        </w:tc>
        <w:tc>
          <w:tcPr/>
          <w:p>
            <w:pPr>
              <w:pStyle w:val="Compact"/>
              <w:jc w:val="left"/>
            </w:pPr>
            <w:r>
              <w:t xml:space="preserve">1,8 % (A/B-testatut kuvaukset)</w:t>
            </w:r>
          </w:p>
        </w:tc>
        <w:tc>
          <w:tcPr/>
          <w:p>
            <w:pPr>
              <w:pStyle w:val="Compact"/>
              <w:jc w:val="left"/>
            </w:pPr>
            <w:r>
              <w:t xml:space="preserve">+50 %</w:t>
            </w:r>
          </w:p>
        </w:tc>
      </w:tr>
      <w:tr>
        <w:tc>
          <w:tcPr/>
          <w:p>
            <w:pPr>
              <w:pStyle w:val="Compact"/>
              <w:jc w:val="left"/>
            </w:pPr>
            <w:r>
              <w:rPr>
                <w:bCs/>
                <w:b/>
              </w:rPr>
              <w:t xml:space="preserve">SEO</w:t>
            </w:r>
          </w:p>
        </w:tc>
        <w:tc>
          <w:tcPr/>
          <w:p>
            <w:pPr>
              <w:pStyle w:val="Compact"/>
              <w:jc w:val="left"/>
            </w:pPr>
            <w:r>
              <w:t xml:space="preserve">Orgaaniset avainsanat sijoitettuna</w:t>
            </w:r>
          </w:p>
        </w:tc>
        <w:tc>
          <w:tcPr/>
          <w:p>
            <w:pPr>
              <w:pStyle w:val="Compact"/>
              <w:jc w:val="left"/>
            </w:pPr>
            <w:r>
              <w:t xml:space="preserve">45</w:t>
            </w:r>
          </w:p>
        </w:tc>
        <w:tc>
          <w:tcPr/>
          <w:p>
            <w:pPr>
              <w:pStyle w:val="Compact"/>
              <w:jc w:val="left"/>
            </w:pPr>
            <w:r>
              <w:t xml:space="preserve">78</w:t>
            </w:r>
          </w:p>
        </w:tc>
        <w:tc>
          <w:tcPr/>
          <w:p>
            <w:pPr>
              <w:pStyle w:val="Compact"/>
              <w:jc w:val="left"/>
            </w:pPr>
            <w:r>
              <w:t xml:space="preserve">+73 %</w:t>
            </w:r>
          </w:p>
        </w:tc>
      </w:tr>
      <w:tr>
        <w:tc>
          <w:tcPr/>
          <w:p>
            <w:pPr>
              <w:pStyle w:val="Compact"/>
              <w:jc w:val="left"/>
            </w:pPr>
            <w:r>
              <w:rPr>
                <w:bCs/>
                <w:b/>
              </w:rPr>
              <w:t xml:space="preserve">SEO</w:t>
            </w:r>
          </w:p>
        </w:tc>
        <w:tc>
          <w:tcPr/>
          <w:p>
            <w:pPr>
              <w:pStyle w:val="Compact"/>
              <w:jc w:val="left"/>
            </w:pPr>
            <w:r>
              <w:t xml:space="preserve">Keskimääräinen sijoitus (kohdeavainsanat)</w:t>
            </w:r>
          </w:p>
        </w:tc>
        <w:tc>
          <w:tcPr/>
          <w:p>
            <w:pPr>
              <w:pStyle w:val="Compact"/>
              <w:jc w:val="left"/>
            </w:pPr>
            <w:r>
              <w:t xml:space="preserve">32</w:t>
            </w:r>
          </w:p>
        </w:tc>
        <w:tc>
          <w:tcPr/>
          <w:p>
            <w:pPr>
              <w:pStyle w:val="Compact"/>
              <w:jc w:val="left"/>
            </w:pPr>
            <w:r>
              <w:t xml:space="preserve">18</w:t>
            </w:r>
          </w:p>
        </w:tc>
        <w:tc>
          <w:tcPr/>
          <w:p>
            <w:pPr>
              <w:pStyle w:val="Compact"/>
              <w:jc w:val="left"/>
            </w:pPr>
            <w:r>
              <w:t xml:space="preserve">+44 %</w:t>
            </w:r>
          </w:p>
        </w:tc>
      </w:tr>
      <w:tr>
        <w:tc>
          <w:tcPr/>
          <w:p>
            <w:pPr>
              <w:pStyle w:val="Compact"/>
              <w:jc w:val="left"/>
            </w:pPr>
            <w:r>
              <w:rPr>
                <w:bCs/>
                <w:b/>
              </w:rPr>
              <w:t xml:space="preserve">Myynti</w:t>
            </w:r>
          </w:p>
        </w:tc>
        <w:tc>
          <w:tcPr/>
          <w:p>
            <w:pPr>
              <w:pStyle w:val="Compact"/>
              <w:jc w:val="left"/>
            </w:pPr>
            <w:r>
              <w:t xml:space="preserve">MRR</w:t>
            </w:r>
          </w:p>
        </w:tc>
        <w:tc>
          <w:tcPr/>
          <w:p>
            <w:pPr>
              <w:pStyle w:val="Compact"/>
              <w:jc w:val="left"/>
            </w:pPr>
            <w:r>
              <w:t xml:space="preserve">€10k (pilotti)</w:t>
            </w:r>
          </w:p>
        </w:tc>
        <w:tc>
          <w:tcPr/>
          <w:p>
            <w:pPr>
              <w:pStyle w:val="Compact"/>
              <w:jc w:val="left"/>
            </w:pPr>
            <w:r>
              <w:t xml:space="preserve">€10k (vakaa)</w:t>
            </w:r>
          </w:p>
        </w:tc>
        <w:tc>
          <w:tcPr/>
          <w:p>
            <w:pPr>
              <w:pStyle w:val="Compact"/>
              <w:jc w:val="left"/>
            </w:pPr>
            <w:r>
              <w:t xml:space="preserve">Ylläpidetty</w:t>
            </w:r>
          </w:p>
        </w:tc>
      </w:tr>
      <w:tr>
        <w:tc>
          <w:tcPr/>
          <w:p>
            <w:pPr>
              <w:pStyle w:val="Compact"/>
              <w:jc w:val="left"/>
            </w:pPr>
            <w:r>
              <w:rPr>
                <w:bCs/>
                <w:b/>
              </w:rPr>
              <w:t xml:space="preserve">Myynti</w:t>
            </w:r>
          </w:p>
        </w:tc>
        <w:tc>
          <w:tcPr/>
          <w:p>
            <w:pPr>
              <w:pStyle w:val="Compact"/>
              <w:jc w:val="left"/>
            </w:pPr>
            <w:r>
              <w:t xml:space="preserve">Konversioaste (kauppa)</w:t>
            </w:r>
          </w:p>
        </w:tc>
        <w:tc>
          <w:tcPr/>
          <w:p>
            <w:pPr>
              <w:pStyle w:val="Compact"/>
              <w:jc w:val="left"/>
            </w:pPr>
            <w:r>
              <w:t xml:space="preserve">2,1 %</w:t>
            </w:r>
          </w:p>
        </w:tc>
        <w:tc>
          <w:tcPr/>
          <w:p>
            <w:pPr>
              <w:pStyle w:val="Compact"/>
              <w:jc w:val="left"/>
            </w:pPr>
            <w:r>
              <w:t xml:space="preserve">3,4 %</w:t>
            </w:r>
          </w:p>
        </w:tc>
        <w:tc>
          <w:tcPr/>
          <w:p>
            <w:pPr>
              <w:pStyle w:val="Compact"/>
              <w:jc w:val="left"/>
            </w:pPr>
            <w:r>
              <w:t xml:space="preserve">+62 %</w:t>
            </w:r>
          </w:p>
        </w:tc>
      </w:tr>
      <w:tr>
        <w:tc>
          <w:tcPr/>
          <w:p>
            <w:pPr>
              <w:pStyle w:val="Compact"/>
              <w:jc w:val="left"/>
            </w:pPr>
            <w:r>
              <w:rPr>
                <w:bCs/>
                <w:b/>
              </w:rPr>
              <w:t xml:space="preserve">Sijoittajat</w:t>
            </w:r>
          </w:p>
        </w:tc>
        <w:tc>
          <w:tcPr/>
          <w:p>
            <w:pPr>
              <w:pStyle w:val="Compact"/>
              <w:jc w:val="left"/>
            </w:pPr>
            <w:r>
              <w:t xml:space="preserve">InvestEU-valmius</w:t>
            </w:r>
          </w:p>
        </w:tc>
        <w:tc>
          <w:tcPr/>
          <w:p>
            <w:pPr>
              <w:pStyle w:val="Compact"/>
              <w:jc w:val="left"/>
            </w:pPr>
            <w:r>
              <w:t xml:space="preserve">Putkisto</w:t>
            </w:r>
          </w:p>
        </w:tc>
        <w:tc>
          <w:tcPr/>
          <w:p>
            <w:pPr>
              <w:pStyle w:val="Compact"/>
              <w:jc w:val="left"/>
            </w:pPr>
            <w:r>
              <w:t xml:space="preserve">Arviointivaihe</w:t>
            </w:r>
          </w:p>
        </w:tc>
        <w:tc>
          <w:tcPr/>
          <w:p>
            <w:pPr>
              <w:pStyle w:val="Compact"/>
              <w:jc w:val="left"/>
            </w:pPr>
            <w:r>
              <w:t xml:space="preserve">Edistymässä</w:t>
            </w:r>
          </w:p>
        </w:tc>
      </w:tr>
      <w:tr>
        <w:tc>
          <w:tcPr/>
          <w:p>
            <w:pPr>
              <w:pStyle w:val="Compact"/>
              <w:jc w:val="left"/>
            </w:pPr>
            <w:r>
              <w:rPr>
                <w:bCs/>
                <w:b/>
              </w:rPr>
              <w:t xml:space="preserve">Sijoittajat</w:t>
            </w:r>
          </w:p>
        </w:tc>
        <w:tc>
          <w:tcPr/>
          <w:p>
            <w:pPr>
              <w:pStyle w:val="Compact"/>
              <w:jc w:val="left"/>
            </w:pPr>
            <w:r>
              <w:t xml:space="preserve">Tuotevalikoiman pistemäärä</w:t>
            </w:r>
          </w:p>
        </w:tc>
        <w:tc>
          <w:tcPr/>
          <w:p>
            <w:pPr>
              <w:pStyle w:val="Compact"/>
              <w:jc w:val="left"/>
            </w:pPr>
            <w:r>
              <w:t xml:space="preserve">30 tuotetta listattu</w:t>
            </w:r>
          </w:p>
        </w:tc>
        <w:tc>
          <w:tcPr/>
          <w:p>
            <w:pPr>
              <w:pStyle w:val="Compact"/>
              <w:jc w:val="left"/>
            </w:pPr>
            <w:r>
              <w:t xml:space="preserve">30 tuotetta + 3 SaaS-ominaisuutta</w:t>
            </w:r>
          </w:p>
        </w:tc>
        <w:tc>
          <w:tcPr/>
          <w:p>
            <w:pPr>
              <w:pStyle w:val="Compact"/>
              <w:jc w:val="left"/>
            </w:pPr>
            <w:r>
              <w:t xml:space="preserve">Parannettu</w:t>
            </w:r>
          </w:p>
        </w:tc>
      </w:tr>
    </w:tbl>
    <w:p>
      <w:pPr>
        <w:pStyle w:val="BodyText"/>
      </w:pPr>
      <w:r>
        <w:rPr>
          <w:bCs/>
          <w:b/>
        </w:rPr>
        <w:t xml:space="preserve">Keskeiset A/B-testilöydökset:</w:t>
      </w:r>
    </w:p>
    <w:p>
      <w:pPr>
        <w:numPr>
          <w:ilvl w:val="0"/>
          <w:numId w:val="1040"/>
        </w:numPr>
        <w:pStyle w:val="Compact"/>
      </w:pPr>
      <w:r>
        <w:rPr>
          <w:bCs/>
          <w:b/>
        </w:rPr>
        <w:t xml:space="preserve">AI-generoidut tuotekuvaukset</w:t>
      </w:r>
      <w:r>
        <w:t xml:space="preserve"> </w:t>
      </w:r>
      <w:r>
        <w:t xml:space="preserve">ylittävät manuaaliset kuvaukset +18 % CTR:llä Google Merchantissa</w:t>
      </w:r>
    </w:p>
    <w:p>
      <w:pPr>
        <w:numPr>
          <w:ilvl w:val="0"/>
          <w:numId w:val="1040"/>
        </w:numPr>
        <w:pStyle w:val="Compact"/>
      </w:pPr>
      <w:r>
        <w:rPr>
          <w:bCs/>
          <w:b/>
        </w:rPr>
        <w:t xml:space="preserve">Hierarkkiset kategorisivut</w:t>
      </w:r>
      <w:r>
        <w:t xml:space="preserve"> </w:t>
      </w:r>
      <w:r>
        <w:t xml:space="preserve">vähentävät poistumisprosenttia 12 % verrattuna litteään tuotelistaukseen</w:t>
      </w:r>
    </w:p>
    <w:p>
      <w:pPr>
        <w:numPr>
          <w:ilvl w:val="0"/>
          <w:numId w:val="1040"/>
        </w:numPr>
        <w:pStyle w:val="Compact"/>
      </w:pPr>
      <w:r>
        <w:rPr>
          <w:bCs/>
          <w:b/>
        </w:rPr>
        <w:t xml:space="preserve">Dynaamiset hinnoittelusignaalit</w:t>
      </w:r>
      <w:r>
        <w:t xml:space="preserve"> </w:t>
      </w:r>
      <w:r>
        <w:t xml:space="preserve">(kilpailijavertailun näyttäminen) nostavat konversiota 8 %</w:t>
      </w:r>
    </w:p>
    <w:p>
      <w:pPr>
        <w:numPr>
          <w:ilvl w:val="0"/>
          <w:numId w:val="1040"/>
        </w:numPr>
        <w:pStyle w:val="Compact"/>
      </w:pPr>
      <w:r>
        <w:rPr>
          <w:bCs/>
          <w:b/>
        </w:rPr>
        <w:t xml:space="preserve">Sijoittajapalaute</w:t>
      </w:r>
      <w:r>
        <w:t xml:space="preserve"> </w:t>
      </w:r>
      <w:r>
        <w:t xml:space="preserve">vahvisti tuotevalikoiman laajuuden vahvuutena; hinnoittelumallin palaute johti 3-tasoisen laskutuksen toteutukseen</w:t>
      </w:r>
    </w:p>
    <w:p>
      <w:r>
        <w:pict>
          <v:rect style="width:0;height:1.5pt" o:hralign="center" o:hrstd="t" o:hr="t"/>
        </w:pict>
      </w:r>
    </w:p>
    <w:bookmarkEnd w:id="127"/>
    <w:bookmarkEnd w:id="128"/>
    <w:bookmarkStart w:id="139" w:name="pohdinta"/>
    <w:p>
      <w:pPr>
        <w:pStyle w:val="Heading1"/>
      </w:pPr>
      <w:r>
        <w:t xml:space="preserve">9. Pohdinta</w:t>
      </w:r>
    </w:p>
    <w:bookmarkStart w:id="130" w:name="keskeiset-löydökset-ja-vaikutukset"/>
    <w:p>
      <w:pPr>
        <w:pStyle w:val="Heading2"/>
      </w:pPr>
      <w:r>
        <w:t xml:space="preserve">9.1 Keskeiset löydökset ja vaikutukset</w:t>
      </w:r>
    </w:p>
    <w:bookmarkStart w:id="129" w:name="ai-avusteisen-kehitysmallin-validointi"/>
    <w:p>
      <w:pPr>
        <w:pStyle w:val="Heading3"/>
      </w:pPr>
      <w:r>
        <w:t xml:space="preserve">9.1.1 AI-avusteisen kehitysmallin validointi</w:t>
      </w:r>
    </w:p>
    <w:p>
      <w:pPr>
        <w:pStyle w:val="FirstParagraph"/>
      </w:pPr>
      <w:r>
        <w:rPr>
          <w:bCs/>
          <w:b/>
        </w:rPr>
        <w:t xml:space="preserve">Löydös 1: Cursor Pro ja Claude Code Max mahdollistavat nopean MVP-kehityksen</w:t>
      </w:r>
    </w:p>
    <w:p>
      <w:pPr>
        <w:numPr>
          <w:ilvl w:val="0"/>
          <w:numId w:val="1041"/>
        </w:numPr>
        <w:pStyle w:val="Compact"/>
      </w:pPr>
      <w:r>
        <w:t xml:space="preserve">AI-avusteiset kehitystyökalut (Cursor Pro + Claude Code Max) mahdollistivat 15 viikon MVP-syklin</w:t>
      </w:r>
    </w:p>
    <w:p>
      <w:pPr>
        <w:numPr>
          <w:ilvl w:val="0"/>
          <w:numId w:val="1041"/>
        </w:numPr>
        <w:pStyle w:val="Compact"/>
      </w:pPr>
      <w:r>
        <w:t xml:space="preserve">Eliminoi tarpeen suurelle kehitystiimille varhaisvaiheessa</w:t>
      </w:r>
    </w:p>
    <w:p>
      <w:pPr>
        <w:pStyle w:val="FirstParagraph"/>
      </w:pPr>
      <w:r>
        <w:rPr>
          <w:bCs/>
          <w:b/>
        </w:rPr>
        <w:t xml:space="preserve">Löydös 2: Reunatekoäly tarjoaa kestävän kustannusedun</w:t>
      </w:r>
    </w:p>
    <w:p>
      <w:pPr>
        <w:numPr>
          <w:ilvl w:val="0"/>
          <w:numId w:val="1042"/>
        </w:numPr>
        <w:pStyle w:val="Compact"/>
      </w:pPr>
      <w:r>
        <w:t xml:space="preserve">82% kustannusvähennys vs. pelkkä pilvi -arkkitehtuuri</w:t>
      </w:r>
    </w:p>
    <w:p>
      <w:pPr>
        <w:numPr>
          <w:ilvl w:val="0"/>
          <w:numId w:val="1042"/>
        </w:numPr>
        <w:pStyle w:val="Compact"/>
      </w:pPr>
      <w:r>
        <w:t xml:space="preserve">1,95 kuukauden takaisinmaksuaika laitteistoinvestoinnille</w:t>
      </w:r>
    </w:p>
    <w:bookmarkEnd w:id="129"/>
    <w:bookmarkEnd w:id="130"/>
    <w:bookmarkStart w:id="131" w:name="toistettavuus-solution-factory--malli"/>
    <w:p>
      <w:pPr>
        <w:pStyle w:val="Heading2"/>
      </w:pPr>
      <w:r>
        <w:t xml:space="preserve">9.2 Toistettavuus: Solution Factory -malli</w:t>
      </w:r>
    </w:p>
    <w:p>
      <w:pPr>
        <w:pStyle w:val="FirstParagraph"/>
      </w:pPr>
      <w:r>
        <w:rPr>
          <w:bCs/>
          <w:b/>
        </w:rPr>
        <w:t xml:space="preserve">Vaihe 1: MVP-kehitys (15 viikkoa, Cursor Pro + Claude Code Max)</w:t>
      </w:r>
      <w:r>
        <w:t xml:space="preserve"> </w:t>
      </w:r>
      <w:r>
        <w:t xml:space="preserve">— Kumppanuudet, 5 pilottiasiakasta</w:t>
      </w:r>
    </w:p>
    <w:p>
      <w:pPr>
        <w:pStyle w:val="BodyText"/>
      </w:pPr>
      <w:r>
        <w:rPr>
          <w:bCs/>
          <w:b/>
        </w:rPr>
        <w:t xml:space="preserve">Vaihe 2: Validoi (6 kk, €5-15k MRR)</w:t>
      </w:r>
      <w:r>
        <w:t xml:space="preserve"> </w:t>
      </w:r>
      <w:r>
        <w:t xml:space="preserve">— Maksavat asiakkaat, &lt;2 kk takaisinmaksu</w:t>
      </w:r>
    </w:p>
    <w:p>
      <w:pPr>
        <w:pStyle w:val="BodyText"/>
      </w:pPr>
      <w:r>
        <w:rPr>
          <w:bCs/>
          <w:b/>
        </w:rPr>
        <w:t xml:space="preserve">Vaihe 3: Skaalaa (12 kk, €50k+ MRR)</w:t>
      </w:r>
      <w:r>
        <w:t xml:space="preserve"> </w:t>
      </w:r>
      <w:r>
        <w:t xml:space="preserve">— 2-3 vertikaalia, Series A</w:t>
      </w:r>
    </w:p>
    <w:bookmarkEnd w:id="131"/>
    <w:bookmarkStart w:id="132" w:name="rajoitukset"/>
    <w:p>
      <w:pPr>
        <w:pStyle w:val="Heading2"/>
      </w:pPr>
      <w:r>
        <w:t xml:space="preserve">9.3 Rajoitukset</w:t>
      </w:r>
    </w:p>
    <w:tbl>
      <w:tblPr>
        <w:tblStyle w:val="Table"/>
        <w:tblW w:type="pct" w:w="5000"/>
        <w:tblLook w:firstRow="1" w:lastRow="0" w:firstColumn="0" w:lastColumn="0" w:noHBand="0" w:noVBand="0" w:val="0020"/>
        <w:jc w:val="start"/>
      </w:tblPr>
      <w:tblGrid>
        <w:gridCol w:w="1752"/>
        <w:gridCol w:w="2523"/>
        <w:gridCol w:w="3644"/>
      </w:tblGrid>
      <w:tr>
        <w:trPr>
          <w:tblHeader w:val="true"/>
        </w:trPr>
        <w:tc>
          <w:tcPr/>
          <w:p>
            <w:pPr>
              <w:pStyle w:val="Compact"/>
              <w:jc w:val="left"/>
            </w:pPr>
            <w:r>
              <w:t xml:space="preserve">Rajoitus</w:t>
            </w:r>
          </w:p>
        </w:tc>
        <w:tc>
          <w:tcPr/>
          <w:p>
            <w:pPr>
              <w:pStyle w:val="Compact"/>
              <w:jc w:val="left"/>
            </w:pPr>
            <w:r>
              <w:t xml:space="preserve">Vaikutus</w:t>
            </w:r>
          </w:p>
        </w:tc>
        <w:tc>
          <w:tcPr/>
          <w:p>
            <w:pPr>
              <w:pStyle w:val="Compact"/>
              <w:jc w:val="left"/>
            </w:pPr>
            <w:r>
              <w:t xml:space="preserve">Lieventäminen</w:t>
            </w:r>
          </w:p>
        </w:tc>
      </w:tr>
      <w:tr>
        <w:tc>
          <w:tcPr/>
          <w:p>
            <w:pPr>
              <w:pStyle w:val="Compact"/>
              <w:jc w:val="left"/>
            </w:pPr>
            <w:r>
              <w:t xml:space="preserve">Yksi tapaustutkimus</w:t>
            </w:r>
          </w:p>
        </w:tc>
        <w:tc>
          <w:tcPr/>
          <w:p>
            <w:pPr>
              <w:pStyle w:val="Compact"/>
              <w:jc w:val="left"/>
            </w:pPr>
            <w:r>
              <w:t xml:space="preserve">Rajoitettu yleistettävyys</w:t>
            </w:r>
          </w:p>
        </w:tc>
        <w:tc>
          <w:tcPr/>
          <w:p>
            <w:pPr>
              <w:pStyle w:val="Compact"/>
              <w:jc w:val="left"/>
            </w:pPr>
            <w:r>
              <w:t xml:space="preserve">Malli tarjoaa viitekehyksen replikointitutkimuksille</w:t>
            </w:r>
          </w:p>
        </w:tc>
      </w:tr>
      <w:tr>
        <w:tc>
          <w:tcPr/>
          <w:p>
            <w:pPr>
              <w:pStyle w:val="Compact"/>
              <w:jc w:val="left"/>
            </w:pPr>
            <w:r>
              <w:t xml:space="preserve">Itse raportoidut mittarit</w:t>
            </w:r>
          </w:p>
        </w:tc>
        <w:tc>
          <w:tcPr/>
          <w:p>
            <w:pPr>
              <w:pStyle w:val="Compact"/>
              <w:jc w:val="left"/>
            </w:pPr>
            <w:r>
              <w:t xml:space="preserve">Mahdollinen vinoutuma</w:t>
            </w:r>
          </w:p>
        </w:tc>
        <w:tc>
          <w:tcPr/>
          <w:p>
            <w:pPr>
              <w:pStyle w:val="Compact"/>
              <w:jc w:val="left"/>
            </w:pPr>
            <w:r>
              <w:t xml:space="preserve">Kolmannen osapuolen validointi suunniteltu Q2 2026</w:t>
            </w:r>
          </w:p>
        </w:tc>
      </w:tr>
      <w:tr>
        <w:tc>
          <w:tcPr/>
          <w:p>
            <w:pPr>
              <w:pStyle w:val="Compact"/>
              <w:jc w:val="left"/>
            </w:pPr>
            <w:r>
              <w:t xml:space="preserve">Lyhyt havaintojakso</w:t>
            </w:r>
          </w:p>
        </w:tc>
        <w:tc>
          <w:tcPr/>
          <w:p>
            <w:pPr>
              <w:pStyle w:val="Compact"/>
              <w:jc w:val="left"/>
            </w:pPr>
            <w:r>
              <w:t xml:space="preserve">Pitkäaikaisvaikutukset tuntemattomia</w:t>
            </w:r>
          </w:p>
        </w:tc>
        <w:tc>
          <w:tcPr/>
          <w:p>
            <w:pPr>
              <w:pStyle w:val="Compact"/>
              <w:jc w:val="left"/>
            </w:pPr>
            <w:r>
              <w:t xml:space="preserve">Jatkuva seuranta</w:t>
            </w:r>
          </w:p>
        </w:tc>
      </w:tr>
    </w:tbl>
    <w:bookmarkEnd w:id="132"/>
    <w:bookmarkStart w:id="133" w:name="suositukset"/>
    <w:p>
      <w:pPr>
        <w:pStyle w:val="Heading2"/>
      </w:pPr>
      <w:r>
        <w:t xml:space="preserve">9.4 Suositukset</w:t>
      </w:r>
    </w:p>
    <w:p>
      <w:pPr>
        <w:numPr>
          <w:ilvl w:val="0"/>
          <w:numId w:val="1043"/>
        </w:numPr>
        <w:pStyle w:val="Compact"/>
      </w:pPr>
      <w:r>
        <w:rPr>
          <w:bCs/>
          <w:b/>
        </w:rPr>
        <w:t xml:space="preserve">Toteuta V1.0 julkaisu (23. helmikuuta 2026)</w:t>
      </w:r>
    </w:p>
    <w:p>
      <w:pPr>
        <w:numPr>
          <w:ilvl w:val="0"/>
          <w:numId w:val="1043"/>
        </w:numPr>
        <w:pStyle w:val="Compact"/>
      </w:pPr>
      <w:r>
        <w:rPr>
          <w:bCs/>
          <w:b/>
        </w:rPr>
        <w:t xml:space="preserve">Dokumentoi Solution Factory</w:t>
      </w:r>
      <w:r>
        <w:t xml:space="preserve"> </w:t>
      </w:r>
      <w:r>
        <w:t xml:space="preserve">— julkinen kustannuslaskuri, AgentFoundry-pohjat</w:t>
      </w:r>
    </w:p>
    <w:p>
      <w:pPr>
        <w:numPr>
          <w:ilvl w:val="0"/>
          <w:numId w:val="1043"/>
        </w:numPr>
        <w:pStyle w:val="Compact"/>
      </w:pPr>
      <w:r>
        <w:rPr>
          <w:bCs/>
          <w:b/>
        </w:rPr>
        <w:t xml:space="preserve">Validoi toinen vertikaali</w:t>
      </w:r>
      <w:r>
        <w:t xml:space="preserve"> </w:t>
      </w:r>
      <w:r>
        <w:t xml:space="preserve">— Rakentaminen (NCC, T2H)</w:t>
      </w:r>
    </w:p>
    <w:bookmarkEnd w:id="133"/>
    <w:bookmarkStart w:id="138" w:name="X27d7e4f7d8ce9a87d18e2a7a09ff661d12c7365"/>
    <w:p>
      <w:pPr>
        <w:pStyle w:val="Heading2"/>
      </w:pPr>
      <w:r>
        <w:t xml:space="preserve">9.5 Learn Thinking — Oppimisajattelu tekoälyavusteisessa tuotekehityksessä</w:t>
      </w:r>
    </w:p>
    <w:p>
      <w:pPr>
        <w:pStyle w:val="FirstParagraph"/>
      </w:pPr>
      <w:r>
        <w:t xml:space="preserve">Firehorse-toimintamallin kriittinen innovaatio on</w:t>
      </w:r>
      <w:r>
        <w:t xml:space="preserve"> </w:t>
      </w:r>
      <w:r>
        <w:rPr>
          <w:bCs/>
          <w:b/>
        </w:rPr>
        <w:t xml:space="preserve">Learn Thinking</w:t>
      </w:r>
      <w:r>
        <w:t xml:space="preserve"> </w:t>
      </w:r>
      <w:r>
        <w:t xml:space="preserve">(oppimisajattelu) — systemaattinen lähestymistapa, jossa jokainen tekoälyavusteinen kehityssessio tuottaa paitsi koodia ja dokumentaatiota, myös</w:t>
      </w:r>
      <w:r>
        <w:t xml:space="preserve"> </w:t>
      </w:r>
      <w:r>
        <w:rPr>
          <w:bCs/>
          <w:b/>
        </w:rPr>
        <w:t xml:space="preserve">rakenteellista oppimista</w:t>
      </w:r>
      <w:r>
        <w:t xml:space="preserve"> </w:t>
      </w:r>
      <w:r>
        <w:t xml:space="preserve">joka palautuu kehittäjälle seuraavana aamuna.</w:t>
      </w:r>
    </w:p>
    <w:bookmarkStart w:id="134" w:name="oppimisajattelun-periaatteet"/>
    <w:p>
      <w:pPr>
        <w:pStyle w:val="Heading3"/>
      </w:pPr>
      <w:r>
        <w:t xml:space="preserve">Oppimisajattelun periaatteet</w:t>
      </w:r>
    </w:p>
    <w:tbl>
      <w:tblPr>
        <w:tblStyle w:val="Table"/>
        <w:tblW w:type="pct" w:w="5000"/>
        <w:tblLook w:firstRow="1" w:lastRow="0" w:firstColumn="0" w:lastColumn="0" w:noHBand="0" w:noVBand="0" w:val="0020"/>
        <w:jc w:val="start"/>
      </w:tblPr>
      <w:tblGrid>
        <w:gridCol w:w="1452"/>
        <w:gridCol w:w="3327"/>
        <w:gridCol w:w="3139"/>
      </w:tblGrid>
      <w:tr>
        <w:trPr>
          <w:tblHeader w:val="true"/>
        </w:trPr>
        <w:tc>
          <w:tcPr/>
          <w:p>
            <w:pPr>
              <w:pStyle w:val="Compact"/>
              <w:jc w:val="left"/>
            </w:pPr>
            <w:r>
              <w:t xml:space="preserve">Periaate</w:t>
            </w:r>
          </w:p>
        </w:tc>
        <w:tc>
          <w:tcPr/>
          <w:p>
            <w:pPr>
              <w:pStyle w:val="Compact"/>
              <w:jc w:val="left"/>
            </w:pPr>
            <w:r>
              <w:t xml:space="preserve">Toteutus</w:t>
            </w:r>
          </w:p>
        </w:tc>
        <w:tc>
          <w:tcPr/>
          <w:p>
            <w:pPr>
              <w:pStyle w:val="Compact"/>
              <w:jc w:val="left"/>
            </w:pPr>
            <w:r>
              <w:t xml:space="preserve">Vaikutus</w:t>
            </w:r>
          </w:p>
        </w:tc>
      </w:tr>
      <w:tr>
        <w:tc>
          <w:tcPr/>
          <w:p>
            <w:pPr>
              <w:pStyle w:val="Compact"/>
              <w:jc w:val="left"/>
            </w:pPr>
            <w:r>
              <w:rPr>
                <w:bCs/>
                <w:b/>
              </w:rPr>
              <w:t xml:space="preserve">Päivittäinen reflektio</w:t>
            </w:r>
          </w:p>
        </w:tc>
        <w:tc>
          <w:tcPr/>
          <w:p>
            <w:pPr>
              <w:pStyle w:val="Compact"/>
              <w:jc w:val="left"/>
            </w:pPr>
            <w:r>
              <w:t xml:space="preserve">Learn/-kansion HTML-tuloste Edge-selaimessa aamuisin</w:t>
            </w:r>
          </w:p>
        </w:tc>
        <w:tc>
          <w:tcPr/>
          <w:p>
            <w:pPr>
              <w:pStyle w:val="Compact"/>
              <w:jc w:val="left"/>
            </w:pPr>
            <w:r>
              <w:t xml:space="preserve">Kehittäjä aloittaa päivän viimeisimmän tilan katsauksella</w:t>
            </w:r>
          </w:p>
        </w:tc>
      </w:tr>
      <w:tr>
        <w:tc>
          <w:tcPr/>
          <w:p>
            <w:pPr>
              <w:pStyle w:val="Compact"/>
              <w:jc w:val="left"/>
            </w:pPr>
            <w:r>
              <w:rPr>
                <w:bCs/>
                <w:b/>
              </w:rPr>
              <w:t xml:space="preserve">Versioitu oppimispäiväkirja</w:t>
            </w:r>
          </w:p>
        </w:tc>
        <w:tc>
          <w:tcPr/>
          <w:p>
            <w:pPr>
              <w:pStyle w:val="Compact"/>
              <w:jc w:val="left"/>
            </w:pPr>
            <w:r>
              <w:t xml:space="preserve">Opinnäytetyön versiohistoria = oppimispäiväkirja</w:t>
            </w:r>
          </w:p>
        </w:tc>
        <w:tc>
          <w:tcPr/>
          <w:p>
            <w:pPr>
              <w:pStyle w:val="Compact"/>
              <w:jc w:val="left"/>
            </w:pPr>
            <w:r>
              <w:t xml:space="preserve">Jokainen versio dokumentoi mitä opittiin ja miksi</w:t>
            </w:r>
          </w:p>
        </w:tc>
      </w:tr>
      <w:tr>
        <w:tc>
          <w:tcPr/>
          <w:p>
            <w:pPr>
              <w:pStyle w:val="Compact"/>
              <w:jc w:val="left"/>
            </w:pPr>
            <w:r>
              <w:rPr>
                <w:bCs/>
                <w:b/>
              </w:rPr>
              <w:t xml:space="preserve">Tekoäly oppimiskumppanina</w:t>
            </w:r>
          </w:p>
        </w:tc>
        <w:tc>
          <w:tcPr/>
          <w:p>
            <w:pPr>
              <w:pStyle w:val="Compact"/>
              <w:jc w:val="left"/>
            </w:pPr>
            <w:r>
              <w:t xml:space="preserve">Claude Code / Copilot tuottaa sisältöä, ihminen validoi</w:t>
            </w:r>
          </w:p>
        </w:tc>
        <w:tc>
          <w:tcPr/>
          <w:p>
            <w:pPr>
              <w:pStyle w:val="Compact"/>
              <w:jc w:val="left"/>
            </w:pPr>
            <w:r>
              <w:t xml:space="preserve">Kaksoissilmukka: tekoäly ehdottaa → ihminen arvioi → tekoäly korjaa</w:t>
            </w:r>
          </w:p>
        </w:tc>
      </w:tr>
      <w:tr>
        <w:tc>
          <w:tcPr/>
          <w:p>
            <w:pPr>
              <w:pStyle w:val="Compact"/>
              <w:jc w:val="left"/>
            </w:pPr>
            <w:r>
              <w:rPr>
                <w:bCs/>
                <w:b/>
              </w:rPr>
              <w:t xml:space="preserve">Kolmikerroksinen muisti</w:t>
            </w:r>
          </w:p>
        </w:tc>
        <w:tc>
          <w:tcPr/>
          <w:p>
            <w:pPr>
              <w:pStyle w:val="Compact"/>
              <w:jc w:val="left"/>
            </w:pPr>
            <w:r>
              <w:t xml:space="preserve">GitHub (versionhallinta) + Proton Drive (salattu) + Supabase (EU-pilvi)</w:t>
            </w:r>
          </w:p>
        </w:tc>
        <w:tc>
          <w:tcPr/>
          <w:p>
            <w:pPr>
              <w:pStyle w:val="Compact"/>
              <w:jc w:val="left"/>
            </w:pPr>
            <w:r>
              <w:t xml:space="preserve">Oppiminen ei katoa — kolme riippumatonta kopiota</w:t>
            </w:r>
          </w:p>
        </w:tc>
      </w:tr>
      <w:tr>
        <w:tc>
          <w:tcPr/>
          <w:p>
            <w:pPr>
              <w:pStyle w:val="Compact"/>
              <w:jc w:val="left"/>
            </w:pPr>
            <w:r>
              <w:rPr>
                <w:bCs/>
                <w:b/>
              </w:rPr>
              <w:t xml:space="preserve">Tutkimus-tuotanto-silta</w:t>
            </w:r>
          </w:p>
        </w:tc>
        <w:tc>
          <w:tcPr/>
          <w:p>
            <w:pPr>
              <w:pStyle w:val="Compact"/>
              <w:jc w:val="left"/>
            </w:pPr>
            <w:r>
              <w:t xml:space="preserve">Opinnäytetyö ohjaa tuotekehitystä, tuotekehitys validoi teoriaa</w:t>
            </w:r>
          </w:p>
        </w:tc>
        <w:tc>
          <w:tcPr/>
          <w:p>
            <w:pPr>
              <w:pStyle w:val="Compact"/>
              <w:jc w:val="left"/>
            </w:pPr>
            <w:r>
              <w:t xml:space="preserve">Ei erillistä tutkimusta ja tuotantoa — sama silmukka</w:t>
            </w:r>
          </w:p>
        </w:tc>
      </w:tr>
    </w:tbl>
    <w:bookmarkEnd w:id="134"/>
    <w:bookmarkStart w:id="135" w:name="oppimissilmukan-rakenne"/>
    <w:p>
      <w:pPr>
        <w:pStyle w:val="Heading3"/>
      </w:pPr>
      <w:r>
        <w:t xml:space="preserve">Oppimissilmukan rakenne</w:t>
      </w:r>
    </w:p>
    <w:p>
      <w:pPr>
        <w:pStyle w:val="SourceCode"/>
      </w:pPr>
      <w:r>
        <w:rPr>
          <w:rStyle w:val="VerbatimChar"/>
        </w:rPr>
        <w:t xml:space="preserve">┌─────────────────────────────────────────────────────────────┐</w:t>
      </w:r>
      <w:r>
        <w:br/>
      </w:r>
      <w:r>
        <w:rPr>
          <w:rStyle w:val="VerbatimChar"/>
        </w:rPr>
        <w:t xml:space="preserve">│                   LEARN THINKING -SILMUKKA                  │</w:t>
      </w:r>
      <w:r>
        <w:br/>
      </w:r>
      <w:r>
        <w:rPr>
          <w:rStyle w:val="VerbatimChar"/>
        </w:rPr>
        <w:t xml:space="preserve">├─────────────────────────────────────────────────────────────┤</w:t>
      </w:r>
      <w:r>
        <w:br/>
      </w:r>
      <w:r>
        <w:rPr>
          <w:rStyle w:val="VerbatimChar"/>
        </w:rPr>
        <w:t xml:space="preserve">│                                                             │</w:t>
      </w:r>
      <w:r>
        <w:br/>
      </w:r>
      <w:r>
        <w:rPr>
          <w:rStyle w:val="VerbatimChar"/>
        </w:rPr>
        <w:t xml:space="preserve">│  1. AAMUKATSAUS (Windows-käynnistys)                       │</w:t>
      </w:r>
      <w:r>
        <w:br/>
      </w:r>
      <w:r>
        <w:rPr>
          <w:rStyle w:val="VerbatimChar"/>
        </w:rPr>
        <w:t xml:space="preserve">│     └─ Startup-DailySync.bat                               │</w:t>
      </w:r>
      <w:r>
        <w:br/>
      </w:r>
      <w:r>
        <w:rPr>
          <w:rStyle w:val="VerbatimChar"/>
        </w:rPr>
        <w:t xml:space="preserve">│        ├─ git pull origin main                             │</w:t>
      </w:r>
      <w:r>
        <w:br/>
      </w:r>
      <w:r>
        <w:rPr>
          <w:rStyle w:val="VerbatimChar"/>
        </w:rPr>
        <w:t xml:space="preserve">│        ├─ Sync-ToProton.ps1 -GeneratePDFs -OpenNewPDFs     │</w:t>
      </w:r>
      <w:r>
        <w:br/>
      </w:r>
      <w:r>
        <w:rPr>
          <w:rStyle w:val="VerbatimChar"/>
        </w:rPr>
        <w:t xml:space="preserve">│        └─ Edge avaa muuttuneet HTML-tiedostot              │</w:t>
      </w:r>
      <w:r>
        <w:br/>
      </w:r>
      <w:r>
        <w:rPr>
          <w:rStyle w:val="VerbatimChar"/>
        </w:rPr>
        <w:t xml:space="preserve">│                                                             │</w:t>
      </w:r>
      <w:r>
        <w:br/>
      </w:r>
      <w:r>
        <w:rPr>
          <w:rStyle w:val="VerbatimChar"/>
        </w:rPr>
        <w:t xml:space="preserve">│  2. REFLEKTIO (ihminen lukee Learn/-kansion sisällön)      │</w:t>
      </w:r>
      <w:r>
        <w:br/>
      </w:r>
      <w:r>
        <w:rPr>
          <w:rStyle w:val="VerbatimChar"/>
        </w:rPr>
        <w:t xml:space="preserve">│     └─ Tunnistaa puutteet, virheet, uudet mahdollisuudet   │</w:t>
      </w:r>
      <w:r>
        <w:br/>
      </w:r>
      <w:r>
        <w:rPr>
          <w:rStyle w:val="VerbatimChar"/>
        </w:rPr>
        <w:t xml:space="preserve">│                                                             │</w:t>
      </w:r>
      <w:r>
        <w:br/>
      </w:r>
      <w:r>
        <w:rPr>
          <w:rStyle w:val="VerbatimChar"/>
        </w:rPr>
        <w:t xml:space="preserve">│  3. KEHITYSSESSIO (Claude Code / Copilot / Cursor)         │</w:t>
      </w:r>
      <w:r>
        <w:br/>
      </w:r>
      <w:r>
        <w:rPr>
          <w:rStyle w:val="VerbatimChar"/>
        </w:rPr>
        <w:t xml:space="preserve">│     └─ Korjaa, lisää, parantaa koodia ja dokumentaatiota   │</w:t>
      </w:r>
      <w:r>
        <w:br/>
      </w:r>
      <w:r>
        <w:rPr>
          <w:rStyle w:val="VerbatimChar"/>
        </w:rPr>
        <w:t xml:space="preserve">│                                                             │</w:t>
      </w:r>
      <w:r>
        <w:br/>
      </w:r>
      <w:r>
        <w:rPr>
          <w:rStyle w:val="VerbatimChar"/>
        </w:rPr>
        <w:t xml:space="preserve">│  4. VERSIOINTI (git commit + push)                         │</w:t>
      </w:r>
      <w:r>
        <w:br/>
      </w:r>
      <w:r>
        <w:rPr>
          <w:rStyle w:val="VerbatimChar"/>
        </w:rPr>
        <w:t xml:space="preserve">│     └─ Opinnäytetyön versio kasvaa, oppimispäiväkirja      │</w:t>
      </w:r>
      <w:r>
        <w:br/>
      </w:r>
      <w:r>
        <w:rPr>
          <w:rStyle w:val="VerbatimChar"/>
        </w:rPr>
        <w:t xml:space="preserve">│        päivittyy automaattisesti                            │</w:t>
      </w:r>
      <w:r>
        <w:br/>
      </w:r>
      <w:r>
        <w:rPr>
          <w:rStyle w:val="VerbatimChar"/>
        </w:rPr>
        <w:t xml:space="preserve">│                                                             │</w:t>
      </w:r>
      <w:r>
        <w:br/>
      </w:r>
      <w:r>
        <w:rPr>
          <w:rStyle w:val="VerbatimChar"/>
        </w:rPr>
        <w:t xml:space="preserve">│  5. SEURAAVA AAMU → palaa kohtaan 1                        │</w:t>
      </w:r>
      <w:r>
        <w:br/>
      </w:r>
      <w:r>
        <w:rPr>
          <w:rStyle w:val="VerbatimChar"/>
        </w:rPr>
        <w:t xml:space="preserve">│                                                             │</w:t>
      </w:r>
      <w:r>
        <w:br/>
      </w:r>
      <w:r>
        <w:rPr>
          <w:rStyle w:val="VerbatimChar"/>
        </w:rPr>
        <w:t xml:space="preserve">└─────────────────────────────────────────────────────────────┘</w:t>
      </w:r>
    </w:p>
    <w:bookmarkEnd w:id="135"/>
    <w:bookmarkStart w:id="136" w:name="Xd8743e971f5fbdd373b68e49291007ecf4f91a7"/>
    <w:p>
      <w:pPr>
        <w:pStyle w:val="Heading3"/>
      </w:pPr>
      <w:r>
        <w:t xml:space="preserve">Miksi oppimisajattelu on tärkeää opinnäytetyössä</w:t>
      </w:r>
    </w:p>
    <w:p>
      <w:pPr>
        <w:pStyle w:val="FirstParagraph"/>
      </w:pPr>
      <w:r>
        <w:t xml:space="preserve">Perinteisessä opinnäytetyöprosessissa tutkija kirjoittaa dokumentin kerran ja palauttaa sen. Learn Thinking -mallissa:</w:t>
      </w:r>
    </w:p>
    <w:p>
      <w:pPr>
        <w:numPr>
          <w:ilvl w:val="0"/>
          <w:numId w:val="1044"/>
        </w:numPr>
        <w:pStyle w:val="Compact"/>
      </w:pPr>
      <w:r>
        <w:rPr>
          <w:bCs/>
          <w:b/>
        </w:rPr>
        <w:t xml:space="preserve">Opinnäytetyö on elävä dokumentti</w:t>
      </w:r>
      <w:r>
        <w:t xml:space="preserve"> </w:t>
      </w:r>
      <w:r>
        <w:t xml:space="preserve">— 30+ versiota 3 kuukauden aikana, jokainen dokumentoi konkreettisen oppimispanoksen</w:t>
      </w:r>
    </w:p>
    <w:p>
      <w:pPr>
        <w:numPr>
          <w:ilvl w:val="0"/>
          <w:numId w:val="1044"/>
        </w:numPr>
        <w:pStyle w:val="Compact"/>
      </w:pPr>
      <w:r>
        <w:rPr>
          <w:bCs/>
          <w:b/>
        </w:rPr>
        <w:t xml:space="preserve">Tekoälytyökalut ovat oppimiskumppaneita</w:t>
      </w:r>
      <w:r>
        <w:t xml:space="preserve"> </w:t>
      </w:r>
      <w:r>
        <w:t xml:space="preserve">— Claude Code, Copilot ja Cursor eivät vain generoi koodia, vaan tuottavat rakenteellista reflektiota versiohistorian kautta</w:t>
      </w:r>
    </w:p>
    <w:p>
      <w:pPr>
        <w:numPr>
          <w:ilvl w:val="0"/>
          <w:numId w:val="1044"/>
        </w:numPr>
        <w:pStyle w:val="Compact"/>
      </w:pPr>
      <w:r>
        <w:rPr>
          <w:bCs/>
          <w:b/>
        </w:rPr>
        <w:t xml:space="preserve">Learn/-kansio on oppimisen todiste</w:t>
      </w:r>
      <w:r>
        <w:t xml:space="preserve"> </w:t>
      </w:r>
      <w:r>
        <w:t xml:space="preserve">— konkreettinen, päivittäin päivittyvä portfolio opinnäytetyön etenemisestä</w:t>
      </w:r>
    </w:p>
    <w:p>
      <w:pPr>
        <w:numPr>
          <w:ilvl w:val="0"/>
          <w:numId w:val="1044"/>
        </w:numPr>
        <w:pStyle w:val="Compact"/>
      </w:pPr>
      <w:r>
        <w:rPr>
          <w:bCs/>
          <w:b/>
        </w:rPr>
        <w:t xml:space="preserve">Tutkimus ja tuotanto konvergoituvat</w:t>
      </w:r>
      <w:r>
        <w:t xml:space="preserve"> </w:t>
      </w:r>
      <w:r>
        <w:t xml:space="preserve">— opinnäytetyön löydökset ohjaavat suoraan DWS-tuotekehitystä ja päinvastoin</w:t>
      </w:r>
    </w:p>
    <w:bookmarkEnd w:id="136"/>
    <w:bookmarkStart w:id="137" w:name="yhteys-build-measure-learn--sykliin"/>
    <w:p>
      <w:pPr>
        <w:pStyle w:val="Heading3"/>
      </w:pPr>
      <w:r>
        <w:t xml:space="preserve">Yhteys Build-Measure-Learn -sykliin</w:t>
      </w:r>
    </w:p>
    <w:p>
      <w:pPr>
        <w:pStyle w:val="FirstParagraph"/>
      </w:pPr>
      <w:r>
        <w:t xml:space="preserve">Learn Thinking laajentaa Lean Startup -viitekehyksen Build-Measure-Learn -sykliä:</w:t>
      </w:r>
    </w:p>
    <w:tbl>
      <w:tblPr>
        <w:tblStyle w:val="Table"/>
        <w:tblW w:type="pct" w:w="5000"/>
        <w:tblLook w:firstRow="1" w:lastRow="0" w:firstColumn="0" w:lastColumn="0" w:noHBand="0" w:noVBand="0" w:val="0020"/>
        <w:jc w:val="start"/>
      </w:tblPr>
      <w:tblGrid>
        <w:gridCol w:w="1092"/>
        <w:gridCol w:w="3732"/>
        <w:gridCol w:w="3095"/>
      </w:tblGrid>
      <w:tr>
        <w:trPr>
          <w:tblHeader w:val="true"/>
        </w:trPr>
        <w:tc>
          <w:tcPr/>
          <w:p>
            <w:pPr>
              <w:pStyle w:val="Compact"/>
              <w:jc w:val="left"/>
            </w:pPr>
            <w:r>
              <w:t xml:space="preserve">Lean Startup</w:t>
            </w:r>
          </w:p>
        </w:tc>
        <w:tc>
          <w:tcPr/>
          <w:p>
            <w:pPr>
              <w:pStyle w:val="Compact"/>
              <w:jc w:val="left"/>
            </w:pPr>
            <w:r>
              <w:t xml:space="preserve">Learn Thinking</w:t>
            </w:r>
          </w:p>
        </w:tc>
        <w:tc>
          <w:tcPr/>
          <w:p>
            <w:pPr>
              <w:pStyle w:val="Compact"/>
              <w:jc w:val="left"/>
            </w:pPr>
            <w:r>
              <w:t xml:space="preserve">DWS-toteutus</w:t>
            </w:r>
          </w:p>
        </w:tc>
      </w:tr>
      <w:tr>
        <w:tc>
          <w:tcPr/>
          <w:p>
            <w:pPr>
              <w:pStyle w:val="Compact"/>
              <w:jc w:val="left"/>
            </w:pPr>
            <w:r>
              <w:t xml:space="preserve">Build</w:t>
            </w:r>
          </w:p>
        </w:tc>
        <w:tc>
          <w:tcPr/>
          <w:p>
            <w:pPr>
              <w:pStyle w:val="Compact"/>
              <w:jc w:val="left"/>
            </w:pPr>
            <w:r>
              <w:t xml:space="preserve">Kehityssessio (koodi + dokumentaatio)</w:t>
            </w:r>
          </w:p>
        </w:tc>
        <w:tc>
          <w:tcPr/>
          <w:p>
            <w:pPr>
              <w:pStyle w:val="Compact"/>
              <w:jc w:val="left"/>
            </w:pPr>
            <w:r>
              <w:t xml:space="preserve">Claude Code + git commit</w:t>
            </w:r>
          </w:p>
        </w:tc>
      </w:tr>
      <w:tr>
        <w:tc>
          <w:tcPr/>
          <w:p>
            <w:pPr>
              <w:pStyle w:val="Compact"/>
              <w:jc w:val="left"/>
            </w:pPr>
            <w:r>
              <w:t xml:space="preserve">Measure</w:t>
            </w:r>
          </w:p>
        </w:tc>
        <w:tc>
          <w:tcPr/>
          <w:p>
            <w:pPr>
              <w:pStyle w:val="Compact"/>
              <w:jc w:val="left"/>
            </w:pPr>
            <w:r>
              <w:t xml:space="preserve">Aamukatselmus (muutokset Edge-selaimessa)</w:t>
            </w:r>
          </w:p>
        </w:tc>
        <w:tc>
          <w:tcPr/>
          <w:p>
            <w:pPr>
              <w:pStyle w:val="Compact"/>
              <w:jc w:val="left"/>
            </w:pPr>
            <w:r>
              <w:t xml:space="preserve">Generate-PDFs.ps1 → Learn/</w:t>
            </w:r>
          </w:p>
        </w:tc>
      </w:tr>
      <w:tr>
        <w:tc>
          <w:tcPr/>
          <w:p>
            <w:pPr>
              <w:pStyle w:val="Compact"/>
              <w:jc w:val="left"/>
            </w:pPr>
            <w:r>
              <w:t xml:space="preserve">Learn</w:t>
            </w:r>
          </w:p>
        </w:tc>
        <w:tc>
          <w:tcPr/>
          <w:p>
            <w:pPr>
              <w:pStyle w:val="Compact"/>
              <w:jc w:val="left"/>
            </w:pPr>
            <w:r>
              <w:t xml:space="preserve">Reflektio ja seuraava toimenpide</w:t>
            </w:r>
          </w:p>
        </w:tc>
        <w:tc>
          <w:tcPr/>
          <w:p>
            <w:pPr>
              <w:pStyle w:val="Compact"/>
              <w:jc w:val="left"/>
            </w:pPr>
            <w:r>
              <w:t xml:space="preserve">Versiohistoria = oppimispäiväkirja</w:t>
            </w:r>
          </w:p>
        </w:tc>
      </w:tr>
    </w:tbl>
    <w:p>
      <w:r>
        <w:pict>
          <v:rect style="width:0;height:1.5pt" o:hralign="center" o:hrstd="t" o:hr="t"/>
        </w:pict>
      </w:r>
    </w:p>
    <w:bookmarkEnd w:id="137"/>
    <w:bookmarkEnd w:id="138"/>
    <w:bookmarkEnd w:id="139"/>
    <w:bookmarkStart w:id="189" w:name="johtopäätökset"/>
    <w:p>
      <w:pPr>
        <w:pStyle w:val="Heading1"/>
      </w:pPr>
      <w:r>
        <w:t xml:space="preserve">10. Johtopäätökset</w:t>
      </w:r>
    </w:p>
    <w:bookmarkStart w:id="140" w:name="yhteenveto"/>
    <w:p>
      <w:pPr>
        <w:pStyle w:val="Heading2"/>
      </w:pPr>
      <w:r>
        <w:t xml:space="preserve">10.1 Yhteenveto</w:t>
      </w:r>
    </w:p>
    <w:p>
      <w:pPr>
        <w:pStyle w:val="FirstParagraph"/>
      </w:pPr>
      <w:r>
        <w:t xml:space="preserve">Firehorse-toimintamalli osoittaa, että tekoälyavusteinen verkkokaupan hallinta voi:</w:t>
      </w:r>
    </w:p>
    <w:p>
      <w:pPr>
        <w:numPr>
          <w:ilvl w:val="0"/>
          <w:numId w:val="1045"/>
        </w:numPr>
        <w:pStyle w:val="Compact"/>
      </w:pPr>
      <w:r>
        <w:rPr>
          <w:bCs/>
          <w:b/>
        </w:rPr>
        <w:t xml:space="preserve">Vähentää toiminnallista ylikuormitusta</w:t>
      </w:r>
      <w:r>
        <w:t xml:space="preserve"> </w:t>
      </w:r>
      <w:r>
        <w:t xml:space="preserve">yli 90 % automatisoidulla tuotehallinnalla</w:t>
      </w:r>
    </w:p>
    <w:p>
      <w:pPr>
        <w:numPr>
          <w:ilvl w:val="0"/>
          <w:numId w:val="1045"/>
        </w:numPr>
        <w:pStyle w:val="Compact"/>
      </w:pPr>
      <w:r>
        <w:rPr>
          <w:bCs/>
          <w:b/>
        </w:rPr>
        <w:t xml:space="preserve">Varmistaa vaatimustenmukaisuuden</w:t>
      </w:r>
      <w:r>
        <w:t xml:space="preserve"> </w:t>
      </w:r>
      <w:r>
        <w:t xml:space="preserve">EU-säännösten kanssa dokumentoiduilla auditointipoluilla</w:t>
      </w:r>
    </w:p>
    <w:p>
      <w:pPr>
        <w:numPr>
          <w:ilvl w:val="0"/>
          <w:numId w:val="1045"/>
        </w:numPr>
        <w:pStyle w:val="Compact"/>
      </w:pPr>
      <w:r>
        <w:rPr>
          <w:bCs/>
          <w:b/>
        </w:rPr>
        <w:t xml:space="preserve">Mahdollistaa nopean iteroinnin</w:t>
      </w:r>
      <w:r>
        <w:t xml:space="preserve"> </w:t>
      </w:r>
      <w:r>
        <w:t xml:space="preserve">tuotetarjonnassa luonnollisen kielen käyttöliittymillä</w:t>
      </w:r>
    </w:p>
    <w:p>
      <w:pPr>
        <w:numPr>
          <w:ilvl w:val="0"/>
          <w:numId w:val="1045"/>
        </w:numPr>
        <w:pStyle w:val="Compact"/>
      </w:pPr>
      <w:r>
        <w:rPr>
          <w:bCs/>
          <w:b/>
        </w:rPr>
        <w:t xml:space="preserve">Valmistaa infrastruktuurin</w:t>
      </w:r>
      <w:r>
        <w:t xml:space="preserve"> </w:t>
      </w:r>
      <w:r>
        <w:t xml:space="preserve">äänipohjaiseen asiakasvuorovaikutukseen</w:t>
      </w:r>
    </w:p>
    <w:p>
      <w:pPr>
        <w:numPr>
          <w:ilvl w:val="0"/>
          <w:numId w:val="1045"/>
        </w:numPr>
        <w:pStyle w:val="Compact"/>
      </w:pPr>
      <w:r>
        <w:rPr>
          <w:bCs/>
          <w:b/>
        </w:rPr>
        <w:t xml:space="preserve">Validoida tuote-markkinasopivuuden</w:t>
      </w:r>
      <w:r>
        <w:t xml:space="preserve"> </w:t>
      </w:r>
      <w:r>
        <w:t xml:space="preserve">Google Merchant Center -integraation kautta</w:t>
      </w:r>
    </w:p>
    <w:bookmarkEnd w:id="140"/>
    <w:bookmarkStart w:id="141" w:name="keskeiset-kontribuutiot"/>
    <w:p>
      <w:pPr>
        <w:pStyle w:val="Heading2"/>
      </w:pPr>
      <w:r>
        <w:t xml:space="preserve">10.2 Keskeiset kontribuutiot</w:t>
      </w:r>
    </w:p>
    <w:p>
      <w:pPr>
        <w:numPr>
          <w:ilvl w:val="0"/>
          <w:numId w:val="1046"/>
        </w:numPr>
        <w:pStyle w:val="Compact"/>
      </w:pPr>
      <w:r>
        <w:t xml:space="preserve">Dokumentoitu kehys tekoälyavusteiseen kauppatoimintaan (Firehorse-malli)</w:t>
      </w:r>
    </w:p>
    <w:p>
      <w:pPr>
        <w:numPr>
          <w:ilvl w:val="0"/>
          <w:numId w:val="1046"/>
        </w:numPr>
        <w:pStyle w:val="Compact"/>
      </w:pPr>
      <w:r>
        <w:t xml:space="preserve">Integraatiomallit Google Merchant Centerille ja Revolut Businessille</w:t>
      </w:r>
    </w:p>
    <w:p>
      <w:pPr>
        <w:numPr>
          <w:ilvl w:val="0"/>
          <w:numId w:val="1046"/>
        </w:numPr>
        <w:pStyle w:val="Compact"/>
      </w:pPr>
      <w:r>
        <w:t xml:space="preserve">Suunnitelma äänichatille hiilijalanjälkilaskurin integraatiolla (4 vaihetta)</w:t>
      </w:r>
    </w:p>
    <w:p>
      <w:pPr>
        <w:numPr>
          <w:ilvl w:val="0"/>
          <w:numId w:val="1046"/>
        </w:numPr>
        <w:pStyle w:val="Compact"/>
      </w:pPr>
      <w:r>
        <w:t xml:space="preserve">EU-vaatimustenmukaisuuskartoitus teollisille ohjelmistotuotteille</w:t>
      </w:r>
    </w:p>
    <w:p>
      <w:pPr>
        <w:numPr>
          <w:ilvl w:val="0"/>
          <w:numId w:val="1046"/>
        </w:numPr>
        <w:pStyle w:val="Compact"/>
      </w:pPr>
      <w:r>
        <w:t xml:space="preserve">Tuotesuositusmoottorin arkkitehtuuri 16:lle EU-toimialalle</w:t>
      </w:r>
    </w:p>
    <w:p>
      <w:pPr>
        <w:numPr>
          <w:ilvl w:val="0"/>
          <w:numId w:val="1046"/>
        </w:numPr>
        <w:pStyle w:val="Compact"/>
      </w:pPr>
      <w:r>
        <w:t xml:space="preserve">Proton-tuotteiden turvallisuusstrategia GDPR/NIS2-vaatimustenmukaisuuteen</w:t>
      </w:r>
    </w:p>
    <w:bookmarkEnd w:id="141"/>
    <w:bookmarkStart w:id="144" w:name="kontribuutio-teoriaan"/>
    <w:p>
      <w:pPr>
        <w:pStyle w:val="Heading2"/>
      </w:pPr>
      <w:r>
        <w:t xml:space="preserve">10.3 Kontribuutio teoriaan</w:t>
      </w:r>
    </w:p>
    <w:bookmarkStart w:id="142" w:name="lifetime-scope-signals--protokolla-2"/>
    <w:p>
      <w:pPr>
        <w:pStyle w:val="Heading3"/>
      </w:pPr>
      <w:r>
        <w:t xml:space="preserve">Lifetime Scope Signals -protokolla</w:t>
      </w:r>
    </w:p>
    <w:p>
      <w:pPr>
        <w:pStyle w:val="FirstParagraph"/>
      </w:pPr>
      <w:r>
        <w:t xml:space="preserve">Uusi kontribuutio moniagenttijärjestelmien teoriaan — deklaratiivinen koordinointi, deterministiset riippuvuudet ja käynnistysvaiheen optimointi.</w:t>
      </w:r>
    </w:p>
    <w:bookmarkEnd w:id="142"/>
    <w:bookmarkStart w:id="143" w:name="solution-factory--malli"/>
    <w:p>
      <w:pPr>
        <w:pStyle w:val="Heading3"/>
      </w:pPr>
      <w:r>
        <w:t xml:space="preserve">Solution Factory -malli</w:t>
      </w:r>
    </w:p>
    <w:p>
      <w:pPr>
        <w:pStyle w:val="FirstParagraph"/>
      </w:pPr>
      <w:r>
        <w:t xml:space="preserve">Syntetisoi Lean Startupin, Alustatalouden, Teollisuus 5.0:n ja Reunalaskennan taloustieteen yhtenäiseksi viitekehykseksi.</w:t>
      </w:r>
    </w:p>
    <w:bookmarkEnd w:id="143"/>
    <w:bookmarkEnd w:id="144"/>
    <w:bookmarkStart w:id="145" w:name="X922ec87c1ad9bb96ff384323243c20be870326d"/>
    <w:p>
      <w:pPr>
        <w:pStyle w:val="Heading2"/>
      </w:pPr>
      <w:r>
        <w:t xml:space="preserve">10.4 Sääntelymuutosten vaikutus: Omnibus-paketti</w:t>
      </w:r>
    </w:p>
    <w:p>
      <w:pPr>
        <w:pStyle w:val="FirstParagraph"/>
      </w:pPr>
      <w:r>
        <w:t xml:space="preserve">Omnibus-paketti</w:t>
      </w:r>
      <w:r>
        <w:t xml:space="preserve"> </w:t>
      </w:r>
      <w:r>
        <w:rPr>
          <w:bCs/>
          <w:b/>
        </w:rPr>
        <w:t xml:space="preserve">vahvistaa</w:t>
      </w:r>
      <w:r>
        <w:t xml:space="preserve"> </w:t>
      </w:r>
      <w:r>
        <w:t xml:space="preserve">Firehorse-mallin kilpailukykyä: ilmastopäästötavoitteista ei tingitä — vain hallinnollista taakkaa kevennetään. Tämä luo uuden markkinasegmentin vapaaehtoiselle raportoinnille, jossa €0-350/kk hintapiste on erityisen kilpailukykyinen.</w:t>
      </w:r>
    </w:p>
    <w:bookmarkEnd w:id="145"/>
    <w:bookmarkStart w:id="146" w:name="tuleva-työ"/>
    <w:p>
      <w:pPr>
        <w:pStyle w:val="Heading2"/>
      </w:pPr>
      <w:r>
        <w:t xml:space="preserve">10.5 Tuleva työ</w:t>
      </w:r>
    </w:p>
    <w:p>
      <w:pPr>
        <w:numPr>
          <w:ilvl w:val="0"/>
          <w:numId w:val="1047"/>
        </w:numPr>
        <w:pStyle w:val="Compact"/>
      </w:pPr>
      <w:r>
        <w:rPr>
          <w:bCs/>
          <w:b/>
        </w:rPr>
        <w:t xml:space="preserve">Q1 2026:</w:t>
      </w:r>
      <w:r>
        <w:t xml:space="preserve"> </w:t>
      </w:r>
      <w:r>
        <w:t xml:space="preserve">Ota käyttöön äänichat-vaihe 1 Groq/Llama-malleilla</w:t>
      </w:r>
    </w:p>
    <w:p>
      <w:pPr>
        <w:numPr>
          <w:ilvl w:val="0"/>
          <w:numId w:val="1047"/>
        </w:numPr>
        <w:pStyle w:val="Compact"/>
      </w:pPr>
      <w:r>
        <w:rPr>
          <w:bCs/>
          <w:b/>
        </w:rPr>
        <w:t xml:space="preserve">Q2 2026:</w:t>
      </w:r>
      <w:r>
        <w:t xml:space="preserve"> </w:t>
      </w:r>
      <w:r>
        <w:t xml:space="preserve">Toteuta toimialan hiilijalanjälkilaskuri Scope 1/2/3:lla</w:t>
      </w:r>
    </w:p>
    <w:p>
      <w:pPr>
        <w:numPr>
          <w:ilvl w:val="0"/>
          <w:numId w:val="1047"/>
        </w:numPr>
        <w:pStyle w:val="Compact"/>
      </w:pPr>
      <w:r>
        <w:rPr>
          <w:bCs/>
          <w:b/>
        </w:rPr>
        <w:t xml:space="preserve">Q3 2026:</w:t>
      </w:r>
      <w:r>
        <w:t xml:space="preserve"> </w:t>
      </w:r>
      <w:r>
        <w:t xml:space="preserve">Lanseeraa sääntelytietoisuusmoottori</w:t>
      </w:r>
    </w:p>
    <w:p>
      <w:pPr>
        <w:numPr>
          <w:ilvl w:val="0"/>
          <w:numId w:val="1047"/>
        </w:numPr>
        <w:pStyle w:val="Compact"/>
      </w:pPr>
      <w:r>
        <w:rPr>
          <w:bCs/>
          <w:b/>
        </w:rPr>
        <w:t xml:space="preserve">Q4 2026:</w:t>
      </w:r>
      <w:r>
        <w:t xml:space="preserve"> </w:t>
      </w:r>
      <w:r>
        <w:t xml:space="preserve">Perusta kumppaniekosysteemi provisiomallin kanssa</w:t>
      </w:r>
    </w:p>
    <w:p>
      <w:pPr>
        <w:numPr>
          <w:ilvl w:val="0"/>
          <w:numId w:val="1047"/>
        </w:numPr>
        <w:pStyle w:val="Compact"/>
      </w:pPr>
      <w:r>
        <w:rPr>
          <w:bCs/>
          <w:b/>
        </w:rPr>
        <w:t xml:space="preserve">2027:</w:t>
      </w:r>
      <w:r>
        <w:t xml:space="preserve"> </w:t>
      </w:r>
      <w:r>
        <w:t xml:space="preserve">Laajenna muille EU-markkinoille (SE, NO, DK, DE)</w:t>
      </w:r>
    </w:p>
    <w:p>
      <w:pPr>
        <w:numPr>
          <w:ilvl w:val="0"/>
          <w:numId w:val="1047"/>
        </w:numPr>
        <w:pStyle w:val="Compact"/>
      </w:pPr>
      <w:r>
        <w:rPr>
          <w:bCs/>
          <w:b/>
        </w:rPr>
        <w:t xml:space="preserve">2027:</w:t>
      </w:r>
      <w:r>
        <w:t xml:space="preserve"> </w:t>
      </w:r>
      <w:r>
        <w:t xml:space="preserve">Toimialakohtainen avoin LLM-valinta ja vuokralaiskohtainen Lifetime World Model -koulutus</w:t>
      </w:r>
    </w:p>
    <w:p>
      <w:pPr>
        <w:numPr>
          <w:ilvl w:val="0"/>
          <w:numId w:val="1047"/>
        </w:numPr>
        <w:pStyle w:val="Compact"/>
      </w:pPr>
      <w:r>
        <w:rPr>
          <w:bCs/>
          <w:b/>
        </w:rPr>
        <w:t xml:space="preserve">2027-2028:</w:t>
      </w:r>
      <w:r>
        <w:t xml:space="preserve"> </w:t>
      </w:r>
      <w:r>
        <w:t xml:space="preserve">Yrityksen BYOA (Bring Your Own Agent) -graafinen työnkulkurakentaja</w:t>
      </w:r>
    </w:p>
    <w:bookmarkEnd w:id="146"/>
    <w:bookmarkStart w:id="148" w:name="toimialakohtainen-avoimen-llmn-valinta"/>
    <w:p>
      <w:pPr>
        <w:pStyle w:val="Heading2"/>
      </w:pPr>
      <w:r>
        <w:t xml:space="preserve">10.6 Toimialakohtainen avoimen LLM:n valinta</w:t>
      </w:r>
    </w:p>
    <w:p>
      <w:pPr>
        <w:pStyle w:val="FirstParagraph"/>
      </w:pPr>
      <w:r>
        <w:t xml:space="preserve">Keskeinen havainto alusta-arkkitehtuurityöstä on, että</w:t>
      </w:r>
      <w:r>
        <w:t xml:space="preserve"> </w:t>
      </w:r>
      <w:r>
        <w:rPr>
          <w:bCs/>
          <w:b/>
        </w:rPr>
        <w:t xml:space="preserve">yksikään avoin LLM ei ole optimaalinen kaikille 16 EU-toimialalle</w:t>
      </w:r>
      <w:r>
        <w:t xml:space="preserve">. Jokaisella toimialavertikaalilla on oma erikoiskielensä, sääntelykontekstinsa ja rakenteellisen tulosteen vaatimuksensa.</w:t>
      </w:r>
      <w:r>
        <w:t xml:space="preserve"> </w:t>
      </w:r>
      <w:r>
        <w:rPr>
          <w:rStyle w:val="VerbatimChar"/>
        </w:rPr>
        <w:t xml:space="preserve">AgentConfig.model</w:t>
      </w:r>
      <w:r>
        <w:t xml:space="preserve">-kenttä on jo agenttikohtainen, joten jokainen konkreettinen agentti voidaan konfiguroida eri koulutetulla Lifetime World Model (LWM) -mallilla + avoimella LLM:llä, jatkuvalla vertailuarvioinnilla. Alustan on arvioitava ja valittava paras avoin LLM kullekin toimialalle sen sijaan, että käytettäisiin yhtä mallia (esim. Llama 3.3 70B) kaikille.</w:t>
      </w:r>
    </w:p>
    <w:p>
      <w:pPr>
        <w:pStyle w:val="BodyText"/>
      </w:pPr>
      <w:r>
        <w:rPr>
          <w:bCs/>
          <w:b/>
        </w:rPr>
        <w:t xml:space="preserve">Avoimen LLM:n ehdokkaat toimialoittain:</w:t>
      </w:r>
    </w:p>
    <w:tbl>
      <w:tblPr>
        <w:tblStyle w:val="Table"/>
        <w:tblW w:type="pct" w:w="5000"/>
        <w:tblLook w:firstRow="1" w:lastRow="0" w:firstColumn="0" w:lastColumn="0" w:noHBand="0" w:noVBand="0" w:val="0020"/>
        <w:jc w:val="start"/>
      </w:tblPr>
      <w:tblGrid>
        <w:gridCol w:w="1925"/>
        <w:gridCol w:w="2310"/>
        <w:gridCol w:w="3685"/>
      </w:tblGrid>
      <w:tr>
        <w:trPr>
          <w:tblHeader w:val="true"/>
        </w:trPr>
        <w:tc>
          <w:tcPr/>
          <w:p>
            <w:pPr>
              <w:pStyle w:val="Compact"/>
              <w:jc w:val="left"/>
            </w:pPr>
            <w:r>
              <w:t xml:space="preserve">Toimialaklusteri</w:t>
            </w:r>
          </w:p>
        </w:tc>
        <w:tc>
          <w:tcPr/>
          <w:p>
            <w:pPr>
              <w:pStyle w:val="Compact"/>
              <w:jc w:val="left"/>
            </w:pPr>
            <w:r>
              <w:t xml:space="preserve">Ehdokkaat</w:t>
            </w:r>
          </w:p>
        </w:tc>
        <w:tc>
          <w:tcPr/>
          <w:p>
            <w:pPr>
              <w:pStyle w:val="Compact"/>
              <w:jc w:val="left"/>
            </w:pPr>
            <w:r>
              <w:t xml:space="preserve">Keskeinen toimialavaatimus</w:t>
            </w:r>
          </w:p>
        </w:tc>
      </w:tr>
      <w:tr>
        <w:tc>
          <w:tcPr/>
          <w:p>
            <w:pPr>
              <w:pStyle w:val="Compact"/>
              <w:jc w:val="left"/>
            </w:pPr>
            <w:r>
              <w:t xml:space="preserve">Rakentaminen, Kiinteistöt</w:t>
            </w:r>
          </w:p>
        </w:tc>
        <w:tc>
          <w:tcPr/>
          <w:p>
            <w:pPr>
              <w:pStyle w:val="Compact"/>
              <w:jc w:val="left"/>
            </w:pPr>
            <w:r>
              <w:t xml:space="preserve">Llama 3.3 70B, Qwen 2.5 72B, Mistral Large</w:t>
            </w:r>
          </w:p>
        </w:tc>
        <w:tc>
          <w:tcPr/>
          <w:p>
            <w:pPr>
              <w:pStyle w:val="Compact"/>
              <w:jc w:val="left"/>
            </w:pPr>
            <w:r>
              <w:t xml:space="preserve">EN 15978 elinkaarivaiheet, suomalaiset rakennusmääräykset, EPBD</w:t>
            </w:r>
          </w:p>
        </w:tc>
      </w:tr>
      <w:tr>
        <w:tc>
          <w:tcPr/>
          <w:p>
            <w:pPr>
              <w:pStyle w:val="Compact"/>
              <w:jc w:val="left"/>
            </w:pPr>
            <w:r>
              <w:t xml:space="preserve">Energia, Teräs &amp; Metallit, Sementti</w:t>
            </w:r>
          </w:p>
        </w:tc>
        <w:tc>
          <w:tcPr/>
          <w:p>
            <w:pPr>
              <w:pStyle w:val="Compact"/>
              <w:jc w:val="left"/>
            </w:pPr>
            <w:r>
              <w:t xml:space="preserve">Llama 3.3, DeepSeek-V3, Mixtral 8x22B</w:t>
            </w:r>
          </w:p>
        </w:tc>
        <w:tc>
          <w:tcPr/>
          <w:p>
            <w:pPr>
              <w:pStyle w:val="Compact"/>
              <w:jc w:val="left"/>
            </w:pPr>
            <w:r>
              <w:t xml:space="preserve">ETS-päästöoikeuslaskelmat, prosessipäästöt, CBAM</w:t>
            </w:r>
          </w:p>
        </w:tc>
      </w:tr>
      <w:tr>
        <w:tc>
          <w:tcPr/>
          <w:p>
            <w:pPr>
              <w:pStyle w:val="Compact"/>
              <w:jc w:val="left"/>
            </w:pPr>
            <w:r>
              <w:t xml:space="preserve">Valmistus, Kemianteollisuus</w:t>
            </w:r>
          </w:p>
        </w:tc>
        <w:tc>
          <w:tcPr/>
          <w:p>
            <w:pPr>
              <w:pStyle w:val="Compact"/>
              <w:jc w:val="left"/>
            </w:pPr>
            <w:r>
              <w:t xml:space="preserve">Qwen 2.5 72B, Llama 3.3</w:t>
            </w:r>
          </w:p>
        </w:tc>
        <w:tc>
          <w:tcPr/>
          <w:p>
            <w:pPr>
              <w:pStyle w:val="Compact"/>
              <w:jc w:val="left"/>
            </w:pPr>
            <w:r>
              <w:t xml:space="preserve">CBAM-tuoteluokittelu, osaluetteloanalyysi, REACH</w:t>
            </w:r>
          </w:p>
        </w:tc>
      </w:tr>
      <w:tr>
        <w:tc>
          <w:tcPr/>
          <w:p>
            <w:pPr>
              <w:pStyle w:val="Compact"/>
              <w:jc w:val="left"/>
            </w:pPr>
            <w:r>
              <w:t xml:space="preserve">Logistiikka, Merenkulku, Ilmailu</w:t>
            </w:r>
          </w:p>
        </w:tc>
        <w:tc>
          <w:tcPr/>
          <w:p>
            <w:pPr>
              <w:pStyle w:val="Compact"/>
              <w:jc w:val="left"/>
            </w:pPr>
            <w:r>
              <w:t xml:space="preserve">Mistral Large, Llama 3.3, Gemma 2 27B</w:t>
            </w:r>
          </w:p>
        </w:tc>
        <w:tc>
          <w:tcPr/>
          <w:p>
            <w:pPr>
              <w:pStyle w:val="Compact"/>
              <w:jc w:val="left"/>
            </w:pPr>
            <w:r>
              <w:t xml:space="preserve">FuelEU Maritime, CORSIA, reittioptimiointi</w:t>
            </w:r>
          </w:p>
        </w:tc>
      </w:tr>
      <w:tr>
        <w:tc>
          <w:tcPr/>
          <w:p>
            <w:pPr>
              <w:pStyle w:val="Compact"/>
              <w:jc w:val="left"/>
            </w:pPr>
            <w:r>
              <w:t xml:space="preserve">Maatalous, Elintarvikkeet</w:t>
            </w:r>
          </w:p>
        </w:tc>
        <w:tc>
          <w:tcPr/>
          <w:p>
            <w:pPr>
              <w:pStyle w:val="Compact"/>
              <w:jc w:val="left"/>
            </w:pPr>
            <w:r>
              <w:t xml:space="preserve">Llama 3.3, Gemma 2, Command R+</w:t>
            </w:r>
          </w:p>
        </w:tc>
        <w:tc>
          <w:tcPr/>
          <w:p>
            <w:pPr>
              <w:pStyle w:val="Compact"/>
              <w:jc w:val="left"/>
            </w:pPr>
            <w:r>
              <w:t xml:space="preserve">LULUCF, Scope 3 toimitusketju, pakkauselinkaari</w:t>
            </w:r>
          </w:p>
        </w:tc>
      </w:tr>
      <w:tr>
        <w:tc>
          <w:tcPr/>
          <w:p>
            <w:pPr>
              <w:pStyle w:val="Compact"/>
              <w:jc w:val="left"/>
            </w:pPr>
            <w:r>
              <w:t xml:space="preserve">Rahoitus, Julkinen sektori</w:t>
            </w:r>
          </w:p>
        </w:tc>
        <w:tc>
          <w:tcPr/>
          <w:p>
            <w:pPr>
              <w:pStyle w:val="Compact"/>
              <w:jc w:val="left"/>
            </w:pPr>
            <w:r>
              <w:t xml:space="preserve">Mistral Large (EU-isännöity), Llama 3.3</w:t>
            </w:r>
          </w:p>
        </w:tc>
        <w:tc>
          <w:tcPr/>
          <w:p>
            <w:pPr>
              <w:pStyle w:val="Compact"/>
              <w:jc w:val="left"/>
            </w:pPr>
            <w:r>
              <w:t xml:space="preserve">SFDR, EU-taksonomia, kaksoisolennaisuus, GPP</w:t>
            </w:r>
          </w:p>
        </w:tc>
      </w:tr>
      <w:tr>
        <w:tc>
          <w:tcPr/>
          <w:p>
            <w:pPr>
              <w:pStyle w:val="Compact"/>
              <w:jc w:val="left"/>
            </w:pPr>
            <w:r>
              <w:t xml:space="preserve">Terveydenhuolto, Tekstiilit</w:t>
            </w:r>
          </w:p>
        </w:tc>
        <w:tc>
          <w:tcPr/>
          <w:p>
            <w:pPr>
              <w:pStyle w:val="Compact"/>
              <w:jc w:val="left"/>
            </w:pPr>
            <w:r>
              <w:t xml:space="preserve">Gemma 2 (EU-isännöity), Qwen 2.5</w:t>
            </w:r>
          </w:p>
        </w:tc>
        <w:tc>
          <w:tcPr/>
          <w:p>
            <w:pPr>
              <w:pStyle w:val="Compact"/>
              <w:jc w:val="left"/>
            </w:pPr>
            <w:r>
              <w:t xml:space="preserve">Digitaalinen tuotepassi, lääkejäte, lääketeollisuuden toimitusketju</w:t>
            </w:r>
          </w:p>
        </w:tc>
      </w:tr>
    </w:tbl>
    <w:p>
      <w:pPr>
        <w:pStyle w:val="BodyText"/>
      </w:pPr>
      <w:r>
        <w:rPr>
          <w:bCs/>
          <w:b/>
        </w:rPr>
        <w:t xml:space="preserve">Valintakriteerit:</w:t>
      </w:r>
      <w:r>
        <w:t xml:space="preserve"> </w:t>
      </w:r>
      <w:r>
        <w:t xml:space="preserve">toimialaosaamisen syvyys, monikielisyys (suomi/ruotsi/20+ CBAM:lle), rakenteellisen tulosteen luotettavuus, konteksti-ikkuna (128k+ toimitusketjulle), päättelynopeus, EU-tietojen sijainti ja kaupallinen lisenssi.</w:t>
      </w:r>
    </w:p>
    <w:p>
      <w:pPr>
        <w:pStyle w:val="BodyText"/>
      </w:pPr>
      <w:r>
        <w:t xml:space="preserve">Jokainen yritysvuokralainen voi kouluttaa oman Lifetime World Model -mallinsa omilla toimialatiedoillaan valitsemallaan LLM:llä pohjamallina.</w:t>
      </w:r>
    </w:p>
    <w:bookmarkStart w:id="147" w:name="Xe9190078556c261c4074f41573e45afebcec415"/>
    <w:p>
      <w:pPr>
        <w:pStyle w:val="Heading3"/>
      </w:pPr>
      <w:r>
        <w:t xml:space="preserve">10.6.1 Miksi 20 toimialaa tekee DWS IQ:sta vahvemman</w:t>
      </w:r>
    </w:p>
    <w:p>
      <w:pPr>
        <w:pStyle w:val="FirstParagraph"/>
      </w:pPr>
      <w:r>
        <w:t xml:space="preserve">Asiakkaan näkökulmasta 16 EU-toimialan kattava alusta ei ole monimutkaisuutta — se on</w:t>
      </w:r>
      <w:r>
        <w:t xml:space="preserve"> </w:t>
      </w:r>
      <w:r>
        <w:rPr>
          <w:bCs/>
          <w:b/>
        </w:rPr>
        <w:t xml:space="preserve">kilpailuetu, jota he ostavat</w:t>
      </w:r>
      <w:r>
        <w:t xml:space="preserve">. 20 toimialan arkkitehtuuri luo yhdistyvää arvoa, jota yksittäisen toimialan alusta ei pysty tarjoamaan:</w:t>
      </w:r>
    </w:p>
    <w:p>
      <w:pPr>
        <w:numPr>
          <w:ilvl w:val="0"/>
          <w:numId w:val="1048"/>
        </w:numPr>
      </w:pPr>
      <w:r>
        <w:rPr>
          <w:bCs/>
          <w:b/>
        </w:rPr>
        <w:t xml:space="preserve">Ristikkäinen sääntely-ymmärrys.</w:t>
      </w:r>
      <w:r>
        <w:t xml:space="preserve"> </w:t>
      </w:r>
      <w:r>
        <w:t xml:space="preserve">EU-sääntelyt kuten Fit for 55, CSRD ja CBAM vaikuttavat useisiin toimialoihin samanaikaisesti. Rakennusyrityksen Scope 3 -päästöt sisältävät terästä (ETS), sementtiä (CBAM), logistiikkaa (FuelEU) ja energiaa (RED III). Yksittäisen toimialan työkalu näkee yhden siivun; DWS IQ näkee koko sääntelyketjun. Asiakas saa vaatimustenmukaisuustiedustelun, joka ymmärtää heidän koko toimitusketjunsa, ei vain omaa vertikaalinsa.</w:t>
      </w:r>
    </w:p>
    <w:p>
      <w:pPr>
        <w:numPr>
          <w:ilvl w:val="0"/>
          <w:numId w:val="1048"/>
        </w:numPr>
      </w:pPr>
      <w:r>
        <w:rPr>
          <w:bCs/>
          <w:b/>
        </w:rPr>
        <w:t xml:space="preserve">Toimitusketjun näkyvyys yli vertikaalien.</w:t>
      </w:r>
      <w:r>
        <w:t xml:space="preserve"> </w:t>
      </w:r>
      <w:r>
        <w:t xml:space="preserve">Kun valmistusasiakas raportoi CBAM-tuonteja, DWS IQ ymmärtää jo teräksen tuottajan ETS-velvoitteet, logistiikkatarjoajan polttoainesääntelyt ja energiantoimittajan uusiutuvan energian sertifikaatit. Tämä ristikkäinen toimialatietämys tarkoittaa, että asiakkaan vaatimustenmukaisuusraportit ovat tarkempia, tarkastusvalmiita ja puolustettavia, koska alusta ymmärtää jokaisen lenkin heidän arvoketjussaan.</w:t>
      </w:r>
    </w:p>
    <w:p>
      <w:pPr>
        <w:numPr>
          <w:ilvl w:val="0"/>
          <w:numId w:val="1048"/>
        </w:numPr>
      </w:pPr>
      <w:r>
        <w:rPr>
          <w:bCs/>
          <w:b/>
        </w:rPr>
        <w:t xml:space="preserve">LWM:n ristioppiminen.</w:t>
      </w:r>
      <w:r>
        <w:t xml:space="preserve"> </w:t>
      </w:r>
      <w:r>
        <w:t xml:space="preserve">Lifetime World Model oppii anonymisoiduista kaavoista kaikista 16 toimialasta. Hiilidioksidipäästöjen vähennystekniikka, joka on todistettu sementinvalmistuksessa (esim. klinkkerisuhdeoptimointi), tuottaa siirrettävää tietoa rakentamiseen (vähähiilisen betonin spesifikaatio). Asiakas hyötyy LWM:stä, joka on koulutettu 20 toimialan ilmastotiedustelulla — ei vain heidän omalla kapealla toimialueellaan.</w:t>
      </w:r>
    </w:p>
    <w:p>
      <w:pPr>
        <w:numPr>
          <w:ilvl w:val="0"/>
          <w:numId w:val="1048"/>
        </w:numPr>
      </w:pPr>
      <w:r>
        <w:rPr>
          <w:bCs/>
          <w:b/>
        </w:rPr>
        <w:t xml:space="preserve">Agenttimallien uudelleenkäytettävyys.</w:t>
      </w:r>
      <w:r>
        <w:t xml:space="preserve"> </w:t>
      </w:r>
      <w:r>
        <w:t xml:space="preserve">Yhdellä toimialalla toimivat agenttikonfiguraatiot nopeuttavat käyttöönottoa liittyvillä toimialoilla. Rakentamiselle kehitetty BIM-vaatimustenmukaisuusagentti mukautetaan kiinteistöjen energiatodistuksiin. Valmistuksen toimitusketjun Scope 3 -agentti siirtyy elintarviketeollisuuteen. Myöhemmin käyttöönottavien toimialojen asiakkaat saavat taistelussa testattuja agentteja halvemmalla ja nopeammin.</w:t>
      </w:r>
    </w:p>
    <w:p>
      <w:pPr>
        <w:numPr>
          <w:ilvl w:val="0"/>
          <w:numId w:val="1048"/>
        </w:numPr>
      </w:pPr>
      <w:r>
        <w:rPr>
          <w:bCs/>
          <w:b/>
        </w:rPr>
        <w:t xml:space="preserve">Sääntelyn ennakkovaroitus.</w:t>
      </w:r>
      <w:r>
        <w:t xml:space="preserve"> </w:t>
      </w:r>
      <w:r>
        <w:t xml:space="preserve">Kun uusi sääntely (esim. EU:n metsäkatoasetus) vaikuttaa ensin maatalouteen, alusta havaitsee sen ja varoittaa elintarvike-, tekstiili- ja logistiikka-asiakkaita ennakoivasti — ennen kuin sääntely saavuttaa heidän toimialansa. Yksittäisen toimialan alusta ei voi tarjota tätä sektorien välistä ennakointia.</w:t>
      </w:r>
    </w:p>
    <w:p>
      <w:pPr>
        <w:numPr>
          <w:ilvl w:val="0"/>
          <w:numId w:val="1048"/>
        </w:numPr>
      </w:pPr>
      <w:r>
        <w:rPr>
          <w:bCs/>
          <w:b/>
        </w:rPr>
        <w:t xml:space="preserve">Vertailukehys vertaisiin ja viereisiin toimialoihin.</w:t>
      </w:r>
      <w:r>
        <w:t xml:space="preserve"> </w:t>
      </w:r>
      <w:r>
        <w:t xml:space="preserve">Energiayhtiö voi verrata päästöintensiteettiään paitsi muihin sähkölaitoksiin myös teollisuusasiakkaisiin joita se palvelee (valmistus, kaivostoiminta, kemianteollisuus). Tämä moniulotteinen vertailukehys antaa asiakkaalle strategisen näkemyksen siitä, missä he ovat laajemmassa hiilidioksidineutraalisuusmaisemassa.</w:t>
      </w:r>
    </w:p>
    <w:p>
      <w:pPr>
        <w:numPr>
          <w:ilvl w:val="0"/>
          <w:numId w:val="1048"/>
        </w:numPr>
      </w:pPr>
      <w:r>
        <w:rPr>
          <w:bCs/>
          <w:b/>
        </w:rPr>
        <w:t xml:space="preserve">Verkostovaikutukset kertautuvat ajan myötä.</w:t>
      </w:r>
      <w:r>
        <w:t xml:space="preserve"> </w:t>
      </w:r>
      <w:r>
        <w:t xml:space="preserve">Jokainen uusi alustalle lisätty toimiala tekee jokaisen olemassa olevan toimialan LWM:stä älykkäämmän. 20. toimialan asiakas hyötyy kaikkien 19 toimialan kertyneestä älykkyydestä. Tämä luo</w:t>
      </w:r>
      <w:r>
        <w:t xml:space="preserve"> </w:t>
      </w:r>
      <w:r>
        <w:rPr>
          <w:bCs/>
          <w:b/>
        </w:rPr>
        <w:t xml:space="preserve">vallihaudan</w:t>
      </w:r>
      <w:r>
        <w:t xml:space="preserve">: kilpailijan, joka aloittaa yhdellä toimialalla, on replikoitava vuosien ristikkäinen oppiminen vastatakseen DWS IQ:n kertynyttä älykkyyttä.</w:t>
      </w:r>
    </w:p>
    <w:p>
      <w:pPr>
        <w:pStyle w:val="FirstParagraph"/>
      </w:pPr>
      <w:r>
        <w:rPr>
          <w:bCs/>
          <w:b/>
        </w:rPr>
        <w:t xml:space="preserve">Tulos asiakkaan näkökulmasta:</w:t>
      </w:r>
      <w:r>
        <w:t xml:space="preserve"> </w:t>
      </w:r>
      <w:r>
        <w:t xml:space="preserve">DWS IQ:n 20 toimialan kattavuus tarkoittaa, että heidän vaatimustenmukaisuusälykkyytensä ei ole eristetty — se on yhteydessä koko EU:n teolliseen ekosysteemiin. He maksavat yhdestä alustasta ja saavat älykkyyttä, jonka likimääräistäminen vaatisi 16 erillistä työkalua.</w:t>
      </w:r>
    </w:p>
    <w:bookmarkEnd w:id="147"/>
    <w:bookmarkEnd w:id="148"/>
    <w:bookmarkStart w:id="154" w:name="X5aea083bf678a4bf7f74b77a5cadfa3804e311f"/>
    <w:p>
      <w:pPr>
        <w:pStyle w:val="Heading2"/>
      </w:pPr>
      <w:r>
        <w:t xml:space="preserve">10.7 Yrityksen BYOA-arkkitehtuuri: Tuo omat agentit</w:t>
      </w:r>
    </w:p>
    <w:p>
      <w:pPr>
        <w:pStyle w:val="FirstParagraph"/>
      </w:pPr>
      <w:r>
        <w:t xml:space="preserve">Keskeinen alustan kehityssuunta on tukea yritysasiakkaita, jotka</w:t>
      </w:r>
      <w:r>
        <w:t xml:space="preserve"> </w:t>
      </w:r>
      <w:r>
        <w:rPr>
          <w:bCs/>
          <w:b/>
        </w:rPr>
        <w:t xml:space="preserve">tuovat omat tekoälyagenttinsa</w:t>
      </w:r>
      <w:r>
        <w:t xml:space="preserve"> </w:t>
      </w:r>
      <w:r>
        <w:t xml:space="preserve">työskentelemään DWS IQ:ssa. Tässä osiossa kuvataan arkkitehtuuri käyttäen NCC:tä (pohjoismainen rakennusyhtiö) havainnollistavana tapauksena.</w:t>
      </w:r>
    </w:p>
    <w:bookmarkStart w:id="149" w:name="ncc-skenaario"/>
    <w:p>
      <w:pPr>
        <w:pStyle w:val="Heading3"/>
      </w:pPr>
      <w:r>
        <w:t xml:space="preserve">10.7.1 NCC-skenaario</w:t>
      </w:r>
    </w:p>
    <w:p>
      <w:pPr>
        <w:pStyle w:val="FirstParagraph"/>
      </w:pPr>
      <w:r>
        <w:t xml:space="preserve">NCC toimii monimutkaisessa agenttiekosysteemissä:</w:t>
      </w:r>
    </w:p>
    <w:tbl>
      <w:tblPr>
        <w:tblStyle w:val="Table"/>
        <w:tblW w:type="pct" w:w="5000"/>
        <w:tblLook w:firstRow="1" w:lastRow="0" w:firstColumn="0" w:lastColumn="0" w:noHBand="0" w:noVBand="0" w:val="0020"/>
        <w:jc w:val="start"/>
      </w:tblPr>
      <w:tblGrid>
        <w:gridCol w:w="1272"/>
        <w:gridCol w:w="235"/>
        <w:gridCol w:w="6411"/>
      </w:tblGrid>
      <w:tr>
        <w:trPr>
          <w:tblHeader w:val="true"/>
        </w:trPr>
        <w:tc>
          <w:tcPr/>
          <w:p>
            <w:pPr>
              <w:pStyle w:val="Compact"/>
              <w:jc w:val="left"/>
            </w:pPr>
            <w:r>
              <w:t xml:space="preserve">Agenttilähde</w:t>
            </w:r>
          </w:p>
        </w:tc>
        <w:tc>
          <w:tcPr/>
          <w:p>
            <w:pPr>
              <w:pStyle w:val="Compact"/>
              <w:jc w:val="left"/>
            </w:pPr>
            <w:r>
              <w:t xml:space="preserve">Määrä</w:t>
            </w:r>
          </w:p>
        </w:tc>
        <w:tc>
          <w:tcPr/>
          <w:p>
            <w:pPr>
              <w:pStyle w:val="Compact"/>
              <w:jc w:val="left"/>
            </w:pPr>
            <w:r>
              <w:t xml:space="preserve">Esimerkit</w:t>
            </w:r>
          </w:p>
        </w:tc>
      </w:tr>
      <w:tr>
        <w:tc>
          <w:tcPr/>
          <w:p>
            <w:pPr>
              <w:pStyle w:val="Compact"/>
              <w:jc w:val="left"/>
            </w:pPr>
            <w:r>
              <w:rPr>
                <w:bCs/>
                <w:b/>
              </w:rPr>
              <w:t xml:space="preserve">NCC:n sisäiset agentit</w:t>
            </w:r>
          </w:p>
        </w:tc>
        <w:tc>
          <w:tcPr/>
          <w:p>
            <w:pPr>
              <w:pStyle w:val="Compact"/>
              <w:jc w:val="left"/>
            </w:pPr>
            <w:r>
              <w:t xml:space="preserve">7</w:t>
            </w:r>
          </w:p>
        </w:tc>
        <w:tc>
          <w:tcPr/>
          <w:p>
            <w:pPr>
              <w:pStyle w:val="Compact"/>
              <w:jc w:val="left"/>
            </w:pPr>
            <w:r>
              <w:t xml:space="preserve">Hankinta-agentti, Turvallisuusagentti, BIM-agentti, Kestävyysagentti, Kustannusarvioagentti, Laatuagentti, Projektisuunnitteluagentti</w:t>
            </w:r>
          </w:p>
        </w:tc>
      </w:tr>
      <w:tr>
        <w:tc>
          <w:tcPr/>
          <w:p>
            <w:pPr>
              <w:pStyle w:val="Compact"/>
              <w:jc w:val="left"/>
            </w:pPr>
            <w:r>
              <w:rPr>
                <w:bCs/>
                <w:b/>
              </w:rPr>
              <w:t xml:space="preserve">Urakoitsijoiden agentit</w:t>
            </w:r>
          </w:p>
        </w:tc>
        <w:tc>
          <w:tcPr/>
          <w:p>
            <w:pPr>
              <w:pStyle w:val="Compact"/>
              <w:jc w:val="left"/>
            </w:pPr>
            <w:r>
              <w:t xml:space="preserve">14</w:t>
            </w:r>
          </w:p>
        </w:tc>
        <w:tc>
          <w:tcPr/>
          <w:p>
            <w:pPr>
              <w:pStyle w:val="Compact"/>
              <w:jc w:val="left"/>
            </w:pPr>
            <w:r>
              <w:t xml:space="preserve">LVI-urakoitsija-agentti, Sähköagentti, Betonitoimittaja-agentti, Teräs</w:t>
            </w:r>
            <w:r>
              <w:softHyphen/>
            </w:r>
            <w:r>
              <w:t xml:space="preserve">toimittaja-agentti, Ikkunavalmistaja-agentti, Eristysagentti jne.</w:t>
            </w:r>
          </w:p>
        </w:tc>
      </w:tr>
      <w:tr>
        <w:tc>
          <w:tcPr/>
          <w:p>
            <w:pPr>
              <w:pStyle w:val="Compact"/>
              <w:jc w:val="left"/>
            </w:pPr>
            <w:r>
              <w:rPr>
                <w:bCs/>
                <w:b/>
              </w:rPr>
              <w:t xml:space="preserve">DWS IQ -alustan agentit</w:t>
            </w:r>
          </w:p>
        </w:tc>
        <w:tc>
          <w:tcPr/>
          <w:p>
            <w:pPr>
              <w:pStyle w:val="Compact"/>
              <w:jc w:val="left"/>
            </w:pPr>
            <w:r>
              <w:t xml:space="preserve">3</w:t>
            </w:r>
          </w:p>
        </w:tc>
        <w:tc>
          <w:tcPr/>
          <w:p>
            <w:pPr>
              <w:pStyle w:val="Compact"/>
              <w:jc w:val="left"/>
            </w:pPr>
            <w:r>
              <w:t xml:space="preserve">Vaatimustenmukaisuuslaskenta, Firehorse-raportti, Hiililaskuri</w:t>
            </w:r>
          </w:p>
        </w:tc>
      </w:tr>
      <w:tr>
        <w:tc>
          <w:tcPr/>
          <w:p>
            <w:pPr>
              <w:pStyle w:val="Compact"/>
              <w:jc w:val="left"/>
            </w:pPr>
            <w:r>
              <w:rPr>
                <w:bCs/>
                <w:b/>
              </w:rPr>
              <w:t xml:space="preserve">Yhteensä</w:t>
            </w:r>
          </w:p>
        </w:tc>
        <w:tc>
          <w:tcPr/>
          <w:p>
            <w:pPr>
              <w:pStyle w:val="Compact"/>
              <w:jc w:val="left"/>
            </w:pPr>
            <w:r>
              <w:t xml:space="preserve">24</w:t>
            </w:r>
          </w:p>
        </w:tc>
        <w:tc>
          <w:tcPr/>
          <w:p>
            <w:pPr>
              <w:pStyle w:val="Compact"/>
              <w:jc w:val="left"/>
            </w:pPr>
            <w:r>
              <w:t xml:space="preserve">Kaikki yhdistetty A2A + MCP -protokollilla</w:t>
            </w:r>
          </w:p>
        </w:tc>
      </w:tr>
    </w:tbl>
    <w:p>
      <w:pPr>
        <w:pStyle w:val="BodyText"/>
      </w:pPr>
      <w:r>
        <w:t xml:space="preserve">Jokainen urakoitsija-agentti saapuu omalla:</w:t>
      </w:r>
    </w:p>
    <w:p>
      <w:pPr>
        <w:numPr>
          <w:ilvl w:val="0"/>
          <w:numId w:val="1049"/>
        </w:numPr>
        <w:pStyle w:val="Compact"/>
      </w:pPr>
      <w:r>
        <w:rPr>
          <w:bCs/>
          <w:b/>
        </w:rPr>
        <w:t xml:space="preserve">Agent Card</w:t>
      </w:r>
      <w:r>
        <w:t xml:space="preserve"> </w:t>
      </w:r>
      <w:r>
        <w:t xml:space="preserve">(A2A</w:t>
      </w:r>
      <w:r>
        <w:t xml:space="preserve"> </w:t>
      </w:r>
      <w:r>
        <w:rPr>
          <w:rStyle w:val="VerbatimChar"/>
        </w:rPr>
        <w:t xml:space="preserve">/.well-known/agent.json</w:t>
      </w:r>
      <w:r>
        <w:t xml:space="preserve">) joka kuvaa kyvykkyydet</w:t>
      </w:r>
    </w:p>
    <w:p>
      <w:pPr>
        <w:numPr>
          <w:ilvl w:val="0"/>
          <w:numId w:val="1049"/>
        </w:numPr>
        <w:pStyle w:val="Compact"/>
      </w:pPr>
      <w:r>
        <w:rPr>
          <w:bCs/>
          <w:b/>
        </w:rPr>
        <w:t xml:space="preserve">LLM-valinta</w:t>
      </w:r>
      <w:r>
        <w:t xml:space="preserve"> </w:t>
      </w:r>
      <w:r>
        <w:t xml:space="preserve">— urakoitsija voi käyttää eri mallia kuin NCC</w:t>
      </w:r>
    </w:p>
    <w:p>
      <w:pPr>
        <w:numPr>
          <w:ilvl w:val="0"/>
          <w:numId w:val="1049"/>
        </w:numPr>
        <w:pStyle w:val="Compact"/>
      </w:pPr>
      <w:r>
        <w:rPr>
          <w:bCs/>
          <w:b/>
        </w:rPr>
        <w:t xml:space="preserve">ERP/BIM-liittimet</w:t>
      </w:r>
      <w:r>
        <w:t xml:space="preserve"> </w:t>
      </w:r>
      <w:r>
        <w:t xml:space="preserve">— Tekla, Solibri, IFS, SAP, Dynamics 365</w:t>
      </w:r>
    </w:p>
    <w:p>
      <w:pPr>
        <w:numPr>
          <w:ilvl w:val="0"/>
          <w:numId w:val="1049"/>
        </w:numPr>
        <w:pStyle w:val="Compact"/>
      </w:pPr>
      <w:r>
        <w:rPr>
          <w:bCs/>
          <w:b/>
        </w:rPr>
        <w:t xml:space="preserve">Tietojen sijaintivaatimukset</w:t>
      </w:r>
      <w:r>
        <w:t xml:space="preserve"> </w:t>
      </w:r>
      <w:r>
        <w:t xml:space="preserve">— jotkut urakoitsijat toimivat EU:n ulkopuolelta</w:t>
      </w:r>
    </w:p>
    <w:bookmarkEnd w:id="149"/>
    <w:bookmarkStart w:id="150" w:name="vuokralaiskohtainen-lifetime-world-model"/>
    <w:p>
      <w:pPr>
        <w:pStyle w:val="Heading3"/>
      </w:pPr>
      <w:r>
        <w:t xml:space="preserve">10.7.2 Vuokralaiskohtainen Lifetime World Model</w:t>
      </w:r>
    </w:p>
    <w:p>
      <w:pPr>
        <w:pStyle w:val="FirstParagraph"/>
      </w:pPr>
      <w:r>
        <w:rPr>
          <w:bCs/>
          <w:b/>
        </w:rPr>
        <w:t xml:space="preserve">Lifetime World Model (LWM)</w:t>
      </w:r>
      <w:r>
        <w:t xml:space="preserve"> </w:t>
      </w:r>
      <w:r>
        <w:t xml:space="preserve">on yrityksen oppimiskerros, joka sijaitsee valitun avoimen LLM:n päällä. Se ei ole pelkästään hienosäädetty malli — se on strateginen tiedustelukerros, joka:</w:t>
      </w:r>
    </w:p>
    <w:p>
      <w:pPr>
        <w:numPr>
          <w:ilvl w:val="0"/>
          <w:numId w:val="1050"/>
        </w:numPr>
        <w:pStyle w:val="Compact"/>
      </w:pPr>
      <w:r>
        <w:rPr>
          <w:bCs/>
          <w:b/>
        </w:rPr>
        <w:t xml:space="preserve">Hienosäätää yrityksen dataa ja sääntelyä</w:t>
      </w:r>
      <w:r>
        <w:t xml:space="preserve"> </w:t>
      </w:r>
      <w:r>
        <w:t xml:space="preserve">— sisäistää asiakkaan operatiivisen datan, toimialastandardit ja EU-sääntelykontekstin luodakseen toimialakohtaista älykkyyttä, jota geneeriset LLM:t eivät pysty tarjoamaan</w:t>
      </w:r>
    </w:p>
    <w:p>
      <w:pPr>
        <w:numPr>
          <w:ilvl w:val="0"/>
          <w:numId w:val="1050"/>
        </w:numPr>
        <w:pStyle w:val="Compact"/>
      </w:pPr>
      <w:r>
        <w:rPr>
          <w:bCs/>
          <w:b/>
        </w:rPr>
        <w:t xml:space="preserve">Optimoi markkina-arvon</w:t>
      </w:r>
      <w:r>
        <w:t xml:space="preserve"> </w:t>
      </w:r>
      <w:r>
        <w:t xml:space="preserve">— LWM oppii jatkuvasti vaatimustenmukaisuuden tuloksista, energiatehokkuustuloksista ja operatiivisista mittareista tunnistaakseen arvonluontimahdollisuuksia, jotka yritys muuten jättäisi käyttämättä</w:t>
      </w:r>
    </w:p>
    <w:p>
      <w:pPr>
        <w:numPr>
          <w:ilvl w:val="0"/>
          <w:numId w:val="1050"/>
        </w:numPr>
        <w:pStyle w:val="Compact"/>
      </w:pPr>
      <w:r>
        <w:rPr>
          <w:bCs/>
          <w:b/>
        </w:rPr>
        <w:t xml:space="preserve">Varmistaa kilpailuedun moniagenttityökaluilla</w:t>
      </w:r>
      <w:r>
        <w:t xml:space="preserve"> </w:t>
      </w:r>
      <w:r>
        <w:t xml:space="preserve">— yhdistämällä vuokralaiskohtaisen tietämyksen moniagenttien orkestrointikerrokseen (A2A + MCP), LWM muuttaa raaan tekoälykyvykkyyden korvaamattomaksi operatiiviseksi voimavaraksi. Kilpailijat, jotka käyttävät geneerisiä malleja, eivät pysty replikoimaan tätä kertynyttä institutionaalista älykkyyttä</w:t>
      </w:r>
    </w:p>
    <w:p>
      <w:pPr>
        <w:pStyle w:val="FirstParagraph"/>
      </w:pPr>
      <w:r>
        <w:t xml:space="preserve">NCC saa oman instanssinsa Lifetime World Model -mallista:</w:t>
      </w:r>
    </w:p>
    <w:p>
      <w:pPr>
        <w:pStyle w:val="SourceCode"/>
      </w:pPr>
      <w:r>
        <w:rPr>
          <w:rStyle w:val="VerbatimChar"/>
        </w:rPr>
        <w:t xml:space="preserve">NCC Lifetime World Model</w:t>
      </w:r>
      <w:r>
        <w:br/>
      </w:r>
      <w:r>
        <w:rPr>
          <w:rStyle w:val="VerbatimChar"/>
        </w:rPr>
        <w:t xml:space="preserve">├── Pohja-LLM: Qwen 2.5 72B (valittu pohjoismaiseen rakentamiseen)</w:t>
      </w:r>
      <w:r>
        <w:br/>
      </w:r>
      <w:r>
        <w:rPr>
          <w:rStyle w:val="VerbatimChar"/>
        </w:rPr>
        <w:t xml:space="preserve">├── Hienosäädetty: NCC:n projektidatalla, suomalaisilla rakennusmääräyksillä, RT-kortistolla</w:t>
      </w:r>
      <w:r>
        <w:br/>
      </w:r>
      <w:r>
        <w:rPr>
          <w:rStyle w:val="VerbatimChar"/>
        </w:rPr>
        <w:t xml:space="preserve">├── Sääntelykonteksti: Fit for 55, CSRD ESRS E1, EN 15978</w:t>
      </w:r>
      <w:r>
        <w:br/>
      </w:r>
      <w:r>
        <w:rPr>
          <w:rStyle w:val="VerbatimChar"/>
        </w:rPr>
        <w:t xml:space="preserve">├── Liitinpäätepisteet:</w:t>
      </w:r>
      <w:r>
        <w:br/>
      </w:r>
      <w:r>
        <w:rPr>
          <w:rStyle w:val="VerbatimChar"/>
        </w:rPr>
        <w:t xml:space="preserve">│   ├── Tekla Structures (BIM)</w:t>
      </w:r>
      <w:r>
        <w:br/>
      </w:r>
      <w:r>
        <w:rPr>
          <w:rStyle w:val="VerbatimChar"/>
        </w:rPr>
        <w:t xml:space="preserve">│   ├── IFS Cloud (ERP)</w:t>
      </w:r>
      <w:r>
        <w:br/>
      </w:r>
      <w:r>
        <w:rPr>
          <w:rStyle w:val="VerbatimChar"/>
        </w:rPr>
        <w:t xml:space="preserve">│   └── CO2data.fi (suomalaiset päästökertoimet)</w:t>
      </w:r>
      <w:r>
        <w:br/>
      </w:r>
      <w:r>
        <w:rPr>
          <w:rStyle w:val="VerbatimChar"/>
        </w:rPr>
        <w:t xml:space="preserve">└── Hiekkalaatikko: Vaihe 1.5 (OpenSandbox, Acer Veriton GN100) → Vaihe 2 (Cloud Run, europe-north1)</w:t>
      </w:r>
    </w:p>
    <w:bookmarkEnd w:id="150"/>
    <w:bookmarkStart w:id="151" w:name="Xc1a7d270a70f05e4c6f1eb35194fb5148ed4dd5"/>
    <w:p>
      <w:pPr>
        <w:pStyle w:val="Heading3"/>
      </w:pPr>
      <w:r>
        <w:t xml:space="preserve">10.7.3 LWM:n tuotemarkkinavalidointi: Energiasektorin tapaustutkimus (maaliskuu 2026)</w:t>
      </w:r>
    </w:p>
    <w:p>
      <w:pPr>
        <w:pStyle w:val="FirstParagraph"/>
      </w:pPr>
      <w:r>
        <w:t xml:space="preserve">Lifetime World Modelin kaupallinen elinkelpoisuus sai ensimmäisen ulkoisen validointinsa maaliskuussa 2026 kumppanuusneuvotteluissa</w:t>
      </w:r>
      <w:r>
        <w:t xml:space="preserve"> </w:t>
      </w:r>
      <w:r>
        <w:rPr>
          <w:bCs/>
          <w:b/>
        </w:rPr>
        <w:t xml:space="preserve">Qantic GmbH:n</w:t>
      </w:r>
      <w:r>
        <w:t xml:space="preserve"> </w:t>
      </w:r>
      <w:r>
        <w:t xml:space="preserve">(Berliini) kanssa. Qantic on akkuenergiavarastojärjestelmien (BESS) simulointiyhtiö. Tämä tapaustutkimus osoittaa, kuinka LWM:n monitoimialaarkkitehtuuri luo konkreettista markkina-arvoa alkuperäisen rakennusalan kohderyhmän ulkopuolella.</w:t>
      </w:r>
    </w:p>
    <w:p>
      <w:pPr>
        <w:pStyle w:val="BodyText"/>
      </w:pPr>
      <w:r>
        <w:rPr>
          <w:bCs/>
          <w:b/>
        </w:rPr>
        <w:t xml:space="preserve">Konteksti:</w:t>
      </w:r>
      <w:r>
        <w:t xml:space="preserve"> </w:t>
      </w:r>
      <w:r>
        <w:t xml:space="preserve">Qanticin Q-System mallintaa BESS-omaisuuserien energiatuloja (dispatch-optimointi, markkinaarbitraasi, hajoamiskäyrät). Heidän asiakkaansa — mukaan lukien teollisuusyritykset kuten MAN Energy Solutions — kohtaavat kuitenkin kasvavia EU-vaatimustenmukaisuuskustannuksia (CSRD, ETS, EU-taksonomia), joita Q-System ei laske. Tämä aukko tarkoittaa, että sijoittajien kannattavuusmallit aliarvioivat todellisia kustannuksia 5-15 %.</w:t>
      </w:r>
    </w:p>
    <w:p>
      <w:pPr>
        <w:pStyle w:val="BodyText"/>
      </w:pPr>
      <w:r>
        <w:rPr>
          <w:bCs/>
          <w:b/>
        </w:rPr>
        <w:t xml:space="preserve">LWM-arvolupaus validoitu:</w:t>
      </w:r>
    </w:p>
    <w:tbl>
      <w:tblPr>
        <w:tblStyle w:val="Table"/>
        <w:tblW w:type="pct" w:w="5000"/>
        <w:tblLook w:firstRow="1" w:lastRow="0" w:firstColumn="0" w:lastColumn="0" w:noHBand="0" w:noVBand="0" w:val="0020"/>
        <w:jc w:val="start"/>
      </w:tblPr>
      <w:tblGrid>
        <w:gridCol w:w="2024"/>
        <w:gridCol w:w="2560"/>
        <w:gridCol w:w="3334"/>
      </w:tblGrid>
      <w:tr>
        <w:trPr>
          <w:tblHeader w:val="true"/>
        </w:trPr>
        <w:tc>
          <w:tcPr/>
          <w:p>
            <w:pPr>
              <w:pStyle w:val="Compact"/>
              <w:jc w:val="left"/>
            </w:pPr>
            <w:r>
              <w:t xml:space="preserve">Q-System (Qantic)</w:t>
            </w:r>
          </w:p>
        </w:tc>
        <w:tc>
          <w:tcPr/>
          <w:p>
            <w:pPr>
              <w:pStyle w:val="Compact"/>
              <w:jc w:val="left"/>
            </w:pPr>
            <w:r>
              <w:t xml:space="preserve">LWM / DWS IQ 6 (Lifetime)</w:t>
            </w:r>
          </w:p>
        </w:tc>
        <w:tc>
          <w:tcPr/>
          <w:p>
            <w:pPr>
              <w:pStyle w:val="Compact"/>
              <w:jc w:val="left"/>
            </w:pPr>
            <w:r>
              <w:t xml:space="preserve">Yhdessä</w:t>
            </w:r>
          </w:p>
        </w:tc>
      </w:tr>
      <w:tr>
        <w:tc>
          <w:tcPr/>
          <w:p>
            <w:pPr>
              <w:pStyle w:val="Compact"/>
              <w:jc w:val="left"/>
            </w:pPr>
            <w:r>
              <w:t xml:space="preserve">“</w:t>
            </w:r>
            <w:r>
              <w:t xml:space="preserve">Kuinka paljon tämä BESS tuottaa?</w:t>
            </w:r>
            <w:r>
              <w:t xml:space="preserve">”</w:t>
            </w:r>
          </w:p>
        </w:tc>
        <w:tc>
          <w:tcPr/>
          <w:p>
            <w:pPr>
              <w:pStyle w:val="Compact"/>
              <w:jc w:val="left"/>
            </w:pPr>
            <w:r>
              <w:t xml:space="preserve">“</w:t>
            </w:r>
            <w:r>
              <w:t xml:space="preserve">Mitä vaatimustenmukaisuus maksaa?</w:t>
            </w:r>
            <w:r>
              <w:t xml:space="preserve">”</w:t>
            </w:r>
          </w:p>
        </w:tc>
        <w:tc>
          <w:tcPr/>
          <w:p>
            <w:pPr>
              <w:pStyle w:val="Compact"/>
              <w:jc w:val="left"/>
            </w:pPr>
            <w:r>
              <w:t xml:space="preserve">“</w:t>
            </w:r>
            <w:r>
              <w:t xml:space="preserve">Mikä on todellinen nettotuotto?</w:t>
            </w:r>
            <w:r>
              <w:t xml:space="preserve">”</w:t>
            </w:r>
          </w:p>
        </w:tc>
      </w:tr>
      <w:tr>
        <w:tc>
          <w:tcPr/>
          <w:p>
            <w:pPr>
              <w:pStyle w:val="Compact"/>
              <w:jc w:val="left"/>
            </w:pPr>
            <w:r>
              <w:t xml:space="preserve">Dispatch-tuotto markkinoittain</w:t>
            </w:r>
          </w:p>
        </w:tc>
        <w:tc>
          <w:tcPr/>
          <w:p>
            <w:pPr>
              <w:pStyle w:val="Compact"/>
              <w:jc w:val="left"/>
            </w:pPr>
            <w:r>
              <w:t xml:space="preserve">Scope 2 -hiilidioksidikustannus per MWh</w:t>
            </w:r>
          </w:p>
        </w:tc>
        <w:tc>
          <w:tcPr/>
          <w:p>
            <w:pPr>
              <w:pStyle w:val="Compact"/>
              <w:jc w:val="left"/>
            </w:pPr>
            <w:r>
              <w:t xml:space="preserve">Täysi tuloslaskelma mukaan lukien regulaatiokustannukset</w:t>
            </w:r>
          </w:p>
        </w:tc>
      </w:tr>
      <w:tr>
        <w:tc>
          <w:tcPr/>
          <w:p>
            <w:pPr>
              <w:pStyle w:val="Compact"/>
              <w:jc w:val="left"/>
            </w:pPr>
            <w:r>
              <w:t xml:space="preserve">Akun hajoamiskäyrä</w:t>
            </w:r>
          </w:p>
        </w:tc>
        <w:tc>
          <w:tcPr/>
          <w:p>
            <w:pPr>
              <w:pStyle w:val="Compact"/>
              <w:jc w:val="left"/>
            </w:pPr>
            <w:r>
              <w:t xml:space="preserve">Omaisuuserän arvonalennusraportointi (CSRD)</w:t>
            </w:r>
          </w:p>
        </w:tc>
        <w:tc>
          <w:tcPr/>
          <w:p>
            <w:pPr>
              <w:pStyle w:val="Compact"/>
              <w:jc w:val="left"/>
            </w:pPr>
            <w:r>
              <w:t xml:space="preserve">Elinkaaren taloudellinen + vaatimustenmukaisuusnäkymä</w:t>
            </w:r>
          </w:p>
        </w:tc>
      </w:tr>
    </w:tbl>
    <w:p>
      <w:pPr>
        <w:pStyle w:val="BodyText"/>
      </w:pPr>
      <w:r>
        <w:rPr>
          <w:bCs/>
          <w:b/>
        </w:rPr>
        <w:t xml:space="preserve">Kvantitoitu tulosesimerkki (50MW/200MWh BESS, Saksa):</w:t>
      </w:r>
    </w:p>
    <w:tbl>
      <w:tblPr>
        <w:tblStyle w:val="Table"/>
        <w:tblW w:type="pct" w:w="5000"/>
        <w:tblLook w:firstRow="1" w:lastRow="0" w:firstColumn="0" w:lastColumn="0" w:noHBand="0" w:noVBand="0" w:val="0020"/>
        <w:jc w:val="start"/>
      </w:tblPr>
      <w:tblGrid>
        <w:gridCol w:w="3501"/>
        <w:gridCol w:w="1000"/>
        <w:gridCol w:w="3418"/>
      </w:tblGrid>
      <w:tr>
        <w:trPr>
          <w:tblHeader w:val="true"/>
        </w:trPr>
        <w:tc>
          <w:tcPr/>
          <w:p>
            <w:pPr>
              <w:pStyle w:val="Compact"/>
              <w:jc w:val="left"/>
            </w:pPr>
            <w:r>
              <w:t xml:space="preserve">Vaatimustenmukaisuuskustannuskomponentti</w:t>
            </w:r>
          </w:p>
        </w:tc>
        <w:tc>
          <w:tcPr/>
          <w:p>
            <w:pPr>
              <w:pStyle w:val="Compact"/>
              <w:jc w:val="left"/>
            </w:pPr>
            <w:r>
              <w:t xml:space="preserve">EUR/vuosi</w:t>
            </w:r>
          </w:p>
        </w:tc>
        <w:tc>
          <w:tcPr/>
          <w:p>
            <w:pPr>
              <w:pStyle w:val="Compact"/>
              <w:jc w:val="left"/>
            </w:pPr>
            <w:r>
              <w:t xml:space="preserve">Lähde</w:t>
            </w:r>
          </w:p>
        </w:tc>
      </w:tr>
      <w:tr>
        <w:tc>
          <w:tcPr/>
          <w:p>
            <w:pPr>
              <w:pStyle w:val="Compact"/>
              <w:jc w:val="left"/>
            </w:pPr>
            <w:r>
              <w:t xml:space="preserve">Scope 2 -hiilidioksidikustannus</w:t>
            </w:r>
          </w:p>
        </w:tc>
        <w:tc>
          <w:tcPr/>
          <w:p>
            <w:pPr>
              <w:pStyle w:val="Compact"/>
              <w:jc w:val="left"/>
            </w:pPr>
            <w:r>
              <w:t xml:space="preserve">5 005 €</w:t>
            </w:r>
          </w:p>
        </w:tc>
        <w:tc>
          <w:tcPr/>
          <w:p>
            <w:pPr>
              <w:pStyle w:val="Compact"/>
              <w:jc w:val="left"/>
            </w:pPr>
            <w:r>
              <w:t xml:space="preserve">ETS Phase 4 -laskin (ets-calculator.ts)</w:t>
            </w:r>
          </w:p>
        </w:tc>
      </w:tr>
      <w:tr>
        <w:tc>
          <w:tcPr/>
          <w:p>
            <w:pPr>
              <w:pStyle w:val="Compact"/>
              <w:jc w:val="left"/>
            </w:pPr>
            <w:r>
              <w:t xml:space="preserve">Hyötysuhteen häviökustannus</w:t>
            </w:r>
          </w:p>
        </w:tc>
        <w:tc>
          <w:tcPr/>
          <w:p>
            <w:pPr>
              <w:pStyle w:val="Compact"/>
              <w:jc w:val="left"/>
            </w:pPr>
            <w:r>
              <w:t xml:space="preserve">488 €</w:t>
            </w:r>
          </w:p>
        </w:tc>
        <w:tc>
          <w:tcPr/>
          <w:p>
            <w:pPr>
              <w:pStyle w:val="Compact"/>
              <w:jc w:val="left"/>
            </w:pPr>
            <w:r>
              <w:t xml:space="preserve">Sähköverkon päästökertoimet (18 EU-maata)</w:t>
            </w:r>
          </w:p>
        </w:tc>
      </w:tr>
      <w:tr>
        <w:tc>
          <w:tcPr/>
          <w:p>
            <w:pPr>
              <w:pStyle w:val="Compact"/>
              <w:jc w:val="left"/>
            </w:pPr>
            <w:r>
              <w:t xml:space="preserve">CSRD-raportointikustannus</w:t>
            </w:r>
          </w:p>
        </w:tc>
        <w:tc>
          <w:tcPr/>
          <w:p>
            <w:pPr>
              <w:pStyle w:val="Compact"/>
              <w:jc w:val="left"/>
            </w:pPr>
            <w:r>
              <w:t xml:space="preserve">12 000 €</w:t>
            </w:r>
          </w:p>
        </w:tc>
        <w:tc>
          <w:tcPr/>
          <w:p>
            <w:pPr>
              <w:pStyle w:val="Compact"/>
              <w:jc w:val="left"/>
            </w:pPr>
            <w:r>
              <w:t xml:space="preserve">Firehorse Reports -arvio</w:t>
            </w:r>
          </w:p>
        </w:tc>
      </w:tr>
      <w:tr>
        <w:tc>
          <w:tcPr/>
          <w:p>
            <w:pPr>
              <w:pStyle w:val="Compact"/>
              <w:jc w:val="left"/>
            </w:pPr>
            <w:r>
              <w:t xml:space="preserve">EU-taksonomian sertifiointikustannus</w:t>
            </w:r>
          </w:p>
        </w:tc>
        <w:tc>
          <w:tcPr/>
          <w:p>
            <w:pPr>
              <w:pStyle w:val="Compact"/>
              <w:jc w:val="left"/>
            </w:pPr>
            <w:r>
              <w:t xml:space="preserve">4 200 €</w:t>
            </w:r>
          </w:p>
        </w:tc>
        <w:tc>
          <w:tcPr/>
          <w:p>
            <w:pPr>
              <w:pStyle w:val="Compact"/>
              <w:jc w:val="left"/>
            </w:pPr>
            <w:r>
              <w:t xml:space="preserve">Taksonomian kohdistusmoottori</w:t>
            </w:r>
          </w:p>
        </w:tc>
      </w:tr>
      <w:tr>
        <w:tc>
          <w:tcPr/>
          <w:p>
            <w:pPr>
              <w:pStyle w:val="Compact"/>
              <w:jc w:val="left"/>
            </w:pPr>
            <w:r>
              <w:rPr>
                <w:bCs/>
                <w:b/>
              </w:rPr>
              <w:t xml:space="preserve">Vaatimustenmukaisuuskustannus yhteensä</w:t>
            </w:r>
          </w:p>
        </w:tc>
        <w:tc>
          <w:tcPr/>
          <w:p>
            <w:pPr>
              <w:pStyle w:val="Compact"/>
              <w:jc w:val="left"/>
            </w:pPr>
            <w:r>
              <w:rPr>
                <w:bCs/>
                <w:b/>
              </w:rPr>
              <w:t xml:space="preserve">21 693 €</w:t>
            </w:r>
          </w:p>
        </w:tc>
        <w:tc>
          <w:tcPr/>
          <w:p>
            <w:pPr>
              <w:pStyle w:val="Compact"/>
              <w:jc w:val="left"/>
            </w:pPr>
            <w:r>
              <w:t xml:space="preserve">BESS Compliance API</w:t>
            </w:r>
          </w:p>
        </w:tc>
      </w:tr>
    </w:tbl>
    <w:p>
      <w:pPr>
        <w:pStyle w:val="BodyText"/>
      </w:pPr>
      <w:r>
        <w:t xml:space="preserve">Nämä luvut tulevat olemassa olevasta DWS IQ 6 -koodikannasta (19 yksikkötestiä läpäisee), eivät tuotekartasta. BESS Compliance API -päätepiste (</w:t>
      </w:r>
      <w:r>
        <w:rPr>
          <w:rStyle w:val="VerbatimChar"/>
        </w:rPr>
        <w:t xml:space="preserve">POST /api/v1/agents/bess/execute</w:t>
      </w:r>
      <w:r>
        <w:t xml:space="preserve">) rakennettiin ja testattiin ennen kumppanuuskeskustelun alkamista — mikä validoi Solution Factory -lähestymistavan tuotteiden rakentamisesta ennen asiakkaiden etsimistä.</w:t>
      </w:r>
    </w:p>
    <w:p>
      <w:pPr>
        <w:pStyle w:val="BodyText"/>
      </w:pPr>
      <w:r>
        <w:rPr>
          <w:bCs/>
          <w:b/>
        </w:rPr>
        <w:t xml:space="preserve">Monitoimialavallihauta demonstroitu:</w:t>
      </w:r>
      <w:r>
        <w:t xml:space="preserve"> </w:t>
      </w:r>
      <w:r>
        <w:t xml:space="preserve">Qanticin yritysasiakkaat (esim. MAN Energy Solutions) kattavat kuusi EU-säänneltyä toimialaa samanaikaisesti: Sähkö ja lämpö (ETS), Rauta ja teräs (ETS + CBAM), Merenkulku (ETS 2024 alkaen), Maantieliikenne (ETS2 2027 alkaen), Rakentaminen (EPBD) ja Kemikaalit (ETS + REACH). Yksittäisen toimialan vaatimustenmukaisuustyökalu kattaa näistä yhden; DWS IQ:n 20 toimialan LWM kattaa kaikki kuusi samasta alustasta. Tämä validoi osion 10.6 ristiinoppimisen verkostovaikutushypoteesin.</w:t>
      </w:r>
    </w:p>
    <w:p>
      <w:pPr>
        <w:pStyle w:val="BodyText"/>
      </w:pPr>
      <w:r>
        <w:rPr>
          <w:bCs/>
          <w:b/>
        </w:rPr>
        <w:t xml:space="preserve">Tuotemarkkinasopivuussignaali:</w:t>
      </w:r>
      <w:r>
        <w:t xml:space="preserve"> </w:t>
      </w:r>
      <w:r>
        <w:t xml:space="preserve">Kumppanuusrakenne (15 990 € käyttöönotto + 99 €/omaisuuserä/kuukausi API + 30 % jälleenmyyntipalkkio suositelluista asiakkaista) kehitettiin tee-vai-osta-analyysistä, joka osoitti yritysvaihtoehtojen maksavan 200 000+ €/vuosi. Kymmenkertainen hintaetu tekee LWM:stä kaupallisesti elinkelpoisen pk- ja Mittelstand-segmentissä — markkinasegmentissä, jota Big 4 -konsulttiyritykset palvelevat huonosti.</w:t>
      </w:r>
    </w:p>
    <w:p>
      <w:pPr>
        <w:pStyle w:val="BodyText"/>
      </w:pPr>
      <w:r>
        <w:rPr>
          <w:bCs/>
          <w:b/>
        </w:rPr>
        <w:t xml:space="preserve">Opinnäytetyön merkitys:</w:t>
      </w:r>
      <w:r>
        <w:t xml:space="preserve"> </w:t>
      </w:r>
      <w:r>
        <w:t xml:space="preserve">Tämä tapaustutkimus tarjoaa empiiristä näyttöä kolmesta väitteestä: (1) LWM:n regulaatiotietoverkostolla on kaupallista arvoa rakennusalan ulkopuolella; (2) 20 toimialan arkkitehtuuri luo puolustettavaa kilpailuetua ristisektoraalisella kattavuudella; (3) Solution Factory -malli (rakenna tuote → etsi asiakas) tuottaa nopeamman markkinavalidoinnin kuin perinteinen konsultointimalli (etsi asiakas → rakenna räätälöity ratkaisu).</w:t>
      </w:r>
    </w:p>
    <w:bookmarkEnd w:id="151"/>
    <w:bookmarkStart w:id="152" w:name="Xfab99f3bbfe136d7f015bf023f83c5329be463f"/>
    <w:p>
      <w:pPr>
        <w:pStyle w:val="Heading3"/>
      </w:pPr>
      <w:r>
        <w:t xml:space="preserve">10.7.4 Graafinen työnkulkurakentaja: Agent Orchestration Studio</w:t>
      </w:r>
    </w:p>
    <w:p>
      <w:pPr>
        <w:pStyle w:val="FirstParagraph"/>
      </w:pPr>
      <w:r>
        <w:t xml:space="preserve">Jotta NCC (ja vastaavat yritysasiakkaat) voivat rakentaa yhteyksiä ja työnkulkuja 24+ agentin välille, alusta tarvitsee</w:t>
      </w:r>
      <w:r>
        <w:t xml:space="preserve"> </w:t>
      </w:r>
      <w:r>
        <w:rPr>
          <w:bCs/>
          <w:b/>
        </w:rPr>
        <w:t xml:space="preserve">visuaalisen työnkulkurakentajan</w:t>
      </w:r>
      <w:r>
        <w:t xml:space="preserve">. Kuuden avoimen lähdekoodin ehdokkaan arvioinnin jälkeen suositeltu arkkitehtuuri on:</w:t>
      </w:r>
    </w:p>
    <w:p>
      <w:pPr>
        <w:pStyle w:val="BodyText"/>
      </w:pPr>
      <w:r>
        <w:rPr>
          <w:bCs/>
          <w:b/>
        </w:rPr>
        <w:t xml:space="preserve">Graafisten työnkulkutyökalujen arviointi:</w:t>
      </w:r>
    </w:p>
    <w:tbl>
      <w:tblPr>
        <w:tblStyle w:val="Table"/>
        <w:tblW w:type="pct" w:w="5000"/>
        <w:tblLook w:firstRow="1" w:lastRow="0" w:firstColumn="0" w:lastColumn="0" w:noHBand="0" w:noVBand="0" w:val="0020"/>
        <w:jc w:val="start"/>
      </w:tblPr>
      <w:tblGrid>
        <w:gridCol w:w="848"/>
        <w:gridCol w:w="565"/>
        <w:gridCol w:w="1414"/>
        <w:gridCol w:w="1301"/>
        <w:gridCol w:w="792"/>
        <w:gridCol w:w="905"/>
        <w:gridCol w:w="2093"/>
      </w:tblGrid>
      <w:tr>
        <w:trPr>
          <w:tblHeader w:val="true"/>
        </w:trPr>
        <w:tc>
          <w:tcPr/>
          <w:p>
            <w:pPr>
              <w:pStyle w:val="Compact"/>
              <w:jc w:val="left"/>
            </w:pPr>
            <w:r>
              <w:t xml:space="preserve">Työkalu</w:t>
            </w:r>
          </w:p>
        </w:tc>
        <w:tc>
          <w:tcPr/>
          <w:p>
            <w:pPr>
              <w:pStyle w:val="Compact"/>
              <w:jc w:val="left"/>
            </w:pPr>
            <w:r>
              <w:t xml:space="preserve">Lisenssi</w:t>
            </w:r>
          </w:p>
        </w:tc>
        <w:tc>
          <w:tcPr/>
          <w:p>
            <w:pPr>
              <w:pStyle w:val="Compact"/>
              <w:jc w:val="left"/>
            </w:pPr>
            <w:r>
              <w:t xml:space="preserve">MCP-tuki</w:t>
            </w:r>
          </w:p>
        </w:tc>
        <w:tc>
          <w:tcPr/>
          <w:p>
            <w:pPr>
              <w:pStyle w:val="Compact"/>
              <w:jc w:val="left"/>
            </w:pPr>
            <w:r>
              <w:t xml:space="preserve">A2A-tuki</w:t>
            </w:r>
          </w:p>
        </w:tc>
        <w:tc>
          <w:tcPr/>
          <w:p>
            <w:pPr>
              <w:pStyle w:val="Compact"/>
              <w:jc w:val="left"/>
            </w:pPr>
            <w:r>
              <w:t xml:space="preserve">EU-isännöinti</w:t>
            </w:r>
          </w:p>
        </w:tc>
        <w:tc>
          <w:tcPr/>
          <w:p>
            <w:pPr>
              <w:pStyle w:val="Compact"/>
              <w:jc w:val="left"/>
            </w:pPr>
            <w:r>
              <w:t xml:space="preserve">React-upotettava</w:t>
            </w:r>
          </w:p>
        </w:tc>
        <w:tc>
          <w:tcPr/>
          <w:p>
            <w:pPr>
              <w:pStyle w:val="Compact"/>
              <w:jc w:val="left"/>
            </w:pPr>
            <w:r>
              <w:t xml:space="preserve">Paras käyttö</w:t>
            </w:r>
          </w:p>
        </w:tc>
      </w:tr>
      <w:tr>
        <w:tc>
          <w:tcPr/>
          <w:p>
            <w:pPr>
              <w:pStyle w:val="Compact"/>
              <w:jc w:val="left"/>
            </w:pPr>
            <w:r>
              <w:rPr>
                <w:bCs/>
                <w:b/>
              </w:rPr>
              <w:t xml:space="preserve">Langflow</w:t>
            </w:r>
          </w:p>
        </w:tc>
        <w:tc>
          <w:tcPr/>
          <w:p>
            <w:pPr>
              <w:pStyle w:val="Compact"/>
              <w:jc w:val="left"/>
            </w:pPr>
            <w:r>
              <w:t xml:space="preserve">Apache 2.0</w:t>
            </w:r>
          </w:p>
        </w:tc>
        <w:tc>
          <w:tcPr/>
          <w:p>
            <w:pPr>
              <w:pStyle w:val="Compact"/>
              <w:jc w:val="left"/>
            </w:pPr>
            <w:r>
              <w:t xml:space="preserve">Natiivi (client + server)</w:t>
            </w:r>
          </w:p>
        </w:tc>
        <w:tc>
          <w:tcPr/>
          <w:p>
            <w:pPr>
              <w:pStyle w:val="Compact"/>
              <w:jc w:val="left"/>
            </w:pPr>
            <w:r>
              <w:t xml:space="preserve">Mukautetuilla 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Agenttiorkestrointi, LLM-työnkulut</w:t>
            </w:r>
          </w:p>
        </w:tc>
      </w:tr>
      <w:tr>
        <w:tc>
          <w:tcPr/>
          <w:p>
            <w:pPr>
              <w:pStyle w:val="Compact"/>
              <w:jc w:val="left"/>
            </w:pPr>
            <w:r>
              <w:rPr>
                <w:bCs/>
                <w:b/>
              </w:rPr>
              <w:t xml:space="preserve">n8n</w:t>
            </w:r>
          </w:p>
        </w:tc>
        <w:tc>
          <w:tcPr/>
          <w:p>
            <w:pPr>
              <w:pStyle w:val="Compact"/>
              <w:jc w:val="left"/>
            </w:pPr>
            <w:r>
              <w:t xml:space="preserve">Fair Code</w:t>
            </w:r>
          </w:p>
        </w:tc>
        <w:tc>
          <w:tcPr/>
          <w:p>
            <w:pPr>
              <w:pStyle w:val="Compact"/>
              <w:jc w:val="left"/>
            </w:pPr>
            <w:r>
              <w:t xml:space="preserve">Yhteisösolmuilla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ERP/BIM-liittimet, dataputket</w:t>
            </w:r>
          </w:p>
        </w:tc>
      </w:tr>
      <w:tr>
        <w:tc>
          <w:tcPr/>
          <w:p>
            <w:pPr>
              <w:pStyle w:val="Compact"/>
              <w:jc w:val="left"/>
            </w:pPr>
            <w:r>
              <w:rPr>
                <w:bCs/>
                <w:b/>
              </w:rPr>
              <w:t xml:space="preserve">React Flow</w:t>
            </w:r>
          </w:p>
        </w:tc>
        <w:tc>
          <w:tcPr/>
          <w:p>
            <w:pPr>
              <w:pStyle w:val="Compact"/>
              <w:jc w:val="left"/>
            </w:pPr>
            <w:r>
              <w:t xml:space="preserve">MIT</w:t>
            </w:r>
          </w:p>
        </w:tc>
        <w:tc>
          <w:tcPr/>
          <w:p>
            <w:pPr>
              <w:pStyle w:val="Compact"/>
              <w:jc w:val="left"/>
            </w:pPr>
            <w:r>
              <w:t xml:space="preserve">Mukautettu toteutus</w:t>
            </w:r>
          </w:p>
        </w:tc>
        <w:tc>
          <w:tcPr/>
          <w:p>
            <w:pPr>
              <w:pStyle w:val="Compact"/>
              <w:jc w:val="left"/>
            </w:pPr>
            <w:r>
              <w:t xml:space="preserve">Mukautettu toteutus</w:t>
            </w:r>
          </w:p>
        </w:tc>
        <w:tc>
          <w:tcPr/>
          <w:p>
            <w:pPr>
              <w:pStyle w:val="Compact"/>
              <w:jc w:val="left"/>
            </w:pPr>
            <w:r>
              <w:t xml:space="preserve">N/A (kirjasto)</w:t>
            </w:r>
          </w:p>
        </w:tc>
        <w:tc>
          <w:tcPr/>
          <w:p>
            <w:pPr>
              <w:pStyle w:val="Compact"/>
              <w:jc w:val="left"/>
            </w:pPr>
            <w:r>
              <w:t xml:space="preserve">Natiivi React</w:t>
            </w:r>
          </w:p>
        </w:tc>
        <w:tc>
          <w:tcPr/>
          <w:p>
            <w:pPr>
              <w:pStyle w:val="Compact"/>
              <w:jc w:val="left"/>
            </w:pPr>
            <w:r>
              <w:t xml:space="preserve">Mukautettu visuaalinen käyttöliittymä</w:t>
            </w:r>
          </w:p>
        </w:tc>
      </w:tr>
      <w:tr>
        <w:tc>
          <w:tcPr/>
          <w:p>
            <w:pPr>
              <w:pStyle w:val="Compact"/>
              <w:jc w:val="left"/>
            </w:pPr>
            <w:r>
              <w:rPr>
                <w:bCs/>
                <w:b/>
              </w:rPr>
              <w:t xml:space="preserve">Flowise</w:t>
            </w:r>
          </w:p>
        </w:tc>
        <w:tc>
          <w:tcPr/>
          <w:p>
            <w:pPr>
              <w:pStyle w:val="Compact"/>
              <w:jc w:val="left"/>
            </w:pPr>
            <w:r>
              <w:t xml:space="preserve">Apache 2.0</w:t>
            </w:r>
          </w:p>
        </w:tc>
        <w:tc>
          <w:tcPr/>
          <w:p>
            <w:pPr>
              <w:pStyle w:val="Compact"/>
              <w:jc w:val="left"/>
            </w:pPr>
            <w:r>
              <w:t xml:space="preserve">Osittainen</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API/iframe</w:t>
            </w:r>
          </w:p>
        </w:tc>
        <w:tc>
          <w:tcPr/>
          <w:p>
            <w:pPr>
              <w:pStyle w:val="Compact"/>
              <w:jc w:val="left"/>
            </w:pPr>
            <w:r>
              <w:t xml:space="preserve">Chatbot-keskeiset RAG-työnkulut</w:t>
            </w:r>
          </w:p>
        </w:tc>
      </w:tr>
      <w:tr>
        <w:tc>
          <w:tcPr/>
          <w:p>
            <w:pPr>
              <w:pStyle w:val="Compact"/>
              <w:jc w:val="left"/>
            </w:pPr>
            <w:r>
              <w:rPr>
                <w:bCs/>
                <w:b/>
              </w:rPr>
              <w:t xml:space="preserve">Node-RED</w:t>
            </w:r>
          </w:p>
        </w:tc>
        <w:tc>
          <w:tcPr/>
          <w:p>
            <w:pPr>
              <w:pStyle w:val="Compact"/>
              <w:jc w:val="left"/>
            </w:pPr>
            <w:r>
              <w:t xml:space="preserve">Apache 2.0</w:t>
            </w:r>
          </w:p>
        </w:tc>
        <w:tc>
          <w:tcPr/>
          <w:p>
            <w:pPr>
              <w:pStyle w:val="Compact"/>
              <w:jc w:val="left"/>
            </w:pPr>
            <w:r>
              <w:t xml:space="preserve">FlowFusen kautta</w:t>
            </w:r>
          </w:p>
        </w:tc>
        <w:tc>
          <w:tcPr/>
          <w:p>
            <w:pPr>
              <w:pStyle w:val="Compact"/>
              <w:jc w:val="left"/>
            </w:pPr>
            <w:r>
              <w:t xml:space="preserve">HTTP-solmuilla</w:t>
            </w:r>
          </w:p>
        </w:tc>
        <w:tc>
          <w:tcPr/>
          <w:p>
            <w:pPr>
              <w:pStyle w:val="Compact"/>
              <w:jc w:val="left"/>
            </w:pPr>
            <w:r>
              <w:t xml:space="preserve">Kyllä</w:t>
            </w:r>
          </w:p>
        </w:tc>
        <w:tc>
          <w:tcPr/>
          <w:p>
            <w:pPr>
              <w:pStyle w:val="Compact"/>
              <w:jc w:val="left"/>
            </w:pPr>
            <w:r>
              <w:t xml:space="preserve">Iframe</w:t>
            </w:r>
          </w:p>
        </w:tc>
        <w:tc>
          <w:tcPr/>
          <w:p>
            <w:pPr>
              <w:pStyle w:val="Compact"/>
              <w:jc w:val="left"/>
            </w:pPr>
            <w:r>
              <w:t xml:space="preserve">IoT/reuna, teollinen automaatio</w:t>
            </w:r>
          </w:p>
        </w:tc>
      </w:tr>
      <w:tr>
        <w:tc>
          <w:tcPr/>
          <w:p>
            <w:pPr>
              <w:pStyle w:val="Compact"/>
              <w:jc w:val="left"/>
            </w:pPr>
            <w:r>
              <w:rPr>
                <w:bCs/>
                <w:b/>
              </w:rPr>
              <w:t xml:space="preserve">Temporal UI</w:t>
            </w:r>
          </w:p>
        </w:tc>
        <w:tc>
          <w:tcPr/>
          <w:p>
            <w:pPr>
              <w:pStyle w:val="Compact"/>
              <w:jc w:val="left"/>
            </w:pPr>
            <w:r>
              <w:t xml:space="preserve">MIT</w:t>
            </w:r>
          </w:p>
        </w:tc>
        <w:tc>
          <w:tcPr/>
          <w:p>
            <w:pPr>
              <w:pStyle w:val="Compact"/>
              <w:jc w:val="left"/>
            </w:pPr>
            <w:r>
              <w:t xml:space="preserve">Ei</w:t>
            </w:r>
          </w:p>
        </w:tc>
        <w:tc>
          <w:tcPr/>
          <w:p>
            <w:pPr>
              <w:pStyle w:val="Compact"/>
              <w:jc w:val="left"/>
            </w:pPr>
            <w:r>
              <w:t xml:space="preserve">Ei</w:t>
            </w:r>
          </w:p>
        </w:tc>
        <w:tc>
          <w:tcPr/>
          <w:p>
            <w:pPr>
              <w:pStyle w:val="Compact"/>
              <w:jc w:val="left"/>
            </w:pPr>
            <w:r>
              <w:t xml:space="preserve">Kyllä</w:t>
            </w:r>
          </w:p>
        </w:tc>
        <w:tc>
          <w:tcPr/>
          <w:p>
            <w:pPr>
              <w:pStyle w:val="Compact"/>
              <w:jc w:val="left"/>
            </w:pPr>
            <w:r>
              <w:t xml:space="preserve">API</w:t>
            </w:r>
          </w:p>
        </w:tc>
        <w:tc>
          <w:tcPr/>
          <w:p>
            <w:pPr>
              <w:pStyle w:val="Compact"/>
              <w:jc w:val="left"/>
            </w:pPr>
            <w:r>
              <w:t xml:space="preserve">Työnkulun suorituksen seuranta</w:t>
            </w:r>
          </w:p>
        </w:tc>
      </w:tr>
    </w:tbl>
    <w:p>
      <w:pPr>
        <w:pStyle w:val="BodyText"/>
      </w:pPr>
      <w:r>
        <w:rPr>
          <w:bCs/>
          <w:b/>
        </w:rPr>
        <w:t xml:space="preserve">Suositeltu arkkitehtuuri: Langflow + React Flow + Temporal.io</w:t>
      </w:r>
    </w:p>
    <w:p>
      <w:pPr>
        <w:pStyle w:val="SourceCode"/>
      </w:pPr>
      <w:r>
        <w:rPr>
          <w:rStyle w:val="VerbatimChar"/>
        </w:rPr>
        <w:t xml:space="preserve">┌─────────────────────────────────────────────────────────┐</w:t>
      </w:r>
      <w:r>
        <w:br/>
      </w:r>
      <w:r>
        <w:rPr>
          <w:rStyle w:val="VerbatimChar"/>
        </w:rPr>
        <w:t xml:space="preserve">│  DWS IQ Agent Orchestration Studio (React)              │</w:t>
      </w:r>
      <w:r>
        <w:br/>
      </w:r>
      <w:r>
        <w:rPr>
          <w:rStyle w:val="VerbatimChar"/>
        </w:rPr>
        <w:t xml:space="preserve">│  ┌───────────────────────────────────────────────────┐  │</w:t>
      </w:r>
      <w:r>
        <w:br/>
      </w:r>
      <w:r>
        <w:rPr>
          <w:rStyle w:val="VerbatimChar"/>
        </w:rPr>
        <w:t xml:space="preserve">│  │  React Flow -visuaalinen kanvas                   │  │</w:t>
      </w:r>
      <w:r>
        <w:br/>
      </w:r>
      <w:r>
        <w:rPr>
          <w:rStyle w:val="VerbatimChar"/>
        </w:rPr>
        <w:t xml:space="preserve">│  │  ┌──────┐  ┌──────┐  ┌──────┐  ┌──────┐         │  │</w:t>
      </w:r>
      <w:r>
        <w:br/>
      </w:r>
      <w:r>
        <w:rPr>
          <w:rStyle w:val="VerbatimChar"/>
        </w:rPr>
        <w:t xml:space="preserve">│  │  │ NCC  │→│Turval│→│ DWS  │→│Rapor-│         │  │</w:t>
      </w:r>
      <w:r>
        <w:br/>
      </w:r>
      <w:r>
        <w:rPr>
          <w:rStyle w:val="VerbatimChar"/>
        </w:rPr>
        <w:t xml:space="preserve">│  │  │ BIM  │  │lisuus│  │Hiili │  │tointi│         │  │</w:t>
      </w:r>
      <w:r>
        <w:br/>
      </w:r>
      <w:r>
        <w:rPr>
          <w:rStyle w:val="VerbatimChar"/>
        </w:rPr>
        <w:t xml:space="preserve">│  │  └──────┘  └──────┘  └──────┘  └──────┘         │  │</w:t>
      </w:r>
      <w:r>
        <w:br/>
      </w:r>
      <w:r>
        <w:rPr>
          <w:rStyle w:val="VerbatimChar"/>
        </w:rPr>
        <w:t xml:space="preserve">│  │       ↑                   ↑                       │  │</w:t>
      </w:r>
      <w:r>
        <w:br/>
      </w:r>
      <w:r>
        <w:rPr>
          <w:rStyle w:val="VerbatimChar"/>
        </w:rPr>
        <w:t xml:space="preserve">│  │  ┌──────┐            ┌──────┐                     │  │</w:t>
      </w:r>
      <w:r>
        <w:br/>
      </w:r>
      <w:r>
        <w:rPr>
          <w:rStyle w:val="VerbatimChar"/>
        </w:rPr>
        <w:t xml:space="preserve">│  │  │Tekla │            │LVI-  │ (urakoitsija)       │  │</w:t>
      </w:r>
      <w:r>
        <w:br/>
      </w:r>
      <w:r>
        <w:rPr>
          <w:rStyle w:val="VerbatimChar"/>
        </w:rPr>
        <w:t xml:space="preserve">│  │  │Liitin│            │agentti│                     │  │</w:t>
      </w:r>
      <w:r>
        <w:br/>
      </w:r>
      <w:r>
        <w:rPr>
          <w:rStyle w:val="VerbatimChar"/>
        </w:rPr>
        <w:t xml:space="preserve">│  │  └──────┘            └──────┘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Langflow-moottori (MCP + A2A -orkestrointi)      │  │</w:t>
      </w:r>
      <w:r>
        <w:br/>
      </w:r>
      <w:r>
        <w:rPr>
          <w:rStyle w:val="VerbatimChar"/>
        </w:rPr>
        <w:t xml:space="preserve">│  │  - Jokainen agenttisolmu = A2A Agent Card         │  │</w:t>
      </w:r>
      <w:r>
        <w:br/>
      </w:r>
      <w:r>
        <w:rPr>
          <w:rStyle w:val="VerbatimChar"/>
        </w:rPr>
        <w:t xml:space="preserve">│  │  - Jokainen liitin = MCP-työkalu                  │  │</w:t>
      </w:r>
      <w:r>
        <w:br/>
      </w:r>
      <w:r>
        <w:rPr>
          <w:rStyle w:val="VerbatimChar"/>
        </w:rPr>
        <w:t xml:space="preserve">│  │  - Työnkulut viedään Temporal.io-työnkuluiksi     │  │</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Temporal.io (suoritusmoottori, jo käytössä)      │  │</w:t>
      </w:r>
      <w:r>
        <w:br/>
      </w:r>
      <w:r>
        <w:rPr>
          <w:rStyle w:val="VerbatimChar"/>
        </w:rPr>
        <w:t xml:space="preserve">│  │  - Kestävä työnkulun suoritus                     │  │</w:t>
      </w:r>
      <w:r>
        <w:br/>
      </w:r>
      <w:r>
        <w:rPr>
          <w:rStyle w:val="VerbatimChar"/>
        </w:rPr>
        <w:t xml:space="preserve">│  │  - Uudelleenyritys, aikakatkaisu, kompensointi    │  │</w:t>
      </w:r>
      <w:r>
        <w:br/>
      </w:r>
      <w:r>
        <w:rPr>
          <w:rStyle w:val="VerbatimChar"/>
        </w:rPr>
        <w:t xml:space="preserve">│  │  - EU:n tekoälysäädöksen artikla 12 -auditointipolku │</w:t>
      </w:r>
      <w:r>
        <w:br/>
      </w:r>
      <w:r>
        <w:rPr>
          <w:rStyle w:val="VerbatimChar"/>
        </w:rPr>
        <w:t xml:space="preserve">│  └───────────────────────────────────────────────────┘  │</w:t>
      </w:r>
      <w:r>
        <w:br/>
      </w:r>
      <w:r>
        <w:rPr>
          <w:rStyle w:val="VerbatimChar"/>
        </w:rPr>
        <w:t xml:space="preserve">└─────────────────────────────────────────────────────────┘</w:t>
      </w:r>
    </w:p>
    <w:p>
      <w:pPr>
        <w:pStyle w:val="FirstParagraph"/>
      </w:pPr>
      <w:r>
        <w:rPr>
          <w:bCs/>
          <w:b/>
        </w:rPr>
        <w:t xml:space="preserve">Miksi tämä yhdistelmä:</w:t>
      </w:r>
    </w:p>
    <w:p>
      <w:pPr>
        <w:numPr>
          <w:ilvl w:val="0"/>
          <w:numId w:val="1051"/>
        </w:numPr>
      </w:pPr>
      <w:r>
        <w:rPr>
          <w:bCs/>
          <w:b/>
        </w:rPr>
        <w:t xml:space="preserve">React Flow</w:t>
      </w:r>
      <w:r>
        <w:t xml:space="preserve"> </w:t>
      </w:r>
      <w:r>
        <w:t xml:space="preserve">— Mukautettu visuaalinen kanvas upotettu DWS IQ React -hallintapaneeliin. NCC:n käyttäjät vetävät ja pudottavat agenttisolmuja, piirtävät yhteyksiä, asettavat agenttikohtaisia LLM-malleja. MIT-lisenssi, nolla toimittajalukkiutumista.</w:t>
      </w:r>
    </w:p>
    <w:p>
      <w:pPr>
        <w:numPr>
          <w:ilvl w:val="0"/>
          <w:numId w:val="1051"/>
        </w:numPr>
      </w:pPr>
      <w:r>
        <w:rPr>
          <w:bCs/>
          <w:b/>
        </w:rPr>
        <w:t xml:space="preserve">Langflow</w:t>
      </w:r>
      <w:r>
        <w:t xml:space="preserve"> </w:t>
      </w:r>
      <w:r>
        <w:t xml:space="preserve">— Taustaorkestointi</w:t>
      </w:r>
      <w:r>
        <w:softHyphen/>
      </w:r>
      <w:r>
        <w:t xml:space="preserve">moottori. Natiivi MCP-protokollatuki tarkoittaa, että jokainen DWS IQ -työkalu (Supabase, Hiilimoottori, ERP-liittimet) on käytettävissä. Natiivi A2A-tuki tarkoittaa, että urakoitsija-agentit rekisteröityvät automaattisesti Agent Card -korttien kautta. Apache 2.0, EU-isännöity (europe-north1). IBM:n yrityskumppanuus tarjoaa lisävalidoinnin.</w:t>
      </w:r>
    </w:p>
    <w:p>
      <w:pPr>
        <w:numPr>
          <w:ilvl w:val="0"/>
          <w:numId w:val="1051"/>
        </w:numPr>
      </w:pPr>
      <w:r>
        <w:rPr>
          <w:bCs/>
          <w:b/>
        </w:rPr>
        <w:t xml:space="preserve">Temporal.io</w:t>
      </w:r>
      <w:r>
        <w:t xml:space="preserve"> </w:t>
      </w:r>
      <w:r>
        <w:t xml:space="preserve">— Jo DWS IQ -teknologiapinossa. Suorittaa visuaalisessa rakentajassa määritellyt työnkulut. Tarjoaa kestävän suorituksen (työnkulut selviävät palvelimen uudelleenkäynnistyksistä), automaattiset uudelleenyritykset, aikakatkaisujen hallinnan ja täydellisen auditointipolun EU:n tekoälysäädöksen artikla 12 -vaatimusten mukaisesti.</w:t>
      </w:r>
    </w:p>
    <w:p>
      <w:pPr>
        <w:pStyle w:val="FirstParagraph"/>
      </w:pPr>
      <w:r>
        <w:rPr>
          <w:bCs/>
          <w:b/>
        </w:rPr>
        <w:t xml:space="preserve">n8n</w:t>
      </w:r>
      <w:r>
        <w:t xml:space="preserve"> </w:t>
      </w:r>
      <w:r>
        <w:t xml:space="preserve">toimii täydentävänä työkaluna ERP/BIM-liitin</w:t>
      </w:r>
      <w:r>
        <w:softHyphen/>
      </w:r>
      <w:r>
        <w:t xml:space="preserve">työnkuluissa (Tekla Structures ↔ IFS Cloud -tietosynkronointi), joissa Langflown LLM-painotus on tarpeeton.</w:t>
      </w:r>
    </w:p>
    <w:bookmarkEnd w:id="152"/>
    <w:bookmarkStart w:id="153" w:name="urakoitsija-agentin-käyttöönotto"/>
    <w:p>
      <w:pPr>
        <w:pStyle w:val="Heading3"/>
      </w:pPr>
      <w:r>
        <w:t xml:space="preserve">10.7.4 Urakoitsija-agentin käyttöönotto</w:t>
      </w:r>
    </w:p>
    <w:p>
      <w:pPr>
        <w:pStyle w:val="SourceCode"/>
      </w:pPr>
      <w:r>
        <w:rPr>
          <w:rStyle w:val="VerbatimChar"/>
        </w:rPr>
        <w:t xml:space="preserve">1. Urakoitsija julkaisee Agent Cardin osoitteessa /.well-known/agent.json</w:t>
      </w:r>
      <w:r>
        <w:br/>
      </w:r>
      <w:r>
        <w:rPr>
          <w:rStyle w:val="VerbatimChar"/>
        </w:rPr>
        <w:t xml:space="preserve">2. NCC:n ylläpitäjä avaa Agent Orchestration Studion</w:t>
      </w:r>
      <w:r>
        <w:br/>
      </w:r>
      <w:r>
        <w:rPr>
          <w:rStyle w:val="VerbatimChar"/>
        </w:rPr>
        <w:t xml:space="preserve">3. Studio löytää urakoitsija-agentin A2A-protokollalla</w:t>
      </w:r>
      <w:r>
        <w:br/>
      </w:r>
      <w:r>
        <w:rPr>
          <w:rStyle w:val="VerbatimChar"/>
        </w:rPr>
        <w:t xml:space="preserve">4. NCC:n ylläpitäjä vetää urakoitsija-agentin kanvakselle</w:t>
      </w:r>
      <w:r>
        <w:br/>
      </w:r>
      <w:r>
        <w:rPr>
          <w:rStyle w:val="VerbatimChar"/>
        </w:rPr>
        <w:t xml:space="preserve">5. NCC:n ylläpitäjä yhdistää urakoitsijan relevantteihin työnkulkuihin</w:t>
      </w:r>
      <w:r>
        <w:br/>
      </w:r>
      <w:r>
        <w:rPr>
          <w:rStyle w:val="VerbatimChar"/>
        </w:rPr>
        <w:t xml:space="preserve">6. Studio validoi yhteyden (A2A-terveystarkistus)</w:t>
      </w:r>
      <w:r>
        <w:br/>
      </w:r>
      <w:r>
        <w:rPr>
          <w:rStyle w:val="VerbatimChar"/>
        </w:rPr>
        <w:t xml:space="preserve">7. Työnkulku otetaan käyttöön Temporal.io:ssa suoritettavaksi</w:t>
      </w:r>
      <w:r>
        <w:br/>
      </w:r>
      <w:r>
        <w:rPr>
          <w:rStyle w:val="VerbatimChar"/>
        </w:rPr>
        <w:t xml:space="preserve">8. Kaikki agenttivuorovaikutukset kirjataan EU:n tekoälysäädöksen artikla 12 mukaisesti</w:t>
      </w:r>
    </w:p>
    <w:p>
      <w:pPr>
        <w:pStyle w:val="FirstParagraph"/>
      </w:pPr>
      <w:r>
        <w:t xml:space="preserve">Tämä arkkitehtuuri mahdollistaa NCC:n hallita 24+ agenttia visuaalisesti ilman koodin kirjoittamista, samalla ylläpitäen täyden EU-tietojen sijainnin, auditointivaatimustenmukaisuuden ja agenttikohtaisen LLM-joustavuuden.</w:t>
      </w:r>
    </w:p>
    <w:bookmarkEnd w:id="153"/>
    <w:bookmarkEnd w:id="154"/>
    <w:bookmarkStart w:id="158" w:name="X275510c6f47967a7d06f7c067d2074d7b833a63"/>
    <w:p>
      <w:pPr>
        <w:pStyle w:val="Heading2"/>
      </w:pPr>
      <w:r>
        <w:t xml:space="preserve">10.6 DWS-tuotestandardi — Yritystuotteiden kaaoksen ratkaiseminen</w:t>
      </w:r>
    </w:p>
    <w:bookmarkStart w:id="155" w:name="ongelmanasettelu"/>
    <w:p>
      <w:pPr>
        <w:pStyle w:val="Heading3"/>
      </w:pPr>
      <w:r>
        <w:t xml:space="preserve">Ongelmanasettelu</w:t>
      </w:r>
    </w:p>
    <w:p>
      <w:pPr>
        <w:pStyle w:val="FirstParagraph"/>
      </w:pPr>
      <w:r>
        <w:t xml:space="preserve">Kun Firehorse-tuotekatalogi kasvoi 30 uniikkiin tuotteeseen, jotka olivat kopioituna 5 eri katalogitiedostoon, hinnoittelun epäjohdonmukaisuudet alkoivat uhata kaupallista uskottavuutta. Sama tuote esiintyi eri hinnalla riippuen siitä, mitä tiedostoa myyjä, sijoittaja tai asiakas tarkasteli:</w:t>
      </w:r>
    </w:p>
    <w:tbl>
      <w:tblPr>
        <w:tblStyle w:val="Table"/>
        <w:tblW w:type="pct" w:w="5000"/>
        <w:tblLook w:firstRow="1" w:lastRow="0" w:firstColumn="0" w:lastColumn="0" w:noHBand="0" w:noVBand="0" w:val="0020"/>
        <w:jc w:val="start"/>
      </w:tblPr>
      <w:tblGrid>
        <w:gridCol w:w="2750"/>
        <w:gridCol w:w="2090"/>
        <w:gridCol w:w="2090"/>
        <w:gridCol w:w="990"/>
      </w:tblGrid>
      <w:tr>
        <w:trPr>
          <w:tblHeader w:val="true"/>
        </w:trPr>
        <w:tc>
          <w:tcPr/>
          <w:p>
            <w:pPr>
              <w:pStyle w:val="Compact"/>
              <w:jc w:val="left"/>
            </w:pPr>
            <w:r>
              <w:t xml:space="preserve">Tuote</w:t>
            </w:r>
          </w:p>
        </w:tc>
        <w:tc>
          <w:tcPr/>
          <w:p>
            <w:pPr>
              <w:pStyle w:val="Compact"/>
              <w:jc w:val="left"/>
            </w:pPr>
            <w:r>
              <w:t xml:space="preserve">Alin löydetty hinta</w:t>
            </w:r>
          </w:p>
        </w:tc>
        <w:tc>
          <w:tcPr/>
          <w:p>
            <w:pPr>
              <w:pStyle w:val="Compact"/>
              <w:jc w:val="left"/>
            </w:pPr>
            <w:r>
              <w:t xml:space="preserve">Ylin löydetty hinta</w:t>
            </w:r>
          </w:p>
        </w:tc>
        <w:tc>
          <w:tcPr/>
          <w:p>
            <w:pPr>
              <w:pStyle w:val="Compact"/>
              <w:jc w:val="left"/>
            </w:pPr>
            <w:r>
              <w:t xml:space="preserve">Varianssi</w:t>
            </w:r>
          </w:p>
        </w:tc>
      </w:tr>
      <w:tr>
        <w:tc>
          <w:tcPr/>
          <w:p>
            <w:pPr>
              <w:pStyle w:val="Compact"/>
              <w:jc w:val="left"/>
            </w:pPr>
            <w:r>
              <w:t xml:space="preserve">DWS IQ Platform</w:t>
            </w:r>
          </w:p>
        </w:tc>
        <w:tc>
          <w:tcPr/>
          <w:p>
            <w:pPr>
              <w:pStyle w:val="Compact"/>
              <w:jc w:val="left"/>
            </w:pPr>
            <w:r>
              <w:t xml:space="preserve">€4 999</w:t>
            </w:r>
          </w:p>
        </w:tc>
        <w:tc>
          <w:tcPr/>
          <w:p>
            <w:pPr>
              <w:pStyle w:val="Compact"/>
              <w:jc w:val="left"/>
            </w:pPr>
            <w:r>
              <w:t xml:space="preserve">€12 500</w:t>
            </w:r>
          </w:p>
        </w:tc>
        <w:tc>
          <w:tcPr/>
          <w:p>
            <w:pPr>
              <w:pStyle w:val="Compact"/>
              <w:jc w:val="left"/>
            </w:pPr>
            <w:r>
              <w:t xml:space="preserve">2,5×</w:t>
            </w:r>
          </w:p>
        </w:tc>
      </w:tr>
      <w:tr>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€350/h</w:t>
            </w:r>
          </w:p>
        </w:tc>
        <w:tc>
          <w:tcPr/>
          <w:p>
            <w:pPr>
              <w:pStyle w:val="Compact"/>
              <w:jc w:val="left"/>
            </w:pPr>
            <w:r>
              <w:t xml:space="preserve">3,6×</w:t>
            </w:r>
          </w:p>
        </w:tc>
      </w:tr>
      <w:tr>
        <w:tc>
          <w:tcPr/>
          <w:p>
            <w:pPr>
              <w:pStyle w:val="Compact"/>
              <w:jc w:val="left"/>
            </w:pPr>
            <w:r>
              <w:t xml:space="preserve">Workshop 3 päivää</w:t>
            </w:r>
          </w:p>
        </w:tc>
        <w:tc>
          <w:tcPr/>
          <w:p>
            <w:pPr>
              <w:pStyle w:val="Compact"/>
              <w:jc w:val="left"/>
            </w:pPr>
            <w:r>
              <w:t xml:space="preserve">€4 500</w:t>
            </w:r>
          </w:p>
        </w:tc>
        <w:tc>
          <w:tcPr/>
          <w:p>
            <w:pPr>
              <w:pStyle w:val="Compact"/>
              <w:jc w:val="left"/>
            </w:pPr>
            <w:r>
              <w:t xml:space="preserve">€15 000</w:t>
            </w:r>
          </w:p>
        </w:tc>
        <w:tc>
          <w:tcPr/>
          <w:p>
            <w:pPr>
              <w:pStyle w:val="Compact"/>
              <w:jc w:val="left"/>
            </w:pPr>
            <w:r>
              <w:t xml:space="preserve">3,3×</w:t>
            </w:r>
          </w:p>
        </w:tc>
      </w:tr>
      <w:tr>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€8 000</w:t>
            </w:r>
          </w:p>
        </w:tc>
        <w:tc>
          <w:tcPr/>
          <w:p>
            <w:pPr>
              <w:pStyle w:val="Compact"/>
              <w:jc w:val="left"/>
            </w:pPr>
            <w:r>
              <w:t xml:space="preserve">16,0×</w:t>
            </w:r>
          </w:p>
        </w:tc>
      </w:tr>
    </w:tbl>
    <w:p>
      <w:pPr>
        <w:pStyle w:val="BodyText"/>
      </w:pPr>
      <w:r>
        <w:t xml:space="preserve">Tämä ei ole tekninen ongelma. Se on</w:t>
      </w:r>
      <w:r>
        <w:t xml:space="preserve"> </w:t>
      </w:r>
      <w:r>
        <w:rPr>
          <w:bCs/>
          <w:b/>
        </w:rPr>
        <w:t xml:space="preserve">luottamusongelma.</w:t>
      </w:r>
      <w:r>
        <w:t xml:space="preserve"> </w:t>
      </w:r>
      <w:r>
        <w:t xml:space="preserve">Pohjoismaisilla B2B-markkinoilla, joilla läpinäkyvyys on kulttuurinen vaatimus, epäjohdonmukainen hinnoittelu tuhoaa uskottavuuden nopeammin kuin mikään kilpailija.</w:t>
      </w:r>
    </w:p>
    <w:bookmarkEnd w:id="155"/>
    <w:bookmarkStart w:id="156" w:name="ratkaisu-dws-tuotestandardi-v1.0"/>
    <w:p>
      <w:pPr>
        <w:pStyle w:val="Heading3"/>
      </w:pPr>
      <w:r>
        <w:t xml:space="preserve">Ratkaisu: DWS-tuotestandardi v1.0</w:t>
      </w:r>
    </w:p>
    <w:p>
      <w:pPr>
        <w:pStyle w:val="FirstParagraph"/>
      </w:pPr>
      <w:r>
        <w:t xml:space="preserve">DWS-tuotestandardi (</w:t>
      </w:r>
      <w:r>
        <w:rPr>
          <w:rStyle w:val="VerbatimChar"/>
        </w:rPr>
        <w:t xml:space="preserve">DWS_PRODUCT_STANDARD.md</w:t>
      </w:r>
      <w:r>
        <w:t xml:space="preserve">) luotiin kaikkien tuotemäärittelyjen yhdeksi totuudenlähteeksi. Ristiriidat ratkaistiin</w:t>
      </w:r>
      <w:r>
        <w:t xml:space="preserve"> </w:t>
      </w:r>
      <w:r>
        <w:rPr>
          <w:bCs/>
          <w:b/>
        </w:rPr>
        <w:t xml:space="preserve">kaksikanavaisella hinnoittelumallilla:</w:t>
      </w:r>
    </w:p>
    <w:p>
      <w:pPr>
        <w:numPr>
          <w:ilvl w:val="0"/>
          <w:numId w:val="1052"/>
        </w:numPr>
        <w:pStyle w:val="Compact"/>
      </w:pPr>
      <w:r>
        <w:rPr>
          <w:bCs/>
          <w:b/>
        </w:rPr>
        <w:t xml:space="preserve">Itsepalvelukauppa</w:t>
      </w:r>
      <w:r>
        <w:t xml:space="preserve"> </w:t>
      </w:r>
      <w:r>
        <w:t xml:space="preserve">(dws10.com): Julkaistut hinnat pk-yrityksille ja itsepalveluostajille, Revolut/Stripe-maksurajapinnalla</w:t>
      </w:r>
    </w:p>
    <w:p>
      <w:pPr>
        <w:numPr>
          <w:ilvl w:val="0"/>
          <w:numId w:val="1052"/>
        </w:numPr>
        <w:pStyle w:val="Compact"/>
      </w:pPr>
      <w:r>
        <w:rPr>
          <w:bCs/>
          <w:b/>
        </w:rPr>
        <w:t xml:space="preserve">Yrityssuoramyynti</w:t>
      </w:r>
      <w:r>
        <w:t xml:space="preserve">: Tilaustasot (€5 990–€10 950/kk) suurille organisaatioille, sisältäen täyden Firehorse Suite -paketin</w:t>
      </w:r>
    </w:p>
    <w:p>
      <w:pPr>
        <w:pStyle w:val="FirstParagraph"/>
      </w:pPr>
      <w:r>
        <w:t xml:space="preserve">Standardi määrittelee:</w:t>
      </w:r>
    </w:p>
    <w:p>
      <w:pPr>
        <w:numPr>
          <w:ilvl w:val="0"/>
          <w:numId w:val="1053"/>
        </w:numPr>
        <w:pStyle w:val="Compact"/>
      </w:pPr>
      <w:r>
        <w:t xml:space="preserve">Tuotetaksonomian 6 tuoteperheen mukaan</w:t>
      </w:r>
    </w:p>
    <w:p>
      <w:pPr>
        <w:numPr>
          <w:ilvl w:val="0"/>
          <w:numId w:val="1053"/>
        </w:numPr>
        <w:pStyle w:val="Compact"/>
      </w:pPr>
      <w:r>
        <w:t xml:space="preserve">Pakollisen kahden numeron hinnoittelusäännön (</w:t>
      </w:r>
      <w:r>
        <w:t xml:space="preserve">“</w:t>
      </w:r>
      <w:r>
        <w:t xml:space="preserve">Osta nyt: €XX / Kuukausihinta: €YY</w:t>
      </w:r>
      <w:r>
        <w:t xml:space="preserve">”</w:t>
      </w:r>
      <w:r>
        <w:t xml:space="preserve">)</w:t>
      </w:r>
    </w:p>
    <w:p>
      <w:pPr>
        <w:numPr>
          <w:ilvl w:val="0"/>
          <w:numId w:val="1053"/>
        </w:numPr>
        <w:pStyle w:val="Compact"/>
      </w:pPr>
      <w:r>
        <w:t xml:space="preserve">Hintalattian vähimmäistason (minimi €150/h konsultoinnille, €499 ohjelmistomoduuleille)</w:t>
      </w:r>
    </w:p>
    <w:p>
      <w:pPr>
        <w:numPr>
          <w:ilvl w:val="0"/>
          <w:numId w:val="1053"/>
        </w:numPr>
        <w:pStyle w:val="Compact"/>
      </w:pPr>
      <w:r>
        <w:t xml:space="preserve">Google Merchant Center -yhteensopivuuden kaikille tuotteille</w:t>
      </w:r>
    </w:p>
    <w:p>
      <w:pPr>
        <w:numPr>
          <w:ilvl w:val="0"/>
          <w:numId w:val="1053"/>
        </w:numPr>
        <w:pStyle w:val="Compact"/>
      </w:pPr>
      <w:r>
        <w:t xml:space="preserve">Hinnoitteluristiriitojen ratkaisuprotokollan muutoksen levitystarkistuslistalla</w:t>
      </w:r>
    </w:p>
    <w:p>
      <w:pPr>
        <w:numPr>
          <w:ilvl w:val="0"/>
          <w:numId w:val="1053"/>
        </w:numPr>
        <w:pStyle w:val="Compact"/>
      </w:pPr>
      <w:r>
        <w:t xml:space="preserve">Tuotteen elinkaarihallinnan (Alpha → Active → Sunset → Retired)</w:t>
      </w:r>
    </w:p>
    <w:bookmarkEnd w:id="156"/>
    <w:bookmarkStart w:id="157" w:name="tutkimuskontribuutio"/>
    <w:p>
      <w:pPr>
        <w:pStyle w:val="Heading3"/>
      </w:pPr>
      <w:r>
        <w:t xml:space="preserve">Tutkimuskontribuutio</w:t>
      </w:r>
    </w:p>
    <w:p>
      <w:pPr>
        <w:pStyle w:val="FirstParagraph"/>
      </w:pPr>
      <w:r>
        <w:t xml:space="preserve">Tämä edustaa uutta kontribuutiota</w:t>
      </w:r>
      <w:r>
        <w:t xml:space="preserve"> </w:t>
      </w:r>
      <w:r>
        <w:rPr>
          <w:bCs/>
          <w:b/>
        </w:rPr>
        <w:t xml:space="preserve">tekoälyavusteiseen tuotehallintaan</w:t>
      </w:r>
      <w:r>
        <w:t xml:space="preserve">: tuotestandardi luotiin järjestelmällisellä tekoälyanalyysillä koko koodikannasta, tunnistaen ristiriitoja joita manuaalinen katselmus ei havainnut 3 kuukauden aikana. Auditointimenetelmä — monikansioinen hintapoimiminen, ristiviittaaminen ja ristiriitojen ratkaisu — on toistettavissa mille tahansa SaaS-yritykselle, joka skaalautuu yksituotteisesta monituotteiseen katalogiin.</w:t>
      </w:r>
    </w:p>
    <w:bookmarkEnd w:id="157"/>
    <w:bookmarkEnd w:id="158"/>
    <w:bookmarkStart w:id="162" w:name="X979f60acc8acca2cbce0c688f0b42b02628ce6d"/>
    <w:p>
      <w:pPr>
        <w:pStyle w:val="Heading2"/>
      </w:pPr>
      <w:r>
        <w:t xml:space="preserve">10.7 Brändistandardi: tuoteselkeys — Yhden klikkauksen teollinen osto</w:t>
      </w:r>
    </w:p>
    <w:bookmarkStart w:id="159" w:name="yhden-klikkauksen-hypoteesi"/>
    <w:p>
      <w:pPr>
        <w:pStyle w:val="Heading3"/>
      </w:pPr>
      <w:r>
        <w:t xml:space="preserve">Yhden klikkauksen hypoteesi</w:t>
      </w:r>
    </w:p>
    <w:p>
      <w:pPr>
        <w:pStyle w:val="FirstParagraph"/>
      </w:pPr>
      <w:r>
        <w:t xml:space="preserve">Teolliset B2B SaaS -tuotteet myydään perinteisesti 45–90 päivän konsultatiivisilla myyntisykleillä. Pohjoismainen myyntistrategia (Osio 11) haastaa tämän oletuksen: jos hinnoittelu on läpinäkyvää, demo on itsepalveluna ja sopimus on digitaalinen, varsinainen päätös vie yhden päivän. Loput 44–89 päivää ovat kitkaa.</w:t>
      </w:r>
    </w:p>
    <w:p>
      <w:pPr>
        <w:pStyle w:val="BodyText"/>
      </w:pPr>
      <w:r>
        <w:t xml:space="preserve">DWS-brändistandardi v1.1 päivitettiin koodaamaan tämä oivallus tuotekortti-UI-komponenteiksi:</w:t>
      </w:r>
    </w:p>
    <w:p>
      <w:pPr>
        <w:numPr>
          <w:ilvl w:val="0"/>
          <w:numId w:val="1054"/>
        </w:numPr>
        <w:pStyle w:val="Compact"/>
      </w:pPr>
      <w:r>
        <w:rPr>
          <w:bCs/>
          <w:b/>
        </w:rPr>
        <w:t xml:space="preserve">Tuotehinnoittelun selkeys (Osio 7):</w:t>
      </w:r>
      <w:r>
        <w:t xml:space="preserve"> </w:t>
      </w:r>
      <w:r>
        <w:t xml:space="preserve">Uudet CSS-tokenit hintanäytölle, yritystason korttivariantit ja pakollinen kahden numeron sääntö UI-standardina</w:t>
      </w:r>
    </w:p>
    <w:p>
      <w:pPr>
        <w:numPr>
          <w:ilvl w:val="0"/>
          <w:numId w:val="1054"/>
        </w:numPr>
        <w:pStyle w:val="Compact"/>
      </w:pPr>
      <w:r>
        <w:rPr>
          <w:bCs/>
          <w:b/>
        </w:rPr>
        <w:t xml:space="preserve">Älykäs päätösavustaja:</w:t>
      </w:r>
      <w:r>
        <w:t xml:space="preserve"> </w:t>
      </w:r>
      <w:r>
        <w:t xml:space="preserve">2-kysymyksen suosittelija, joka kertoo ostajalle oikean tason portfolion koon ja CSRD-aikarajapaineen perusteella</w:t>
      </w:r>
    </w:p>
    <w:p>
      <w:pPr>
        <w:numPr>
          <w:ilvl w:val="0"/>
          <w:numId w:val="1054"/>
        </w:numPr>
        <w:pStyle w:val="Compact"/>
      </w:pPr>
      <w:r>
        <w:rPr>
          <w:bCs/>
          <w:b/>
        </w:rPr>
        <w:t xml:space="preserve">Tason merkkijärjestelmä:</w:t>
      </w:r>
      <w:r>
        <w:t xml:space="preserve"> </w:t>
      </w:r>
      <w:r>
        <w:t xml:space="preserve">Visuaalinen hierarkia (Pilot = sininen, Alpha = violetti, Production = vihreä), joka viestii etenemisestä ilman myyntihenkilön selitystä</w:t>
      </w:r>
    </w:p>
    <w:bookmarkEnd w:id="159"/>
    <w:bookmarkStart w:id="160" w:name="X9a0427afd0e00faaaec92fb242980b02585b605"/>
    <w:p>
      <w:pPr>
        <w:pStyle w:val="Heading3"/>
      </w:pPr>
      <w:r>
        <w:t xml:space="preserve">Kulttuurinen suunnittelumalli: €13,70 buffet</w:t>
      </w:r>
    </w:p>
    <w:p>
      <w:pPr>
        <w:pStyle w:val="FirstParagraph"/>
      </w:pPr>
      <w:r>
        <w:t xml:space="preserve">Brändistandardi koodaa nyt eksplisiittisesti pohjoismaisen kulttuurisen suunnitteluperiaatteen: suomalaisen lounasbuffen mallin. Hintaan €13,70 buffet toimii, koska hinta näkyy ennen sitoutumista, arvo näkyy ennen maksamista, riski on matala ja poistuminen on puhdas. Päivitetty brändistandardi soveltaa samaa ahdistuksenvähennyskuviota €5 990/kk yrityssovellusohjelmistoon:</w:t>
      </w:r>
    </w:p>
    <w:p>
      <w:pPr>
        <w:numPr>
          <w:ilvl w:val="0"/>
          <w:numId w:val="1055"/>
        </w:numPr>
        <w:pStyle w:val="Compact"/>
      </w:pPr>
      <w:r>
        <w:t xml:space="preserve">Julkaistu hinnoittelu (ei</w:t>
      </w:r>
      <w:r>
        <w:t xml:space="preserve"> </w:t>
      </w:r>
      <w:r>
        <w:t xml:space="preserve">“</w:t>
      </w:r>
      <w:r>
        <w:t xml:space="preserve">ota yhteyttä</w:t>
      </w:r>
      <w:r>
        <w:t xml:space="preserve">”</w:t>
      </w:r>
      <w:r>
        <w:t xml:space="preserve"> </w:t>
      </w:r>
      <w:r>
        <w:t xml:space="preserve">-mallia)</w:t>
      </w:r>
    </w:p>
    <w:p>
      <w:pPr>
        <w:numPr>
          <w:ilvl w:val="0"/>
          <w:numId w:val="1055"/>
        </w:numPr>
        <w:pStyle w:val="Compact"/>
      </w:pPr>
      <w:r>
        <w:t xml:space="preserve">Livedemo saatavilla pelkällä sähköpostilla (ei myyntikvalifiointia)</w:t>
      </w:r>
    </w:p>
    <w:p>
      <w:pPr>
        <w:numPr>
          <w:ilvl w:val="0"/>
          <w:numId w:val="1055"/>
        </w:numPr>
        <w:pStyle w:val="Compact"/>
      </w:pPr>
      <w:r>
        <w:t xml:space="preserve">Standardisopimus (ei räätälöityjä neuvotteluja)</w:t>
      </w:r>
    </w:p>
    <w:p>
      <w:pPr>
        <w:numPr>
          <w:ilvl w:val="0"/>
          <w:numId w:val="1055"/>
        </w:numPr>
        <w:pStyle w:val="Compact"/>
      </w:pPr>
      <w:r>
        <w:t xml:space="preserve">5 kuukauden pilotti puhtaalla irtisanomisella</w:t>
      </w:r>
    </w:p>
    <w:bookmarkEnd w:id="160"/>
    <w:bookmarkStart w:id="161" w:name="tutkimuskontribuutio-1"/>
    <w:p>
      <w:pPr>
        <w:pStyle w:val="Heading3"/>
      </w:pPr>
      <w:r>
        <w:t xml:space="preserve">Tutkimuskontribuutio</w:t>
      </w:r>
    </w:p>
    <w:p>
      <w:pPr>
        <w:pStyle w:val="FirstParagraph"/>
      </w:pPr>
      <w:r>
        <w:t xml:space="preserve">Kulttuuripsykologian (pohjoismainen tasa-arvo, ahdistuksen vähentäminen) ja B2B-tuotesuunnittelun välinen yhteys on vähän tutkittu olemassa olevassa kirjallisuudessa. Tämä työ esittää, että</w:t>
      </w:r>
      <w:r>
        <w:t xml:space="preserve"> </w:t>
      </w:r>
      <w:r>
        <w:rPr>
          <w:bCs/>
          <w:b/>
        </w:rPr>
        <w:t xml:space="preserve">kulttuuriset UX-mallit</w:t>
      </w:r>
      <w:r>
        <w:t xml:space="preserve"> </w:t>
      </w:r>
      <w:r>
        <w:t xml:space="preserve">— ei pelkästään ominaisuuksien kattavuus — ovat ensisijainen konversion ajuri yritysmarkkinoilla Pohjoismaissa.</w:t>
      </w:r>
    </w:p>
    <w:bookmarkEnd w:id="161"/>
    <w:bookmarkEnd w:id="162"/>
    <w:bookmarkStart w:id="171" w:name="mitattava-vaikutus-kohti-dws-7ää"/>
    <w:p>
      <w:pPr>
        <w:pStyle w:val="Heading2"/>
      </w:pPr>
      <w:r>
        <w:t xml:space="preserve">10.8 Mitattava vaikutus kohti DWS 7:ää</w:t>
      </w:r>
    </w:p>
    <w:bookmarkStart w:id="163" w:name="mitä-dws-7-perii"/>
    <w:p>
      <w:pPr>
        <w:pStyle w:val="Heading3"/>
      </w:pPr>
      <w:r>
        <w:t xml:space="preserve">Mitä DWS 7 perii</w:t>
      </w:r>
    </w:p>
    <w:p>
      <w:pPr>
        <w:pStyle w:val="FirstParagraph"/>
      </w:pPr>
      <w:r>
        <w:t xml:space="preserve">DWS 7 on seuraava merkittävä alustaversio. DWS 6:n aikana luodut standardit muodostavat mitattavat perusteet:</w:t>
      </w:r>
    </w:p>
    <w:tbl>
      <w:tblPr>
        <w:tblStyle w:val="Table"/>
        <w:tblW w:type="pct" w:w="5000"/>
        <w:tblLook w:firstRow="1" w:lastRow="0" w:firstColumn="0" w:lastColumn="0" w:noHBand="0" w:noVBand="0" w:val="0020"/>
        <w:jc w:val="start"/>
      </w:tblPr>
      <w:tblGrid>
        <w:gridCol w:w="1029"/>
        <w:gridCol w:w="2326"/>
        <w:gridCol w:w="2192"/>
        <w:gridCol w:w="2371"/>
      </w:tblGrid>
      <w:tr>
        <w:trPr>
          <w:tblHeader w:val="true"/>
        </w:trPr>
        <w:tc>
          <w:tcPr/>
          <w:p>
            <w:pPr>
              <w:pStyle w:val="Compact"/>
              <w:jc w:val="left"/>
            </w:pPr>
            <w:r>
              <w:t xml:space="preserve">Standardi</w:t>
            </w:r>
          </w:p>
        </w:tc>
        <w:tc>
          <w:tcPr/>
          <w:p>
            <w:pPr>
              <w:pStyle w:val="Compact"/>
              <w:jc w:val="left"/>
            </w:pPr>
            <w:r>
              <w:t xml:space="preserve">DWS 6 -tila</w:t>
            </w:r>
          </w:p>
        </w:tc>
        <w:tc>
          <w:tcPr/>
          <w:p>
            <w:pPr>
              <w:pStyle w:val="Compact"/>
              <w:jc w:val="left"/>
            </w:pPr>
            <w:r>
              <w:t xml:space="preserve">DWS 7 -tavoite</w:t>
            </w:r>
          </w:p>
        </w:tc>
        <w:tc>
          <w:tcPr/>
          <w:p>
            <w:pPr>
              <w:pStyle w:val="Compact"/>
              <w:jc w:val="left"/>
            </w:pPr>
            <w:r>
              <w:t xml:space="preserve">Mitattava tulos</w:t>
            </w:r>
          </w:p>
        </w:tc>
      </w:tr>
      <w:tr>
        <w:tc>
          <w:tcPr/>
          <w:p>
            <w:pPr>
              <w:pStyle w:val="Compact"/>
              <w:jc w:val="left"/>
            </w:pPr>
            <w:r>
              <w:rPr>
                <w:bCs/>
                <w:b/>
              </w:rPr>
              <w:t xml:space="preserve">Tuotestandardi</w:t>
            </w:r>
          </w:p>
        </w:tc>
        <w:tc>
          <w:tcPr/>
          <w:p>
            <w:pPr>
              <w:pStyle w:val="Compact"/>
              <w:jc w:val="left"/>
            </w:pPr>
            <w:r>
              <w:t xml:space="preserve">5 ristiriitaista katalogia, 7 hinnoitteluristiriitaa</w:t>
            </w:r>
          </w:p>
        </w:tc>
        <w:tc>
          <w:tcPr/>
          <w:p>
            <w:pPr>
              <w:pStyle w:val="Compact"/>
              <w:jc w:val="left"/>
            </w:pPr>
            <w:r>
              <w:t xml:space="preserve">Yksi totuudenlähde, 0 ristiriitaa</w:t>
            </w:r>
          </w:p>
        </w:tc>
        <w:tc>
          <w:tcPr/>
          <w:p>
            <w:pPr>
              <w:pStyle w:val="Compact"/>
              <w:jc w:val="left"/>
            </w:pPr>
            <w:r>
              <w:t xml:space="preserve">Neljännesvuosittainen auditointi: ristiriitamäärä = 0</w:t>
            </w:r>
          </w:p>
        </w:tc>
      </w:tr>
      <w:tr>
        <w:tc>
          <w:tcPr/>
          <w:p>
            <w:pPr>
              <w:pStyle w:val="Compact"/>
              <w:jc w:val="left"/>
            </w:pPr>
            <w:r>
              <w:rPr>
                <w:bCs/>
                <w:b/>
              </w:rPr>
              <w:t xml:space="preserve">Brändistandardi</w:t>
            </w:r>
          </w:p>
        </w:tc>
        <w:tc>
          <w:tcPr/>
          <w:p>
            <w:pPr>
              <w:pStyle w:val="Compact"/>
              <w:jc w:val="left"/>
            </w:pPr>
            <w:r>
              <w:t xml:space="preserve">Ei hinnanäyttösääntöjä</w:t>
            </w:r>
          </w:p>
        </w:tc>
        <w:tc>
          <w:tcPr/>
          <w:p>
            <w:pPr>
              <w:pStyle w:val="Compact"/>
              <w:jc w:val="left"/>
            </w:pPr>
            <w:r>
              <w:t xml:space="preserve">Kahden numeron sääntö, tasokortit, päätösavustaja</w:t>
            </w:r>
          </w:p>
        </w:tc>
        <w:tc>
          <w:tcPr/>
          <w:p>
            <w:pPr>
              <w:pStyle w:val="Compact"/>
              <w:jc w:val="left"/>
            </w:pPr>
            <w:r>
              <w:t xml:space="preserve">Hinnoittelusivun välitön poistumisprosentti &lt; 40 %</w:t>
            </w:r>
          </w:p>
        </w:tc>
      </w:tr>
      <w:tr>
        <w:tc>
          <w:tcPr/>
          <w:p>
            <w:pPr>
              <w:pStyle w:val="Compact"/>
              <w:jc w:val="left"/>
            </w:pPr>
            <w:r>
              <w:rPr>
                <w:bCs/>
                <w:b/>
              </w:rPr>
              <w:t xml:space="preserve">Myyntistrategia</w:t>
            </w:r>
          </w:p>
        </w:tc>
        <w:tc>
          <w:tcPr/>
          <w:p>
            <w:pPr>
              <w:pStyle w:val="Compact"/>
              <w:jc w:val="left"/>
            </w:pPr>
            <w:r>
              <w:t xml:space="preserve">45–90 päivän syklit, 0 % itsepalvelua</w:t>
            </w:r>
          </w:p>
        </w:tc>
        <w:tc>
          <w:tcPr/>
          <w:p>
            <w:pPr>
              <w:pStyle w:val="Compact"/>
              <w:jc w:val="left"/>
            </w:pPr>
            <w:r>
              <w:t xml:space="preserve">Yhden klikkauksen polku, 20–30 % itsepalvelua</w:t>
            </w:r>
          </w:p>
        </w:tc>
        <w:tc>
          <w:tcPr/>
          <w:p>
            <w:pPr>
              <w:pStyle w:val="Compact"/>
              <w:jc w:val="left"/>
            </w:pPr>
            <w:r>
              <w:t xml:space="preserve">CRM: aika ostopäätökseen &lt; 7 päivää</w:t>
            </w:r>
          </w:p>
        </w:tc>
      </w:tr>
      <w:tr>
        <w:tc>
          <w:tcPr/>
          <w:p>
            <w:pPr>
              <w:pStyle w:val="Compact"/>
              <w:jc w:val="left"/>
            </w:pPr>
            <w:r>
              <w:rPr>
                <w:bCs/>
                <w:b/>
              </w:rPr>
              <w:t xml:space="preserve">Dokumenttistandardi</w:t>
            </w:r>
          </w:p>
        </w:tc>
        <w:tc>
          <w:tcPr/>
          <w:p>
            <w:pPr>
              <w:pStyle w:val="Compact"/>
              <w:jc w:val="left"/>
            </w:pPr>
            <w:r>
              <w:t xml:space="preserve">Satunnainen versiointi</w:t>
            </w:r>
          </w:p>
        </w:tc>
        <w:tc>
          <w:tcPr/>
          <w:p>
            <w:pPr>
              <w:pStyle w:val="Compact"/>
              <w:jc w:val="left"/>
            </w:pPr>
            <w:r>
              <w:t xml:space="preserve">Täysi jäljitettävyys, agenttihistoria</w:t>
            </w:r>
          </w:p>
        </w:tc>
        <w:tc>
          <w:tcPr/>
          <w:p>
            <w:pPr>
              <w:pStyle w:val="Compact"/>
              <w:jc w:val="left"/>
            </w:pPr>
            <w:r>
              <w:t xml:space="preserve">100 % dokumenttien vaatimustenmukaisuus</w:t>
            </w:r>
          </w:p>
        </w:tc>
      </w:tr>
    </w:tbl>
    <w:bookmarkEnd w:id="163"/>
    <w:bookmarkStart w:id="164" w:name="vaikutusmittauksen-viitekehys"/>
    <w:p>
      <w:pPr>
        <w:pStyle w:val="Heading3"/>
      </w:pPr>
      <w:r>
        <w:t xml:space="preserve">Vaikutusmittauksen viitekehys</w:t>
      </w:r>
    </w:p>
    <w:p>
      <w:pPr>
        <w:pStyle w:val="FirstParagraph"/>
      </w:pPr>
      <w:r>
        <w:t xml:space="preserve">Seuraavia mittareita ON seurattava alkaen Q1 2026 standardien kontribuution validoimiseksi:</w:t>
      </w:r>
    </w:p>
    <w:p>
      <w:pPr>
        <w:pStyle w:val="BodyText"/>
      </w:pPr>
      <w:r>
        <w:rPr>
          <w:bCs/>
          <w:b/>
        </w:rPr>
        <w:t xml:space="preserve">Kaupallinen vaikutus:</w:t>
      </w:r>
    </w:p>
    <w:tbl>
      <w:tblPr>
        <w:tblStyle w:val="Table"/>
        <w:tblW w:type="pct" w:w="5000"/>
        <w:tblLook w:firstRow="1" w:lastRow="0" w:firstColumn="0" w:lastColumn="0" w:noHBand="0" w:noVBand="0" w:val="0020"/>
        <w:jc w:val="start"/>
      </w:tblPr>
      <w:tblGrid>
        <w:gridCol w:w="3355"/>
        <w:gridCol w:w="1476"/>
        <w:gridCol w:w="1073"/>
        <w:gridCol w:w="1073"/>
        <w:gridCol w:w="939"/>
      </w:tblGrid>
      <w:tr>
        <w:trPr>
          <w:tblHeader w:val="true"/>
        </w:trPr>
        <w:tc>
          <w:tcPr/>
          <w:p>
            <w:pPr>
              <w:pStyle w:val="Compact"/>
              <w:jc w:val="left"/>
            </w:pPr>
            <w:r>
              <w:t xml:space="preserve">Mittari</w:t>
            </w:r>
          </w:p>
        </w:tc>
        <w:tc>
          <w:tcPr/>
          <w:p>
            <w:pPr>
              <w:pStyle w:val="Compact"/>
              <w:jc w:val="left"/>
            </w:pPr>
            <w:r>
              <w:t xml:space="preserve">Lähtötaso (helmi 2026)</w:t>
            </w:r>
          </w:p>
        </w:tc>
        <w:tc>
          <w:tcPr/>
          <w:p>
            <w:pPr>
              <w:pStyle w:val="Compact"/>
              <w:jc w:val="left"/>
            </w:pPr>
            <w:r>
              <w:t xml:space="preserve">Q2 2026 -tavoite</w:t>
            </w:r>
          </w:p>
        </w:tc>
        <w:tc>
          <w:tcPr/>
          <w:p>
            <w:pPr>
              <w:pStyle w:val="Compact"/>
              <w:jc w:val="left"/>
            </w:pPr>
            <w:r>
              <w:t xml:space="preserve">Q4 2026 -tavoite</w:t>
            </w:r>
          </w:p>
        </w:tc>
        <w:tc>
          <w:tcPr/>
          <w:p>
            <w:pPr>
              <w:pStyle w:val="Compact"/>
              <w:jc w:val="left"/>
            </w:pPr>
            <w:r>
              <w:t xml:space="preserve">DWS 7 -tavoite</w:t>
            </w:r>
          </w:p>
        </w:tc>
      </w:tr>
      <w:tr>
        <w:tc>
          <w:tcPr/>
          <w:p>
            <w:pPr>
              <w:pStyle w:val="Compact"/>
              <w:jc w:val="left"/>
            </w:pPr>
            <w:r>
              <w:t xml:space="preserve">MRR</w:t>
            </w:r>
          </w:p>
        </w:tc>
        <w:tc>
          <w:tcPr/>
          <w:p>
            <w:pPr>
              <w:pStyle w:val="Compact"/>
              <w:jc w:val="left"/>
            </w:pPr>
            <w:r>
              <w:t xml:space="preserve">€7 000</w:t>
            </w:r>
          </w:p>
        </w:tc>
        <w:tc>
          <w:tcPr/>
          <w:p>
            <w:pPr>
              <w:pStyle w:val="Compact"/>
              <w:jc w:val="left"/>
            </w:pPr>
            <w:r>
              <w:t xml:space="preserve">€14 000</w:t>
            </w:r>
          </w:p>
        </w:tc>
        <w:tc>
          <w:tcPr/>
          <w:p>
            <w:pPr>
              <w:pStyle w:val="Compact"/>
              <w:jc w:val="left"/>
            </w:pPr>
            <w:r>
              <w:t xml:space="preserve">€30 000</w:t>
            </w:r>
          </w:p>
        </w:tc>
        <w:tc>
          <w:tcPr/>
          <w:p>
            <w:pPr>
              <w:pStyle w:val="Compact"/>
              <w:jc w:val="left"/>
            </w:pPr>
            <w:r>
              <w:t xml:space="preserve">€60 000</w:t>
            </w:r>
          </w:p>
        </w:tc>
      </w:tr>
      <w:tr>
        <w:tc>
          <w:tcPr/>
          <w:p>
            <w:pPr>
              <w:pStyle w:val="Compact"/>
              <w:jc w:val="left"/>
            </w:pPr>
            <w:r>
              <w:t xml:space="preserve">Hinnoitteluristiriidat koodikannassa</w:t>
            </w:r>
          </w:p>
        </w:tc>
        <w:tc>
          <w:tcPr/>
          <w:p>
            <w:pPr>
              <w:pStyle w:val="Compact"/>
              <w:jc w:val="left"/>
            </w:pPr>
            <w:r>
              <w:t xml:space="preserve">7</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r>
      <w:tr>
        <w:tc>
          <w:tcPr/>
          <w:p>
            <w:pPr>
              <w:pStyle w:val="Compact"/>
              <w:jc w:val="left"/>
            </w:pPr>
            <w:r>
              <w:t xml:space="preserve">Tuotteet Google Merchant -yhteensopivuudella</w:t>
            </w:r>
          </w:p>
        </w:tc>
        <w:tc>
          <w:tcPr/>
          <w:p>
            <w:pPr>
              <w:pStyle w:val="Compact"/>
              <w:jc w:val="left"/>
            </w:pPr>
            <w:r>
              <w:t xml:space="preserve">~30 %</w:t>
            </w:r>
          </w:p>
        </w:tc>
        <w:tc>
          <w:tcPr/>
          <w:p>
            <w:pPr>
              <w:pStyle w:val="Compact"/>
              <w:jc w:val="left"/>
            </w:pPr>
            <w:r>
              <w:t xml:space="preserve">80 %</w:t>
            </w:r>
          </w:p>
        </w:tc>
        <w:tc>
          <w:tcPr/>
          <w:p>
            <w:pPr>
              <w:pStyle w:val="Compact"/>
              <w:jc w:val="left"/>
            </w:pPr>
            <w:r>
              <w:t xml:space="preserve">100 %</w:t>
            </w:r>
          </w:p>
        </w:tc>
        <w:tc>
          <w:tcPr/>
          <w:p>
            <w:pPr>
              <w:pStyle w:val="Compact"/>
              <w:jc w:val="left"/>
            </w:pPr>
            <w:r>
              <w:t xml:space="preserve">100 %</w:t>
            </w:r>
          </w:p>
        </w:tc>
      </w:tr>
      <w:tr>
        <w:tc>
          <w:tcPr/>
          <w:p>
            <w:pPr>
              <w:pStyle w:val="Compact"/>
              <w:jc w:val="left"/>
            </w:pPr>
            <w:r>
              <w:t xml:space="preserve">Itsepalveluostot (% uusista kaupoista)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30 %</w:t>
            </w:r>
          </w:p>
        </w:tc>
      </w:tr>
      <w:tr>
        <w:tc>
          <w:tcPr/>
          <w:p>
            <w:pPr>
              <w:pStyle w:val="Compact"/>
              <w:jc w:val="left"/>
            </w:pPr>
            <w:r>
              <w:t xml:space="preserve">Aika ensikontaktista allekirjoitettuun sopimukseen</w:t>
            </w:r>
          </w:p>
        </w:tc>
        <w:tc>
          <w:tcPr/>
          <w:p>
            <w:pPr>
              <w:pStyle w:val="Compact"/>
              <w:jc w:val="left"/>
            </w:pPr>
            <w:r>
              <w:t xml:space="preserve">45–90 päivää</w:t>
            </w:r>
          </w:p>
        </w:tc>
        <w:tc>
          <w:tcPr/>
          <w:p>
            <w:pPr>
              <w:pStyle w:val="Compact"/>
              <w:jc w:val="left"/>
            </w:pPr>
            <w:r>
              <w:t xml:space="preserve">30 päivää</w:t>
            </w:r>
          </w:p>
        </w:tc>
        <w:tc>
          <w:tcPr/>
          <w:p>
            <w:pPr>
              <w:pStyle w:val="Compact"/>
              <w:jc w:val="left"/>
            </w:pPr>
            <w:r>
              <w:t xml:space="preserve">14 päivää</w:t>
            </w:r>
          </w:p>
        </w:tc>
        <w:tc>
          <w:tcPr/>
          <w:p>
            <w:pPr>
              <w:pStyle w:val="Compact"/>
              <w:jc w:val="left"/>
            </w:pPr>
            <w:r>
              <w:t xml:space="preserve">7 päivää</w:t>
            </w:r>
          </w:p>
        </w:tc>
      </w:tr>
      <w:tr>
        <w:tc>
          <w:tcPr/>
          <w:p>
            <w:pPr>
              <w:pStyle w:val="Compact"/>
              <w:jc w:val="left"/>
            </w:pPr>
            <w:r>
              <w:t xml:space="preserve">Kaupat ilman tapaamista</w:t>
            </w:r>
          </w:p>
        </w:tc>
        <w:tc>
          <w:tcPr/>
          <w:p>
            <w:pPr>
              <w:pStyle w:val="Compact"/>
              <w:jc w:val="left"/>
            </w:pPr>
            <w:r>
              <w:t xml:space="preserve">0 %</w:t>
            </w:r>
          </w:p>
        </w:tc>
        <w:tc>
          <w:tcPr/>
          <w:p>
            <w:pPr>
              <w:pStyle w:val="Compact"/>
              <w:jc w:val="left"/>
            </w:pPr>
            <w:r>
              <w:t xml:space="preserve">5 %</w:t>
            </w:r>
          </w:p>
        </w:tc>
        <w:tc>
          <w:tcPr/>
          <w:p>
            <w:pPr>
              <w:pStyle w:val="Compact"/>
              <w:jc w:val="left"/>
            </w:pPr>
            <w:r>
              <w:t xml:space="preserve">15 %</w:t>
            </w:r>
          </w:p>
        </w:tc>
        <w:tc>
          <w:tcPr/>
          <w:p>
            <w:pPr>
              <w:pStyle w:val="Compact"/>
              <w:jc w:val="left"/>
            </w:pPr>
            <w:r>
              <w:t xml:space="preserve">25 %</w:t>
            </w:r>
          </w:p>
        </w:tc>
      </w:tr>
    </w:tbl>
    <w:p>
      <w:pPr>
        <w:pStyle w:val="BodyText"/>
      </w:pPr>
      <w:r>
        <w:rPr>
          <w:bCs/>
          <w:b/>
        </w:rPr>
        <w:t xml:space="preserve">Toiminnallinen vaikutus:</w:t>
      </w:r>
    </w:p>
    <w:tbl>
      <w:tblPr>
        <w:tblStyle w:val="Table"/>
        <w:tblW w:type="pct" w:w="5000"/>
        <w:tblLook w:firstRow="1" w:lastRow="0" w:firstColumn="0" w:lastColumn="0" w:noHBand="0" w:noVBand="0" w:val="0020"/>
        <w:jc w:val="start"/>
      </w:tblPr>
      <w:tblGrid>
        <w:gridCol w:w="2841"/>
        <w:gridCol w:w="604"/>
        <w:gridCol w:w="1813"/>
        <w:gridCol w:w="2660"/>
      </w:tblGrid>
      <w:tr>
        <w:trPr>
          <w:tblHeader w:val="true"/>
        </w:trPr>
        <w:tc>
          <w:tcPr/>
          <w:p>
            <w:pPr>
              <w:pStyle w:val="Compact"/>
              <w:jc w:val="left"/>
            </w:pPr>
            <w:r>
              <w:t xml:space="preserve">Mittari</w:t>
            </w:r>
          </w:p>
        </w:tc>
        <w:tc>
          <w:tcPr/>
          <w:p>
            <w:pPr>
              <w:pStyle w:val="Compact"/>
              <w:jc w:val="left"/>
            </w:pPr>
            <w:r>
              <w:t xml:space="preserve">Lähtötaso</w:t>
            </w:r>
          </w:p>
        </w:tc>
        <w:tc>
          <w:tcPr/>
          <w:p>
            <w:pPr>
              <w:pStyle w:val="Compact"/>
              <w:jc w:val="left"/>
            </w:pPr>
            <w:r>
              <w:t xml:space="preserve">Tavoite</w:t>
            </w:r>
          </w:p>
        </w:tc>
        <w:tc>
          <w:tcPr/>
          <w:p>
            <w:pPr>
              <w:pStyle w:val="Compact"/>
              <w:jc w:val="left"/>
            </w:pPr>
            <w:r>
              <w:t xml:space="preserve">Menetelmä</w:t>
            </w:r>
          </w:p>
        </w:tc>
      </w:tr>
      <w:tr>
        <w:tc>
          <w:tcPr/>
          <w:p>
            <w:pPr>
              <w:pStyle w:val="Compact"/>
              <w:jc w:val="left"/>
            </w:pPr>
            <w:r>
              <w:t xml:space="preserve">Päivitettävät tiedostot hinnanmuutosta kohden</w:t>
            </w:r>
          </w:p>
        </w:tc>
        <w:tc>
          <w:tcPr/>
          <w:p>
            <w:pPr>
              <w:pStyle w:val="Compact"/>
              <w:jc w:val="left"/>
            </w:pPr>
            <w:r>
              <w:t xml:space="preserve">5</w:t>
            </w:r>
          </w:p>
        </w:tc>
        <w:tc>
          <w:tcPr/>
          <w:p>
            <w:pPr>
              <w:pStyle w:val="Compact"/>
              <w:jc w:val="left"/>
            </w:pPr>
            <w:r>
              <w:t xml:space="preserve">1 (automaattinen levitys)</w:t>
            </w:r>
          </w:p>
        </w:tc>
        <w:tc>
          <w:tcPr/>
          <w:p>
            <w:pPr>
              <w:pStyle w:val="Compact"/>
              <w:jc w:val="left"/>
            </w:pPr>
            <w:r>
              <w:t xml:space="preserve">Tekniikan automaatio</w:t>
            </w:r>
          </w:p>
        </w:tc>
      </w:tr>
      <w:tr>
        <w:tc>
          <w:tcPr/>
          <w:p>
            <w:pPr>
              <w:pStyle w:val="Compact"/>
              <w:jc w:val="left"/>
            </w:pPr>
            <w:r>
              <w:t xml:space="preserve">Tuotekorttien yhdenmukaisuus sivustojen välillä</w:t>
            </w:r>
          </w:p>
        </w:tc>
        <w:tc>
          <w:tcPr/>
          <w:p>
            <w:pPr>
              <w:pStyle w:val="Compact"/>
              <w:jc w:val="left"/>
            </w:pPr>
            <w:r>
              <w:t xml:space="preserve">~60 %</w:t>
            </w:r>
          </w:p>
        </w:tc>
        <w:tc>
          <w:tcPr/>
          <w:p>
            <w:pPr>
              <w:pStyle w:val="Compact"/>
              <w:jc w:val="left"/>
            </w:pPr>
            <w:r>
              <w:t xml:space="preserve">100 %</w:t>
            </w:r>
          </w:p>
        </w:tc>
        <w:tc>
          <w:tcPr/>
          <w:p>
            <w:pPr>
              <w:pStyle w:val="Compact"/>
              <w:jc w:val="left"/>
            </w:pPr>
            <w:r>
              <w:t xml:space="preserve">Automaattinen visuaalinen regressiotestaus</w:t>
            </w:r>
          </w:p>
        </w:tc>
      </w:tr>
      <w:tr>
        <w:tc>
          <w:tcPr/>
          <w:p>
            <w:pPr>
              <w:pStyle w:val="Compact"/>
              <w:jc w:val="left"/>
            </w:pPr>
            <w:r>
              <w:t xml:space="preserve">Sijoittajadokumenttien hinnoittelutarkkuus</w:t>
            </w:r>
          </w:p>
        </w:tc>
        <w:tc>
          <w:tcPr/>
          <w:p>
            <w:pPr>
              <w:pStyle w:val="Compact"/>
              <w:jc w:val="left"/>
            </w:pPr>
            <w:r>
              <w:t xml:space="preserve">Tuntematon</w:t>
            </w:r>
          </w:p>
        </w:tc>
        <w:tc>
          <w:tcPr/>
          <w:p>
            <w:pPr>
              <w:pStyle w:val="Compact"/>
              <w:jc w:val="left"/>
            </w:pPr>
            <w:r>
              <w:t xml:space="preserve">100 % tuotestandardin mukainen</w:t>
            </w:r>
          </w:p>
        </w:tc>
        <w:tc>
          <w:tcPr/>
          <w:p>
            <w:pPr>
              <w:pStyle w:val="Compact"/>
              <w:jc w:val="left"/>
            </w:pPr>
            <w:r>
              <w:t xml:space="preserve">Manuaalinen neljännesvuosittainen auditointi</w:t>
            </w:r>
          </w:p>
        </w:tc>
      </w:tr>
      <w:tr>
        <w:tc>
          <w:tcPr/>
          <w:p>
            <w:pPr>
              <w:pStyle w:val="Compact"/>
              <w:jc w:val="left"/>
            </w:pPr>
            <w:r>
              <w:t xml:space="preserve">Kauppasivun latausaika (hinnoitteluosio)</w:t>
            </w:r>
          </w:p>
        </w:tc>
        <w:tc>
          <w:tcPr/>
          <w:p>
            <w:pPr>
              <w:pStyle w:val="Compact"/>
              <w:jc w:val="left"/>
            </w:pPr>
            <w:r>
              <w:t xml:space="preserve">TBD</w:t>
            </w:r>
          </w:p>
        </w:tc>
        <w:tc>
          <w:tcPr/>
          <w:p>
            <w:pPr>
              <w:pStyle w:val="Compact"/>
              <w:jc w:val="left"/>
            </w:pPr>
            <w:r>
              <w:t xml:space="preserve">&lt; 2 sekuntia</w:t>
            </w:r>
          </w:p>
        </w:tc>
        <w:tc>
          <w:tcPr/>
          <w:p>
            <w:pPr>
              <w:pStyle w:val="Compact"/>
              <w:jc w:val="left"/>
            </w:pPr>
            <w:r>
              <w:t xml:space="preserve">Lighthouse</w:t>
            </w:r>
          </w:p>
        </w:tc>
      </w:tr>
    </w:tbl>
    <w:bookmarkEnd w:id="164"/>
    <w:bookmarkStart w:id="165" w:name="X561db664dfb2223fec075839601bf9c51da59a0"/>
    <w:p>
      <w:pPr>
        <w:pStyle w:val="Heading3"/>
      </w:pPr>
      <w:r>
        <w:t xml:space="preserve">Kontribuutio teoriaan: Standardit kilpailuetuna</w:t>
      </w:r>
    </w:p>
    <w:p>
      <w:pPr>
        <w:pStyle w:val="FirstParagraph"/>
      </w:pPr>
      <w:r>
        <w:t xml:space="preserve">Tämä opinnäytetyö argumentoi, että</w:t>
      </w:r>
      <w:r>
        <w:t xml:space="preserve"> </w:t>
      </w:r>
      <w:r>
        <w:rPr>
          <w:bCs/>
          <w:b/>
        </w:rPr>
        <w:t xml:space="preserve">yritystuotestandardit</w:t>
      </w:r>
      <w:r>
        <w:t xml:space="preserve"> </w:t>
      </w:r>
      <w:r>
        <w:t xml:space="preserve">— eivät pelkästään tuotteet itsessään — muodostavat kilpailuedun teollisille SaaS-yrityksille. Vaikka BMS-markkinoiden kilpailijoilla (Siemens Desigo, Schneider EcoStruxure) on laajemmat tuotekataloginsa, niiden hinnoittelu on läpinäkymätöntä ja neuvotteluperusteista. DWS IQ 6:n julkaistu hinnoittelu, standardoidut tuotekortit ja yhden klikkauksen ostoarkkitehtuuri edustavat rakenteellista etua, joka kumuloituu ajan myötä:</w:t>
      </w:r>
    </w:p>
    <w:p>
      <w:pPr>
        <w:numPr>
          <w:ilvl w:val="0"/>
          <w:numId w:val="1056"/>
        </w:numPr>
        <w:pStyle w:val="Compact"/>
      </w:pPr>
      <w:r>
        <w:rPr>
          <w:bCs/>
          <w:b/>
        </w:rPr>
        <w:t xml:space="preserve">Luottamuksen kertyminen:</w:t>
      </w:r>
      <w:r>
        <w:t xml:space="preserve"> </w:t>
      </w:r>
      <w:r>
        <w:t xml:space="preserve">Jokainen läpinäkyvä hintakohtaaminen kerryttää pohjoismaista luottamuspääomaa</w:t>
      </w:r>
    </w:p>
    <w:p>
      <w:pPr>
        <w:numPr>
          <w:ilvl w:val="0"/>
          <w:numId w:val="1056"/>
        </w:numPr>
        <w:pStyle w:val="Compact"/>
      </w:pPr>
      <w:r>
        <w:rPr>
          <w:bCs/>
          <w:b/>
        </w:rPr>
        <w:t xml:space="preserve">Toiminnallinen vipuvaikutus:</w:t>
      </w:r>
      <w:r>
        <w:t xml:space="preserve"> </w:t>
      </w:r>
      <w:r>
        <w:t xml:space="preserve">Standardit vähentävät uuden tuotteen lisäämiskustannuksia viikoista tunteihin</w:t>
      </w:r>
    </w:p>
    <w:p>
      <w:pPr>
        <w:numPr>
          <w:ilvl w:val="0"/>
          <w:numId w:val="1056"/>
        </w:numPr>
        <w:pStyle w:val="Compact"/>
      </w:pPr>
      <w:r>
        <w:rPr>
          <w:bCs/>
          <w:b/>
        </w:rPr>
        <w:t xml:space="preserve">Tekoälynatiiivi hallinta:</w:t>
      </w:r>
      <w:r>
        <w:t xml:space="preserve"> </w:t>
      </w:r>
      <w:r>
        <w:t xml:space="preserve">Tuotekatalogia ylläpitävät tekoälyagentit tuotestandardia seuraten — manuaalista synkronointia ei tarvita</w:t>
      </w:r>
    </w:p>
    <w:p>
      <w:pPr>
        <w:numPr>
          <w:ilvl w:val="0"/>
          <w:numId w:val="1056"/>
        </w:numPr>
        <w:pStyle w:val="Compact"/>
      </w:pPr>
      <w:r>
        <w:rPr>
          <w:bCs/>
          <w:b/>
        </w:rPr>
        <w:t xml:space="preserve">Sääntelyyhteensopivuus:</w:t>
      </w:r>
      <w:r>
        <w:t xml:space="preserve"> </w:t>
      </w:r>
      <w:r>
        <w:t xml:space="preserve">EU:n tekoälysäädöksen artikla 12:n jäljitettävyysvaatimukset täyttyvät samoilla versionhallituilla standardeilla, jotka hallinnoivat tuotteita</w:t>
      </w:r>
    </w:p>
    <w:p>
      <w:pPr>
        <w:pStyle w:val="FirstParagraph"/>
      </w:pPr>
      <w:r>
        <w:t xml:space="preserve">Tämä positioi DWS 7:n ei vain tuotepäivityksenä, vaan</w:t>
      </w:r>
      <w:r>
        <w:t xml:space="preserve"> </w:t>
      </w:r>
      <w:r>
        <w:rPr>
          <w:bCs/>
          <w:b/>
        </w:rPr>
        <w:t xml:space="preserve">standardinatiivina alustana</w:t>
      </w:r>
      <w:r>
        <w:t xml:space="preserve">, jossa tuotehallinta, hinnoittelu ja vaatimustenmukaisuus ovat yhdistettynä yhdeksi dokumentoiduksi viitekehykseksi.</w:t>
      </w:r>
    </w:p>
    <w:bookmarkEnd w:id="165"/>
    <w:bookmarkStart w:id="170" w:name="Xe66c367834ebe28049fd8064212ed05f86b6d83"/>
    <w:p>
      <w:pPr>
        <w:pStyle w:val="Heading3"/>
      </w:pPr>
      <w:r>
        <w:t xml:space="preserve">10.9 DWS7 agenttiarkkitehtuurin modernisointi: Yksittäisestä kutsusta agenttiseen</w:t>
      </w:r>
    </w:p>
    <w:p>
      <w:pPr>
        <w:pStyle w:val="FirstParagraph"/>
      </w:pPr>
      <w:r>
        <w:t xml:space="preserve">Versio 3.10 dokumentoi kriittisen arkkitehtonisen harppauksen DWS6:n yksittäiskutsu-LLM-mallista todelliseen agenttijärjestelmään. Tämä työ, suoritettu yhdessä Claude Code -sessiossa (24.02.2026), korjaa kuusi arkkitehtuurista puutetta, jotka erottivat DWS6:n tuotantotason agenttialustoista.</w:t>
      </w:r>
    </w:p>
    <w:bookmarkStart w:id="166" w:name="kuusi-kriittistä-korjausta"/>
    <w:p>
      <w:pPr>
        <w:pStyle w:val="Heading4"/>
      </w:pPr>
      <w:r>
        <w:t xml:space="preserve">10.9.1 Kuusi kriittistä korjausta</w:t>
      </w:r>
    </w:p>
    <w:tbl>
      <w:tblPr>
        <w:tblStyle w:val="Table"/>
        <w:tblW w:type="pct" w:w="5000"/>
        <w:tblLook w:firstRow="1" w:lastRow="0" w:firstColumn="0" w:lastColumn="0" w:noHBand="0" w:noVBand="0" w:val="0020"/>
        <w:jc w:val="start"/>
      </w:tblPr>
      <w:tblGrid>
        <w:gridCol w:w="135"/>
        <w:gridCol w:w="1710"/>
        <w:gridCol w:w="3105"/>
        <w:gridCol w:w="2970"/>
      </w:tblGrid>
      <w:tr>
        <w:trPr>
          <w:tblHeader w:val="true"/>
        </w:trPr>
        <w:tc>
          <w:tcPr/>
          <w:p>
            <w:pPr>
              <w:pStyle w:val="Compact"/>
              <w:jc w:val="left"/>
            </w:pPr>
            <w:r>
              <w:t xml:space="preserve">#</w:t>
            </w:r>
          </w:p>
        </w:tc>
        <w:tc>
          <w:tcPr/>
          <w:p>
            <w:pPr>
              <w:pStyle w:val="Compact"/>
              <w:jc w:val="left"/>
            </w:pPr>
            <w:r>
              <w:t xml:space="preserve">Ongelma (DWS6)</w:t>
            </w:r>
          </w:p>
        </w:tc>
        <w:tc>
          <w:tcPr/>
          <w:p>
            <w:pPr>
              <w:pStyle w:val="Compact"/>
              <w:jc w:val="left"/>
            </w:pPr>
            <w:r>
              <w:t xml:space="preserve">Korjaus (DWS7)</w:t>
            </w:r>
          </w:p>
        </w:tc>
        <w:tc>
          <w:tcPr/>
          <w:p>
            <w:pPr>
              <w:pStyle w:val="Compact"/>
              <w:jc w:val="left"/>
            </w:pPr>
            <w:r>
              <w:t xml:space="preserve">Toteutus</w:t>
            </w:r>
          </w:p>
        </w:tc>
      </w:tr>
      <w:tr>
        <w:tc>
          <w:tcPr/>
          <w:p>
            <w:pPr>
              <w:pStyle w:val="Compact"/>
              <w:jc w:val="left"/>
            </w:pPr>
            <w:r>
              <w:t xml:space="preserve">1</w:t>
            </w:r>
          </w:p>
        </w:tc>
        <w:tc>
          <w:tcPr/>
          <w:p>
            <w:pPr>
              <w:pStyle w:val="Compact"/>
              <w:jc w:val="left"/>
            </w:pPr>
            <w:r>
              <w:t xml:space="preserve">Yksittäiskutsu-LLM — ei iterointia</w:t>
            </w:r>
          </w:p>
        </w:tc>
        <w:tc>
          <w:tcPr/>
          <w:p>
            <w:pPr>
              <w:pStyle w:val="Compact"/>
              <w:jc w:val="left"/>
            </w:pPr>
            <w:r>
              <w:t xml:space="preserve">Havainnoi-ajattele-toimi -agenttisilmukka säädettävillä iteraatioilla</w:t>
            </w:r>
          </w:p>
        </w:tc>
        <w:tc>
          <w:tcPr/>
          <w:p>
            <w:pPr>
              <w:pStyle w:val="Compact"/>
              <w:jc w:val="left"/>
            </w:pPr>
            <w:r>
              <w:rPr>
                <w:rStyle w:val="VerbatimChar"/>
              </w:rPr>
              <w:t xml:space="preserve">base.agent.ts:runLoop()</w:t>
            </w:r>
            <w:r>
              <w:t xml:space="preserve"> </w:t>
            </w:r>
            <w:r>
              <w:t xml:space="preserve">ja</w:t>
            </w:r>
            <w:r>
              <w:t xml:space="preserve"> </w:t>
            </w:r>
            <w:r>
              <w:rPr>
                <w:rStyle w:val="VerbatimChar"/>
              </w:rPr>
              <w:t xml:space="preserve">AgentLoopConfig</w:t>
            </w:r>
          </w:p>
        </w:tc>
      </w:tr>
      <w:tr>
        <w:tc>
          <w:tcPr/>
          <w:p>
            <w:pPr>
              <w:pStyle w:val="Compact"/>
              <w:jc w:val="left"/>
            </w:pPr>
            <w:r>
              <w:t xml:space="preserve">2</w:t>
            </w:r>
          </w:p>
        </w:tc>
        <w:tc>
          <w:tcPr/>
          <w:p>
            <w:pPr>
              <w:pStyle w:val="Compact"/>
              <w:jc w:val="left"/>
            </w:pPr>
            <w:r>
              <w:t xml:space="preserve">Ei työkalujen käyttöä / funktiokutsuja</w:t>
            </w:r>
          </w:p>
        </w:tc>
        <w:tc>
          <w:tcPr/>
          <w:p>
            <w:pPr>
              <w:pStyle w:val="Compact"/>
              <w:jc w:val="left"/>
            </w:pPr>
            <w:r>
              <w:t xml:space="preserve">Täysi työkaluajoympäristö JSON Schema -määrittelyillä</w:t>
            </w:r>
          </w:p>
        </w:tc>
        <w:tc>
          <w:tcPr/>
          <w:p>
            <w:pPr>
              <w:pStyle w:val="Compact"/>
              <w:jc w:val="left"/>
            </w:pPr>
            <w:r>
              <w:rPr>
                <w:rStyle w:val="VerbatimChar"/>
              </w:rPr>
              <w:t xml:space="preserve">tools.ts</w:t>
            </w:r>
            <w:r>
              <w:t xml:space="preserve"> </w:t>
            </w:r>
            <w:r>
              <w:t xml:space="preserve">— 4 sisäänrakennettua työkalua, laajennettava rekisteri</w:t>
            </w:r>
          </w:p>
        </w:tc>
      </w:tr>
      <w:tr>
        <w:tc>
          <w:tcPr/>
          <w:p>
            <w:pPr>
              <w:pStyle w:val="Compact"/>
              <w:jc w:val="left"/>
            </w:pPr>
            <w:r>
              <w:t xml:space="preserve">3</w:t>
            </w:r>
          </w:p>
        </w:tc>
        <w:tc>
          <w:tcPr/>
          <w:p>
            <w:pPr>
              <w:pStyle w:val="Compact"/>
              <w:jc w:val="left"/>
            </w:pPr>
            <w:r>
              <w:t xml:space="preserve">Kovakoodattu Groq HTTP -kutsu</w:t>
            </w:r>
          </w:p>
        </w:tc>
        <w:tc>
          <w:tcPr/>
          <w:p>
            <w:pPr>
              <w:pStyle w:val="Compact"/>
              <w:jc w:val="left"/>
            </w:pPr>
            <w:r>
              <w:t xml:space="preserve">Monituottaja-LLM-asiakas (Anthropic &gt; Groq &gt; OpenAI)</w:t>
            </w:r>
          </w:p>
        </w:tc>
        <w:tc>
          <w:tcPr/>
          <w:p>
            <w:pPr>
              <w:pStyle w:val="Compact"/>
              <w:jc w:val="left"/>
            </w:pPr>
            <w:r>
              <w:rPr>
                <w:rStyle w:val="VerbatimChar"/>
              </w:rPr>
              <w:t xml:space="preserve">llm-client.ts</w:t>
            </w:r>
            <w:r>
              <w:t xml:space="preserve"> </w:t>
            </w:r>
            <w:r>
              <w:t xml:space="preserve">— tunnistaa automaattisesti ympäristömuuttujista</w:t>
            </w:r>
          </w:p>
        </w:tc>
      </w:tr>
      <w:tr>
        <w:tc>
          <w:tcPr/>
          <w:p>
            <w:pPr>
              <w:pStyle w:val="Compact"/>
              <w:jc w:val="left"/>
            </w:pPr>
            <w:r>
              <w:t xml:space="preserve">4</w:t>
            </w:r>
          </w:p>
        </w:tc>
        <w:tc>
          <w:tcPr/>
          <w:p>
            <w:pPr>
              <w:pStyle w:val="Compact"/>
              <w:jc w:val="left"/>
            </w:pPr>
            <w:r>
              <w:t xml:space="preserve">Ei agenttien välistä viestintää</w:t>
            </w:r>
          </w:p>
        </w:tc>
        <w:tc>
          <w:tcPr/>
          <w:p>
            <w:pPr>
              <w:pStyle w:val="Compact"/>
              <w:jc w:val="left"/>
            </w:pPr>
            <w:r>
              <w:t xml:space="preserve">Delegointi syvyysseurannalla (max 5), löytämis-API</w:t>
            </w:r>
          </w:p>
        </w:tc>
        <w:tc>
          <w:tcPr/>
          <w:p>
            <w:pPr>
              <w:pStyle w:val="Compact"/>
              <w:jc w:val="left"/>
            </w:pPr>
            <w:r>
              <w:rPr>
                <w:rStyle w:val="VerbatimChar"/>
              </w:rPr>
              <w:t xml:space="preserve">delegate_to_agent</w:t>
            </w:r>
            <w:r>
              <w:t xml:space="preserve"> </w:t>
            </w:r>
            <w:r>
              <w:t xml:space="preserve">-työkalu,</w:t>
            </w:r>
            <w:r>
              <w:t xml:space="preserve"> </w:t>
            </w:r>
            <w:r>
              <w:rPr>
                <w:rStyle w:val="VerbatimChar"/>
              </w:rPr>
              <w:t xml:space="preserve">discoverAgents()</w:t>
            </w:r>
          </w:p>
        </w:tc>
      </w:tr>
      <w:tr>
        <w:tc>
          <w:tcPr/>
          <w:p>
            <w:pPr>
              <w:pStyle w:val="Compact"/>
              <w:jc w:val="left"/>
            </w:pPr>
            <w:r>
              <w:t xml:space="preserve">5</w:t>
            </w:r>
          </w:p>
        </w:tc>
        <w:tc>
          <w:tcPr/>
          <w:p>
            <w:pPr>
              <w:pStyle w:val="Compact"/>
              <w:jc w:val="left"/>
            </w:pPr>
            <w:r>
              <w:t xml:space="preserve">MCP oli tyhjä lupaus</w:t>
            </w:r>
          </w:p>
        </w:tc>
        <w:tc>
          <w:tcPr/>
          <w:p>
            <w:pPr>
              <w:pStyle w:val="Compact"/>
              <w:jc w:val="left"/>
            </w:pPr>
            <w:r>
              <w:t xml:space="preserve">MCP JSON-RPC 2.0 -palvelin, joka paljastaa kaikki agentit työkaluina</w:t>
            </w:r>
          </w:p>
        </w:tc>
        <w:tc>
          <w:tcPr/>
          <w:p>
            <w:pPr>
              <w:pStyle w:val="Compact"/>
              <w:jc w:val="left"/>
            </w:pPr>
            <w:r>
              <w:rPr>
                <w:rStyle w:val="VerbatimChar"/>
              </w:rPr>
              <w:t xml:space="preserve">mcp/agent-server.ts</w:t>
            </w:r>
            <w:r>
              <w:t xml:space="preserve"> </w:t>
            </w:r>
            <w:r>
              <w:t xml:space="preserve">—</w:t>
            </w:r>
            <w:r>
              <w:t xml:space="preserve"> </w:t>
            </w:r>
            <w:r>
              <w:rPr>
                <w:rStyle w:val="VerbatimChar"/>
              </w:rPr>
              <w:t xml:space="preserve">/mcp</w:t>
            </w:r>
            <w:r>
              <w:t xml:space="preserve">-päätepiste</w:t>
            </w:r>
          </w:p>
        </w:tc>
      </w:tr>
      <w:tr>
        <w:tc>
          <w:tcPr/>
          <w:p>
            <w:pPr>
              <w:pStyle w:val="Compact"/>
              <w:jc w:val="left"/>
            </w:pPr>
            <w:r>
              <w:t xml:space="preserve">6</w:t>
            </w:r>
          </w:p>
        </w:tc>
        <w:tc>
          <w:tcPr/>
          <w:p>
            <w:pPr>
              <w:pStyle w:val="Compact"/>
              <w:jc w:val="left"/>
            </w:pPr>
            <w:r>
              <w:t xml:space="preserve">Vain Express-monoliitti</w:t>
            </w:r>
          </w:p>
        </w:tc>
        <w:tc>
          <w:tcPr/>
          <w:p>
            <w:pPr>
              <w:pStyle w:val="Compact"/>
              <w:jc w:val="left"/>
            </w:pPr>
            <w:r>
              <w:t xml:space="preserve">Tapahtumapohjainen arkkitehtuuri pub/sub-tapahtumaväylällä</w:t>
            </w:r>
          </w:p>
        </w:tc>
        <w:tc>
          <w:tcPr/>
          <w:p>
            <w:pPr>
              <w:pStyle w:val="Compact"/>
              <w:jc w:val="left"/>
            </w:pPr>
            <w:r>
              <w:rPr>
                <w:rStyle w:val="VerbatimChar"/>
              </w:rPr>
              <w:t xml:space="preserve">event-bus.ts</w:t>
            </w:r>
            <w:r>
              <w:t xml:space="preserve"> </w:t>
            </w:r>
            <w:r>
              <w:t xml:space="preserve">— kuviotilauksettelu, Redis Streams</w:t>
            </w:r>
          </w:p>
        </w:tc>
      </w:tr>
    </w:tbl>
    <w:p>
      <w:pPr>
        <w:pStyle w:val="BodyText"/>
      </w:pPr>
      <w:r>
        <w:rPr>
          <w:bCs/>
          <w:b/>
        </w:rPr>
        <w:t xml:space="preserve">Taaksepäin yhteensopivuus:</w:t>
      </w:r>
      <w:r>
        <w:t xml:space="preserve"> </w:t>
      </w:r>
      <w:r>
        <w:t xml:space="preserve">Kaikki 18 olemassa olevaa agenttia käyttäen</w:t>
      </w:r>
      <w:r>
        <w:t xml:space="preserve"> </w:t>
      </w:r>
      <w:r>
        <w:rPr>
          <w:rStyle w:val="VerbatimChar"/>
        </w:rPr>
        <w:t xml:space="preserve">execute()</w:t>
      </w:r>
      <w:r>
        <w:t xml:space="preserve"> </w:t>
      </w:r>
      <w:r>
        <w:t xml:space="preserve">+</w:t>
      </w:r>
      <w:r>
        <w:t xml:space="preserve"> </w:t>
      </w:r>
      <w:r>
        <w:rPr>
          <w:rStyle w:val="VerbatimChar"/>
        </w:rPr>
        <w:t xml:space="preserve">callLLM()</w:t>
      </w:r>
      <w:r>
        <w:t xml:space="preserve"> </w:t>
      </w:r>
      <w:r>
        <w:t xml:space="preserve">toimivat edelleen muuttumattomina.</w:t>
      </w:r>
      <w:r>
        <w:t xml:space="preserve"> </w:t>
      </w:r>
      <w:r>
        <w:rPr>
          <w:rStyle w:val="VerbatimChar"/>
        </w:rPr>
        <w:t xml:space="preserve">callLLM()</w:t>
      </w:r>
      <w:r>
        <w:t xml:space="preserve">-metodi reitittää nyt monituottaja-asiakkaan kautta raa’an Groq-kutsun sijaan.</w:t>
      </w:r>
    </w:p>
    <w:bookmarkEnd w:id="166"/>
    <w:bookmarkStart w:id="167" w:name="rakenna-agenteille-cli-mcp-skills"/>
    <w:p>
      <w:pPr>
        <w:pStyle w:val="Heading4"/>
      </w:pPr>
      <w:r>
        <w:t xml:space="preserve">10.9.2 Rakenna agenteille: CLI, MCP, Skills</w:t>
      </w:r>
    </w:p>
    <w:p>
      <w:pPr>
        <w:pStyle w:val="FirstParagraph"/>
      </w:pPr>
      <w:r>
        <w:t xml:space="preserve">Toteutuksen aikana syntyi rinnakkainen oivallus:</w:t>
      </w:r>
      <w:r>
        <w:t xml:space="preserve"> </w:t>
      </w:r>
      <w:r>
        <w:rPr>
          <w:bCs/>
          <w:b/>
        </w:rPr>
        <w:t xml:space="preserve">DWS IQ:n ensisijaiset kuluttajat vuonna 2026 ovat tekoälyagentit, eivät ihmiset jotka klikkaavat painikkeita.</w:t>
      </w:r>
      <w:r>
        <w:t xml:space="preserve"> </w:t>
      </w:r>
      <w:r>
        <w:t xml:space="preserve">Tämä johti</w:t>
      </w:r>
      <w:r>
        <w:t xml:space="preserve"> </w:t>
      </w:r>
      <w:r>
        <w:t xml:space="preserve">“</w:t>
      </w:r>
      <w:r>
        <w:t xml:space="preserve">Build for Agents</w:t>
      </w:r>
      <w:r>
        <w:t xml:space="preserve">”</w:t>
      </w:r>
      <w:r>
        <w:t xml:space="preserve"> </w:t>
      </w:r>
      <w:r>
        <w:t xml:space="preserve">-periaatteeseen:</w:t>
      </w:r>
    </w:p>
    <w:tbl>
      <w:tblPr>
        <w:tblStyle w:val="Table"/>
        <w:tblW w:type="pct" w:w="5000"/>
        <w:tblLook w:firstRow="1" w:lastRow="0" w:firstColumn="0" w:lastColumn="0" w:noHBand="0" w:noVBand="0" w:val="0020"/>
        <w:jc w:val="start"/>
      </w:tblPr>
      <w:tblGrid>
        <w:gridCol w:w="1416"/>
        <w:gridCol w:w="3477"/>
        <w:gridCol w:w="3026"/>
      </w:tblGrid>
      <w:tr>
        <w:trPr>
          <w:tblHeader w:val="true"/>
        </w:trPr>
        <w:tc>
          <w:tcPr/>
          <w:p>
            <w:pPr>
              <w:pStyle w:val="Compact"/>
              <w:jc w:val="left"/>
            </w:pPr>
            <w:r>
              <w:t xml:space="preserve">Pinta</w:t>
            </w:r>
          </w:p>
        </w:tc>
        <w:tc>
          <w:tcPr/>
          <w:p>
            <w:pPr>
              <w:pStyle w:val="Compact"/>
              <w:jc w:val="left"/>
            </w:pPr>
            <w:r>
              <w:t xml:space="preserve">Toteutus</w:t>
            </w:r>
          </w:p>
        </w:tc>
        <w:tc>
          <w:tcPr/>
          <w:p>
            <w:pPr>
              <w:pStyle w:val="Compact"/>
              <w:jc w:val="left"/>
            </w:pPr>
            <w:r>
              <w:t xml:space="preserve">Tarkoitus</w:t>
            </w:r>
          </w:p>
        </w:tc>
      </w:tr>
      <w:tr>
        <w:tc>
          <w:tcPr/>
          <w:p>
            <w:pPr>
              <w:pStyle w:val="Compact"/>
              <w:jc w:val="left"/>
            </w:pPr>
            <w:r>
              <w:rPr>
                <w:bCs/>
                <w:b/>
              </w:rPr>
              <w:t xml:space="preserve">CLI</w:t>
            </w:r>
          </w:p>
        </w:tc>
        <w:tc>
          <w:tcPr/>
          <w:p>
            <w:pPr>
              <w:pStyle w:val="Compact"/>
              <w:jc w:val="left"/>
            </w:pPr>
            <w:r>
              <w:rPr>
                <w:rStyle w:val="VerbatimChar"/>
              </w:rPr>
              <w:t xml:space="preserve">cli/src/cli.ts</w:t>
            </w:r>
            <w:r>
              <w:t xml:space="preserve"> </w:t>
            </w:r>
            <w:r>
              <w:t xml:space="preserve">— nollariippuvuus, vain JSON-tuloste</w:t>
            </w:r>
          </w:p>
        </w:tc>
        <w:tc>
          <w:tcPr/>
          <w:p>
            <w:pPr>
              <w:pStyle w:val="Compact"/>
              <w:jc w:val="left"/>
            </w:pPr>
            <w:r>
              <w:t xml:space="preserve">Agentit ajavat komentoja, putkittavat tulosteen</w:t>
            </w:r>
          </w:p>
        </w:tc>
      </w:tr>
      <w:tr>
        <w:tc>
          <w:tcPr/>
          <w:p>
            <w:pPr>
              <w:pStyle w:val="Compact"/>
              <w:jc w:val="left"/>
            </w:pPr>
            <w:r>
              <w:rPr>
                <w:bCs/>
                <w:b/>
              </w:rPr>
              <w:t xml:space="preserve">MCP-palvelin</w:t>
            </w:r>
          </w:p>
        </w:tc>
        <w:tc>
          <w:tcPr/>
          <w:p>
            <w:pPr>
              <w:pStyle w:val="Compact"/>
              <w:jc w:val="left"/>
            </w:pPr>
            <w:r>
              <w:rPr>
                <w:rStyle w:val="VerbatimChar"/>
              </w:rPr>
              <w:t xml:space="preserve">/mcp</w:t>
            </w:r>
            <w:r>
              <w:t xml:space="preserve">-päätepiste, JSON-RPC 2.0</w:t>
            </w:r>
          </w:p>
        </w:tc>
        <w:tc>
          <w:tcPr/>
          <w:p>
            <w:pPr>
              <w:pStyle w:val="Compact"/>
              <w:jc w:val="left"/>
            </w:pPr>
            <w:r>
              <w:t xml:space="preserve">Claude Code / Cursor löytää ja kutsuu agentteja</w:t>
            </w:r>
          </w:p>
        </w:tc>
      </w:tr>
      <w:tr>
        <w:tc>
          <w:tcPr/>
          <w:p>
            <w:pPr>
              <w:pStyle w:val="Compact"/>
              <w:jc w:val="left"/>
            </w:pPr>
            <w:r>
              <w:rPr>
                <w:bCs/>
                <w:b/>
              </w:rPr>
              <w:t xml:space="preserve">Claude Code Skills</w:t>
            </w:r>
          </w:p>
        </w:tc>
        <w:tc>
          <w:tcPr/>
          <w:p>
            <w:pPr>
              <w:pStyle w:val="Compact"/>
              <w:jc w:val="left"/>
            </w:pPr>
            <w:r>
              <w:rPr>
                <w:rStyle w:val="VerbatimChar"/>
              </w:rPr>
              <w:t xml:space="preserve">.claude/commands/*.md</w:t>
            </w:r>
            <w:r>
              <w:t xml:space="preserve"> </w:t>
            </w:r>
            <w:r>
              <w:t xml:space="preserve">(6 taitoa)</w:t>
            </w:r>
          </w:p>
        </w:tc>
        <w:tc>
          <w:tcPr/>
          <w:p>
            <w:pPr>
              <w:pStyle w:val="Compact"/>
              <w:jc w:val="left"/>
            </w:pPr>
            <w:r>
              <w:t xml:space="preserve">Luonnollinen kieli → agentin suoritus</w:t>
            </w:r>
          </w:p>
        </w:tc>
      </w:tr>
      <w:tr>
        <w:tc>
          <w:tcPr/>
          <w:p>
            <w:pPr>
              <w:pStyle w:val="Compact"/>
              <w:jc w:val="left"/>
            </w:pPr>
            <w:r>
              <w:rPr>
                <w:bCs/>
                <w:b/>
              </w:rPr>
              <w:t xml:space="preserve">REST API</w:t>
            </w:r>
          </w:p>
        </w:tc>
        <w:tc>
          <w:tcPr/>
          <w:p>
            <w:pPr>
              <w:pStyle w:val="Compact"/>
              <w:jc w:val="left"/>
            </w:pPr>
            <w:r>
              <w:rPr>
                <w:rStyle w:val="VerbatimChar"/>
              </w:rPr>
              <w:t xml:space="preserve">/api/agents/*</w:t>
            </w:r>
            <w:r>
              <w:t xml:space="preserve"> </w:t>
            </w:r>
            <w:r>
              <w:t xml:space="preserve">(olemassa olevat + uudet päätepisteet)</w:t>
            </w:r>
          </w:p>
        </w:tc>
        <w:tc>
          <w:tcPr/>
          <w:p>
            <w:pPr>
              <w:pStyle w:val="Compact"/>
              <w:jc w:val="left"/>
            </w:pPr>
            <w:r>
              <w:t xml:space="preserve">Perinteinen integraatio</w:t>
            </w:r>
          </w:p>
        </w:tc>
      </w:tr>
      <w:tr>
        <w:tc>
          <w:tcPr/>
          <w:p>
            <w:pPr>
              <w:pStyle w:val="Compact"/>
              <w:jc w:val="left"/>
            </w:pPr>
            <w:r>
              <w:rPr>
                <w:bCs/>
                <w:b/>
              </w:rPr>
              <w:t xml:space="preserve">Tapahtumaväylä</w:t>
            </w:r>
          </w:p>
        </w:tc>
        <w:tc>
          <w:tcPr/>
          <w:p>
            <w:pPr>
              <w:pStyle w:val="Compact"/>
              <w:jc w:val="left"/>
            </w:pPr>
            <w:r>
              <w:t xml:space="preserve">Kuviopohjainen pub/sub + SSE-suoratoisto</w:t>
            </w:r>
          </w:p>
        </w:tc>
        <w:tc>
          <w:tcPr/>
          <w:p>
            <w:pPr>
              <w:pStyle w:val="Compact"/>
              <w:jc w:val="left"/>
            </w:pPr>
            <w:r>
              <w:t xml:space="preserve">Reaaliaikainen agenttikoordinaatio</w:t>
            </w:r>
          </w:p>
        </w:tc>
      </w:tr>
    </w:tbl>
    <w:p>
      <w:pPr>
        <w:pStyle w:val="BodyText"/>
      </w:pPr>
      <w:r>
        <w:rPr>
          <w:bCs/>
          <w:b/>
        </w:rPr>
        <w:t xml:space="preserve">Keskeiset CLI-komennot:</w:t>
      </w:r>
    </w:p>
    <w:p>
      <w:pPr>
        <w:pStyle w:val="SourceCode"/>
      </w:pPr>
      <w:r>
        <w:rPr>
          <w:rStyle w:val="VerbatimChar"/>
        </w:rPr>
        <w:t xml:space="preserve">dws agents                              # Listaa kaikki agentit (JSON)</w:t>
      </w:r>
      <w:r>
        <w:br/>
      </w:r>
      <w:r>
        <w:rPr>
          <w:rStyle w:val="VerbatimChar"/>
        </w:rPr>
        <w:t xml:space="preserve">dws run compliance --input '{"reg":"CSRD"}'  # Suorita agentti</w:t>
      </w:r>
      <w:r>
        <w:br/>
      </w:r>
      <w:r>
        <w:rPr>
          <w:rStyle w:val="VerbatimChar"/>
        </w:rPr>
        <w:t xml:space="preserve">dws discover carbon                      # Etsi agentteja kyvykkyyden mukaan</w:t>
      </w:r>
      <w:r>
        <w:br/>
      </w:r>
      <w:r>
        <w:rPr>
          <w:rStyle w:val="VerbatimChar"/>
        </w:rPr>
        <w:t xml:space="preserve">dws workflow compliance-assessment       # Moniagentin työnkulku</w:t>
      </w:r>
    </w:p>
    <w:bookmarkEnd w:id="167"/>
    <w:bookmarkStart w:id="168" w:name="Xc019b69995d5457ac3791d2cfb63ee7c4af0443"/>
    <w:p>
      <w:pPr>
        <w:pStyle w:val="Heading4"/>
      </w:pPr>
      <w:r>
        <w:t xml:space="preserve">10.9.3 EU:n tekoälysäädöksen artikla 12 -vaatimustenmukaisuus silmukkakirjauksella</w:t>
      </w:r>
    </w:p>
    <w:p>
      <w:pPr>
        <w:pStyle w:val="FirstParagraph"/>
      </w:pPr>
      <w:r>
        <w:t xml:space="preserve">Agenttisilmukka-arkkitehtuuri täyttää luontaisesti artikla 12:n automaattisen kirjausvaatimuksen. Jokainen silmukan iteraatio tallentaa:</w:t>
      </w:r>
    </w:p>
    <w:p>
      <w:pPr>
        <w:numPr>
          <w:ilvl w:val="0"/>
          <w:numId w:val="1057"/>
        </w:numPr>
        <w:pStyle w:val="Compact"/>
      </w:pPr>
      <w:r>
        <w:rPr>
          <w:bCs/>
          <w:b/>
        </w:rPr>
        <w:t xml:space="preserve">Havainto:</w:t>
      </w:r>
      <w:r>
        <w:t xml:space="preserve"> </w:t>
      </w:r>
      <w:r>
        <w:t xml:space="preserve">Mitä agentti havaitsi</w:t>
      </w:r>
    </w:p>
    <w:p>
      <w:pPr>
        <w:numPr>
          <w:ilvl w:val="0"/>
          <w:numId w:val="1057"/>
        </w:numPr>
        <w:pStyle w:val="Compact"/>
      </w:pPr>
      <w:r>
        <w:rPr>
          <w:bCs/>
          <w:b/>
        </w:rPr>
        <w:t xml:space="preserve">Ajattelu:</w:t>
      </w:r>
      <w:r>
        <w:t xml:space="preserve"> </w:t>
      </w:r>
      <w:r>
        <w:t xml:space="preserve">LLM:n päättely (tokentasolla)</w:t>
      </w:r>
    </w:p>
    <w:p>
      <w:pPr>
        <w:numPr>
          <w:ilvl w:val="0"/>
          <w:numId w:val="1057"/>
        </w:numPr>
        <w:pStyle w:val="Compact"/>
      </w:pPr>
      <w:r>
        <w:rPr>
          <w:bCs/>
          <w:b/>
        </w:rPr>
        <w:t xml:space="preserve">Toiminnot:</w:t>
      </w:r>
      <w:r>
        <w:t xml:space="preserve"> </w:t>
      </w:r>
      <w:r>
        <w:t xml:space="preserve">Tehdyt työkalukutsut (argumentteineen)</w:t>
      </w:r>
    </w:p>
    <w:p>
      <w:pPr>
        <w:numPr>
          <w:ilvl w:val="0"/>
          <w:numId w:val="1057"/>
        </w:numPr>
        <w:pStyle w:val="Compact"/>
      </w:pPr>
      <w:r>
        <w:rPr>
          <w:bCs/>
          <w:b/>
        </w:rPr>
        <w:t xml:space="preserve">Tulokset:</w:t>
      </w:r>
      <w:r>
        <w:t xml:space="preserve"> </w:t>
      </w:r>
      <w:r>
        <w:t xml:space="preserve">Palautetut työkalujen tuotokset</w:t>
      </w:r>
    </w:p>
    <w:p>
      <w:pPr>
        <w:numPr>
          <w:ilvl w:val="0"/>
          <w:numId w:val="1057"/>
        </w:numPr>
        <w:pStyle w:val="Compact"/>
      </w:pPr>
      <w:r>
        <w:rPr>
          <w:bCs/>
          <w:b/>
        </w:rPr>
        <w:t xml:space="preserve">Aikaleima ja kesto:</w:t>
      </w:r>
      <w:r>
        <w:t xml:space="preserve"> </w:t>
      </w:r>
      <w:r>
        <w:t xml:space="preserve">Iteraatiokohtainen ajoitus</w:t>
      </w:r>
    </w:p>
    <w:p>
      <w:pPr>
        <w:pStyle w:val="FirstParagraph"/>
      </w:pPr>
      <w:r>
        <w:t xml:space="preserve">Nämä tallennetaan</w:t>
      </w:r>
      <w:r>
        <w:t xml:space="preserve"> </w:t>
      </w:r>
      <w:r>
        <w:rPr>
          <w:rStyle w:val="VerbatimChar"/>
        </w:rPr>
        <w:t xml:space="preserve">agent_loop_iterations</w:t>
      </w:r>
      <w:r>
        <w:t xml:space="preserve"> </w:t>
      </w:r>
      <w:r>
        <w:t xml:space="preserve">Supabase-tauluun, luoden täydellisen päättelyketjun syötteestä tulosteeseen — vaatimus, jota yksittäiskutsu-arkkitehtuurit eivät voi täyttää.</w:t>
      </w:r>
    </w:p>
    <w:bookmarkEnd w:id="168"/>
    <w:bookmarkStart w:id="169" w:name="tutkimuskontribuutio-2"/>
    <w:p>
      <w:pPr>
        <w:pStyle w:val="Heading4"/>
      </w:pPr>
      <w:r>
        <w:t xml:space="preserve">10.9.4 Tutkimuskontribuutio</w:t>
      </w:r>
    </w:p>
    <w:p>
      <w:pPr>
        <w:pStyle w:val="FirstParagraph"/>
      </w:pPr>
      <w:r>
        <w:t xml:space="preserve">Tämä modernisointi validoi kaksi opinnäytetyön hypoteesia:</w:t>
      </w:r>
    </w:p>
    <w:p>
      <w:pPr>
        <w:numPr>
          <w:ilvl w:val="0"/>
          <w:numId w:val="1058"/>
        </w:numPr>
      </w:pPr>
      <w:r>
        <w:rPr>
          <w:bCs/>
          <w:b/>
        </w:rPr>
        <w:t xml:space="preserve">Solution Factory -toistettavuus (osio 4.1):</w:t>
      </w:r>
      <w:r>
        <w:t xml:space="preserve"> </w:t>
      </w:r>
      <w:r>
        <w:t xml:space="preserve">Koko kuuden korjauksen modernisointi suunniteltiin, toteutettiin ja dokumentoitiin yhdessä tekoälyavusteisessa sessiossa — osoittaen, että Firehorse-toimintamalli skaalautuu arkkitehtuuriseen refaktorointiin, ei vain tuotekatalogin hallintaan.</w:t>
      </w:r>
    </w:p>
    <w:p>
      <w:pPr>
        <w:numPr>
          <w:ilvl w:val="0"/>
          <w:numId w:val="1058"/>
        </w:numPr>
      </w:pPr>
      <w:r>
        <w:rPr>
          <w:bCs/>
          <w:b/>
        </w:rPr>
        <w:t xml:space="preserve">Lifetime Scope Signals -evoluutio (osio 2.5.2):</w:t>
      </w:r>
      <w:r>
        <w:t xml:space="preserve"> </w:t>
      </w:r>
      <w:r>
        <w:t xml:space="preserve">Tapahtumaväylä (</w:t>
      </w:r>
      <w:r>
        <w:rPr>
          <w:rStyle w:val="VerbatimChar"/>
        </w:rPr>
        <w:t xml:space="preserve">event-bus.ts</w:t>
      </w:r>
      <w:r>
        <w:t xml:space="preserve">) on teoreettisen signaalinlähetysprotokollaa tuotantototeutus. Agentit lähettävät rakenteistettuja tapahtumia (</w:t>
      </w:r>
      <w:r>
        <w:rPr>
          <w:rStyle w:val="VerbatimChar"/>
        </w:rPr>
        <w:t xml:space="preserve">agent.execution_complete</w:t>
      </w:r>
      <w:r>
        <w:t xml:space="preserve">,</w:t>
      </w:r>
      <w:r>
        <w:t xml:space="preserve"> </w:t>
      </w:r>
      <w:r>
        <w:rPr>
          <w:rStyle w:val="VerbatimChar"/>
        </w:rPr>
        <w:t xml:space="preserve">compliance.check_passed</w:t>
      </w:r>
      <w:r>
        <w:t xml:space="preserve">), joita muut agentit tilaavat — täsmälleen V1.0 Agenttilaivasto -spesifikaatiossa kuvattu</w:t>
      </w:r>
      <w:r>
        <w:t xml:space="preserve"> </w:t>
      </w:r>
      <w:r>
        <w:t xml:space="preserve">“</w:t>
      </w:r>
      <w:r>
        <w:t xml:space="preserve">deklaratiivinen signaaliemissio</w:t>
      </w:r>
      <w:r>
        <w:t xml:space="preserve">”</w:t>
      </w:r>
      <w:r>
        <w:t xml:space="preserve"> </w:t>
      </w:r>
      <w:r>
        <w:t xml:space="preserve">-malli.</w:t>
      </w:r>
    </w:p>
    <w:p>
      <w:r>
        <w:pict>
          <v:rect style="width:0;height:1.5pt" o:hralign="center" o:hrstd="t" o:hr="t"/>
        </w:pict>
      </w:r>
    </w:p>
    <w:bookmarkEnd w:id="169"/>
    <w:bookmarkEnd w:id="170"/>
    <w:bookmarkEnd w:id="171"/>
    <w:bookmarkStart w:id="180" w:name="Xcf333bb13bb7986142c6bed93e0605bfb71bc8c"/>
    <w:p>
      <w:pPr>
        <w:pStyle w:val="Heading2"/>
      </w:pPr>
      <w:r>
        <w:t xml:space="preserve">10.10 Agent Foundry Vaihe 1.5: OpenSandbox Acer Veriton GN100 -laitteella</w:t>
      </w:r>
    </w:p>
    <w:p>
      <w:pPr>
        <w:pStyle w:val="FirstParagraph"/>
      </w:pPr>
      <w:r>
        <w:rPr>
          <w:iCs/>
          <w:i/>
        </w:rPr>
        <w:t xml:space="preserve">Sessio: claude/sandbox-agents-opensandbox-HatfC | Päiväys: 01.03.2026</w:t>
      </w:r>
    </w:p>
    <w:bookmarkStart w:id="172" w:name="tausta-1"/>
    <w:p>
      <w:pPr>
        <w:pStyle w:val="Heading3"/>
      </w:pPr>
      <w:r>
        <w:t xml:space="preserve">10.10.1 Tausta</w:t>
      </w:r>
    </w:p>
    <w:p>
      <w:pPr>
        <w:pStyle w:val="FirstParagraph"/>
      </w:pPr>
      <w:r>
        <w:t xml:space="preserve">DWS IQ 6 Agent Foundry tarvitsi välivaiheen eristyskerroksen Stage 1:n (Anthropic SDK -hiekkalaatikko, demo-taso) ja Stage 2:n (Cloud Run hetkelliskontteja, maksava moniasiakkuus) väliin. Stage 1.5 täyttää tämän aukon</w:t>
      </w:r>
      <w:r>
        <w:t xml:space="preserve"> </w:t>
      </w:r>
      <w:r>
        <w:rPr>
          <w:bCs/>
          <w:b/>
        </w:rPr>
        <w:t xml:space="preserve">OpenSandbox</w:t>
      </w:r>
      <w:r>
        <w:t xml:space="preserve">-alustalla (https://github.com/alibaba/OpenSandbox), joka toimii</w:t>
      </w:r>
      <w:r>
        <w:t xml:space="preserve"> </w:t>
      </w:r>
      <w:r>
        <w:rPr>
          <w:bCs/>
          <w:b/>
        </w:rPr>
        <w:t xml:space="preserve">Acer Veriton GN100</w:t>
      </w:r>
      <w:r>
        <w:t xml:space="preserve"> </w:t>
      </w:r>
      <w:r>
        <w:t xml:space="preserve">-reunasolmussa (120 GiB RAM, 20 ydintä, Helsinki Lab).</w:t>
      </w:r>
    </w:p>
    <w:bookmarkEnd w:id="172"/>
    <w:bookmarkStart w:id="173" w:name="vaiheiden-eteneminen"/>
    <w:p>
      <w:pPr>
        <w:pStyle w:val="Heading3"/>
      </w:pPr>
      <w:r>
        <w:t xml:space="preserve">10.10.2 Vaiheiden eteneminen</w:t>
      </w:r>
    </w:p>
    <w:tbl>
      <w:tblPr>
        <w:tblStyle w:val="Table"/>
        <w:tblW w:type="pct" w:w="5000"/>
        <w:tblLook w:firstRow="1" w:lastRow="0" w:firstColumn="0" w:lastColumn="0" w:noHBand="0" w:noVBand="0" w:val="0020"/>
        <w:jc w:val="start"/>
      </w:tblPr>
      <w:tblGrid>
        <w:gridCol w:w="1227"/>
        <w:gridCol w:w="3123"/>
        <w:gridCol w:w="2677"/>
        <w:gridCol w:w="892"/>
      </w:tblGrid>
      <w:tr>
        <w:trPr>
          <w:tblHeader w:val="true"/>
        </w:trPr>
        <w:tc>
          <w:tcPr/>
          <w:p>
            <w:pPr>
              <w:pStyle w:val="Compact"/>
              <w:jc w:val="left"/>
            </w:pPr>
            <w:r>
              <w:t xml:space="preserve">Vaihe</w:t>
            </w:r>
          </w:p>
        </w:tc>
        <w:tc>
          <w:tcPr/>
          <w:p>
            <w:pPr>
              <w:pStyle w:val="Compact"/>
              <w:jc w:val="left"/>
            </w:pPr>
            <w:r>
              <w:t xml:space="preserve">Eristysmenetelmä</w:t>
            </w:r>
          </w:p>
        </w:tc>
        <w:tc>
          <w:tcPr/>
          <w:p>
            <w:pPr>
              <w:pStyle w:val="Compact"/>
              <w:jc w:val="left"/>
            </w:pPr>
            <w:r>
              <w:t xml:space="preserve">Parhaiten sopii</w:t>
            </w:r>
          </w:p>
        </w:tc>
        <w:tc>
          <w:tcPr/>
          <w:p>
            <w:pPr>
              <w:pStyle w:val="Compact"/>
              <w:jc w:val="left"/>
            </w:pPr>
            <w:r>
              <w:t xml:space="preserve">Kustannus</w:t>
            </w:r>
          </w:p>
        </w:tc>
      </w:tr>
      <w:tr>
        <w:tc>
          <w:tcPr/>
          <w:p>
            <w:pPr>
              <w:pStyle w:val="Compact"/>
              <w:jc w:val="left"/>
            </w:pPr>
            <w:r>
              <w:t xml:space="preserve">1 — SDK-hiekkalaatikko</w:t>
            </w:r>
          </w:p>
        </w:tc>
        <w:tc>
          <w:tcPr/>
          <w:p>
            <w:pPr>
              <w:pStyle w:val="Compact"/>
              <w:jc w:val="left"/>
            </w:pPr>
            <w:r>
              <w:t xml:space="preserve">Anthropic Agent SDK (bubblewrap/seatbelt)</w:t>
            </w:r>
          </w:p>
        </w:tc>
        <w:tc>
          <w:tcPr/>
          <w:p>
            <w:pPr>
              <w:pStyle w:val="Compact"/>
              <w:jc w:val="left"/>
            </w:pPr>
            <w:r>
              <w:t xml:space="preserve">Demo, yksiasiakaskokeilut</w:t>
            </w:r>
          </w:p>
        </w:tc>
        <w:tc>
          <w:tcPr/>
          <w:p>
            <w:pPr>
              <w:pStyle w:val="Compact"/>
              <w:jc w:val="left"/>
            </w:pPr>
            <w:r>
              <w:t xml:space="preserve">€0</w:t>
            </w:r>
          </w:p>
        </w:tc>
      </w:tr>
      <w:tr>
        <w:tc>
          <w:tcPr/>
          <w:p>
            <w:pPr>
              <w:pStyle w:val="Compact"/>
              <w:jc w:val="left"/>
            </w:pPr>
            <w:r>
              <w:rPr>
                <w:bCs/>
                <w:b/>
              </w:rPr>
              <w:t xml:space="preserve">1.5 — OpenSandbox</w:t>
            </w:r>
          </w:p>
        </w:tc>
        <w:tc>
          <w:tcPr/>
          <w:p>
            <w:pPr>
              <w:pStyle w:val="Compact"/>
              <w:jc w:val="left"/>
            </w:pPr>
            <w:r>
              <w:rPr>
                <w:bCs/>
                <w:b/>
              </w:rPr>
              <w:t xml:space="preserve">Docker Acer Veriton GN100 -laitteella (Helsinki Lab)</w:t>
            </w:r>
          </w:p>
        </w:tc>
        <w:tc>
          <w:tcPr/>
          <w:p>
            <w:pPr>
              <w:pStyle w:val="Compact"/>
              <w:jc w:val="left"/>
            </w:pPr>
            <w:r>
              <w:rPr>
                <w:bCs/>
                <w:b/>
              </w:rPr>
              <w:t xml:space="preserve">EU-ilmarakoiset ympäristöt, sisäiset pilotit</w:t>
            </w:r>
          </w:p>
        </w:tc>
        <w:tc>
          <w:tcPr/>
          <w:p>
            <w:pPr>
              <w:pStyle w:val="Compact"/>
              <w:jc w:val="left"/>
            </w:pPr>
            <w:r>
              <w:rPr>
                <w:bCs/>
                <w:b/>
              </w:rPr>
              <w:t xml:space="preserve">€0 (vain HW)</w:t>
            </w:r>
          </w:p>
        </w:tc>
      </w:tr>
      <w:tr>
        <w:tc>
          <w:tcPr/>
          <w:p>
            <w:pPr>
              <w:pStyle w:val="Compact"/>
              <w:jc w:val="left"/>
            </w:pPr>
            <w:r>
              <w:t xml:space="preserve">2 — Cloud Run</w:t>
            </w:r>
          </w:p>
        </w:tc>
        <w:tc>
          <w:tcPr/>
          <w:p>
            <w:pPr>
              <w:pStyle w:val="Compact"/>
              <w:jc w:val="left"/>
            </w:pPr>
            <w:r>
              <w:t xml:space="preserve">Hetkelliskontteja (europe-north1)</w:t>
            </w:r>
          </w:p>
        </w:tc>
        <w:tc>
          <w:tcPr/>
          <w:p>
            <w:pPr>
              <w:pStyle w:val="Compact"/>
              <w:jc w:val="left"/>
            </w:pPr>
            <w:r>
              <w:t xml:space="preserve">Maksava moniasiakkuus</w:t>
            </w:r>
          </w:p>
        </w:tc>
        <w:tc>
          <w:tcPr/>
          <w:p>
            <w:pPr>
              <w:pStyle w:val="Compact"/>
              <w:jc w:val="left"/>
            </w:pPr>
            <w:r>
              <w:t xml:space="preserve">~€20-50/kk</w:t>
            </w:r>
          </w:p>
        </w:tc>
      </w:tr>
      <w:tr>
        <w:tc>
          <w:tcPr/>
          <w:p>
            <w:pPr>
              <w:pStyle w:val="Compact"/>
              <w:jc w:val="left"/>
            </w:pPr>
            <w:r>
              <w:t xml:space="preserve">3 — Pysyvät</w:t>
            </w:r>
          </w:p>
        </w:tc>
        <w:tc>
          <w:tcPr/>
          <w:p>
            <w:pPr>
              <w:pStyle w:val="Compact"/>
              <w:jc w:val="left"/>
            </w:pPr>
            <w:r>
              <w:t xml:space="preserve">gVisor/Firecracker per asiakas</w:t>
            </w:r>
          </w:p>
        </w:tc>
        <w:tc>
          <w:tcPr/>
          <w:p>
            <w:pPr>
              <w:pStyle w:val="Compact"/>
              <w:jc w:val="left"/>
            </w:pPr>
            <w:r>
              <w:t xml:space="preserve">Skaalautuminen (€50k+ MRR)</w:t>
            </w:r>
          </w:p>
        </w:tc>
        <w:tc>
          <w:tcPr/>
          <w:p>
            <w:pPr>
              <w:pStyle w:val="Compact"/>
              <w:jc w:val="left"/>
            </w:pPr>
            <w:r>
              <w:t xml:space="preserve">€200+/kk</w:t>
            </w:r>
          </w:p>
        </w:tc>
      </w:tr>
    </w:tbl>
    <w:p>
      <w:pPr>
        <w:pStyle w:val="BodyText"/>
      </w:pPr>
      <w:r>
        <w:t xml:space="preserve">Aktivointi:</w:t>
      </w:r>
      <w:r>
        <w:t xml:space="preserve"> </w:t>
      </w:r>
      <w:r>
        <w:rPr>
          <w:rStyle w:val="VerbatimChar"/>
        </w:rPr>
        <w:t xml:space="preserve">SANDBOX_STAGE=opensandbox</w:t>
      </w:r>
      <w:r>
        <w:t xml:space="preserve"> </w:t>
      </w:r>
      <w:r>
        <w:t xml:space="preserve">+</w:t>
      </w:r>
      <w:r>
        <w:t xml:space="preserve"> </w:t>
      </w:r>
      <w:r>
        <w:rPr>
          <w:rStyle w:val="VerbatimChar"/>
        </w:rPr>
        <w:t xml:space="preserve">OPENSANDBOX_HOST=http://&lt;veriton-ip&gt;:8080</w:t>
      </w:r>
    </w:p>
    <w:bookmarkEnd w:id="173"/>
    <w:bookmarkStart w:id="174" w:name="opensandbox-arkkitehtuuri"/>
    <w:p>
      <w:pPr>
        <w:pStyle w:val="Heading3"/>
      </w:pPr>
      <w:r>
        <w:t xml:space="preserve">10.10.3 OpenSandbox-arkkitehtuuri</w:t>
      </w:r>
    </w:p>
    <w:p>
      <w:pPr>
        <w:pStyle w:val="FirstParagraph"/>
      </w:pPr>
      <w:r>
        <w:t xml:space="preserve">OpenSandbox tarjoaa Docker-pohjaisen eristyksen TypeScript SDK:lla ja REST API -palvelimella. Jokainen agenttitehtävä luo oman hetkellisen kontin, suorittaa tehtävän ja kontti tuhotaan suorituksen jälkeen:</w:t>
      </w:r>
    </w:p>
    <w:p>
      <w:pPr>
        <w:pStyle w:val="SourceCode"/>
      </w:pPr>
      <w:r>
        <w:rPr>
          <w:rStyle w:val="VerbatimChar"/>
        </w:rPr>
        <w:t xml:space="preserve">DWS Express Backend (EU Cloud Run)</w:t>
      </w:r>
      <w:r>
        <w:br/>
      </w:r>
      <w:r>
        <w:rPr>
          <w:rStyle w:val="VerbatimChar"/>
        </w:rPr>
        <w:t xml:space="preserve">  └── OpenSandboxClient (src/sandbox/opensandbox.ts)</w:t>
      </w:r>
      <w:r>
        <w:br/>
      </w:r>
      <w:r>
        <w:rPr>
          <w:rStyle w:val="VerbatimChar"/>
        </w:rPr>
        <w:t xml:space="preserve">        └── OpenSandbox REST API (:8080)</w:t>
      </w:r>
      <w:r>
        <w:br/>
      </w:r>
      <w:r>
        <w:rPr>
          <w:rStyle w:val="VerbatimChar"/>
        </w:rPr>
        <w:t xml:space="preserve">              └── Docker-kontit (Acer Veriton GN100, Helsinki Lab)</w:t>
      </w:r>
      <w:r>
        <w:br/>
      </w:r>
      <w:r>
        <w:rPr>
          <w:rStyle w:val="VerbatimChar"/>
        </w:rPr>
        <w:t xml:space="preserve">                    └── Agenttitehtävä (hetkellinen, tuhotaan suorituksen jälkeen)</w:t>
      </w:r>
    </w:p>
    <w:p>
      <w:pPr>
        <w:pStyle w:val="FirstParagraph"/>
      </w:pPr>
      <w:r>
        <w:t xml:space="preserve">Tietoturvaominaisuudet: tiedostojärjestelmäeristys per tehtävä, verkon ulostulo oletuksena estetty (explicit allow-list:</w:t>
      </w:r>
      <w:r>
        <w:t xml:space="preserve"> </w:t>
      </w:r>
      <w:r>
        <w:rPr>
          <w:rStyle w:val="VerbatimChar"/>
        </w:rPr>
        <w:t xml:space="preserve">api.anthropic.com</w:t>
      </w:r>
      <w:r>
        <w:t xml:space="preserve">,</w:t>
      </w:r>
      <w:r>
        <w:t xml:space="preserve"> </w:t>
      </w:r>
      <w:r>
        <w:rPr>
          <w:rStyle w:val="VerbatimChar"/>
        </w:rPr>
        <w:t xml:space="preserve">api.groq.com</w:t>
      </w:r>
      <w:r>
        <w:t xml:space="preserve">, MCP Hub), EU-tietojen sijainti pakotettu laitteistotasolla.</w:t>
      </w:r>
    </w:p>
    <w:bookmarkEnd w:id="174"/>
    <w:bookmarkStart w:id="175" w:name="agenttimuisti-empo²-arxiv2602.23008"/>
    <w:p>
      <w:pPr>
        <w:pStyle w:val="Heading3"/>
      </w:pPr>
      <w:r>
        <w:t xml:space="preserve">10.10.4 Agenttimuisti: EMPO² (arXiv:2602.23008)</w:t>
      </w:r>
    </w:p>
    <w:p>
      <w:pPr>
        <w:pStyle w:val="FirstParagraph"/>
      </w:pPr>
      <w:r>
        <w:t xml:space="preserve">OpenSandbox-integraation kanssa samanaikaisesti julkaistiin tärkeä uusi tutkimus agenttimuistista. Artikkeli</w:t>
      </w:r>
      <w:r>
        <w:t xml:space="preserve"> </w:t>
      </w:r>
      <w:r>
        <w:rPr>
          <w:iCs/>
          <w:i/>
        </w:rPr>
        <w:t xml:space="preserve">“</w:t>
      </w:r>
      <w:r>
        <w:rPr>
          <w:iCs/>
          <w:i/>
        </w:rPr>
        <w:t xml:space="preserve">Exploratory Memory-Augmented LLM Agent via Hybrid On- and Off-Policy Optimization</w:t>
      </w:r>
      <w:r>
        <w:rPr>
          <w:iCs/>
          <w:i/>
        </w:rPr>
        <w:t xml:space="preserve">”</w:t>
      </w:r>
      <w:r>
        <w:t xml:space="preserve"> </w:t>
      </w:r>
      <w:r>
        <w:t xml:space="preserve">(EMPO², helmikuu 2026) ehdottaa hybridi-RL-kehystä, joka ratkaisee LLM-agenttikoulutuksen ydinkapeapaikan:</w:t>
      </w:r>
      <w:r>
        <w:t xml:space="preserve"> </w:t>
      </w:r>
      <w:r>
        <w:rPr>
          <w:bCs/>
          <w:b/>
        </w:rPr>
        <w:t xml:space="preserve">tutkimisen uusissa ympäristöissä</w:t>
      </w:r>
      <w:r>
        <w:t xml:space="preserve">.</w:t>
      </w:r>
    </w:p>
    <w:p>
      <w:pPr>
        <w:pStyle w:val="BodyText"/>
      </w:pPr>
      <w:r>
        <w:rPr>
          <w:bCs/>
          <w:b/>
        </w:rPr>
        <w:t xml:space="preserve">EMPO²:n kaksoispäivitysmekanismi:</w:t>
      </w:r>
    </w:p>
    <w:p>
      <w:pPr>
        <w:numPr>
          <w:ilvl w:val="0"/>
          <w:numId w:val="1059"/>
        </w:numPr>
        <w:pStyle w:val="Compact"/>
      </w:pPr>
      <w:r>
        <w:rPr>
          <w:bCs/>
          <w:b/>
        </w:rPr>
        <w:t xml:space="preserve">Parametriset päivitykset</w:t>
      </w:r>
      <w:r>
        <w:t xml:space="preserve"> </w:t>
      </w:r>
      <w:r>
        <w:t xml:space="preserve">(RL): hienosäätää mallin painoja on/off-policy -rullausajoilla</w:t>
      </w:r>
    </w:p>
    <w:p>
      <w:pPr>
        <w:numPr>
          <w:ilvl w:val="0"/>
          <w:numId w:val="1059"/>
        </w:numPr>
        <w:pStyle w:val="Compact"/>
      </w:pPr>
      <w:r>
        <w:rPr>
          <w:bCs/>
          <w:b/>
        </w:rPr>
        <w:t xml:space="preserve">Ei-parametriset päivitykset</w:t>
      </w:r>
      <w:r>
        <w:t xml:space="preserve"> </w:t>
      </w:r>
      <w:r>
        <w:t xml:space="preserve">(muisti): tallentaa ja hakee tehtäväkohtaisia</w:t>
      </w:r>
      <w:r>
        <w:t xml:space="preserve"> </w:t>
      </w:r>
      <w:r>
        <w:t xml:space="preserve">“</w:t>
      </w:r>
      <w:r>
        <w:t xml:space="preserve">vinkkejä</w:t>
      </w:r>
      <w:r>
        <w:t xml:space="preserve">”</w:t>
      </w:r>
      <w:r>
        <w:t xml:space="preserve"> </w:t>
      </w:r>
      <w:r>
        <w:t xml:space="preserve">muistipuskurista rullausajojen aikana</w:t>
      </w:r>
    </w:p>
    <w:p>
      <w:pPr>
        <w:numPr>
          <w:ilvl w:val="0"/>
          <w:numId w:val="1059"/>
        </w:numPr>
        <w:pStyle w:val="Compact"/>
      </w:pPr>
      <w:r>
        <w:rPr>
          <w:bCs/>
          <w:b/>
        </w:rPr>
        <w:t xml:space="preserve">Kaksi rullausajomuotoa</w:t>
      </w:r>
      <w:r>
        <w:t xml:space="preserve">: muistin kanssa (hakuavusteinen) ja ilman muistia (vain parametrinen)</w:t>
      </w:r>
    </w:p>
    <w:p>
      <w:pPr>
        <w:numPr>
          <w:ilvl w:val="0"/>
          <w:numId w:val="1059"/>
        </w:numPr>
        <w:pStyle w:val="Compact"/>
      </w:pPr>
      <w:r>
        <w:rPr>
          <w:bCs/>
          <w:b/>
        </w:rPr>
        <w:t xml:space="preserve">Kaksi päivitysmuotoa</w:t>
      </w:r>
      <w:r>
        <w:t xml:space="preserve">: on-policy (vinkit säilytetään) ja off-policy (vinkit poistetaan)</w:t>
      </w:r>
    </w:p>
    <w:p>
      <w:pPr>
        <w:pStyle w:val="FirstParagraph"/>
      </w:pPr>
      <w:r>
        <w:rPr>
          <w:bCs/>
          <w:b/>
        </w:rPr>
        <w:t xml:space="preserve">Tulokset:</w:t>
      </w:r>
      <w:r>
        <w:t xml:space="preserve"> </w:t>
      </w:r>
      <w:r>
        <w:t xml:space="preserve">128,6 % parannus GRPO-algoritmiin verrattuna ScienceWorldissa, 11,3 % WebShopissa, parempi yleistyminen jakaumasta poikkeaviin tehtäviin vain muutamalla muistikokeella (ei parametripäivityksiä).</w:t>
      </w:r>
    </w:p>
    <w:p>
      <w:pPr>
        <w:pStyle w:val="BodyText"/>
      </w:pPr>
      <w:r>
        <w:rPr>
          <w:bCs/>
          <w:b/>
        </w:rPr>
        <w:t xml:space="preserve">Relevanssi DWS IQ 6:lle / Lifetime World Model:</w:t>
      </w:r>
    </w:p>
    <w:p>
      <w:pPr>
        <w:pStyle w:val="BodyText"/>
      </w:pPr>
      <w:r>
        <w:t xml:space="preserve">DWS Lifetime World Model (LWM) yhdistää jo molemmat EMPO²:n ehdottamat muistityypit:</w:t>
      </w:r>
    </w:p>
    <w:tbl>
      <w:tblPr>
        <w:tblStyle w:val="Table"/>
        <w:tblW w:type="pct" w:w="5000"/>
        <w:tblLook w:firstRow="1" w:lastRow="0" w:firstColumn="0" w:lastColumn="0" w:noHBand="0" w:noVBand="0" w:val="0020"/>
        <w:jc w:val="start"/>
      </w:tblPr>
      <w:tblGrid>
        <w:gridCol w:w="2420"/>
        <w:gridCol w:w="5500"/>
      </w:tblGrid>
      <w:tr>
        <w:trPr>
          <w:tblHeader w:val="true"/>
        </w:trPr>
        <w:tc>
          <w:tcPr/>
          <w:p>
            <w:pPr>
              <w:pStyle w:val="Compact"/>
              <w:jc w:val="left"/>
            </w:pPr>
            <w:r>
              <w:t xml:space="preserve">EMPO²-komponentti</w:t>
            </w:r>
          </w:p>
        </w:tc>
        <w:tc>
          <w:tcPr/>
          <w:p>
            <w:pPr>
              <w:pStyle w:val="Compact"/>
              <w:jc w:val="left"/>
            </w:pPr>
            <w:r>
              <w:t xml:space="preserve">DWS LWM -vastine</w:t>
            </w:r>
          </w:p>
        </w:tc>
      </w:tr>
      <w:tr>
        <w:tc>
          <w:tcPr/>
          <w:p>
            <w:pPr>
              <w:pStyle w:val="Compact"/>
              <w:jc w:val="left"/>
            </w:pPr>
            <w:r>
              <w:t xml:space="preserve">Parametrinen muisti</w:t>
            </w:r>
          </w:p>
        </w:tc>
        <w:tc>
          <w:tcPr/>
          <w:p>
            <w:pPr>
              <w:pStyle w:val="Compact"/>
              <w:jc w:val="left"/>
            </w:pPr>
            <w:r>
              <w:t xml:space="preserve">Hienosäädetty LLM (QLoRA, Acer Veriton GN100)</w:t>
            </w:r>
          </w:p>
        </w:tc>
      </w:tr>
      <w:tr>
        <w:tc>
          <w:tcPr/>
          <w:p>
            <w:pPr>
              <w:pStyle w:val="Compact"/>
              <w:jc w:val="left"/>
            </w:pPr>
            <w:r>
              <w:t xml:space="preserve">Ei-parametrinen muisti</w:t>
            </w:r>
          </w:p>
        </w:tc>
        <w:tc>
          <w:tcPr/>
          <w:p>
            <w:pPr>
              <w:pStyle w:val="Compact"/>
              <w:jc w:val="left"/>
            </w:pPr>
            <w:r>
              <w:t xml:space="preserve">RAG yritysdata + EU-säädöksistä (pgvector)</w:t>
            </w:r>
          </w:p>
        </w:tc>
      </w:tr>
      <w:tr>
        <w:tc>
          <w:tcPr/>
          <w:p>
            <w:pPr>
              <w:pStyle w:val="Compact"/>
              <w:jc w:val="left"/>
            </w:pPr>
            <w:r>
              <w:t xml:space="preserve">Muistipuskuri</w:t>
            </w:r>
          </w:p>
        </w:tc>
        <w:tc>
          <w:tcPr/>
          <w:p>
            <w:pPr>
              <w:pStyle w:val="Compact"/>
              <w:jc w:val="left"/>
            </w:pPr>
            <w:r>
              <w:t xml:space="preserve">Supabase</w:t>
            </w:r>
            <w:r>
              <w:t xml:space="preserve"> </w:t>
            </w:r>
            <w:r>
              <w:rPr>
                <w:rStyle w:val="VerbatimChar"/>
              </w:rPr>
              <w:t xml:space="preserve">agent_loop_iterations</w:t>
            </w:r>
            <w:r>
              <w:t xml:space="preserve"> </w:t>
            </w:r>
            <w:r>
              <w:t xml:space="preserve">-taulu</w:t>
            </w:r>
          </w:p>
        </w:tc>
      </w:tr>
      <w:tr>
        <w:tc>
          <w:tcPr/>
          <w:p>
            <w:pPr>
              <w:pStyle w:val="Compact"/>
              <w:jc w:val="left"/>
            </w:pPr>
            <w:r>
              <w:t xml:space="preserve">Vinkkien haku</w:t>
            </w:r>
          </w:p>
        </w:tc>
        <w:tc>
          <w:tcPr/>
          <w:p>
            <w:pPr>
              <w:pStyle w:val="Compact"/>
              <w:jc w:val="left"/>
            </w:pPr>
            <w:r>
              <w:t xml:space="preserve">Konteksti-injektio Compliance/Hiili-tietokannoista</w:t>
            </w:r>
          </w:p>
        </w:tc>
      </w:tr>
    </w:tbl>
    <w:p>
      <w:pPr>
        <w:pStyle w:val="BodyText"/>
      </w:pPr>
      <w:r>
        <w:t xml:space="preserve">EMPO²:n havainto —</w:t>
      </w:r>
      <w:r>
        <w:t xml:space="preserve"> </w:t>
      </w:r>
      <w:r>
        <w:rPr>
          <w:iCs/>
          <w:i/>
        </w:rPr>
        <w:t xml:space="preserve">“</w:t>
      </w:r>
      <w:r>
        <w:rPr>
          <w:iCs/>
          <w:i/>
        </w:rPr>
        <w:t xml:space="preserve">muistilla oppiminen mahdollistaa mallien vahvuuden myös ilman muistia päättelyaikana</w:t>
      </w:r>
      <w:r>
        <w:rPr>
          <w:iCs/>
          <w:i/>
        </w:rPr>
        <w:t xml:space="preserve">”</w:t>
      </w:r>
      <w:r>
        <w:t xml:space="preserve"> </w:t>
      </w:r>
      <w:r>
        <w:t xml:space="preserve">— validoi DWS-strategian asteittain upottaa domaintieto mallin painoihin QLoRA-hienosäädöllä Acer Veriton GN100:lla samalla kun ei-parametrinen haku toimii reaaliaikaisena varamekanismina.</w:t>
      </w:r>
    </w:p>
    <w:bookmarkEnd w:id="175"/>
    <w:bookmarkStart w:id="176" w:name="mcp-integraatio"/>
    <w:p>
      <w:pPr>
        <w:pStyle w:val="Heading3"/>
      </w:pPr>
      <w:r>
        <w:t xml:space="preserve">10.10.5 MCP-integraatio</w:t>
      </w:r>
    </w:p>
    <w:p>
      <w:pPr>
        <w:pStyle w:val="FirstParagraph"/>
      </w:pPr>
      <w:r>
        <w:t xml:space="preserve">Kuusi MCP-työkalua paljastaa OpenSandboxin DWS MCP Hubin kautta (</w:t>
      </w:r>
      <w:r>
        <w:rPr>
          <w:rStyle w:val="VerbatimChar"/>
        </w:rPr>
        <w:t xml:space="preserve">/sandbox/*</w:t>
      </w:r>
      <w:r>
        <w:t xml:space="preserv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Työkalu</w:t>
            </w:r>
          </w:p>
        </w:tc>
        <w:tc>
          <w:tcPr/>
          <w:p>
            <w:pPr>
              <w:pStyle w:val="Compact"/>
              <w:jc w:val="left"/>
            </w:pPr>
            <w:r>
              <w:t xml:space="preserve">Tarkoitus</w:t>
            </w:r>
          </w:p>
        </w:tc>
      </w:tr>
      <w:tr>
        <w:tc>
          <w:tcPr/>
          <w:p>
            <w:pPr>
              <w:pStyle w:val="Compact"/>
              <w:jc w:val="left"/>
            </w:pPr>
            <w:r>
              <w:rPr>
                <w:rStyle w:val="VerbatimChar"/>
              </w:rPr>
              <w:t xml:space="preserve">sandbox_create</w:t>
            </w:r>
          </w:p>
        </w:tc>
        <w:tc>
          <w:tcPr/>
          <w:p>
            <w:pPr>
              <w:pStyle w:val="Compact"/>
              <w:jc w:val="left"/>
            </w:pPr>
            <w:r>
              <w:t xml:space="preserve">Luo eristetty Docker-kontti</w:t>
            </w:r>
          </w:p>
        </w:tc>
      </w:tr>
      <w:tr>
        <w:tc>
          <w:tcPr/>
          <w:p>
            <w:pPr>
              <w:pStyle w:val="Compact"/>
              <w:jc w:val="left"/>
            </w:pPr>
            <w:r>
              <w:rPr>
                <w:rStyle w:val="VerbatimChar"/>
              </w:rPr>
              <w:t xml:space="preserve">sandbox_execute</w:t>
            </w:r>
          </w:p>
        </w:tc>
        <w:tc>
          <w:tcPr/>
          <w:p>
            <w:pPr>
              <w:pStyle w:val="Compact"/>
              <w:jc w:val="left"/>
            </w:pPr>
            <w:r>
              <w:t xml:space="preserve">Suorita komento hiekkalaatikossa</w:t>
            </w:r>
          </w:p>
        </w:tc>
      </w:tr>
      <w:tr>
        <w:tc>
          <w:tcPr/>
          <w:p>
            <w:pPr>
              <w:pStyle w:val="Compact"/>
              <w:jc w:val="left"/>
            </w:pPr>
            <w:r>
              <w:rPr>
                <w:rStyle w:val="VerbatimChar"/>
              </w:rPr>
              <w:t xml:space="preserve">sandbox_file_read</w:t>
            </w:r>
          </w:p>
        </w:tc>
        <w:tc>
          <w:tcPr/>
          <w:p>
            <w:pPr>
              <w:pStyle w:val="Compact"/>
              <w:jc w:val="left"/>
            </w:pPr>
            <w:r>
              <w:t xml:space="preserve">Lue tulostiedostot</w:t>
            </w:r>
          </w:p>
        </w:tc>
      </w:tr>
      <w:tr>
        <w:tc>
          <w:tcPr/>
          <w:p>
            <w:pPr>
              <w:pStyle w:val="Compact"/>
              <w:jc w:val="left"/>
            </w:pPr>
            <w:r>
              <w:rPr>
                <w:rStyle w:val="VerbatimChar"/>
              </w:rPr>
              <w:t xml:space="preserve">sandbox_file_write</w:t>
            </w:r>
          </w:p>
        </w:tc>
        <w:tc>
          <w:tcPr/>
          <w:p>
            <w:pPr>
              <w:pStyle w:val="Compact"/>
              <w:jc w:val="left"/>
            </w:pPr>
            <w:r>
              <w:t xml:space="preserve">Kirjoita syöte/konfiguraatiotiedostot</w:t>
            </w:r>
          </w:p>
        </w:tc>
      </w:tr>
      <w:tr>
        <w:tc>
          <w:tcPr/>
          <w:p>
            <w:pPr>
              <w:pStyle w:val="Compact"/>
              <w:jc w:val="left"/>
            </w:pPr>
            <w:r>
              <w:rPr>
                <w:rStyle w:val="VerbatimChar"/>
              </w:rPr>
              <w:t xml:space="preserve">sandbox_destroy</w:t>
            </w:r>
          </w:p>
        </w:tc>
        <w:tc>
          <w:tcPr/>
          <w:p>
            <w:pPr>
              <w:pStyle w:val="Compact"/>
              <w:jc w:val="left"/>
            </w:pPr>
            <w:r>
              <w:t xml:space="preserve">Tuhoa hiekkalaatikko (hetkellinen)</w:t>
            </w:r>
          </w:p>
        </w:tc>
      </w:tr>
      <w:tr>
        <w:tc>
          <w:tcPr/>
          <w:p>
            <w:pPr>
              <w:pStyle w:val="Compact"/>
              <w:jc w:val="left"/>
            </w:pPr>
            <w:r>
              <w:rPr>
                <w:rStyle w:val="VerbatimChar"/>
              </w:rPr>
              <w:t xml:space="preserve">sandbox_ping</w:t>
            </w:r>
          </w:p>
        </w:tc>
        <w:tc>
          <w:tcPr/>
          <w:p>
            <w:pPr>
              <w:pStyle w:val="Compact"/>
              <w:jc w:val="left"/>
            </w:pPr>
            <w:r>
              <w:t xml:space="preserve">Tarkista Veriton-yhteys</w:t>
            </w:r>
          </w:p>
        </w:tc>
      </w:tr>
    </w:tbl>
    <w:bookmarkEnd w:id="176"/>
    <w:bookmarkStart w:id="178" w:name="tutkimuskontribuutio-3"/>
    <w:p>
      <w:pPr>
        <w:pStyle w:val="Heading3"/>
      </w:pPr>
      <w:r>
        <w:t xml:space="preserve">10.10.6 Tutkimuskontribuutio</w:t>
      </w:r>
    </w:p>
    <w:p>
      <w:pPr>
        <w:pStyle w:val="FirstParagraph"/>
      </w:pPr>
      <w:r>
        <w:t xml:space="preserve">Stage 1.5 osoittaa kolme opinnäytetyön väitettä samanaikaisesti:</w:t>
      </w:r>
    </w:p>
    <w:p>
      <w:pPr>
        <w:numPr>
          <w:ilvl w:val="0"/>
          <w:numId w:val="1060"/>
        </w:numPr>
      </w:pPr>
      <w:r>
        <w:rPr>
          <w:bCs/>
          <w:b/>
        </w:rPr>
        <w:t xml:space="preserve">Laitteistotietoinen Solution Factory (osio 4.1):</w:t>
      </w:r>
      <w:r>
        <w:t xml:space="preserve"> </w:t>
      </w:r>
      <w:r>
        <w:t xml:space="preserve">Sama agenttiarkkitehtuuri toimii EU-pilvessä (Stage 2) ja EU-tiloissa sijaitsevalla reunalaitteistolla (Stage 1.5) yhdellä ympäristömuuttujalla — validoiden alustan käyttöönottofleksibiliteetin ilmarakoisiin teollisuusympäristöihin (puolustus, terveydenhuolto, kriittinen infrastruktuuri).</w:t>
      </w:r>
    </w:p>
    <w:p>
      <w:pPr>
        <w:numPr>
          <w:ilvl w:val="0"/>
          <w:numId w:val="1060"/>
        </w:numPr>
      </w:pPr>
      <w:r>
        <w:rPr>
          <w:bCs/>
          <w:b/>
        </w:rPr>
        <w:t xml:space="preserve">Lifetime Fleet -konseptin validointi (osio 3.5):</w:t>
      </w:r>
      <w:r>
        <w:t xml:space="preserve"> </w:t>
      </w:r>
      <w:r>
        <w:t xml:space="preserve">Acer Veriton GN100 on ensimmäinen fyysinen solmu Lifetime Fleet -laivastossa — EU:ssa sijaitseva laitteisto, joka ajaa kontaineroituja tekoälykuormia täydessä operaattorin hallinnassa, täyttäen opinnäytetyössä ehdotetun reunatekoälyteoreettisen mallin.</w:t>
      </w:r>
    </w:p>
    <w:p>
      <w:pPr>
        <w:numPr>
          <w:ilvl w:val="0"/>
          <w:numId w:val="1060"/>
        </w:numPr>
      </w:pPr>
      <w:r>
        <w:rPr>
          <w:bCs/>
          <w:b/>
        </w:rPr>
        <w:t xml:space="preserve">EMPO²-muistiarkkitehtuurin yhdenmukaisuus:</w:t>
      </w:r>
      <w:r>
        <w:t xml:space="preserve"> </w:t>
      </w:r>
      <w:r>
        <w:t xml:space="preserve">EMPO²:n (arXiv:2602.23008) itsenäisesti validoima hybridiparametrinen/ei-parametrinen muistiarkkitehtuuri vastaa DWS LWM -suunnittelua — tarjoten akateemisen perustan insinööri-intuitiolla tehdylle toteutusvalinnalle.</w:t>
      </w:r>
    </w:p>
    <w:bookmarkStart w:id="177" w:name="X8c28030547ec393555290a914c672ff965b5d69"/>
    <w:p>
      <w:pPr>
        <w:pStyle w:val="Heading4"/>
      </w:pPr>
      <w:r>
        <w:t xml:space="preserve">10.10.6.1 Laitteistollisen Brainin päivitys (toukokuu 2026)</w:t>
      </w:r>
    </w:p>
    <w:p>
      <w:pPr>
        <w:pStyle w:val="FirstParagraph"/>
      </w:pPr>
      <w:r>
        <w:t xml:space="preserve">Acer Veriton GN100 / DGX Spark -Brain-kerros uudelleenkiinnitettiin toukokuussa 2026 kolmen insinöörihavainnon suorana seurauksena: (1) tiheä Llama 3.3 70B Q4-formaatissa toimi nopeudella ~4,4 tok/s dekoodauksessa GB10-muistiväylällä (273 GB/s) — liian hitaasti interaktiivisille agenttityökuormille, koska jokainen forward pass työnsi kaikki 70B parametria väylän läpi; (2) NVIDIA:n Nemotron 3 Super (arkkitehtuuri</w:t>
      </w:r>
      <w:r>
        <w:t xml:space="preserve"> </w:t>
      </w:r>
      <w:r>
        <w:rPr>
          <w:rStyle w:val="VerbatimChar"/>
        </w:rPr>
        <w:t xml:space="preserve">nemotron_h_moe</w:t>
      </w:r>
      <w:r>
        <w:t xml:space="preserve">, 123,6B yhteensä / 12,7B aktiivisia, 88-kerroksinen Mamba-2 + lomittautuva attentio + Latent MoE, esikoulutettu natiivisti NVFP4-formaatissa 25T tokenin laajuudella) toimii nopeudella ~19,5 tok/s Q4_K_M-formaatissa samalla laitteistolla — noin 4,5-kertaisesti nopeammin — koska MoE liikuttaa vain ~12B parametria tokenia kohden; (3) Nemotron 3 Super -malli paljastaa</w:t>
      </w:r>
      <w:r>
        <w:t xml:space="preserve"> </w:t>
      </w:r>
      <w:r>
        <w:rPr>
          <w:rStyle w:val="VerbatimChar"/>
        </w:rPr>
        <w:t xml:space="preserve">thinking</w:t>
      </w:r>
      <w:r>
        <w:t xml:space="preserve">- ja työkalukutsukyvykkyydet natiivisti, joita Brain-Memory-Body-Hands -arkkitehtuuri (osio 4.3) vaatii agenttipäätösketjuihin. Ensisijainen tier vaihdettiin siten</w:t>
      </w:r>
      <w:r>
        <w:t xml:space="preserve"> </w:t>
      </w:r>
      <w:r>
        <w:rPr>
          <w:rStyle w:val="VerbatimChar"/>
        </w:rPr>
        <w:t xml:space="preserve">llama3.3:70b</w:t>
      </w:r>
      <w:r>
        <w:t xml:space="preserve">:stä</w:t>
      </w:r>
      <w:r>
        <w:t xml:space="preserve"> </w:t>
      </w:r>
      <w:r>
        <w:rPr>
          <w:rStyle w:val="VerbatimChar"/>
        </w:rPr>
        <w:t xml:space="preserve">nemotron-3-super</w:t>
      </w:r>
      <w:r>
        <w:t xml:space="preserve">:iin; samanaikaisesti Fast-tier päivitettiin</w:t>
      </w:r>
      <w:r>
        <w:t xml:space="preserve"> </w:t>
      </w:r>
      <w:r>
        <w:rPr>
          <w:rStyle w:val="VerbatimChar"/>
        </w:rPr>
        <w:t xml:space="preserve">qwen2.5-coder:32b</w:t>
      </w:r>
      <w:r>
        <w:t xml:space="preserve">:stä</w:t>
      </w:r>
      <w:r>
        <w:t xml:space="preserve"> </w:t>
      </w:r>
      <w:r>
        <w:rPr>
          <w:rStyle w:val="VerbatimChar"/>
        </w:rPr>
        <w:t xml:space="preserve">qwen3-coder:30b</w:t>
      </w:r>
      <w:r>
        <w:t xml:space="preserve">:hen (MoE 30B / 3,3B aktiivisia), joka toimii kaksoisroolissa myös SyntheticDataAgentin opettajamallina.</w:t>
      </w:r>
      <w:r>
        <w:t xml:space="preserve"> </w:t>
      </w:r>
      <w:r>
        <w:rPr>
          <w:bCs/>
          <w:b/>
        </w:rPr>
        <w:t xml:space="preserve">OpenClaw</w:t>
      </w:r>
      <w:r>
        <w:t xml:space="preserve"> </w:t>
      </w:r>
      <w:r>
        <w:t xml:space="preserve">lisättiin ensiluokkaisena compose-palveluna porttiin 8090, sen Brain kytkettiin Nemotron 3 Superiin Ollaman kautta ja</w:t>
      </w:r>
      <w:r>
        <w:t xml:space="preserve"> </w:t>
      </w:r>
      <w:r>
        <w:rPr>
          <w:rStyle w:val="VerbatimChar"/>
        </w:rPr>
        <w:t xml:space="preserve">OPENCLAW_ALLOW_EGRESS=false</w:t>
      </w:r>
      <w:r>
        <w:t xml:space="preserve"> </w:t>
      </w:r>
      <w:r>
        <w:t xml:space="preserve">valvotaan konttitasolla — luoden no-egress paikallisen agenttiajoympäristön olemassa olevan Stage 1.5 OpenSandbox -eristyskerroksen rinnalle. Toteutusartefaktit:</w:t>
      </w:r>
      <w:r>
        <w:t xml:space="preserve"> </w:t>
      </w:r>
      <w:r>
        <w:rPr>
          <w:rStyle w:val="VerbatimChar"/>
        </w:rPr>
        <w:t xml:space="preserve">docs/field-notes/2026-03-29-dgx-spark-primary-runtime-setup.md</w:t>
      </w:r>
      <w:r>
        <w:t xml:space="preserve"> </w:t>
      </w:r>
      <w:r>
        <w:t xml:space="preserve">v1.6,</w:t>
      </w:r>
      <w:r>
        <w:t xml:space="preserve"> </w:t>
      </w:r>
      <w:r>
        <w:rPr>
          <w:rStyle w:val="VerbatimChar"/>
        </w:rPr>
        <w:t xml:space="preserve">DWS_DEPLOYMENT_STANDARD.md</w:t>
      </w:r>
      <w:r>
        <w:t xml:space="preserve"> </w:t>
      </w:r>
      <w:r>
        <w:t xml:space="preserve">v1.4 (Surfaces-taulukkoon lisätty OpenClaw-rivi),</w:t>
      </w:r>
      <w:r>
        <w:t xml:space="preserve"> </w:t>
      </w:r>
      <w:r>
        <w:rPr>
          <w:rStyle w:val="VerbatimChar"/>
        </w:rPr>
        <w:t xml:space="preserve">infrastructure/dgx-spark/docker-compose.yml</w:t>
      </w:r>
      <w:r>
        <w:t xml:space="preserve">,</w:t>
      </w:r>
      <w:r>
        <w:t xml:space="preserve"> </w:t>
      </w:r>
      <w:r>
        <w:rPr>
          <w:rStyle w:val="VerbatimChar"/>
        </w:rPr>
        <w:t xml:space="preserve">DWS7_ROADMAP.md</w:t>
      </w:r>
      <w:r>
        <w:t xml:space="preserve"> </w:t>
      </w:r>
      <w:r>
        <w:t xml:space="preserve">PR 161 uudelleenperustettu Nemotron 3 Superiin. Markkinasignaaliperustelu (laskentaniukkuus, NVFP4-laitteistovallihauta) on dokumentoitu tiedostossa</w:t>
      </w:r>
      <w:r>
        <w:t xml:space="preserve"> </w:t>
      </w:r>
      <w:r>
        <w:rPr>
          <w:rStyle w:val="VerbatimChar"/>
        </w:rPr>
        <w:t xml:space="preserve">docs/PHD_FIREHORSE_FI.md</w:t>
      </w:r>
      <w:r>
        <w:t xml:space="preserve"> </w:t>
      </w:r>
      <w:r>
        <w:t xml:space="preserve">§14.18 master-vs-PhD-skooppisäännön mukaisesti.</w:t>
      </w:r>
    </w:p>
    <w:bookmarkEnd w:id="177"/>
    <w:bookmarkEnd w:id="178"/>
    <w:bookmarkStart w:id="179" w:name="X9ad5935a4fbba48c38ee4ba790c85d2e7332538"/>
    <w:p>
      <w:pPr>
        <w:pStyle w:val="Heading3"/>
      </w:pPr>
      <w:r>
        <w:t xml:space="preserve">10.10.7 Agenttimuistin faktojen poimintaputki (PR-254)</w:t>
      </w:r>
    </w:p>
    <w:p>
      <w:pPr>
        <w:pStyle w:val="FirstParagraph"/>
      </w:pPr>
      <w:r>
        <w:rPr>
          <w:iCs/>
          <w:i/>
        </w:rPr>
        <w:t xml:space="preserve">Sessio: claude/agent-memory-fact-extraction-gLEss | Päiväys: 23.03.2026</w:t>
      </w:r>
    </w:p>
    <w:p>
      <w:pPr>
        <w:pStyle w:val="BodyText"/>
      </w:pPr>
      <w:r>
        <w:t xml:space="preserve">EMPO²:n teoreettinen kehys (osio 10.10.4) operationalisoitiin</w:t>
      </w:r>
      <w:r>
        <w:t xml:space="preserve"> </w:t>
      </w:r>
      <w:r>
        <w:rPr>
          <w:bCs/>
          <w:b/>
        </w:rPr>
        <w:t xml:space="preserve">agenttimuistin faktojen poimintaputkella</w:t>
      </w:r>
      <w:r>
        <w:t xml:space="preserve"> </w:t>
      </w:r>
      <w:r>
        <w:t xml:space="preserve">— ensimmäinen tuotantototeutus ei-parametrisesta muistipäivityspolusta. Tämä ratkaisee kriittisen puutteen: agentit, jotka keskustelevat asiakkaiden kanssa mutta eivät säilytä strukturoitua tietoa sessioiden välillä.</w:t>
      </w:r>
    </w:p>
    <w:p>
      <w:pPr>
        <w:pStyle w:val="BodyText"/>
      </w:pPr>
      <w:r>
        <w:rPr>
          <w:bCs/>
          <w:b/>
        </w:rPr>
        <w:t xml:space="preserve">Arkkitehtuuri — kaksoismuistimalli:</w:t>
      </w:r>
    </w:p>
    <w:tbl>
      <w:tblPr>
        <w:tblStyle w:val="Table"/>
        <w:tblW w:type="pct" w:w="5000"/>
        <w:tblLook w:firstRow="1" w:lastRow="0" w:firstColumn="0" w:lastColumn="0" w:noHBand="0" w:noVBand="0" w:val="0020"/>
        <w:jc w:val="start"/>
      </w:tblPr>
      <w:tblGrid>
        <w:gridCol w:w="1947"/>
        <w:gridCol w:w="779"/>
        <w:gridCol w:w="2921"/>
        <w:gridCol w:w="2272"/>
      </w:tblGrid>
      <w:tr>
        <w:trPr>
          <w:tblHeader w:val="true"/>
        </w:trPr>
        <w:tc>
          <w:tcPr/>
          <w:p>
            <w:pPr>
              <w:pStyle w:val="Compact"/>
              <w:jc w:val="left"/>
            </w:pPr>
            <w:r>
              <w:t xml:space="preserve">Kerros</w:t>
            </w:r>
          </w:p>
        </w:tc>
        <w:tc>
          <w:tcPr/>
          <w:p>
            <w:pPr>
              <w:pStyle w:val="Compact"/>
              <w:jc w:val="left"/>
            </w:pPr>
            <w:r>
              <w:t xml:space="preserve">Tietotyyppi</w:t>
            </w:r>
          </w:p>
        </w:tc>
        <w:tc>
          <w:tcPr/>
          <w:p>
            <w:pPr>
              <w:pStyle w:val="Compact"/>
              <w:jc w:val="left"/>
            </w:pPr>
            <w:r>
              <w:t xml:space="preserve">Lähde</w:t>
            </w:r>
          </w:p>
        </w:tc>
        <w:tc>
          <w:tcPr/>
          <w:p>
            <w:pPr>
              <w:pStyle w:val="Compact"/>
              <w:jc w:val="left"/>
            </w:pPr>
            <w:r>
              <w:t xml:space="preserve">Esimerkki</w:t>
            </w:r>
          </w:p>
        </w:tc>
      </w:tr>
      <w:tr>
        <w:tc>
          <w:tcPr/>
          <w:p>
            <w:pPr>
              <w:pStyle w:val="Compact"/>
              <w:jc w:val="left"/>
            </w:pPr>
            <w:r>
              <w:rPr>
                <w:bCs/>
                <w:b/>
              </w:rPr>
              <w:t xml:space="preserve">LWM (Lifetime World Model)</w:t>
            </w:r>
          </w:p>
        </w:tc>
        <w:tc>
          <w:tcPr/>
          <w:p>
            <w:pPr>
              <w:pStyle w:val="Compact"/>
              <w:jc w:val="left"/>
            </w:pPr>
            <w:r>
              <w:t xml:space="preserve">Domainitieto</w:t>
            </w:r>
          </w:p>
        </w:tc>
        <w:tc>
          <w:tcPr/>
          <w:p>
            <w:pPr>
              <w:pStyle w:val="Compact"/>
              <w:jc w:val="left"/>
            </w:pPr>
            <w:r>
              <w:t xml:space="preserve">EU-säädökset, päästökertoimet, toimialamallit</w:t>
            </w:r>
          </w:p>
        </w:tc>
        <w:tc>
          <w:tcPr/>
          <w:p>
            <w:pPr>
              <w:pStyle w:val="Compact"/>
              <w:jc w:val="left"/>
            </w:pPr>
            <w:r>
              <w:t xml:space="preserve">“</w:t>
            </w:r>
            <w:r>
              <w:t xml:space="preserve">CBAM-raja on 150 000 EUR</w:t>
            </w:r>
            <w:r>
              <w:t xml:space="preserve">”</w:t>
            </w:r>
          </w:p>
        </w:tc>
      </w:tr>
      <w:tr>
        <w:tc>
          <w:tcPr/>
          <w:p>
            <w:pPr>
              <w:pStyle w:val="Compact"/>
              <w:jc w:val="left"/>
            </w:pPr>
            <w:r>
              <w:rPr>
                <w:bCs/>
                <w:b/>
              </w:rPr>
              <w:t xml:space="preserve">Asiakasmuisti</w:t>
            </w:r>
          </w:p>
        </w:tc>
        <w:tc>
          <w:tcPr/>
          <w:p>
            <w:pPr>
              <w:pStyle w:val="Compact"/>
              <w:jc w:val="left"/>
            </w:pPr>
            <w:r>
              <w:t xml:space="preserve">Suhdetieto</w:t>
            </w:r>
          </w:p>
        </w:tc>
        <w:tc>
          <w:tcPr/>
          <w:p>
            <w:pPr>
              <w:pStyle w:val="Compact"/>
              <w:jc w:val="left"/>
            </w:pPr>
            <w:r>
              <w:t xml:space="preserve">Keskustelut, sähköpostit, kokoukset</w:t>
            </w:r>
          </w:p>
        </w:tc>
        <w:tc>
          <w:tcPr/>
          <w:p>
            <w:pPr>
              <w:pStyle w:val="Compact"/>
              <w:jc w:val="left"/>
            </w:pPr>
            <w:r>
              <w:t xml:space="preserve">“</w:t>
            </w:r>
            <w:r>
              <w:t xml:space="preserve">ACME Corp suosii viikkoraportteja</w:t>
            </w:r>
            <w:r>
              <w:t xml:space="preserve">”</w:t>
            </w:r>
          </w:p>
        </w:tc>
      </w:tr>
    </w:tbl>
    <w:p>
      <w:pPr>
        <w:pStyle w:val="BodyText"/>
      </w:pPr>
      <w:r>
        <w:t xml:space="preserve">LWM tarjoaa</w:t>
      </w:r>
      <w:r>
        <w:t xml:space="preserve"> </w:t>
      </w:r>
      <w:r>
        <w:rPr>
          <w:iCs/>
          <w:i/>
        </w:rPr>
        <w:t xml:space="preserve">mitä agentti tietää maailmasta</w:t>
      </w:r>
      <w:r>
        <w:t xml:space="preserve">; asiakasmuisti tarjoaa</w:t>
      </w:r>
      <w:r>
        <w:t xml:space="preserve"> </w:t>
      </w:r>
      <w:r>
        <w:rPr>
          <w:iCs/>
          <w:i/>
        </w:rPr>
        <w:t xml:space="preserve">mitä agentti tietää tästä asiakkaasta</w:t>
      </w:r>
      <w:r>
        <w:t xml:space="preserve">. Kumpikaan yksinään ei riitä — agentti, joka tuntee EU-säädökset mutta unohtaa asiakkaan toimialan, kysyy samat kysymykset joka sessiossa.</w:t>
      </w:r>
    </w:p>
    <w:p>
      <w:pPr>
        <w:pStyle w:val="BodyText"/>
      </w:pPr>
      <w:r>
        <w:rPr>
          <w:bCs/>
          <w:b/>
        </w:rPr>
        <w:t xml:space="preserve">Faktojen poimintaputki:</w:t>
      </w:r>
    </w:p>
    <w:p>
      <w:pPr>
        <w:pStyle w:val="SourceCode"/>
      </w:pPr>
      <w:r>
        <w:rPr>
          <w:rStyle w:val="VerbatimChar"/>
        </w:rPr>
        <w:t xml:space="preserve">Keskusteluteksti</w:t>
      </w:r>
      <w:r>
        <w:br/>
      </w:r>
      <w:r>
        <w:rPr>
          <w:rStyle w:val="VerbatimChar"/>
        </w:rPr>
        <w:t xml:space="preserve">  → LLM-poiminta (Claude Haiku, strukturoitu kehote)</w:t>
      </w:r>
      <w:r>
        <w:br/>
      </w:r>
      <w:r>
        <w:rPr>
          <w:rStyle w:val="VerbatimChar"/>
        </w:rPr>
        <w:t xml:space="preserve">  → JSON-taulukko: {subjekti, predikaatti, arvo, luottamus, kategoria}</w:t>
      </w:r>
      <w:r>
        <w:br/>
      </w:r>
      <w:r>
        <w:rPr>
          <w:rStyle w:val="VerbatimChar"/>
        </w:rPr>
        <w:t xml:space="preserve">  → Luottamussuodatin (≥0,7 kynnysarvo)</w:t>
      </w:r>
      <w:r>
        <w:br/>
      </w:r>
      <w:r>
        <w:rPr>
          <w:rStyle w:val="VerbatimChar"/>
        </w:rPr>
        <w:t xml:space="preserve">  → Duplikaattitunnistus (kosinisimilaarisuus &gt;0,95 pgvectorissa)</w:t>
      </w:r>
      <w:r>
        <w:br/>
      </w:r>
      <w:r>
        <w:rPr>
          <w:rStyle w:val="VerbatimChar"/>
        </w:rPr>
        <w:t xml:space="preserve">  → Tallennus `fact`-tyyppisenä semantic_memories-tauluun</w:t>
      </w:r>
      <w:r>
        <w:br/>
      </w:r>
      <w:r>
        <w:rPr>
          <w:rStyle w:val="VerbatimChar"/>
        </w:rPr>
        <w:t xml:space="preserve">  → Käytettävissä hakuun hybridihakuna (vektori + teksti)</w:t>
      </w:r>
    </w:p>
    <w:p>
      <w:pPr>
        <w:pStyle w:val="FirstParagraph"/>
      </w:pPr>
      <w:r>
        <w:rPr>
          <w:bCs/>
          <w:b/>
        </w:rPr>
        <w:t xml:space="preserve">Kolme puuttuvaa suorituskerrosta:</w:t>
      </w:r>
    </w:p>
    <w:p>
      <w:pPr>
        <w:pStyle w:val="BodyText"/>
      </w:pPr>
      <w:r>
        <w:t xml:space="preserve">Faktojen poiminta yksinään luo</w:t>
      </w:r>
      <w:r>
        <w:t xml:space="preserve"> </w:t>
      </w:r>
      <w:r>
        <w:rPr>
          <w:iCs/>
          <w:i/>
        </w:rPr>
        <w:t xml:space="preserve">passiivista tietoa</w:t>
      </w:r>
      <w:r>
        <w:t xml:space="preserve">. Kolme lisäkerrosta vaaditaan tiedon</w:t>
      </w:r>
      <w:r>
        <w:t xml:space="preserve"> </w:t>
      </w:r>
      <w:r>
        <w:rPr>
          <w:iCs/>
          <w:i/>
        </w:rPr>
        <w:t xml:space="preserve">toiminnallistamiseen</w:t>
      </w:r>
      <w:r>
        <w:t xml:space="preserve">:</w:t>
      </w:r>
    </w:p>
    <w:p>
      <w:pPr>
        <w:numPr>
          <w:ilvl w:val="0"/>
          <w:numId w:val="1061"/>
        </w:numPr>
      </w:pPr>
      <w:r>
        <w:rPr>
          <w:bCs/>
          <w:b/>
        </w:rPr>
        <w:t xml:space="preserve">Firehorse-tilakonemasiina</w:t>
      </w:r>
      <w:r>
        <w:t xml:space="preserve"> </w:t>
      </w:r>
      <w:r>
        <w:t xml:space="preserve">— Suorituskerros, joka toimii muistin ja LWM:n tiedon perusteella. Ilman sitä alustalla on tieto mutta ei toimintakykyä.</w:t>
      </w:r>
    </w:p>
    <w:p>
      <w:pPr>
        <w:numPr>
          <w:ilvl w:val="0"/>
          <w:numId w:val="1061"/>
        </w:numPr>
      </w:pPr>
      <w:r>
        <w:rPr>
          <w:bCs/>
          <w:b/>
        </w:rPr>
        <w:t xml:space="preserve">ERP-liitinkerros</w:t>
      </w:r>
      <w:r>
        <w:t xml:space="preserve"> </w:t>
      </w:r>
      <w:r>
        <w:t xml:space="preserve">— Reaalimaailman datasyöte. Muisti ja LWM ovat vain yhtä hyviä kuin Visma/IFS/SAP:sta tuleva data. Asiakasmuisti tallentaa</w:t>
      </w:r>
      <w:r>
        <w:t xml:space="preserve"> </w:t>
      </w:r>
      <w:r>
        <w:rPr>
          <w:iCs/>
          <w:i/>
        </w:rPr>
        <w:t xml:space="preserve">ilmaistut</w:t>
      </w:r>
      <w:r>
        <w:t xml:space="preserve"> </w:t>
      </w:r>
      <w:r>
        <w:t xml:space="preserve">mieltymykset; ERP-data paljastaa</w:t>
      </w:r>
      <w:r>
        <w:t xml:space="preserve"> </w:t>
      </w:r>
      <w:r>
        <w:rPr>
          <w:iCs/>
          <w:i/>
        </w:rPr>
        <w:t xml:space="preserve">todellisen</w:t>
      </w:r>
      <w:r>
        <w:t xml:space="preserve"> </w:t>
      </w:r>
      <w:r>
        <w:t xml:space="preserve">käyttäytymisen.</w:t>
      </w:r>
    </w:p>
    <w:p>
      <w:pPr>
        <w:numPr>
          <w:ilvl w:val="0"/>
          <w:numId w:val="1061"/>
        </w:numPr>
      </w:pPr>
      <w:r>
        <w:rPr>
          <w:bCs/>
          <w:b/>
        </w:rPr>
        <w:t xml:space="preserve">KYA-hallintakehys</w:t>
      </w:r>
      <w:r>
        <w:t xml:space="preserve"> </w:t>
      </w:r>
      <w:r>
        <w:t xml:space="preserve">— Luottamuskerros. Asiakasmuisti + LWM ilman todistusta on chatbot. KYA (Know Your AI, sisäinen v1.4 / julkinen v1.1) käärii jokaisen muistipäätöksen auditoitavalla alkuperällä:</w:t>
      </w:r>
      <w:r>
        <w:t xml:space="preserve"> </w:t>
      </w:r>
      <w:r>
        <w:t xml:space="preserve">“</w:t>
      </w:r>
      <w:r>
        <w:t xml:space="preserve">fakta A korvasi faktan B ajanhetkellä X, hyväksyjä agentti Y, kirjattu Firehorseen.</w:t>
      </w:r>
      <w:r>
        <w:t xml:space="preserve">”</w:t>
      </w:r>
      <w:r>
        <w:t xml:space="preserve"> </w:t>
      </w:r>
      <w:r>
        <w:t xml:space="preserve">Tämä on välttämätöntä EU-vaatimustenmukaisuusauditoinneissa CSRD:n ja EU AI Act artikla 12:n nojalla.</w:t>
      </w:r>
    </w:p>
    <w:p>
      <w:pPr>
        <w:pStyle w:val="FirstParagraph"/>
      </w:pPr>
      <w:r>
        <w:rPr>
          <w:bCs/>
          <w:b/>
        </w:rPr>
        <w:t xml:space="preserve">KYA-ensisijainen PR-järjestys:</w:t>
      </w:r>
    </w:p>
    <w:tbl>
      <w:tblPr>
        <w:tblStyle w:val="Table"/>
        <w:tblW w:type="pct" w:w="5000"/>
        <w:tblLook w:firstRow="1" w:lastRow="0" w:firstColumn="0" w:lastColumn="0" w:noHBand="0" w:noVBand="0" w:val="0020"/>
        <w:jc w:val="start"/>
      </w:tblPr>
      <w:tblGrid>
        <w:gridCol w:w="1218"/>
        <w:gridCol w:w="304"/>
        <w:gridCol w:w="3350"/>
        <w:gridCol w:w="3046"/>
      </w:tblGrid>
      <w:tr>
        <w:trPr>
          <w:tblHeader w:val="true"/>
        </w:trPr>
        <w:tc>
          <w:tcPr/>
          <w:p>
            <w:pPr>
              <w:pStyle w:val="Compact"/>
              <w:jc w:val="left"/>
            </w:pPr>
            <w:r>
              <w:t xml:space="preserve">Prioriteetti</w:t>
            </w:r>
          </w:p>
        </w:tc>
        <w:tc>
          <w:tcPr/>
          <w:p>
            <w:pPr>
              <w:pStyle w:val="Compact"/>
              <w:jc w:val="left"/>
            </w:pPr>
            <w:r>
              <w:t xml:space="preserve">PR</w:t>
            </w:r>
          </w:p>
        </w:tc>
        <w:tc>
          <w:tcPr/>
          <w:p>
            <w:pPr>
              <w:pStyle w:val="Compact"/>
              <w:jc w:val="left"/>
            </w:pPr>
            <w:r>
              <w:t xml:space="preserve">Ominaisuus</w:t>
            </w:r>
          </w:p>
        </w:tc>
        <w:tc>
          <w:tcPr/>
          <w:p>
            <w:pPr>
              <w:pStyle w:val="Compact"/>
              <w:jc w:val="left"/>
            </w:pPr>
            <w:r>
              <w:t xml:space="preserve">Tila</w:t>
            </w:r>
          </w:p>
        </w:tc>
      </w:tr>
      <w:tr>
        <w:tc>
          <w:tcPr/>
          <w:p>
            <w:pPr>
              <w:pStyle w:val="Compact"/>
              <w:jc w:val="left"/>
            </w:pPr>
            <w:r>
              <w:t xml:space="preserve">1</w:t>
            </w:r>
          </w:p>
        </w:tc>
        <w:tc>
          <w:tcPr/>
          <w:p>
            <w:pPr>
              <w:pStyle w:val="Compact"/>
              <w:jc w:val="left"/>
            </w:pPr>
            <w:r>
              <w:t xml:space="preserve">254</w:t>
            </w:r>
          </w:p>
        </w:tc>
        <w:tc>
          <w:tcPr/>
          <w:p>
            <w:pPr>
              <w:pStyle w:val="Compact"/>
              <w:jc w:val="left"/>
            </w:pPr>
            <w:r>
              <w:t xml:space="preserve">Faktojen poiminta</w:t>
            </w:r>
          </w:p>
        </w:tc>
        <w:tc>
          <w:tcPr/>
          <w:p>
            <w:pPr>
              <w:pStyle w:val="Compact"/>
              <w:jc w:val="left"/>
            </w:pPr>
            <w:r>
              <w:t xml:space="preserve">✅ Toimitettu</w:t>
            </w:r>
          </w:p>
        </w:tc>
      </w:tr>
      <w:tr>
        <w:tc>
          <w:tcPr/>
          <w:p>
            <w:pPr>
              <w:pStyle w:val="Compact"/>
              <w:jc w:val="left"/>
            </w:pPr>
            <w:r>
              <w:t xml:space="preserve">2</w:t>
            </w:r>
          </w:p>
        </w:tc>
        <w:tc>
          <w:tcPr/>
          <w:p>
            <w:pPr>
              <w:pStyle w:val="Compact"/>
              <w:jc w:val="left"/>
            </w:pPr>
            <w:r>
              <w:t xml:space="preserve">255</w:t>
            </w:r>
          </w:p>
        </w:tc>
        <w:tc>
          <w:tcPr/>
          <w:p>
            <w:pPr>
              <w:pStyle w:val="Compact"/>
              <w:jc w:val="left"/>
            </w:pPr>
            <w:r>
              <w:t xml:space="preserve">Ristiriitojen ratkaisu</w:t>
            </w:r>
          </w:p>
        </w:tc>
        <w:tc>
          <w:tcPr/>
          <w:p>
            <w:pPr>
              <w:pStyle w:val="Compact"/>
              <w:jc w:val="left"/>
            </w:pPr>
            <w:r>
              <w:t xml:space="preserve">Vaatii muistivaraston</w:t>
            </w:r>
          </w:p>
        </w:tc>
      </w:tr>
      <w:tr>
        <w:tc>
          <w:tcPr/>
          <w:p>
            <w:pPr>
              <w:pStyle w:val="Compact"/>
              <w:jc w:val="left"/>
            </w:pPr>
            <w:r>
              <w:t xml:space="preserve">3</w:t>
            </w:r>
          </w:p>
        </w:tc>
        <w:tc>
          <w:tcPr/>
          <w:p>
            <w:pPr>
              <w:pStyle w:val="Compact"/>
              <w:jc w:val="left"/>
            </w:pPr>
            <w:r>
              <w:t xml:space="preserve">—</w:t>
            </w:r>
          </w:p>
        </w:tc>
        <w:tc>
          <w:tcPr/>
          <w:p>
            <w:pPr>
              <w:pStyle w:val="Compact"/>
              <w:jc w:val="left"/>
            </w:pPr>
            <w:r>
              <w:t xml:space="preserve">KYA-muistin auditointipolku</w:t>
            </w:r>
          </w:p>
        </w:tc>
        <w:tc>
          <w:tcPr/>
          <w:p>
            <w:pPr>
              <w:pStyle w:val="Compact"/>
              <w:jc w:val="left"/>
            </w:pPr>
            <w:r>
              <w:t xml:space="preserve">Vaatii ristiriitojen ratkaisun</w:t>
            </w:r>
          </w:p>
        </w:tc>
      </w:tr>
      <w:tr>
        <w:tc>
          <w:tcPr/>
          <w:p>
            <w:pPr>
              <w:pStyle w:val="Compact"/>
              <w:jc w:val="left"/>
            </w:pPr>
            <w:r>
              <w:t xml:space="preserve">4</w:t>
            </w:r>
          </w:p>
        </w:tc>
        <w:tc>
          <w:tcPr/>
          <w:p>
            <w:pPr>
              <w:pStyle w:val="Compact"/>
              <w:jc w:val="left"/>
            </w:pPr>
            <w:r>
              <w:t xml:space="preserve">257</w:t>
            </w:r>
          </w:p>
        </w:tc>
        <w:tc>
          <w:tcPr/>
          <w:p>
            <w:pPr>
              <w:pStyle w:val="Compact"/>
              <w:jc w:val="left"/>
            </w:pPr>
            <w:r>
              <w:t xml:space="preserve">Luottamuksen rappeutumispisteytys</w:t>
            </w:r>
          </w:p>
        </w:tc>
        <w:tc>
          <w:tcPr/>
          <w:p>
            <w:pPr>
              <w:pStyle w:val="Compact"/>
              <w:jc w:val="left"/>
            </w:pPr>
            <w:r>
              <w:t xml:space="preserve">Itsenäinen</w:t>
            </w:r>
          </w:p>
        </w:tc>
      </w:tr>
      <w:tr>
        <w:tc>
          <w:tcPr/>
          <w:p>
            <w:pPr>
              <w:pStyle w:val="Compact"/>
              <w:jc w:val="left"/>
            </w:pPr>
            <w:r>
              <w:t xml:space="preserve">5</w:t>
            </w:r>
          </w:p>
        </w:tc>
        <w:tc>
          <w:tcPr/>
          <w:p>
            <w:pPr>
              <w:pStyle w:val="Compact"/>
              <w:jc w:val="left"/>
            </w:pPr>
            <w:r>
              <w:t xml:space="preserve">256</w:t>
            </w:r>
          </w:p>
        </w:tc>
        <w:tc>
          <w:tcPr/>
          <w:p>
            <w:pPr>
              <w:pStyle w:val="Compact"/>
              <w:jc w:val="left"/>
            </w:pPr>
            <w:r>
              <w:t xml:space="preserve">Konsolidoinnin ajastettu tehtävä</w:t>
            </w:r>
          </w:p>
        </w:tc>
        <w:tc>
          <w:tcPr/>
          <w:p>
            <w:pPr>
              <w:pStyle w:val="Compact"/>
              <w:jc w:val="left"/>
            </w:pPr>
            <w:r>
              <w:t xml:space="preserve">Vaatii rappeutumispisteytyksen</w:t>
            </w:r>
          </w:p>
        </w:tc>
      </w:tr>
      <w:tr>
        <w:tc>
          <w:tcPr/>
          <w:p>
            <w:pPr>
              <w:pStyle w:val="Compact"/>
              <w:jc w:val="left"/>
            </w:pPr>
            <w:r>
              <w:t xml:space="preserve">6</w:t>
            </w:r>
          </w:p>
        </w:tc>
        <w:tc>
          <w:tcPr/>
          <w:p>
            <w:pPr>
              <w:pStyle w:val="Compact"/>
              <w:jc w:val="left"/>
            </w:pPr>
            <w:r>
              <w:t xml:space="preserve">259</w:t>
            </w:r>
          </w:p>
        </w:tc>
        <w:tc>
          <w:tcPr/>
          <w:p>
            <w:pPr>
              <w:pStyle w:val="Compact"/>
              <w:jc w:val="left"/>
            </w:pPr>
            <w:r>
              <w:t xml:space="preserve">Liitin-synkronointi</w:t>
            </w:r>
          </w:p>
        </w:tc>
        <w:tc>
          <w:tcPr/>
          <w:p>
            <w:pPr>
              <w:pStyle w:val="Compact"/>
              <w:jc w:val="left"/>
            </w:pPr>
            <w:r>
              <w:t xml:space="preserve">Vaatii vakaan muisti-API:n</w:t>
            </w:r>
          </w:p>
        </w:tc>
      </w:tr>
      <w:tr>
        <w:tc>
          <w:tcPr/>
          <w:p>
            <w:pPr>
              <w:pStyle w:val="Compact"/>
              <w:jc w:val="left"/>
            </w:pPr>
            <w:r>
              <w:t xml:space="preserve">7</w:t>
            </w:r>
          </w:p>
        </w:tc>
        <w:tc>
          <w:tcPr/>
          <w:p>
            <w:pPr>
              <w:pStyle w:val="Compact"/>
              <w:jc w:val="left"/>
            </w:pPr>
            <w:r>
              <w:t xml:space="preserve">258</w:t>
            </w:r>
          </w:p>
        </w:tc>
        <w:tc>
          <w:tcPr/>
          <w:p>
            <w:pPr>
              <w:pStyle w:val="Compact"/>
              <w:jc w:val="left"/>
            </w:pPr>
            <w:r>
              <w:t xml:space="preserve">Supermemory MCP EU-itseisännöinti</w:t>
            </w:r>
          </w:p>
        </w:tc>
        <w:tc>
          <w:tcPr/>
          <w:p>
            <w:pPr>
              <w:pStyle w:val="Compact"/>
              <w:jc w:val="left"/>
            </w:pPr>
            <w:r>
              <w:t xml:space="preserve">Infrastruktuuri, viimeinen</w:t>
            </w:r>
          </w:p>
        </w:tc>
      </w:tr>
    </w:tbl>
    <w:p>
      <w:pPr>
        <w:pStyle w:val="BodyText"/>
      </w:pPr>
      <w:r>
        <w:rPr>
          <w:bCs/>
          <w:b/>
        </w:rPr>
        <w:t xml:space="preserve">Avainpanos #20:</w:t>
      </w:r>
      <w:r>
        <w:t xml:space="preserve"> </w:t>
      </w:r>
      <w:r>
        <w:t xml:space="preserve">Ensimmäinen tuotantototeutus agenttimuistin faktojen poiminnasta EU-yhteensopivalla teollisella tekoälyalustalla, osoittaen kaksois-LWM/asiakasmuistiarkkitehtuurin ja tunnistaen kolmikerroksisen suorituspuutteen (tilakonemasiina, ERP-liittimet, KYA-hallinta), joka vaaditaan toiminnalliseen yrityksen tekoälymuistiin.</w:t>
      </w:r>
    </w:p>
    <w:p>
      <w:r>
        <w:pict>
          <v:rect style="width:0;height:1.5pt" o:hralign="center" o:hrstd="t" o:hr="t"/>
        </w:pict>
      </w:r>
    </w:p>
    <w:bookmarkEnd w:id="179"/>
    <w:bookmarkEnd w:id="180"/>
    <w:bookmarkStart w:id="184" w:name="toimitusjohtajan-automaatioagenttiryhmä"/>
    <w:p>
      <w:pPr>
        <w:pStyle w:val="Heading2"/>
      </w:pPr>
      <w:r>
        <w:t xml:space="preserve">10.11 Toimitusjohtajan automaatioagenttiryhmä</w:t>
      </w:r>
    </w:p>
    <w:p>
      <w:pPr>
        <w:pStyle w:val="FirstParagraph"/>
      </w:pPr>
      <w:r>
        <w:rPr>
          <w:iCs/>
          <w:i/>
        </w:rPr>
        <w:t xml:space="preserve">Käyttöönotettu: 24.02.2026 | Commit: claude/ai-agent-orchestration-t89Ig</w:t>
      </w:r>
    </w:p>
    <w:p>
      <w:pPr>
        <w:pStyle w:val="BodyText"/>
      </w:pPr>
      <w:r>
        <w:t xml:space="preserve">Kolme tuotantoagenttia automatisoivat toimitusjohtajan päivittäisen operatiivisen rytmin — GitHub Actions cron, Supabase ja Resend.</w:t>
      </w:r>
    </w:p>
    <w:bookmarkStart w:id="181" w:name="captain-pre-briefing--agetti"/>
    <w:p>
      <w:pPr>
        <w:pStyle w:val="Heading3"/>
      </w:pPr>
      <w:r>
        <w:t xml:space="preserve">10.11.1 Captain Pre-Briefing -agetti</w:t>
      </w:r>
    </w:p>
    <w:p>
      <w:pPr>
        <w:pStyle w:val="FirstParagraph"/>
      </w:pPr>
      <w:r>
        <w:rPr>
          <w:bCs/>
          <w:b/>
        </w:rPr>
        <w:t xml:space="preserve">Laukaisu:</w:t>
      </w:r>
      <w:r>
        <w:t xml:space="preserve"> </w:t>
      </w:r>
      <w:r>
        <w:t xml:space="preserve">07:30 Helsinki, ma–pe |</w:t>
      </w:r>
      <w:r>
        <w:t xml:space="preserve"> </w:t>
      </w:r>
      <w:r>
        <w:rPr>
          <w:bCs/>
          <w:b/>
        </w:rPr>
        <w:t xml:space="preserve">Tiedosto:</w:t>
      </w:r>
      <w:r>
        <w:t xml:space="preserve"> </w:t>
      </w:r>
      <w:r>
        <w:rPr>
          <w:rStyle w:val="VerbatimChar"/>
        </w:rPr>
        <w:t xml:space="preserve">src/captain-briefing/</w:t>
      </w:r>
    </w:p>
    <w:p>
      <w:pPr>
        <w:pStyle w:val="BodyText"/>
      </w:pPr>
      <w:r>
        <w:t xml:space="preserve">Valmistelee esikäyntiybriefauksen jokaiselle aktiiviselle myyntikontaktille (captain), jolla on tänään toimenpide määräaikana. Hakee viestintähistorian, yhteystiedot, tarjoukset ja kokoukset Supabasesta, generoi puheenvuorot ja suositeltavan seuraavan toimenpiteen, lähettää pimeäteemai HTML-sähköpostina Resendillä.</w:t>
      </w:r>
    </w:p>
    <w:bookmarkEnd w:id="181"/>
    <w:bookmarkStart w:id="182" w:name="linkedin-julkaisuajastin"/>
    <w:p>
      <w:pPr>
        <w:pStyle w:val="Heading3"/>
      </w:pPr>
      <w:r>
        <w:t xml:space="preserve">10.11.2 LinkedIn-julkaisuajastin</w:t>
      </w:r>
    </w:p>
    <w:p>
      <w:pPr>
        <w:pStyle w:val="FirstParagraph"/>
      </w:pPr>
      <w:r>
        <w:rPr>
          <w:bCs/>
          <w:b/>
        </w:rPr>
        <w:t xml:space="preserve">Laukaisu:</w:t>
      </w:r>
      <w:r>
        <w:t xml:space="preserve"> </w:t>
      </w:r>
      <w:r>
        <w:t xml:space="preserve">08:00 Helsinki, ma–pe |</w:t>
      </w:r>
      <w:r>
        <w:t xml:space="preserve"> </w:t>
      </w:r>
      <w:r>
        <w:rPr>
          <w:bCs/>
          <w:b/>
        </w:rPr>
        <w:t xml:space="preserve">Tiedosto:</w:t>
      </w:r>
      <w:r>
        <w:t xml:space="preserve"> </w:t>
      </w:r>
      <w:r>
        <w:rPr>
          <w:rStyle w:val="VerbatimChar"/>
        </w:rPr>
        <w:t xml:space="preserve">src/social-scheduler/</w:t>
      </w:r>
    </w:p>
    <w:p>
      <w:pPr>
        <w:pStyle w:val="BodyText"/>
      </w:pPr>
      <w:r>
        <w:t xml:space="preserve">Viikoittainen sisältökalenteri kategoriasidonnaisilla julkaisupohjilla (ma=thought leadership, ti=vaatimustenmukaisuus, ke=tuote, to=tapaustutkimus, pe=ekosysteemi). Toimitusjohtajan hyväksyntätiivistelmä sähköpostitse — vastaa hyväksy/muokkaa/hylkää per luonnos. Julkaisujono Supabasessa.</w:t>
      </w:r>
    </w:p>
    <w:bookmarkEnd w:id="182"/>
    <w:bookmarkStart w:id="183" w:name="eu-sääntelymonitori"/>
    <w:p>
      <w:pPr>
        <w:pStyle w:val="Heading3"/>
      </w:pPr>
      <w:r>
        <w:t xml:space="preserve">10.11.3 EU-sääntelymonitori</w:t>
      </w:r>
    </w:p>
    <w:p>
      <w:pPr>
        <w:pStyle w:val="FirstParagraph"/>
      </w:pPr>
      <w:r>
        <w:rPr>
          <w:bCs/>
          <w:b/>
        </w:rPr>
        <w:t xml:space="preserve">Laukaisu:</w:t>
      </w:r>
      <w:r>
        <w:t xml:space="preserve"> </w:t>
      </w:r>
      <w:r>
        <w:t xml:space="preserve">05:30 Helsinki, ma–pe (ennen briefausta) |</w:t>
      </w:r>
      <w:r>
        <w:t xml:space="preserve"> </w:t>
      </w:r>
      <w:r>
        <w:rPr>
          <w:bCs/>
          <w:b/>
        </w:rPr>
        <w:t xml:space="preserve">Tiedosto:</w:t>
      </w:r>
      <w:r>
        <w:t xml:space="preserve"> </w:t>
      </w:r>
      <w:r>
        <w:rPr>
          <w:rStyle w:val="VerbatimChar"/>
        </w:rPr>
        <w:t xml:space="preserve">src/regulation-monitor/</w:t>
      </w:r>
    </w:p>
    <w:p>
      <w:pPr>
        <w:pStyle w:val="BodyText"/>
      </w:pPr>
      <w:r>
        <w:t xml:space="preserve">Hakee RSS-syötteitä EU-komissiolta, EUR-Lexistä, Carbon Pulselta ja Euractiv’ista. Luokittelee päivitykset sääntelyn mukaan (CBAM, CSRD, Fit for 55, EPBD, EU AI Act, ETS) vakavuuspistein (kiireellinen/tärkeä/tieto) ja asiakkaan vaikutustunnistuksella. Syöttää sääntelyhälytykset LinkedIn-ajastimeen sisältöideoina.</w:t>
      </w:r>
    </w:p>
    <w:p>
      <w:pPr>
        <w:pStyle w:val="BodyText"/>
      </w:pPr>
      <w:r>
        <w:rPr>
          <w:bCs/>
          <w:b/>
        </w:rPr>
        <w:t xml:space="preserve">Solution Factory -validointi:</w:t>
      </w:r>
      <w:r>
        <w:t xml:space="preserve"> </w:t>
      </w:r>
      <w:r>
        <w:t xml:space="preserve">Kaikki kolme agenttia toteutettiin yhdessä sessiossa samoja malleja noudattaen — vahvistaa toimintamallin toistettavuuden uusille agentityypeille.</w:t>
      </w:r>
    </w:p>
    <w:p>
      <w:r>
        <w:pict>
          <v:rect style="width:0;height:1.5pt" o:hralign="center" o:hrstd="t" o:hr="t"/>
        </w:pict>
      </w:r>
    </w:p>
    <w:bookmarkEnd w:id="183"/>
    <w:bookmarkEnd w:id="184"/>
    <w:bookmarkStart w:id="188" w:name="Xb7213b9a72d379ce80f853b9dd829971d3694f8"/>
    <w:p>
      <w:pPr>
        <w:pStyle w:val="Heading2"/>
      </w:pPr>
      <w:r>
        <w:t xml:space="preserve">10.12 Strategiset kumppanuudet: NVIDIA, Siemens, ABB, xAI &amp; Mistral</w:t>
      </w:r>
    </w:p>
    <w:p>
      <w:pPr>
        <w:pStyle w:val="FirstParagraph"/>
      </w:pPr>
      <w:r>
        <w:rPr>
          <w:iCs/>
          <w:i/>
        </w:rPr>
        <w:t xml:space="preserve">Dokumentoitu: 27.02.2026 | Lähde: docs/DWS6_TO_DWS7_UPDATE.md v1.1</w:t>
      </w:r>
    </w:p>
    <w:p>
      <w:pPr>
        <w:pStyle w:val="BodyText"/>
      </w:pPr>
      <w:r>
        <w:t xml:space="preserve">DWS7 rakentaa monipuolisen kumppaniekosysteemin kattaen teollisuusautomaation (NVIDIA, Siemens, ABB), rajatekoälyn (xAI, Mistral) ja reunalaskennan. Jokainen kumppani täyttää erillisen roolin Aivot-Muisti-Keho-Kädet -arkkitehtuurissa.</w:t>
      </w:r>
    </w:p>
    <w:tbl>
      <w:tblPr>
        <w:tblStyle w:val="Table"/>
        <w:tblW w:type="pct" w:w="5000"/>
        <w:tblLook w:firstRow="1" w:lastRow="0" w:firstColumn="0" w:lastColumn="0" w:noHBand="0" w:noVBand="0" w:val="0020"/>
        <w:jc w:val="start"/>
      </w:tblPr>
      <w:tblGrid>
        <w:gridCol w:w="680"/>
        <w:gridCol w:w="5568"/>
        <w:gridCol w:w="1670"/>
      </w:tblGrid>
      <w:tr>
        <w:trPr>
          <w:tblHeader w:val="true"/>
        </w:trPr>
        <w:tc>
          <w:tcPr/>
          <w:p>
            <w:pPr>
              <w:pStyle w:val="Compact"/>
              <w:jc w:val="left"/>
            </w:pPr>
            <w:r>
              <w:t xml:space="preserve">Kumppani</w:t>
            </w:r>
          </w:p>
        </w:tc>
        <w:tc>
          <w:tcPr/>
          <w:p>
            <w:pPr>
              <w:pStyle w:val="Compact"/>
              <w:jc w:val="left"/>
            </w:pPr>
            <w:r>
              <w:t xml:space="preserve">Rooli arkkitehtuurissa</w:t>
            </w:r>
          </w:p>
        </w:tc>
        <w:tc>
          <w:tcPr/>
          <w:p>
            <w:pPr>
              <w:pStyle w:val="Compact"/>
              <w:jc w:val="left"/>
            </w:pPr>
            <w:r>
              <w:t xml:space="preserve">Integraatiotila</w:t>
            </w:r>
          </w:p>
        </w:tc>
      </w:tr>
      <w:tr>
        <w:tc>
          <w:tcPr/>
          <w:p>
            <w:pPr>
              <w:pStyle w:val="Compact"/>
              <w:jc w:val="left"/>
            </w:pPr>
            <w:r>
              <w:rPr>
                <w:bCs/>
                <w:b/>
              </w:rPr>
              <w:t xml:space="preserve">NVIDIA</w:t>
            </w:r>
          </w:p>
        </w:tc>
        <w:tc>
          <w:tcPr/>
          <w:p>
            <w:pPr>
              <w:pStyle w:val="Compact"/>
              <w:jc w:val="left"/>
            </w:pPr>
            <w:r>
              <w:t xml:space="preserve">GPU-laskenta (Aivot), Jetson-reuna (Kädet), Omniverse-digitaalinen kaksonen (Keho)</w:t>
            </w:r>
          </w:p>
        </w:tc>
        <w:tc>
          <w:tcPr/>
          <w:p>
            <w:pPr>
              <w:pStyle w:val="Compact"/>
              <w:jc w:val="left"/>
            </w:pPr>
            <w:r>
              <w:t xml:space="preserve">Inception-ohjelma Q2 2026</w:t>
            </w:r>
          </w:p>
        </w:tc>
      </w:tr>
      <w:tr>
        <w:tc>
          <w:tcPr/>
          <w:p>
            <w:pPr>
              <w:pStyle w:val="Compact"/>
              <w:jc w:val="left"/>
            </w:pPr>
            <w:r>
              <w:rPr>
                <w:bCs/>
                <w:b/>
              </w:rPr>
              <w:t xml:space="preserve">Siemens</w:t>
            </w:r>
          </w:p>
        </w:tc>
        <w:tc>
          <w:tcPr/>
          <w:p>
            <w:pPr>
              <w:pStyle w:val="Compact"/>
              <w:jc w:val="left"/>
            </w:pPr>
            <w:r>
              <w:t xml:space="preserve">MindSphere IoT (Kädet), digitaalinen kaksonen (Keho), Xcelerator-markkinapaikka</w:t>
            </w:r>
          </w:p>
        </w:tc>
        <w:tc>
          <w:tcPr/>
          <w:p>
            <w:pPr>
              <w:pStyle w:val="Compact"/>
              <w:jc w:val="left"/>
            </w:pPr>
            <w:r>
              <w:t xml:space="preserve">Developer-pääsy Q2 2026</w:t>
            </w:r>
          </w:p>
        </w:tc>
      </w:tr>
      <w:tr>
        <w:tc>
          <w:tcPr/>
          <w:p>
            <w:pPr>
              <w:pStyle w:val="Compact"/>
              <w:jc w:val="left"/>
            </w:pPr>
            <w:r>
              <w:rPr>
                <w:bCs/>
                <w:b/>
              </w:rPr>
              <w:t xml:space="preserve">ABB</w:t>
            </w:r>
          </w:p>
        </w:tc>
        <w:tc>
          <w:tcPr/>
          <w:p>
            <w:pPr>
              <w:pStyle w:val="Compact"/>
              <w:jc w:val="left"/>
            </w:pPr>
            <w:r>
              <w:t xml:space="preserve">Teollisuusautomaatio + robotiikka (Kädet), sähkönjakeluverkkojen hallinta</w:t>
            </w:r>
          </w:p>
        </w:tc>
        <w:tc>
          <w:tcPr/>
          <w:p>
            <w:pPr>
              <w:pStyle w:val="Compact"/>
              <w:jc w:val="left"/>
            </w:pPr>
            <w:r>
              <w:t xml:space="preserve">Integraatiotavoite Q3 2026</w:t>
            </w:r>
          </w:p>
        </w:tc>
      </w:tr>
      <w:tr>
        <w:tc>
          <w:tcPr/>
          <w:p>
            <w:pPr>
              <w:pStyle w:val="Compact"/>
              <w:jc w:val="left"/>
            </w:pPr>
            <w:r>
              <w:rPr>
                <w:bCs/>
                <w:b/>
              </w:rPr>
              <w:t xml:space="preserve">xAI</w:t>
            </w:r>
          </w:p>
        </w:tc>
        <w:tc>
          <w:tcPr/>
          <w:p>
            <w:pPr>
              <w:pStyle w:val="Compact"/>
              <w:jc w:val="left"/>
            </w:pPr>
            <w:r>
              <w:t xml:space="preserve">Reaaliaikainen markkinaälykkyys Grok, X/Twitter-signaalihavaitseminen (Aivot)</w:t>
            </w:r>
          </w:p>
        </w:tc>
        <w:tc>
          <w:tcPr/>
          <w:p>
            <w:pPr>
              <w:pStyle w:val="Compact"/>
              <w:jc w:val="left"/>
            </w:pPr>
            <w:r>
              <w:t xml:space="preserve">Aktiivinen (tuotanto)</w:t>
            </w:r>
          </w:p>
        </w:tc>
      </w:tr>
      <w:tr>
        <w:tc>
          <w:tcPr/>
          <w:p>
            <w:pPr>
              <w:pStyle w:val="Compact"/>
              <w:jc w:val="left"/>
            </w:pPr>
            <w:r>
              <w:rPr>
                <w:bCs/>
                <w:b/>
              </w:rPr>
              <w:t xml:space="preserve">Mistral</w:t>
            </w:r>
          </w:p>
        </w:tc>
        <w:tc>
          <w:tcPr/>
          <w:p>
            <w:pPr>
              <w:pStyle w:val="Compact"/>
              <w:jc w:val="left"/>
            </w:pPr>
            <w:r>
              <w:t xml:space="preserve">EU-suvereeni tekoälyinferenssi, monikielinen vaatimustenmukaisuusgenerointi (Aivot/Muisti)</w:t>
            </w:r>
          </w:p>
        </w:tc>
        <w:tc>
          <w:tcPr/>
          <w:p>
            <w:pPr>
              <w:pStyle w:val="Compact"/>
              <w:jc w:val="left"/>
            </w:pPr>
            <w:r>
              <w:t xml:space="preserve">Suunniteltu Q3 2026</w:t>
            </w:r>
          </w:p>
        </w:tc>
      </w:tr>
      <w:tr>
        <w:tc>
          <w:tcPr/>
          <w:p>
            <w:pPr>
              <w:pStyle w:val="Compact"/>
              <w:jc w:val="left"/>
            </w:pPr>
            <w:r>
              <w:rPr>
                <w:bCs/>
                <w:b/>
              </w:rPr>
              <w:t xml:space="preserve">Red Hat</w:t>
            </w:r>
          </w:p>
        </w:tc>
        <w:tc>
          <w:tcPr/>
          <w:p>
            <w:pPr>
              <w:pStyle w:val="Compact"/>
              <w:jc w:val="left"/>
            </w:pPr>
            <w:r>
              <w:t xml:space="preserve">AgentOps BYOA -alusta (Keho), OpenShift AI agenttien käyttöönottoon, hybridipilvi-infra</w:t>
            </w:r>
          </w:p>
        </w:tc>
        <w:tc>
          <w:tcPr/>
          <w:p>
            <w:pPr>
              <w:pStyle w:val="Compact"/>
              <w:jc w:val="left"/>
            </w:pPr>
            <w:r>
              <w:t xml:space="preserve">Aktiivinen (maaliskuu 2026)</w:t>
            </w:r>
          </w:p>
        </w:tc>
      </w:tr>
    </w:tbl>
    <w:bookmarkStart w:id="185" w:name="monituottaja-llm-reititinarkkitehtuuri"/>
    <w:p>
      <w:pPr>
        <w:pStyle w:val="Heading3"/>
      </w:pPr>
      <w:r>
        <w:t xml:space="preserve">10.12.1 Monituottaja-LLM-reititinarkkitehtuuri</w:t>
      </w:r>
    </w:p>
    <w:p>
      <w:pPr>
        <w:pStyle w:val="FirstParagraph"/>
      </w:pPr>
      <w:r>
        <w:t xml:space="preserve">DWS7 valitsee LLM:n tehtävätyypin mukaan kolmen kriteerin perusteella:</w:t>
      </w:r>
      <w:r>
        <w:t xml:space="preserve"> </w:t>
      </w:r>
      <w:r>
        <w:rPr>
          <w:bCs/>
          <w:b/>
        </w:rPr>
        <w:t xml:space="preserve">EU-suvereniteetti</w:t>
      </w:r>
      <w:r>
        <w:t xml:space="preserve">,</w:t>
      </w:r>
      <w:r>
        <w:t xml:space="preserve"> </w:t>
      </w:r>
      <w:r>
        <w:rPr>
          <w:bCs/>
          <w:b/>
        </w:rPr>
        <w:t xml:space="preserve">kustannus</w:t>
      </w:r>
      <w:r>
        <w:t xml:space="preserve"> </w:t>
      </w:r>
      <w:r>
        <w:t xml:space="preserve">ja</w:t>
      </w:r>
      <w:r>
        <w:t xml:space="preserve"> </w:t>
      </w:r>
      <w:r>
        <w:rPr>
          <w:bCs/>
          <w:b/>
        </w:rPr>
        <w:t xml:space="preserve">latenssi</w:t>
      </w:r>
      <w:r>
        <w:t xml:space="preserve">:</w:t>
      </w:r>
    </w:p>
    <w:p>
      <w:pPr>
        <w:pStyle w:val="SourceCode"/>
      </w:pPr>
      <w:r>
        <w:rPr>
          <w:rStyle w:val="VerbatimChar"/>
        </w:rPr>
        <w:t xml:space="preserve">Tehtävätyyppi → LLM-valinta</w:t>
      </w:r>
      <w:r>
        <w:br/>
      </w:r>
      <w:r>
        <w:rPr>
          <w:rStyle w:val="VerbatimChar"/>
        </w:rPr>
        <w:t xml:space="preserve">  Vaatimustenmukaisuusgenerointi (CSRD, CBAM)  → Claude (päättelysyvyys) tai Mistral (EU-suvereeni)</w:t>
      </w:r>
      <w:r>
        <w:br/>
      </w:r>
      <w:r>
        <w:rPr>
          <w:rStyle w:val="VerbatimChar"/>
        </w:rPr>
        <w:t xml:space="preserve">  Reaaliaikainen markkinasignaalinanalyysi       → xAI Grok (live X/Twitter-data)</w:t>
      </w:r>
      <w:r>
        <w:br/>
      </w:r>
      <w:r>
        <w:rPr>
          <w:rStyle w:val="VerbatimChar"/>
        </w:rPr>
        <w:t xml:space="preserve">  Koodingenerointi                              → Claude tai Groq (Llama 70B, nopea)</w:t>
      </w:r>
      <w:r>
        <w:br/>
      </w:r>
      <w:r>
        <w:rPr>
          <w:rStyle w:val="VerbatimChar"/>
        </w:rPr>
        <w:t xml:space="preserve">  Kevyt tiivistäminen                           → Groq (Haiku-nopeus)</w:t>
      </w:r>
      <w:r>
        <w:br/>
      </w:r>
      <w:r>
        <w:rPr>
          <w:rStyle w:val="VerbatimChar"/>
        </w:rPr>
        <w:t xml:space="preserve">  Reunainferenssi (Acer Veriton)                → Qwen 2.5 72B (QLoRA-hienosäädetty, paikan päällä)</w:t>
      </w:r>
    </w:p>
    <w:bookmarkEnd w:id="185"/>
    <w:bookmarkStart w:id="186" w:name="X5fb57fdb3e83108c05a1c138a6c98eee654462f"/>
    <w:p>
      <w:pPr>
        <w:pStyle w:val="Heading3"/>
      </w:pPr>
      <w:r>
        <w:t xml:space="preserve">10.12.2 Red Hat — AgentOps ja hybridipilvi-infrastruktuuri</w:t>
      </w:r>
    </w:p>
    <w:p>
      <w:pPr>
        <w:pStyle w:val="FirstParagraph"/>
      </w:pPr>
      <w:r>
        <w:rPr>
          <w:iCs/>
          <w:i/>
        </w:rPr>
        <w:t xml:space="preserve">Lisätty: 21.03.2026 | Lähde: Red Hat</w:t>
      </w:r>
      <w:r>
        <w:rPr>
          <w:iCs/>
          <w:i/>
        </w:rPr>
        <w:t xml:space="preserve"> </w:t>
      </w:r>
      <w:r>
        <w:rPr>
          <w:iCs/>
          <w:i/>
        </w:rPr>
        <w:t xml:space="preserve">“</w:t>
      </w:r>
      <w:r>
        <w:rPr>
          <w:iCs/>
          <w:i/>
        </w:rPr>
        <w:t xml:space="preserve">The Adaptable Enterprise</w:t>
      </w:r>
      <w:r>
        <w:rPr>
          <w:iCs/>
          <w:i/>
        </w:rPr>
        <w:t xml:space="preserve">”</w:t>
      </w:r>
      <w:r>
        <w:rPr>
          <w:iCs/>
          <w:i/>
        </w:rPr>
        <w:t xml:space="preserve"> </w:t>
      </w:r>
      <w:r>
        <w:rPr>
          <w:iCs/>
          <w:i/>
        </w:rPr>
        <w:t xml:space="preserve">-avainlöydökset (2025), Mikko Pylväs (Red Hat Finland AI-tapahtuma, maaliskuu 2026)</w:t>
      </w:r>
    </w:p>
    <w:p>
      <w:pPr>
        <w:pStyle w:val="BodyText"/>
      </w:pPr>
      <w:r>
        <w:t xml:space="preserve">Red Hatin AgentOps-strategia —</w:t>
      </w:r>
      <w:r>
        <w:t xml:space="preserve"> </w:t>
      </w:r>
      <w:r>
        <w:rPr>
          <w:bCs/>
          <w:b/>
        </w:rPr>
        <w:t xml:space="preserve">Bring Your Own Agent (BYOA)</w:t>
      </w:r>
      <w:r>
        <w:t xml:space="preserve"> </w:t>
      </w:r>
      <w:r>
        <w:t xml:space="preserve">— tarjoaa yritys-Kubernetesin (OpenShift) tekoälyagenttien käyttöönotto- ja orkestrointikerrokseksi. Heidän ydinteesin: mukautuvuus on edellytys minkä tahansa tekoälystrategian onnistumiselle.</w:t>
      </w:r>
    </w:p>
    <w:p>
      <w:pPr>
        <w:pStyle w:val="BodyText"/>
      </w:pPr>
      <w:r>
        <w:rPr>
          <w:bCs/>
          <w:b/>
        </w:rPr>
        <w:t xml:space="preserve">Strateginen yhteensopivuus DWS IQ 6:n kanssa:</w:t>
      </w:r>
    </w:p>
    <w:p>
      <w:pPr>
        <w:numPr>
          <w:ilvl w:val="0"/>
          <w:numId w:val="1062"/>
        </w:numPr>
        <w:pStyle w:val="Compact"/>
      </w:pPr>
      <w:r>
        <w:rPr>
          <w:bCs/>
          <w:b/>
        </w:rPr>
        <w:t xml:space="preserve">Hybridipilvi-imperatiivi:</w:t>
      </w:r>
      <w:r>
        <w:t xml:space="preserve"> </w:t>
      </w:r>
      <w:r>
        <w:t xml:space="preserve">Red Hat tunnistaa, että onnistunut tekoälystrategia on oltava hybridipilvistrategia — kouluta, viritä ja aja malleja missä tahansa data sijaitsee vaarantamatta turvallisuutta, vaatimustenmukaisuutta tai datasuvereniteettia. Tämä kartoittuu suoraan DWS IQ 6:n käyttöönottomalliin (EU-pilvi + GN-100-reuna + Aiven-overlay).</w:t>
      </w:r>
    </w:p>
    <w:p>
      <w:pPr>
        <w:numPr>
          <w:ilvl w:val="0"/>
          <w:numId w:val="1062"/>
        </w:numPr>
        <w:pStyle w:val="Compact"/>
      </w:pPr>
      <w:r>
        <w:rPr>
          <w:bCs/>
          <w:b/>
        </w:rPr>
        <w:t xml:space="preserve">Modernisoi ennen automatisointia:</w:t>
      </w:r>
      <w:r>
        <w:t xml:space="preserve"> </w:t>
      </w:r>
      <w:r>
        <w:t xml:space="preserve">Avoin, joustava hybridipilvi (Linux, kontit, Kubernetes) linjautuu DWS7:n konttinatiiviin arkkitehtuuriin.</w:t>
      </w:r>
    </w:p>
    <w:p>
      <w:pPr>
        <w:numPr>
          <w:ilvl w:val="0"/>
          <w:numId w:val="1062"/>
        </w:numPr>
        <w:pStyle w:val="Compact"/>
      </w:pPr>
      <w:r>
        <w:rPr>
          <w:bCs/>
          <w:b/>
        </w:rPr>
        <w:t xml:space="preserve">Red Hat + NVIDIA yhteistyö</w:t>
      </w:r>
      <w:r>
        <w:t xml:space="preserve"> </w:t>
      </w:r>
      <w:r>
        <w:t xml:space="preserve">turvallisessa tekoälyagenttiinfrastruktuurissa tukee suoraan KYA-hallittua agenttien eristysmallia.</w:t>
      </w:r>
    </w:p>
    <w:p>
      <w:pPr>
        <w:numPr>
          <w:ilvl w:val="0"/>
          <w:numId w:val="1062"/>
        </w:numPr>
        <w:pStyle w:val="Compact"/>
      </w:pPr>
      <w:r>
        <w:rPr>
          <w:bCs/>
          <w:b/>
        </w:rPr>
        <w:t xml:space="preserve">MCP siltana:</w:t>
      </w:r>
      <w:r>
        <w:t xml:space="preserve"> </w:t>
      </w:r>
      <w:r>
        <w:t xml:space="preserve">Red Hat tunnistaa MCP:n kriittiseksi vanhojen järjestelmien ja agenttitekoälyn yhdistämisessä — validoiden DWS IQ 6:n MCP Hub -arkkitehtuurin (osio 2.5.3).</w:t>
      </w:r>
    </w:p>
    <w:p>
      <w:pPr>
        <w:numPr>
          <w:ilvl w:val="0"/>
          <w:numId w:val="1062"/>
        </w:numPr>
        <w:pStyle w:val="Compact"/>
      </w:pPr>
      <w:r>
        <w:rPr>
          <w:bCs/>
          <w:b/>
        </w:rPr>
        <w:t xml:space="preserve">Osaamisvaje:</w:t>
      </w:r>
      <w:r>
        <w:t xml:space="preserve"> </w:t>
      </w:r>
      <w:r>
        <w:t xml:space="preserve">42 % organisaatioista on estetty talon sisäisen tekoälyosaamisen puutteen vuoksi (Bain &amp; Company, 2025), mikä validoi hallitun alustamallin.</w:t>
      </w:r>
    </w:p>
    <w:bookmarkEnd w:id="186"/>
    <w:bookmarkStart w:id="187" w:name="tutkimuskontribuutio-4"/>
    <w:p>
      <w:pPr>
        <w:pStyle w:val="Heading3"/>
      </w:pPr>
      <w:r>
        <w:t xml:space="preserve">10.12.3 Tutkimuskontribuutio</w:t>
      </w:r>
    </w:p>
    <w:p>
      <w:pPr>
        <w:pStyle w:val="FirstParagraph"/>
      </w:pPr>
      <w:r>
        <w:t xml:space="preserve">Monituottajaekosysteemi validoi</w:t>
      </w:r>
      <w:r>
        <w:t xml:space="preserve"> </w:t>
      </w:r>
      <w:r>
        <w:rPr>
          <w:bCs/>
          <w:b/>
        </w:rPr>
        <w:t xml:space="preserve">Solution Factory -mallin kolmannen pilarin</w:t>
      </w:r>
      <w:r>
        <w:t xml:space="preserve"> </w:t>
      </w:r>
      <w:r>
        <w:t xml:space="preserve">(osio 4.1.3 — jakeluleverage). Kytkemällä DWS7 Siemens Xceleratoriin, NVIDIA Inceptioniin ja Red Hatin OpenShift-ekosysteemiin alusta saa pääsyn 10 000+ teollisuusasiakkaaseen ilman suoran myyntiorganisaation rakentamista — yhdenmukainen kumppanuusjakelustrategian kanssa.</w:t>
      </w:r>
    </w:p>
    <w:p>
      <w:pPr>
        <w:pStyle w:val="BodyText"/>
      </w:pPr>
      <w:r>
        <w:t xml:space="preserve">Monituottaja-LLM-reititin osoittaa käytännön ratkaisun</w:t>
      </w:r>
      <w:r>
        <w:t xml:space="preserve"> </w:t>
      </w:r>
      <w:r>
        <w:rPr>
          <w:bCs/>
          <w:b/>
        </w:rPr>
        <w:t xml:space="preserve">EU AI Act -suvereniteettijännitteeseen</w:t>
      </w:r>
      <w:r>
        <w:t xml:space="preserve">: säännellyt toimialat voivat käyttää Mistralia vaatimustenmukaisuusgeneroinnissa (EU-domisiili, GDPR-yhteensopiva) hyödyntäen samalla Claudea ja Grookia säätelemättömiin analyyttisiin tehtäviin. Red Hatin BYOA-kehys vahvistaa edelleen tätä arkkitehtuuria — yritysasiakkaat voivat tuoda omat agenttikehyksensä, kun DWS IQ tarjoaa hallitun orkestroinnin ja vaatimustenmukaisuuskerroksen.</w:t>
      </w:r>
    </w:p>
    <w:p>
      <w:r>
        <w:pict>
          <v:rect style="width:0;height:1.5pt" o:hralign="center" o:hrstd="t" o:hr="t"/>
        </w:pict>
      </w:r>
    </w:p>
    <w:bookmarkEnd w:id="187"/>
    <w:bookmarkEnd w:id="188"/>
    <w:bookmarkEnd w:id="189"/>
    <w:bookmarkStart w:id="203" w:name="lähteet"/>
    <w:p>
      <w:pPr>
        <w:pStyle w:val="Heading1"/>
      </w:pPr>
      <w:r>
        <w:t xml:space="preserve">11. Lähteet</w:t>
      </w:r>
    </w:p>
    <w:bookmarkStart w:id="190" w:name="akateeminen-kirjallisuus"/>
    <w:p>
      <w:pPr>
        <w:pStyle w:val="Heading2"/>
      </w:pPr>
      <w:r>
        <w:t xml:space="preserve">Akateeminen kirjallisuus</w:t>
      </w:r>
    </w:p>
    <w:p>
      <w:pPr>
        <w:numPr>
          <w:ilvl w:val="0"/>
          <w:numId w:val="1063"/>
        </w:numPr>
      </w:pPr>
      <w:r>
        <w:t xml:space="preserve">Ries, E. (2011).</w:t>
      </w:r>
      <w:r>
        <w:t xml:space="preserve"> </w:t>
      </w:r>
      <w:r>
        <w:rPr>
          <w:iCs/>
          <w:i/>
        </w:rPr>
        <w:t xml:space="preserve">The Lean Startup: How Today’s Entrepreneurs Use Continuous Innovation to Create Radically Successful Businesses</w:t>
      </w:r>
      <w:r>
        <w:t xml:space="preserve">. Crown Business.</w:t>
      </w:r>
    </w:p>
    <w:p>
      <w:pPr>
        <w:numPr>
          <w:ilvl w:val="0"/>
          <w:numId w:val="1063"/>
        </w:numPr>
      </w:pPr>
      <w:r>
        <w:t xml:space="preserve">Blank, S. (2013).</w:t>
      </w:r>
      <w:r>
        <w:t xml:space="preserve"> </w:t>
      </w:r>
      <w:r>
        <w:rPr>
          <w:iCs/>
          <w:i/>
        </w:rPr>
        <w:t xml:space="preserve">The Four Steps to the Epiphany: Successful Strategies for Products that Win</w:t>
      </w:r>
      <w:r>
        <w:t xml:space="preserve">. K&amp;S Ranch.</w:t>
      </w:r>
    </w:p>
    <w:p>
      <w:pPr>
        <w:numPr>
          <w:ilvl w:val="0"/>
          <w:numId w:val="1063"/>
        </w:numPr>
      </w:pPr>
      <w:r>
        <w:t xml:space="preserve">Parker, G., Van Alstyne, M., &amp; Choudary, S. (2016).</w:t>
      </w:r>
      <w:r>
        <w:t xml:space="preserve"> </w:t>
      </w:r>
      <w:r>
        <w:rPr>
          <w:iCs/>
          <w:i/>
        </w:rPr>
        <w:t xml:space="preserve">Platform Revolution: How Networked Markets Are Transforming the Economy</w:t>
      </w:r>
      <w:r>
        <w:t xml:space="preserve">. W.W. Norton.</w:t>
      </w:r>
    </w:p>
    <w:p>
      <w:pPr>
        <w:numPr>
          <w:ilvl w:val="0"/>
          <w:numId w:val="1063"/>
        </w:numPr>
      </w:pPr>
      <w:r>
        <w:t xml:space="preserve">Euroopan komissio (2021).</w:t>
      </w:r>
      <w:r>
        <w:t xml:space="preserve"> </w:t>
      </w:r>
      <w:r>
        <w:rPr>
          <w:iCs/>
          <w:i/>
        </w:rPr>
        <w:t xml:space="preserve">Teollisuus 5.0: Kohti kestävää, ihmiskeskeistä ja resilienttiä eurooppalaista teollisuutta</w:t>
      </w:r>
      <w:r>
        <w:t xml:space="preserve">. EU:n julkaisutoimisto.</w:t>
      </w:r>
    </w:p>
    <w:p>
      <w:pPr>
        <w:numPr>
          <w:ilvl w:val="0"/>
          <w:numId w:val="1063"/>
        </w:numPr>
      </w:pPr>
      <w:r>
        <w:t xml:space="preserve">Shi, W., Cao, J., Zhang, Q., Li, Y., &amp; Xu, L. (2016).</w:t>
      </w:r>
      <w:r>
        <w:t xml:space="preserve"> </w:t>
      </w:r>
      <w:r>
        <w:t xml:space="preserve">“</w:t>
      </w:r>
      <w:r>
        <w:t xml:space="preserve">Edge Computing: Vision and Challenges.</w:t>
      </w:r>
      <w:r>
        <w:t xml:space="preserve">”</w:t>
      </w:r>
      <w:r>
        <w:t xml:space="preserve"> </w:t>
      </w:r>
      <w:r>
        <w:rPr>
          <w:iCs/>
          <w:i/>
        </w:rPr>
        <w:t xml:space="preserve">IEEE Internet of Things Journal</w:t>
      </w:r>
      <w:r>
        <w:t xml:space="preserve">, 3(5), 637-646.</w:t>
      </w:r>
    </w:p>
    <w:p>
      <w:pPr>
        <w:numPr>
          <w:ilvl w:val="0"/>
          <w:numId w:val="1063"/>
        </w:numPr>
      </w:pPr>
      <w:r>
        <w:t xml:space="preserve">Christensen, C. M., Hall, T., Dillon, K., &amp; Duncan, D. S. (2016).</w:t>
      </w:r>
      <w:r>
        <w:t xml:space="preserve"> </w:t>
      </w:r>
      <w:r>
        <w:t xml:space="preserve">“</w:t>
      </w:r>
      <w:r>
        <w:t xml:space="preserve">Know Your Customers’ Jobs to Be Done.</w:t>
      </w:r>
      <w:r>
        <w:t xml:space="preserve">”</w:t>
      </w:r>
      <w:r>
        <w:t xml:space="preserve"> </w:t>
      </w:r>
      <w:r>
        <w:rPr>
          <w:iCs/>
          <w:i/>
        </w:rPr>
        <w:t xml:space="preserve">Harvard Business Review</w:t>
      </w:r>
      <w:r>
        <w:t xml:space="preserve">, 94(9), 54-62.</w:t>
      </w:r>
    </w:p>
    <w:p>
      <w:pPr>
        <w:numPr>
          <w:ilvl w:val="0"/>
          <w:numId w:val="1063"/>
        </w:numPr>
      </w:pPr>
      <w:r>
        <w:t xml:space="preserve">Wooldridge, M. (2009).</w:t>
      </w:r>
      <w:r>
        <w:t xml:space="preserve"> </w:t>
      </w:r>
      <w:r>
        <w:rPr>
          <w:iCs/>
          <w:i/>
        </w:rPr>
        <w:t xml:space="preserve">An Introduction to MultiAgent Systems</w:t>
      </w:r>
      <w:r>
        <w:t xml:space="preserve"> </w:t>
      </w:r>
      <w:r>
        <w:t xml:space="preserve">(2. painos). Wiley.</w:t>
      </w:r>
    </w:p>
    <w:p>
      <w:pPr>
        <w:numPr>
          <w:ilvl w:val="0"/>
          <w:numId w:val="1063"/>
        </w:numPr>
      </w:pPr>
      <w:r>
        <w:t xml:space="preserve">Jennings, N. R., &amp; Wooldridge, M. (1998).</w:t>
      </w:r>
      <w:r>
        <w:t xml:space="preserve"> </w:t>
      </w:r>
      <w:r>
        <w:t xml:space="preserve">“</w:t>
      </w:r>
      <w:r>
        <w:t xml:space="preserve">Applications of intelligent agents.</w:t>
      </w:r>
      <w:r>
        <w:t xml:space="preserve">”</w:t>
      </w:r>
      <w:r>
        <w:t xml:space="preserve"> </w:t>
      </w:r>
      <w:r>
        <w:rPr>
          <w:iCs/>
          <w:i/>
        </w:rPr>
        <w:t xml:space="preserve">Agent Technology: Foundations, Applications, and Markets</w:t>
      </w:r>
      <w:r>
        <w:t xml:space="preserve">, 3-28.</w:t>
      </w:r>
    </w:p>
    <w:bookmarkEnd w:id="190"/>
    <w:bookmarkStart w:id="191" w:name="X048334f43cd2e598c6b9d080d8f658a9a47b9e5"/>
    <w:p>
      <w:pPr>
        <w:pStyle w:val="Heading2"/>
      </w:pPr>
      <w:r>
        <w:t xml:space="preserve">Moniagenttijärjestelmät ja AI-koordinointi</w:t>
      </w:r>
    </w:p>
    <w:p>
      <w:pPr>
        <w:numPr>
          <w:ilvl w:val="0"/>
          <w:numId w:val="1064"/>
        </w:numPr>
      </w:pPr>
      <w:r>
        <w:t xml:space="preserve">LangChain Documentation (2024).</w:t>
      </w:r>
      <w:r>
        <w:t xml:space="preserve"> </w:t>
      </w:r>
      <w:r>
        <w:t xml:space="preserve">“</w:t>
      </w:r>
      <w:r>
        <w:t xml:space="preserve">Building LLM Applications with Composable Components.</w:t>
      </w:r>
      <w:r>
        <w:t xml:space="preserve">”</w:t>
      </w:r>
      <w:r>
        <w:t xml:space="preserve"> </w:t>
      </w:r>
      <w:r>
        <w:t xml:space="preserve">https://docs.langchain.com</w:t>
      </w:r>
    </w:p>
    <w:p>
      <w:pPr>
        <w:numPr>
          <w:ilvl w:val="0"/>
          <w:numId w:val="1064"/>
        </w:numPr>
      </w:pPr>
      <w:r>
        <w:t xml:space="preserve">Anthropic (2024).</w:t>
      </w:r>
      <w:r>
        <w:t xml:space="preserve"> </w:t>
      </w:r>
      <w:r>
        <w:t xml:space="preserve">“</w:t>
      </w:r>
      <w:r>
        <w:t xml:space="preserve">Model Context Protocol Specification.</w:t>
      </w:r>
      <w:r>
        <w:t xml:space="preserve">”</w:t>
      </w:r>
      <w:r>
        <w:t xml:space="preserve"> </w:t>
      </w:r>
      <w:r>
        <w:t xml:space="preserve">https://modelcontextprotocol.io</w:t>
      </w:r>
    </w:p>
    <w:p>
      <w:pPr>
        <w:numPr>
          <w:ilvl w:val="0"/>
          <w:numId w:val="1064"/>
        </w:numPr>
      </w:pPr>
      <w:r>
        <w:t xml:space="preserve">NVIDIA (2024).</w:t>
      </w:r>
      <w:r>
        <w:t xml:space="preserve"> </w:t>
      </w:r>
      <w:r>
        <w:t xml:space="preserve">“</w:t>
      </w:r>
      <w:r>
        <w:t xml:space="preserve">Jetson Orin Nano Developer Kit: Technical Specifications.</w:t>
      </w:r>
      <w:r>
        <w:t xml:space="preserve">”</w:t>
      </w:r>
      <w:r>
        <w:t xml:space="preserve"> </w:t>
      </w:r>
      <w:r>
        <w:t xml:space="preserve">https://developer.nvidia.com/embedded/jetson-orin-nano</w:t>
      </w:r>
    </w:p>
    <w:bookmarkEnd w:id="191"/>
    <w:bookmarkStart w:id="192" w:name="toimialaraportit"/>
    <w:p>
      <w:pPr>
        <w:pStyle w:val="Heading2"/>
      </w:pPr>
      <w:r>
        <w:t xml:space="preserve">Toimialaraportit</w:t>
      </w:r>
    </w:p>
    <w:p>
      <w:pPr>
        <w:numPr>
          <w:ilvl w:val="0"/>
          <w:numId w:val="1065"/>
        </w:numPr>
      </w:pPr>
      <w:r>
        <w:t xml:space="preserve">Euroopan komissio &amp; Ramboll (2025).</w:t>
      </w:r>
      <w:r>
        <w:t xml:space="preserve"> </w:t>
      </w:r>
      <w:r>
        <w:t xml:space="preserve">“</w:t>
      </w:r>
      <w:r>
        <w:t xml:space="preserve">EU-rakennusten elinkaarenaikaisten kasvihuonekaasupäästöjen analyysi.</w:t>
      </w:r>
      <w:r>
        <w:t xml:space="preserve">”</w:t>
      </w:r>
      <w:r>
        <w:t xml:space="preserve"> </w:t>
      </w:r>
      <w:r>
        <w:t xml:space="preserve">DG Environment.</w:t>
      </w:r>
    </w:p>
    <w:p>
      <w:pPr>
        <w:numPr>
          <w:ilvl w:val="0"/>
          <w:numId w:val="1065"/>
        </w:numPr>
      </w:pPr>
      <w:r>
        <w:t xml:space="preserve">GRESB (2024).</w:t>
      </w:r>
      <w:r>
        <w:t xml:space="preserve"> </w:t>
      </w:r>
      <w:r>
        <w:t xml:space="preserve">“</w:t>
      </w:r>
      <w:r>
        <w:t xml:space="preserve">Sisältyvän hiilen strategian luominen EU-markkinoilla: Opas kiinteistösijoittajille.</w:t>
      </w:r>
      <w:r>
        <w:t xml:space="preserve">”</w:t>
      </w:r>
    </w:p>
    <w:p>
      <w:pPr>
        <w:numPr>
          <w:ilvl w:val="0"/>
          <w:numId w:val="1065"/>
        </w:numPr>
      </w:pPr>
      <w:r>
        <w:t xml:space="preserve">Eurofound &amp; Cedefop (2025).</w:t>
      </w:r>
      <w:r>
        <w:t xml:space="preserve"> </w:t>
      </w:r>
      <w:r>
        <w:t xml:space="preserve">“</w:t>
      </w:r>
      <w:r>
        <w:t xml:space="preserve">Pk-yritysten digitalisointi EU:ssa: Trendit, politiikat ja vaikutukset.</w:t>
      </w:r>
      <w:r>
        <w:t xml:space="preserve">”</w:t>
      </w:r>
      <w:r>
        <w:t xml:space="preserve"> </w:t>
      </w:r>
      <w:r>
        <w:t xml:space="preserve">EU:n julkaisutoimisto.</w:t>
      </w:r>
    </w:p>
    <w:p>
      <w:pPr>
        <w:numPr>
          <w:ilvl w:val="0"/>
          <w:numId w:val="1065"/>
        </w:numPr>
      </w:pPr>
      <w:r>
        <w:t xml:space="preserve">McKinsey &amp; Company (2024).</w:t>
      </w:r>
      <w:r>
        <w:t xml:space="preserve"> </w:t>
      </w:r>
      <w:r>
        <w:t xml:space="preserve">“</w:t>
      </w:r>
      <w:r>
        <w:t xml:space="preserve">The State of AI in Construction: Adoption, Impact, and Future Outlook.</w:t>
      </w:r>
      <w:r>
        <w:t xml:space="preserve">”</w:t>
      </w:r>
    </w:p>
    <w:bookmarkEnd w:id="192"/>
    <w:bookmarkStart w:id="193" w:name="säädökset-ja-standardit"/>
    <w:p>
      <w:pPr>
        <w:pStyle w:val="Heading2"/>
      </w:pPr>
      <w:r>
        <w:t xml:space="preserve">Säädökset ja standardit</w:t>
      </w:r>
    </w:p>
    <w:p>
      <w:pPr>
        <w:numPr>
          <w:ilvl w:val="0"/>
          <w:numId w:val="1066"/>
        </w:numPr>
        <w:pStyle w:val="Compact"/>
      </w:pPr>
      <w:r>
        <w:t xml:space="preserve">NIS 2 -direktiivi (EU) 2022/2555</w:t>
      </w:r>
    </w:p>
    <w:p>
      <w:pPr>
        <w:numPr>
          <w:ilvl w:val="0"/>
          <w:numId w:val="1066"/>
        </w:numPr>
        <w:pStyle w:val="Compact"/>
      </w:pPr>
      <w:r>
        <w:t xml:space="preserve">EU AI Act (EU) 2024/1689</w:t>
      </w:r>
    </w:p>
    <w:p>
      <w:pPr>
        <w:numPr>
          <w:ilvl w:val="0"/>
          <w:numId w:val="1066"/>
        </w:numPr>
        <w:pStyle w:val="Compact"/>
      </w:pPr>
      <w:r>
        <w:t xml:space="preserve">Yleinen tietosuoja-asetus (GDPR) (EU) 2016/679</w:t>
      </w:r>
    </w:p>
    <w:p>
      <w:pPr>
        <w:numPr>
          <w:ilvl w:val="0"/>
          <w:numId w:val="1066"/>
        </w:numPr>
        <w:pStyle w:val="Compact"/>
      </w:pPr>
      <w:r>
        <w:t xml:space="preserve">Kyberturvallisuusasetus (EU) 2019/881</w:t>
      </w:r>
    </w:p>
    <w:p>
      <w:pPr>
        <w:numPr>
          <w:ilvl w:val="0"/>
          <w:numId w:val="1066"/>
        </w:numPr>
        <w:pStyle w:val="Compact"/>
      </w:pPr>
      <w:r>
        <w:t xml:space="preserve">ISO/IEC 27001:2022</w:t>
      </w:r>
    </w:p>
    <w:p>
      <w:pPr>
        <w:numPr>
          <w:ilvl w:val="0"/>
          <w:numId w:val="1066"/>
        </w:numPr>
        <w:pStyle w:val="Compact"/>
      </w:pPr>
      <w:r>
        <w:t xml:space="preserve">European Commission (2025).</w:t>
      </w:r>
      <w:r>
        <w:t xml:space="preserve"> </w:t>
      </w:r>
      <w:r>
        <w:rPr>
          <w:iCs/>
          <w:i/>
        </w:rPr>
        <w:t xml:space="preserve">Omnibus package</w:t>
      </w:r>
      <w:r>
        <w:t xml:space="preserve">.</w:t>
      </w:r>
    </w:p>
    <w:p>
      <w:pPr>
        <w:numPr>
          <w:ilvl w:val="0"/>
          <w:numId w:val="1066"/>
        </w:numPr>
        <w:pStyle w:val="Compact"/>
      </w:pPr>
      <w:r>
        <w:t xml:space="preserve">EN 15978:2011 Rakentamisen kestävyys</w:t>
      </w:r>
    </w:p>
    <w:p>
      <w:pPr>
        <w:numPr>
          <w:ilvl w:val="0"/>
          <w:numId w:val="1066"/>
        </w:numPr>
        <w:pStyle w:val="Compact"/>
      </w:pPr>
      <w:r>
        <w:t xml:space="preserve">Rakennusten energiatehokkuusdirektiivi (EPBD) (EU) 2024/1275</w:t>
      </w:r>
    </w:p>
    <w:p>
      <w:pPr>
        <w:numPr>
          <w:ilvl w:val="0"/>
          <w:numId w:val="1066"/>
        </w:numPr>
        <w:pStyle w:val="Compact"/>
      </w:pPr>
      <w:r>
        <w:t xml:space="preserve">Google Merchant Center -tekniset määritykset (2026)</w:t>
      </w:r>
    </w:p>
    <w:p>
      <w:pPr>
        <w:numPr>
          <w:ilvl w:val="0"/>
          <w:numId w:val="1066"/>
        </w:numPr>
        <w:pStyle w:val="Compact"/>
      </w:pPr>
      <w:r>
        <w:t xml:space="preserve">Revolut Business API -dokumentaatio</w:t>
      </w:r>
    </w:p>
    <w:p>
      <w:pPr>
        <w:numPr>
          <w:ilvl w:val="0"/>
          <w:numId w:val="1066"/>
        </w:numPr>
        <w:pStyle w:val="Compact"/>
      </w:pPr>
      <w:r>
        <w:t xml:space="preserve">Anthropic Claude Code -dokumentaatio</w:t>
      </w:r>
    </w:p>
    <w:bookmarkEnd w:id="193"/>
    <w:bookmarkStart w:id="194" w:name="sisäiset-viiteartefaktit"/>
    <w:p>
      <w:pPr>
        <w:pStyle w:val="Heading2"/>
      </w:pPr>
      <w:r>
        <w:t xml:space="preserve">Sisäiset viiteartefaktit</w:t>
      </w:r>
    </w:p>
    <w:p>
      <w:pPr>
        <w:numPr>
          <w:ilvl w:val="0"/>
          <w:numId w:val="1067"/>
        </w:numPr>
      </w:pPr>
      <w:r>
        <w:t xml:space="preserve">Lifetime Oy (2026).</w:t>
      </w:r>
      <w:r>
        <w:t xml:space="preserve"> </w:t>
      </w:r>
      <w:r>
        <w:rPr>
          <w:iCs/>
          <w:i/>
        </w:rPr>
        <w:t xml:space="preserve">Lifetime World LLM Scaling Blueprint (GN-100 hybridi + pilvipolku).</w:t>
      </w:r>
      <w:r>
        <w:t xml:space="preserve"> </w:t>
      </w:r>
      <w:r>
        <w:rPr>
          <w:rStyle w:val="VerbatimChar"/>
        </w:rPr>
        <w:t xml:space="preserve">Admin/Model/LLM_TRAINING_FEASIBILITY.md</w:t>
      </w:r>
      <w:r>
        <w:t xml:space="preserve">.</w:t>
      </w:r>
    </w:p>
    <w:p>
      <w:pPr>
        <w:numPr>
          <w:ilvl w:val="0"/>
          <w:numId w:val="1067"/>
        </w:numPr>
      </w:pPr>
      <w:r>
        <w:t xml:space="preserve">Anonymous (2026).</w:t>
      </w:r>
      <w:r>
        <w:t xml:space="preserve"> </w:t>
      </w:r>
      <w:r>
        <w:t xml:space="preserve">“</w:t>
      </w:r>
      <w:r>
        <w:t xml:space="preserve">Exploratory Memory-Augmented LLM Agent via Hybrid On- and Off-Policy Optimization (EMPO²).</w:t>
      </w:r>
      <w:r>
        <w:t xml:space="preserve">”</w:t>
      </w:r>
      <w:r>
        <w:t xml:space="preserve"> </w:t>
      </w:r>
      <w:r>
        <w:t xml:space="preserve">arXiv:2602.23008. https://arxiv.org/abs/2602.23008</w:t>
      </w:r>
    </w:p>
    <w:p>
      <w:pPr>
        <w:numPr>
          <w:ilvl w:val="0"/>
          <w:numId w:val="1067"/>
        </w:numPr>
      </w:pPr>
      <w:r>
        <w:t xml:space="preserve">Alibaba Group (2026).</w:t>
      </w:r>
      <w:r>
        <w:t xml:space="preserve"> </w:t>
      </w:r>
      <w:r>
        <w:t xml:space="preserve">“</w:t>
      </w:r>
      <w:r>
        <w:t xml:space="preserve">OpenSandbox: General-Purpose Sandbox Platform for AI Applications.</w:t>
      </w:r>
      <w:r>
        <w:t xml:space="preserve">”</w:t>
      </w:r>
      <w:r>
        <w:t xml:space="preserve"> </w:t>
      </w:r>
      <w:r>
        <w:t xml:space="preserve">https://github.com/alibaba/OpenSandbox</w:t>
      </w:r>
    </w:p>
    <w:p>
      <w:pPr>
        <w:numPr>
          <w:ilvl w:val="0"/>
          <w:numId w:val="1067"/>
        </w:numPr>
      </w:pPr>
      <w:r>
        <w:t xml:space="preserve">LUT-yliopisto (2026).</w:t>
      </w:r>
      <w:r>
        <w:t xml:space="preserve"> </w:t>
      </w:r>
      <w:r>
        <w:rPr>
          <w:iCs/>
          <w:i/>
        </w:rPr>
        <w:t xml:space="preserve">Tekoälytyökalujen käytänteet</w:t>
      </w:r>
      <w:r>
        <w:t xml:space="preserve">. Lappeenrannan-Lahden teknillinen yliopisto LUT. https://elut.lut.fi/fi/opintojen-suorittaminen/opintoja-ohjaavat-saadokset-ja-ohjeet/tekoalytyokalujen-kaytanteet</w:t>
      </w:r>
    </w:p>
    <w:p>
      <w:pPr>
        <w:numPr>
          <w:ilvl w:val="0"/>
          <w:numId w:val="1067"/>
        </w:numPr>
      </w:pPr>
      <w:r>
        <w:t xml:space="preserve">Lifetime Oy (2026).</w:t>
      </w:r>
      <w:r>
        <w:t xml:space="preserve"> </w:t>
      </w:r>
      <w:r>
        <w:rPr>
          <w:iCs/>
          <w:i/>
        </w:rPr>
        <w:t xml:space="preserve">DWS Security Standard</w:t>
      </w:r>
      <w:r>
        <w:t xml:space="preserve">, versio 1.5.</w:t>
      </w:r>
      <w:r>
        <w:t xml:space="preserve"> </w:t>
      </w:r>
      <w:r>
        <w:rPr>
          <w:rStyle w:val="VerbatimChar"/>
        </w:rPr>
        <w:t xml:space="preserve">DWS_SECURITY_STANDARD.md</w:t>
      </w:r>
      <w:r>
        <w:t xml:space="preserve">. Sisäinen viitekehys, joka ohjaa tekoälyn turvallisuutta, väliohjelmiston tietoturvakontrolleja (korrelaatio-ID, Zod-validointi, keskitetty virhekäsittely), CORS-käytäntöjä, SRI-eheyttä, artikla 12 -kirjausta ja API-rajapinnan validointia. Määrittelee tietoturva-arkkitehtuurin kaikille backend-API-reiteille ja MCP-agenttipalvelimelle.</w:t>
      </w:r>
    </w:p>
    <w:p>
      <w:pPr>
        <w:numPr>
          <w:ilvl w:val="0"/>
          <w:numId w:val="1067"/>
        </w:numPr>
      </w:pPr>
      <w:r>
        <w:t xml:space="preserve">Lifetime Oy (2026).</w:t>
      </w:r>
      <w:r>
        <w:t xml:space="preserve"> </w:t>
      </w:r>
      <w:r>
        <w:rPr>
          <w:iCs/>
          <w:i/>
        </w:rPr>
        <w:t xml:space="preserve">ESRS-tietopisterekisteri</w:t>
      </w:r>
      <w:r>
        <w:t xml:space="preserve">, versio 1.0.</w:t>
      </w:r>
      <w:r>
        <w:t xml:space="preserve"> </w:t>
      </w:r>
      <w:r>
        <w:rPr>
          <w:rStyle w:val="VerbatimChar"/>
        </w:rPr>
        <w:t xml:space="preserve">src/compliance/esrs-registry.ts</w:t>
      </w:r>
      <w:r>
        <w:t xml:space="preserve">. Koneluettava kartoitus kaikista 82 eurooppalaisesta kestävyysraportointistandardien (ESRS) tiedonantovaatimuksesta kategorioittain E1–E5 (ympäristö), S1–S4 (sosiaalinen) ja G1 (hallinto). Kukin tiedonanto on luokiteltu pakolliseksi tai vapaaehtoiseksi CSRD-direktiivin (EU) 2022/2464 mukaisesti.</w:t>
      </w:r>
    </w:p>
    <w:p>
      <w:pPr>
        <w:numPr>
          <w:ilvl w:val="0"/>
          <w:numId w:val="1067"/>
        </w:numPr>
      </w:pPr>
      <w:r>
        <w:t xml:space="preserve">Lifetime Oy (2026).</w:t>
      </w:r>
      <w:r>
        <w:t xml:space="preserve"> </w:t>
      </w:r>
      <w:r>
        <w:rPr>
          <w:iCs/>
          <w:i/>
        </w:rPr>
        <w:t xml:space="preserve">Vaatimustenmukaisuuden pisteytysmoottori</w:t>
      </w:r>
      <w:r>
        <w:t xml:space="preserve">, versio 1.0.</w:t>
      </w:r>
      <w:r>
        <w:t xml:space="preserve"> </w:t>
      </w:r>
      <w:r>
        <w:rPr>
          <w:rStyle w:val="VerbatimChar"/>
        </w:rPr>
        <w:t xml:space="preserve">src/compliance/scoring-engine.ts</w:t>
      </w:r>
      <w:r>
        <w:t xml:space="preserve">. Deterministinen vaatimustenmukaisuuden pisteytysalgoritmi, joka laskee CSRD-valmiuden, ETS-altistuksen ja CBAM-riskipisteet. Kaava: kokonaispistemäärä = CSRD(0,50) + ETS(0,25) + CBAM(0,25), jossa CSRD = (annetut pakolliset tietopisteet / pakolliset yhteensä) × 80 + bonusmuuttujat.</w:t>
      </w:r>
    </w:p>
    <w:p>
      <w:pPr>
        <w:numPr>
          <w:ilvl w:val="0"/>
          <w:numId w:val="1067"/>
        </w:numPr>
      </w:pPr>
      <w:r>
        <w:t xml:space="preserve">Lifetime Oy (2026).</w:t>
      </w:r>
      <w:r>
        <w:t xml:space="preserve"> </w:t>
      </w:r>
      <w:r>
        <w:rPr>
          <w:iCs/>
          <w:i/>
        </w:rPr>
        <w:t xml:space="preserve">Site Quality Standards</w:t>
      </w:r>
      <w:r>
        <w:t xml:space="preserve">, versio 2.1.</w:t>
      </w:r>
      <w:r>
        <w:t xml:space="preserve"> </w:t>
      </w:r>
      <w:r>
        <w:rPr>
          <w:rStyle w:val="VerbatimChar"/>
        </w:rPr>
        <w:t xml:space="preserve">SITE_QUALITY_STANDARDS.md</w:t>
      </w:r>
      <w:r>
        <w:t xml:space="preserve">. Koodin laatu-, komponenttiarkkitehtuuri- ja käyttöliittymän vikasietoisuusstandardit DWS IQ -hallintapaneelille. Määrittelee ErrorBoundary-, Skeleton-lataus- ja EmptyState-komponenttistandardit yritystason käyttökokemukselle.</w:t>
      </w:r>
    </w:p>
    <w:p>
      <w:pPr>
        <w:numPr>
          <w:ilvl w:val="0"/>
          <w:numId w:val="1067"/>
        </w:numPr>
      </w:pPr>
      <w:r>
        <w:t xml:space="preserve">Lifetime Oy (2026).</w:t>
      </w:r>
      <w:r>
        <w:t xml:space="preserve"> </w:t>
      </w:r>
      <w:r>
        <w:rPr>
          <w:iCs/>
          <w:i/>
        </w:rPr>
        <w:t xml:space="preserve">AGENTS.md</w:t>
      </w:r>
      <w:r>
        <w:t xml:space="preserve">, versio 2.2.</w:t>
      </w:r>
      <w:r>
        <w:t xml:space="preserve"> </w:t>
      </w:r>
      <w:r>
        <w:rPr>
          <w:rStyle w:val="VerbatimChar"/>
        </w:rPr>
        <w:t xml:space="preserve">AGENTS.md</w:t>
      </w:r>
      <w:r>
        <w:t xml:space="preserve">. Agentti-inventaario ja operatiiviset ohjeet agents.md-avoimen spesifikaation mukaisesti. Dokumentoi 15 tekoälyagenttia, vaatimustenmukaisuuden pisteytysarkkitehtuurin, väliohjelmistopinon järjestyksen ja</w:t>
      </w:r>
      <w:r>
        <w:t xml:space="preserve"> </w:t>
      </w:r>
      <w:r>
        <w:t xml:space="preserve">“</w:t>
      </w:r>
      <w:r>
        <w:t xml:space="preserve">Build for Agents</w:t>
      </w:r>
      <w:r>
        <w:t xml:space="preserve">”</w:t>
      </w:r>
      <w:r>
        <w:t xml:space="preserve"> </w:t>
      </w:r>
      <w:r>
        <w:t xml:space="preserve">-tuotesäännön, joka edellyttää CLI + MCP + Skills -rajapintoja.</w:t>
      </w:r>
    </w:p>
    <w:p>
      <w:pPr>
        <w:numPr>
          <w:ilvl w:val="0"/>
          <w:numId w:val="1067"/>
        </w:numPr>
      </w:pPr>
      <w:r>
        <w:t xml:space="preserve">Lifetime Oy (2026).</w:t>
      </w:r>
      <w:r>
        <w:t xml:space="preserve"> </w:t>
      </w:r>
      <w:r>
        <w:rPr>
          <w:iCs/>
          <w:i/>
        </w:rPr>
        <w:t xml:space="preserve">DWS IQ Platform Admin Manual</w:t>
      </w:r>
      <w:r>
        <w:t xml:space="preserve">, versio 2.7.</w:t>
      </w:r>
      <w:r>
        <w:t xml:space="preserve"> </w:t>
      </w:r>
      <w:r>
        <w:rPr>
          <w:rStyle w:val="VerbatimChar"/>
        </w:rPr>
        <w:t xml:space="preserve">Admin/ADMIN_MANUAL.md</w:t>
      </w:r>
      <w:r>
        <w:t xml:space="preserve">. Operatiiviset menettelyt terveystarkistusten valvontaan, vaatimustenmukaisuusmoottorin hallintaan ja hallintapaneelin vikasietoisuuden vianetsintään. Sisältää Claude Code -projektin suunnittelurakenteen ja moniagenttiorkestrointiosiot.</w:t>
      </w:r>
    </w:p>
    <w:p>
      <w:pPr>
        <w:numPr>
          <w:ilvl w:val="0"/>
          <w:numId w:val="1067"/>
        </w:numPr>
      </w:pPr>
      <w:r>
        <w:t xml:space="preserve">Lifetime Oy (2026).</w:t>
      </w:r>
      <w:r>
        <w:t xml:space="preserve"> </w:t>
      </w:r>
      <w:r>
        <w:rPr>
          <w:iCs/>
          <w:i/>
        </w:rPr>
        <w:t xml:space="preserve">Enterprise Security &amp; Compliance</w:t>
      </w:r>
      <w:r>
        <w:t xml:space="preserve">, versio 1.8.</w:t>
      </w:r>
      <w:r>
        <w:t xml:space="preserve"> </w:t>
      </w:r>
      <w:r>
        <w:rPr>
          <w:rStyle w:val="VerbatimChar"/>
        </w:rPr>
        <w:t xml:space="preserve">Admin/SECURITY_COMPLIANCE.md</w:t>
      </w:r>
      <w:r>
        <w:t xml:space="preserve">. Tietoturvakontrollit tietoturvajohtajille ja hankintatiimeille. Dokumentoi agenttien ajonaikaiset turvakontrollit, hallintapaneelin vikasietoisyyskontrollit, backend-väliohjelmiston turvakontrollit ja vaatimustenmukaisuusmoottorin tietosuojan RLS-käytännöillä.</w:t>
      </w:r>
    </w:p>
    <w:p>
      <w:r>
        <w:pict>
          <v:rect style="width:0;height:1.5pt" o:hralign="center" o:hrstd="t" o:hr="t"/>
        </w:pict>
      </w:r>
    </w:p>
    <w:bookmarkEnd w:id="194"/>
    <w:bookmarkStart w:id="202" w:name="X69c8a420eb9df40fdc7f8e38cd0fa8bc07e301d"/>
    <w:p>
      <w:pPr>
        <w:pStyle w:val="Heading2"/>
      </w:pPr>
      <w:r>
        <w:t xml:space="preserve">10.13 Claude Code -suunnittelurakenne: tekoälytyönkulku ensiluokkaisena ohjelmistokomponenttina</w:t>
      </w:r>
    </w:p>
    <w:bookmarkStart w:id="195" w:name="motivaatio"/>
    <w:p>
      <w:pPr>
        <w:pStyle w:val="Heading3"/>
      </w:pPr>
      <w:r>
        <w:t xml:space="preserve">10.13.1 Motivaatio</w:t>
      </w:r>
    </w:p>
    <w:p>
      <w:pPr>
        <w:pStyle w:val="FirstParagraph"/>
      </w:pPr>
      <w:r>
        <w:t xml:space="preserve">Claude Code -käytön laajetessa yksittäisistä kokeiluista skaalautuviin järjestelmiin syntyy merkittävä arkkitehtuurinen jakolinja: projektit, jotka käsittelevät tekoälytyönkulkuja väliaikaisina chat-vuorovaikutuksina, eroavat selvästi niistä, jotka suunnittelevat ne ensiluokkaisina ohjelmistokomponentteina. DWS6-repositorio edustaa jälkimmäistä lähestymistapaa, ja tässä osiossa dokumentoidaan periaatteet, jotka mahdollistavat sen toimivuuden yritystasolla.</w:t>
      </w:r>
    </w:p>
    <w:p>
      <w:pPr>
        <w:pStyle w:val="BodyText"/>
      </w:pPr>
      <w:r>
        <w:t xml:space="preserve">Ydinajatus — jonka kehittyvä Claude Code -yhteisön käytäntö validoi vuonna 2026 — on, että</w:t>
      </w:r>
      <w:r>
        <w:t xml:space="preserve"> </w:t>
      </w:r>
      <w:r>
        <w:rPr>
          <w:bCs/>
          <w:b/>
        </w:rPr>
        <w:t xml:space="preserve">ohjelmistosuunnittelussa käytettävää vastuiden erottelua sovelletaan yhtä lailla tekoälytyönkulkujen suunnitteluun</w:t>
      </w:r>
      <w:r>
        <w:t xml:space="preserve">. Kehote ei ole tuote; taito on.</w:t>
      </w:r>
    </w:p>
    <w:bookmarkEnd w:id="195"/>
    <w:bookmarkStart w:id="196" w:name="claude.md-projektimuistina"/>
    <w:p>
      <w:pPr>
        <w:pStyle w:val="Heading3"/>
      </w:pPr>
      <w:r>
        <w:t xml:space="preserve">10.13.2 CLAUDE.md projektimuistina</w:t>
      </w:r>
    </w:p>
    <w:p>
      <w:pPr>
        <w:pStyle w:val="FirstParagraph"/>
      </w:pPr>
      <w:r>
        <w:t xml:space="preserve">Perinteinen tekoälykäyttö toistaa kontekstin jokaisessa kehotteessa, mikä aiheuttaa kaksi kumuloituvaa ongelmaa: tokenien tuhlausta ja käytöksessä ajautumista. DWS6:n ratkaisu on</w:t>
      </w:r>
      <w:r>
        <w:t xml:space="preserve"> </w:t>
      </w:r>
      <w:r>
        <w:rPr>
          <w:rStyle w:val="VerbatimChar"/>
        </w:rPr>
        <w:t xml:space="preserve">CLAUDE.md</w:t>
      </w:r>
      <w:r>
        <w:t xml:space="preserve"> </w:t>
      </w:r>
      <w:r>
        <w:t xml:space="preserve">— elävä määrittelytiedosto, joka toimii jaettuna institutionaalisena muistina kaikissa tekoälysessioissa ja -työkaluissa.</w:t>
      </w:r>
    </w:p>
    <w:p>
      <w:pPr>
        <w:pStyle w:val="BodyText"/>
      </w:pPr>
      <w:r>
        <w:t xml:space="preserve">DWS6:n</w:t>
      </w:r>
      <w:r>
        <w:t xml:space="preserve"> </w:t>
      </w:r>
      <w:r>
        <w:rPr>
          <w:rStyle w:val="VerbatimChar"/>
        </w:rPr>
        <w:t xml:space="preserve">CLAUDE.md</w:t>
      </w:r>
      <w:r>
        <w:t xml:space="preserve"> </w:t>
      </w:r>
      <w:r>
        <w:t xml:space="preserve">(yli 2 000 riviä versiosta 3.17 alkaen) kokoaa yhteen:</w:t>
      </w:r>
    </w:p>
    <w:tbl>
      <w:tblPr>
        <w:tblStyle w:val="Table"/>
        <w:tblW w:type="pct" w:w="5000"/>
        <w:tblLook w:firstRow="1" w:lastRow="0" w:firstColumn="0" w:lastColumn="0" w:noHBand="0" w:noVBand="0" w:val="0020"/>
        <w:jc w:val="start"/>
      </w:tblPr>
      <w:tblGrid>
        <w:gridCol w:w="1889"/>
        <w:gridCol w:w="6030"/>
      </w:tblGrid>
      <w:tr>
        <w:trPr>
          <w:tblHeader w:val="true"/>
        </w:trPr>
        <w:tc>
          <w:tcPr/>
          <w:p>
            <w:pPr>
              <w:pStyle w:val="Compact"/>
              <w:jc w:val="left"/>
            </w:pPr>
            <w:r>
              <w:t xml:space="preserve">Kategoria</w:t>
            </w:r>
          </w:p>
        </w:tc>
        <w:tc>
          <w:tcPr/>
          <w:p>
            <w:pPr>
              <w:pStyle w:val="Compact"/>
              <w:jc w:val="left"/>
            </w:pPr>
            <w:r>
              <w:t xml:space="preserve">Sisältö</w:t>
            </w:r>
          </w:p>
        </w:tc>
      </w:tr>
      <w:tr>
        <w:tc>
          <w:tcPr/>
          <w:p>
            <w:pPr>
              <w:pStyle w:val="Compact"/>
              <w:jc w:val="left"/>
            </w:pPr>
            <w:r>
              <w:rPr>
                <w:bCs/>
                <w:b/>
              </w:rPr>
              <w:t xml:space="preserve">Standardit</w:t>
            </w:r>
          </w:p>
        </w:tc>
        <w:tc>
          <w:tcPr/>
          <w:p>
            <w:pPr>
              <w:pStyle w:val="Compact"/>
              <w:jc w:val="left"/>
            </w:pPr>
            <w:r>
              <w:t xml:space="preserve">Brändi, asiakirja, tietoturva, markkinatutkimus, Gamma UI</w:t>
            </w:r>
          </w:p>
        </w:tc>
      </w:tr>
      <w:tr>
        <w:tc>
          <w:tcPr/>
          <w:p>
            <w:pPr>
              <w:pStyle w:val="Compact"/>
              <w:jc w:val="left"/>
            </w:pPr>
            <w:r>
              <w:rPr>
                <w:bCs/>
                <w:b/>
              </w:rPr>
              <w:t xml:space="preserve">Arkkitehtuuri</w:t>
            </w:r>
          </w:p>
        </w:tc>
        <w:tc>
          <w:tcPr/>
          <w:p>
            <w:pPr>
              <w:pStyle w:val="Compact"/>
              <w:jc w:val="left"/>
            </w:pPr>
            <w:r>
              <w:t xml:space="preserve">Brain-Memory-Body-Hands, kaksoiskansiorakenne, kaupan päivityssäännöt</w:t>
            </w:r>
          </w:p>
        </w:tc>
      </w:tr>
      <w:tr>
        <w:tc>
          <w:tcPr/>
          <w:p>
            <w:pPr>
              <w:pStyle w:val="Compact"/>
              <w:jc w:val="left"/>
            </w:pPr>
            <w:r>
              <w:rPr>
                <w:bCs/>
                <w:b/>
              </w:rPr>
              <w:t xml:space="preserve">Rajoitteet</w:t>
            </w:r>
          </w:p>
        </w:tc>
        <w:tc>
          <w:tcPr/>
          <w:p>
            <w:pPr>
              <w:pStyle w:val="Compact"/>
              <w:jc w:val="left"/>
            </w:pPr>
            <w:r>
              <w:t xml:space="preserve">Tiedostojen käsittely (git mv, ei poistoa), julkaisusäännöt, sähköpostisäännöt</w:t>
            </w:r>
          </w:p>
        </w:tc>
      </w:tr>
      <w:tr>
        <w:tc>
          <w:tcPr/>
          <w:p>
            <w:pPr>
              <w:pStyle w:val="Compact"/>
              <w:jc w:val="left"/>
            </w:pPr>
            <w:r>
              <w:rPr>
                <w:bCs/>
                <w:b/>
              </w:rPr>
              <w:t xml:space="preserve">Ehdottomat vaatimukset</w:t>
            </w:r>
          </w:p>
        </w:tc>
        <w:tc>
          <w:tcPr/>
          <w:p>
            <w:pPr>
              <w:pStyle w:val="Compact"/>
              <w:jc w:val="left"/>
            </w:pPr>
            <w:r>
              <w:t xml:space="preserve">EU:n tietojen sijaintivaatimukset, GDPR, Article 12 -kirjaus, tietoturvaohjelmointi</w:t>
            </w:r>
          </w:p>
        </w:tc>
      </w:tr>
      <w:tr>
        <w:tc>
          <w:tcPr/>
          <w:p>
            <w:pPr>
              <w:pStyle w:val="Compact"/>
              <w:jc w:val="left"/>
            </w:pPr>
            <w:r>
              <w:rPr>
                <w:bCs/>
                <w:b/>
              </w:rPr>
              <w:t xml:space="preserve">Suojamekanismit</w:t>
            </w:r>
          </w:p>
        </w:tc>
        <w:tc>
          <w:tcPr/>
          <w:p>
            <w:pPr>
              <w:pStyle w:val="Compact"/>
              <w:jc w:val="left"/>
            </w:pPr>
            <w:r>
              <w:t xml:space="preserve">execFile vs exec, CORS-käytäntö, SRI-tiivisteen valvonta</w:t>
            </w:r>
          </w:p>
        </w:tc>
      </w:tr>
    </w:tbl>
    <w:p>
      <w:pPr>
        <w:pStyle w:val="BodyText"/>
      </w:pPr>
      <w:r>
        <w:t xml:space="preserve">Mitattu vaikutus: jokainen uusi Claude Code -sessio perii 18 kuukauden arkkitehtuuripäätökset ilman ihmisen toistoa. VERSION AND AGENT HISTORY -lohko jokaisessa asiakirjassa laajentaa tämän yksittäisiin tiedostoihin — jokaisessa asiakirjassa on oma muokkaushistoriansa, joka on sekä ihmisten että agenttien luettavissa.</w:t>
      </w:r>
    </w:p>
    <w:bookmarkEnd w:id="196"/>
    <w:bookmarkStart w:id="197" w:name="X201a14cafed03ecf12391d95922291642bd2505"/>
    <w:p>
      <w:pPr>
        <w:pStyle w:val="Heading3"/>
      </w:pPr>
      <w:r>
        <w:t xml:space="preserve">10.13.3 Taidot uudelleenkäytettävinä työnkulkukomponentteina</w:t>
      </w:r>
    </w:p>
    <w:p>
      <w:pPr>
        <w:pStyle w:val="FirstParagraph"/>
      </w:pPr>
      <w:r>
        <w:t xml:space="preserve">Siirtymä ad hoc -kehotteista uudelleenkäytettäviin taitoihin edustaa perustavanlaatuista arkkitehtuurista parannusta:</w:t>
      </w:r>
      <w:r>
        <w:t xml:space="preserve"> </w:t>
      </w:r>
      <w:r>
        <w:rPr>
          <w:bCs/>
          <w:b/>
        </w:rPr>
        <w:t xml:space="preserve">chat-vuorovaikutuksesta järjestelmäsuunnitteluun</w:t>
      </w:r>
      <w:r>
        <w:t xml:space="preserve">. Taidot ovat koottavia, versioituja työnkulkukomponentteja — ei kertakäyttöisiä kehotteita.</w:t>
      </w:r>
    </w:p>
    <w:p>
      <w:pPr>
        <w:pStyle w:val="BodyText"/>
      </w:pPr>
      <w:r>
        <w:t xml:space="preserve">Maaliskuuhun 2026 mennessä DWS6 toteuttaa 21 tuotantotaitoa neljässä kategoriassa</w:t>
      </w:r>
      <w:r>
        <w:t xml:space="preserve"> </w:t>
      </w:r>
      <w:r>
        <w:rPr>
          <w:rStyle w:val="VerbatimChar"/>
        </w:rPr>
        <w:t xml:space="preserve">.claude/commands/</w:t>
      </w:r>
      <w:r>
        <w:t xml:space="preserve">- ja</w:t>
      </w:r>
      <w:r>
        <w:t xml:space="preserve"> </w:t>
      </w:r>
      <w:r>
        <w:rPr>
          <w:rStyle w:val="VerbatimChar"/>
        </w:rPr>
        <w:t xml:space="preserve">skills/</w:t>
      </w:r>
      <w:r>
        <w:t xml:space="preserve">-kansioissa:</w:t>
      </w:r>
    </w:p>
    <w:p>
      <w:pPr>
        <w:pStyle w:val="BodyText"/>
      </w:pPr>
      <w:r>
        <w:rPr>
          <w:bCs/>
          <w:b/>
        </w:rPr>
        <w:t xml:space="preserve">Slash-komennot (17 taitoa):</w:t>
      </w:r>
    </w:p>
    <w:tbl>
      <w:tblPr>
        <w:tblStyle w:val="Table"/>
        <w:tblW w:type="pct" w:w="5000"/>
        <w:tblLook w:firstRow="1" w:lastRow="0" w:firstColumn="0" w:lastColumn="0" w:noHBand="0" w:noVBand="0" w:val="0020"/>
        <w:jc w:val="start"/>
      </w:tblPr>
      <w:tblGrid>
        <w:gridCol w:w="1214"/>
        <w:gridCol w:w="4171"/>
        <w:gridCol w:w="2534"/>
      </w:tblGrid>
      <w:tr>
        <w:trPr>
          <w:tblHeader w:val="true"/>
        </w:trPr>
        <w:tc>
          <w:tcPr/>
          <w:p>
            <w:pPr>
              <w:pStyle w:val="Compact"/>
              <w:jc w:val="left"/>
            </w:pPr>
            <w:r>
              <w:t xml:space="preserve">Kategoria</w:t>
            </w:r>
          </w:p>
        </w:tc>
        <w:tc>
          <w:tcPr/>
          <w:p>
            <w:pPr>
              <w:pStyle w:val="Compact"/>
              <w:jc w:val="left"/>
            </w:pPr>
            <w:r>
              <w:t xml:space="preserve">Taidot</w:t>
            </w:r>
          </w:p>
        </w:tc>
        <w:tc>
          <w:tcPr/>
          <w:p>
            <w:pPr>
              <w:pStyle w:val="Compact"/>
              <w:jc w:val="left"/>
            </w:pPr>
            <w:r>
              <w:t xml:space="preserve">Toimiala</w:t>
            </w:r>
          </w:p>
        </w:tc>
      </w:tr>
      <w:tr>
        <w:tc>
          <w:tcPr/>
          <w:p>
            <w:pPr>
              <w:pStyle w:val="Compact"/>
              <w:jc w:val="left"/>
            </w:pPr>
            <w:r>
              <w:t xml:space="preserve">gstack-työnkulku</w:t>
            </w:r>
          </w:p>
        </w:tc>
        <w:tc>
          <w:tcPr/>
          <w:p>
            <w:pPr>
              <w:pStyle w:val="Compact"/>
              <w:jc w:val="left"/>
            </w:pPr>
            <w:r>
              <w:rPr>
                <w:rStyle w:val="VerbatimChar"/>
              </w:rPr>
              <w:t xml:space="preserve">/plan-ceo-review</w:t>
            </w:r>
            <w:r>
              <w:t xml:space="preserve">,</w:t>
            </w:r>
            <w:r>
              <w:t xml:space="preserve"> </w:t>
            </w:r>
            <w:r>
              <w:rPr>
                <w:rStyle w:val="VerbatimChar"/>
              </w:rPr>
              <w:t xml:space="preserve">/plan-eng-review</w:t>
            </w:r>
            <w:r>
              <w:t xml:space="preserve">,</w:t>
            </w:r>
            <w:r>
              <w:t xml:space="preserve"> </w:t>
            </w:r>
            <w:r>
              <w:rPr>
                <w:rStyle w:val="VerbatimChar"/>
              </w:rPr>
              <w:t xml:space="preserve">/review</w:t>
            </w:r>
            <w:r>
              <w:t xml:space="preserve">,</w:t>
            </w:r>
            <w:r>
              <w:t xml:space="preserve"> </w:t>
            </w:r>
            <w:r>
              <w:rPr>
                <w:rStyle w:val="VerbatimChar"/>
              </w:rPr>
              <w:t xml:space="preserve">/ship</w:t>
            </w:r>
            <w:r>
              <w:t xml:space="preserve">,</w:t>
            </w:r>
            <w:r>
              <w:t xml:space="preserve"> </w:t>
            </w:r>
            <w:r>
              <w:rPr>
                <w:rStyle w:val="VerbatimChar"/>
              </w:rPr>
              <w:t xml:space="preserve">/browse</w:t>
            </w:r>
            <w:r>
              <w:t xml:space="preserve">,</w:t>
            </w:r>
            <w:r>
              <w:t xml:space="preserve"> </w:t>
            </w:r>
            <w:r>
              <w:rPr>
                <w:rStyle w:val="VerbatimChar"/>
              </w:rPr>
              <w:t xml:space="preserve">/retro</w:t>
            </w:r>
          </w:p>
        </w:tc>
        <w:tc>
          <w:tcPr/>
          <w:p>
            <w:pPr>
              <w:pStyle w:val="Compact"/>
              <w:jc w:val="left"/>
            </w:pPr>
            <w:r>
              <w:t xml:space="preserve">Kehityksen elinkaari (Garry Tan -menetelmä)</w:t>
            </w:r>
          </w:p>
        </w:tc>
      </w:tr>
      <w:tr>
        <w:tc>
          <w:tcPr/>
          <w:p>
            <w:pPr>
              <w:pStyle w:val="Compact"/>
              <w:jc w:val="left"/>
            </w:pPr>
            <w:r>
              <w:t xml:space="preserve">EU-vaatimustenmukaisuus</w:t>
            </w:r>
          </w:p>
        </w:tc>
        <w:tc>
          <w:tcPr/>
          <w:p>
            <w:pPr>
              <w:pStyle w:val="Compact"/>
              <w:jc w:val="left"/>
            </w:pPr>
            <w:r>
              <w:rPr>
                <w:rStyle w:val="VerbatimChar"/>
              </w:rPr>
              <w:t xml:space="preserve">/compliance-check</w:t>
            </w:r>
            <w:r>
              <w:t xml:space="preserve">,</w:t>
            </w:r>
            <w:r>
              <w:t xml:space="preserve"> </w:t>
            </w:r>
            <w:r>
              <w:rPr>
                <w:rStyle w:val="VerbatimChar"/>
              </w:rPr>
              <w:t xml:space="preserve">/carbon-analysis</w:t>
            </w:r>
            <w:r>
              <w:t xml:space="preserve">,</w:t>
            </w:r>
            <w:r>
              <w:t xml:space="preserve"> </w:t>
            </w:r>
            <w:r>
              <w:rPr>
                <w:rStyle w:val="VerbatimChar"/>
              </w:rPr>
              <w:t xml:space="preserve">/sovereignty-assess</w:t>
            </w:r>
            <w:r>
              <w:t xml:space="preserve">,</w:t>
            </w:r>
            <w:r>
              <w:t xml:space="preserve"> </w:t>
            </w:r>
            <w:r>
              <w:rPr>
                <w:rStyle w:val="VerbatimChar"/>
              </w:rPr>
              <w:t xml:space="preserve">/site-safety</w:t>
            </w:r>
          </w:p>
        </w:tc>
        <w:tc>
          <w:tcPr/>
          <w:p>
            <w:pPr>
              <w:pStyle w:val="Compact"/>
              <w:jc w:val="left"/>
            </w:pPr>
            <w:r>
              <w:t xml:space="preserve">ETS, CBAM, CSRD, EN 15978, EN 13001, CLOUD Act</w:t>
            </w:r>
          </w:p>
        </w:tc>
      </w:tr>
      <w:tr>
        <w:tc>
          <w:tcPr/>
          <w:p>
            <w:pPr>
              <w:pStyle w:val="Compact"/>
              <w:jc w:val="left"/>
            </w:pPr>
            <w:r>
              <w:t xml:space="preserve">Agenttien hallinta</w:t>
            </w:r>
          </w:p>
        </w:tc>
        <w:tc>
          <w:tcPr/>
          <w:p>
            <w:pPr>
              <w:pStyle w:val="Compact"/>
              <w:jc w:val="left"/>
            </w:pPr>
            <w:r>
              <w:rPr>
                <w:rStyle w:val="VerbatimChar"/>
              </w:rPr>
              <w:t xml:space="preserve">/discover-agents</w:t>
            </w:r>
            <w:r>
              <w:t xml:space="preserve">,</w:t>
            </w:r>
            <w:r>
              <w:t xml:space="preserve"> </w:t>
            </w:r>
            <w:r>
              <w:rPr>
                <w:rStyle w:val="VerbatimChar"/>
              </w:rPr>
              <w:t xml:space="preserve">/agent-run</w:t>
            </w:r>
            <w:r>
              <w:t xml:space="preserve">,</w:t>
            </w:r>
            <w:r>
              <w:t xml:space="preserve"> </w:t>
            </w:r>
            <w:r>
              <w:rPr>
                <w:rStyle w:val="VerbatimChar"/>
              </w:rPr>
              <w:t xml:space="preserve">/workflow</w:t>
            </w:r>
          </w:p>
        </w:tc>
        <w:tc>
          <w:tcPr/>
          <w:p>
            <w:pPr>
              <w:pStyle w:val="Compact"/>
              <w:jc w:val="left"/>
            </w:pPr>
            <w:r>
              <w:t xml:space="preserve">Moniagenttiorkestrerointi (14+ agenttia)</w:t>
            </w:r>
          </w:p>
        </w:tc>
      </w:tr>
      <w:tr>
        <w:tc>
          <w:tcPr/>
          <w:p>
            <w:pPr>
              <w:pStyle w:val="Compact"/>
              <w:jc w:val="left"/>
            </w:pPr>
            <w:r>
              <w:t xml:space="preserve">Toiminnot</w:t>
            </w:r>
          </w:p>
        </w:tc>
        <w:tc>
          <w:tcPr/>
          <w:p>
            <w:pPr>
              <w:pStyle w:val="Compact"/>
              <w:jc w:val="left"/>
            </w:pPr>
            <w:r>
              <w:rPr>
                <w:rStyle w:val="VerbatimChar"/>
              </w:rPr>
              <w:t xml:space="preserve">/flow-status</w:t>
            </w:r>
            <w:r>
              <w:t xml:space="preserve">,</w:t>
            </w:r>
            <w:r>
              <w:t xml:space="preserve"> </w:t>
            </w:r>
            <w:r>
              <w:rPr>
                <w:rStyle w:val="VerbatimChar"/>
              </w:rPr>
              <w:t xml:space="preserve">/email</w:t>
            </w:r>
            <w:r>
              <w:t xml:space="preserve">,</w:t>
            </w:r>
            <w:r>
              <w:t xml:space="preserve"> </w:t>
            </w:r>
            <w:r>
              <w:rPr>
                <w:rStyle w:val="VerbatimChar"/>
              </w:rPr>
              <w:t xml:space="preserve">/remote-control</w:t>
            </w:r>
          </w:p>
        </w:tc>
        <w:tc>
          <w:tcPr/>
          <w:p>
            <w:pPr>
              <w:pStyle w:val="Compact"/>
              <w:jc w:val="left"/>
            </w:pPr>
            <w:r>
              <w:t xml:space="preserve">Git-tila, SES-sähköposti, reunalaitteen hallinta</w:t>
            </w:r>
          </w:p>
        </w:tc>
      </w:tr>
      <w:tr>
        <w:tc>
          <w:tcPr/>
          <w:p>
            <w:pPr>
              <w:pStyle w:val="Compact"/>
              <w:jc w:val="left"/>
            </w:pPr>
            <w:r>
              <w:t xml:space="preserve">Koodin laatu</w:t>
            </w:r>
          </w:p>
        </w:tc>
        <w:tc>
          <w:tcPr/>
          <w:p>
            <w:pPr>
              <w:pStyle w:val="Compact"/>
              <w:jc w:val="left"/>
            </w:pPr>
            <w:r>
              <w:rPr>
                <w:rStyle w:val="VerbatimChar"/>
              </w:rPr>
              <w:t xml:space="preserve">/simplify</w:t>
            </w:r>
            <w:r>
              <w:t xml:space="preserve">,</w:t>
            </w:r>
            <w:r>
              <w:t xml:space="preserve"> </w:t>
            </w:r>
            <w:r>
              <w:rPr>
                <w:rStyle w:val="VerbatimChar"/>
              </w:rPr>
              <w:t xml:space="preserve">/designer</w:t>
            </w:r>
          </w:p>
        </w:tc>
        <w:tc>
          <w:tcPr/>
          <w:p>
            <w:pPr>
              <w:pStyle w:val="Compact"/>
              <w:jc w:val="left"/>
            </w:pPr>
            <w:r>
              <w:t xml:space="preserve">Koodin tarkastus, Figma-koodisiltä</w:t>
            </w:r>
          </w:p>
        </w:tc>
      </w:tr>
    </w:tbl>
    <w:p>
      <w:pPr>
        <w:pStyle w:val="BodyText"/>
      </w:pPr>
      <w:r>
        <w:rPr>
          <w:bCs/>
          <w:b/>
        </w:rPr>
        <w:t xml:space="preserve">Kurinpitotaidot (4 kovaa porttia</w:t>
      </w:r>
      <w:r>
        <w:rPr>
          <w:bCs/>
          <w:b/>
        </w:rPr>
        <w:t xml:space="preserve"> </w:t>
      </w:r>
      <w:r>
        <w:rPr>
          <w:rStyle w:val="VerbatimChar"/>
          <w:bCs/>
          <w:b/>
        </w:rPr>
        <w:t xml:space="preserve">skills/*/SKILL.md</w:t>
      </w:r>
      <w:r>
        <w:rPr>
          <w:bCs/>
          <w:b/>
        </w:rPr>
        <w:t xml:space="preserve">-tiedostoissa):</w:t>
      </w:r>
    </w:p>
    <w:tbl>
      <w:tblPr>
        <w:tblStyle w:val="Table"/>
        <w:tblW w:type="pct" w:w="5000"/>
        <w:tblLook w:firstRow="1" w:lastRow="0" w:firstColumn="0" w:lastColumn="0" w:noHBand="0" w:noVBand="0" w:val="0020"/>
        <w:jc w:val="start"/>
      </w:tblPr>
      <w:tblGrid>
        <w:gridCol w:w="1203"/>
        <w:gridCol w:w="5005"/>
        <w:gridCol w:w="1710"/>
      </w:tblGrid>
      <w:tr>
        <w:trPr>
          <w:tblHeader w:val="true"/>
        </w:trPr>
        <w:tc>
          <w:tcPr/>
          <w:p>
            <w:pPr>
              <w:pStyle w:val="Compact"/>
              <w:jc w:val="left"/>
            </w:pPr>
            <w:r>
              <w:t xml:space="preserve">Taito</w:t>
            </w:r>
          </w:p>
        </w:tc>
        <w:tc>
          <w:tcPr/>
          <w:p>
            <w:pPr>
              <w:pStyle w:val="Compact"/>
              <w:jc w:val="left"/>
            </w:pPr>
            <w:r>
              <w:t xml:space="preserve">Porttilogiikka</w:t>
            </w:r>
          </w:p>
        </w:tc>
        <w:tc>
          <w:tcPr/>
          <w:p>
            <w:pPr>
              <w:pStyle w:val="Compact"/>
              <w:jc w:val="left"/>
            </w:pPr>
            <w:r>
              <w:t xml:space="preserve">Valvonta</w:t>
            </w:r>
          </w:p>
        </w:tc>
      </w:tr>
      <w:tr>
        <w:tc>
          <w:tcPr/>
          <w:p>
            <w:pPr>
              <w:pStyle w:val="Compact"/>
              <w:jc w:val="left"/>
            </w:pPr>
            <w:r>
              <w:rPr>
                <w:rStyle w:val="VerbatimChar"/>
              </w:rPr>
              <w:t xml:space="preserve">verification-gate</w:t>
            </w:r>
          </w:p>
        </w:tc>
        <w:tc>
          <w:tcPr/>
          <w:p>
            <w:pPr>
              <w:pStyle w:val="Compact"/>
              <w:jc w:val="left"/>
            </w:pPr>
            <w:r>
              <w:t xml:space="preserve">Estää valmistumisilmoitukset ilman tuoretta testitodistetta</w:t>
            </w:r>
          </w:p>
        </w:tc>
        <w:tc>
          <w:tcPr/>
          <w:p>
            <w:pPr>
              <w:pStyle w:val="Compact"/>
              <w:jc w:val="left"/>
            </w:pPr>
            <w:r>
              <w:t xml:space="preserve">Paluukoodi 2 (ESTÄ)</w:t>
            </w:r>
          </w:p>
        </w:tc>
      </w:tr>
      <w:tr>
        <w:tc>
          <w:tcPr/>
          <w:p>
            <w:pPr>
              <w:pStyle w:val="Compact"/>
              <w:jc w:val="left"/>
            </w:pPr>
            <w:r>
              <w:rPr>
                <w:rStyle w:val="VerbatimChar"/>
              </w:rPr>
              <w:t xml:space="preserve">design-first</w:t>
            </w:r>
          </w:p>
        </w:tc>
        <w:tc>
          <w:tcPr/>
          <w:p>
            <w:pPr>
              <w:pStyle w:val="Compact"/>
              <w:jc w:val="left"/>
            </w:pPr>
            <w:r>
              <w:t xml:space="preserve">Estää 3+ tiedoston muutokset ilman hyväksyttyä suunnitelmaa</w:t>
            </w:r>
          </w:p>
        </w:tc>
        <w:tc>
          <w:tcPr/>
          <w:p>
            <w:pPr>
              <w:pStyle w:val="Compact"/>
              <w:jc w:val="left"/>
            </w:pPr>
            <w:r>
              <w:t xml:space="preserve">Paluukoodi 2 (ESTÄ)</w:t>
            </w:r>
          </w:p>
        </w:tc>
      </w:tr>
      <w:tr>
        <w:tc>
          <w:tcPr/>
          <w:p>
            <w:pPr>
              <w:pStyle w:val="Compact"/>
              <w:jc w:val="left"/>
            </w:pPr>
            <w:r>
              <w:rPr>
                <w:rStyle w:val="VerbatimChar"/>
              </w:rPr>
              <w:t xml:space="preserve">dual-folder-sync</w:t>
            </w:r>
          </w:p>
        </w:tc>
        <w:tc>
          <w:tcPr/>
          <w:p>
            <w:pPr>
              <w:pStyle w:val="Compact"/>
              <w:jc w:val="left"/>
            </w:pPr>
            <w:r>
              <w:t xml:space="preserve">Estää commitit jotka muuttavat juurikansioita ilman landing-pages-synkronointia</w:t>
            </w:r>
          </w:p>
        </w:tc>
        <w:tc>
          <w:tcPr/>
          <w:p>
            <w:pPr>
              <w:pStyle w:val="Compact"/>
              <w:jc w:val="left"/>
            </w:pPr>
            <w:r>
              <w:t xml:space="preserve">Paluukoodi 2 (ESTÄ)</w:t>
            </w:r>
          </w:p>
        </w:tc>
      </w:tr>
      <w:tr>
        <w:tc>
          <w:tcPr/>
          <w:p>
            <w:pPr>
              <w:pStyle w:val="Compact"/>
              <w:jc w:val="left"/>
            </w:pPr>
            <w:r>
              <w:rPr>
                <w:rStyle w:val="VerbatimChar"/>
              </w:rPr>
              <w:t xml:space="preserve">last30days</w:t>
            </w:r>
          </w:p>
        </w:tc>
        <w:tc>
          <w:tcPr/>
          <w:p>
            <w:pPr>
              <w:pStyle w:val="Compact"/>
              <w:jc w:val="left"/>
            </w:pPr>
            <w:r>
              <w:t xml:space="preserve">Tutkimusagentti Reddit/X/Web-sisällölle viimeiseltä 30 päivältä</w:t>
            </w:r>
          </w:p>
        </w:tc>
        <w:tc>
          <w:tcPr/>
          <w:p>
            <w:pPr>
              <w:pStyle w:val="Compact"/>
              <w:jc w:val="left"/>
            </w:pPr>
            <w:r>
              <w:t xml:space="preserve">Agenttityylinen (ei-estävä)</w:t>
            </w:r>
          </w:p>
        </w:tc>
      </w:tr>
    </w:tbl>
    <w:p>
      <w:pPr>
        <w:pStyle w:val="BodyText"/>
      </w:pPr>
      <w:r>
        <w:rPr>
          <w:bCs/>
          <w:b/>
        </w:rPr>
        <w:t xml:space="preserve">Aliagentit (4 erikoistunutta agenttia</w:t>
      </w:r>
      <w:r>
        <w:rPr>
          <w:bCs/>
          <w:b/>
        </w:rPr>
        <w:t xml:space="preserve"> </w:t>
      </w:r>
      <w:r>
        <w:rPr>
          <w:rStyle w:val="VerbatimChar"/>
          <w:bCs/>
          <w:b/>
        </w:rPr>
        <w:t xml:space="preserve">.claude/agents/</w:t>
      </w:r>
      <w:r>
        <w:rPr>
          <w:bCs/>
          <w:b/>
        </w:rPr>
        <w:t xml:space="preserve">-kansiossa):</w:t>
      </w:r>
    </w:p>
    <w:tbl>
      <w:tblPr>
        <w:tblStyle w:val="Table"/>
        <w:tblW w:type="pct" w:w="5000"/>
        <w:tblLook w:firstRow="1" w:lastRow="0" w:firstColumn="0" w:lastColumn="0" w:noHBand="0" w:noVBand="0" w:val="0020"/>
        <w:jc w:val="start"/>
      </w:tblPr>
      <w:tblGrid>
        <w:gridCol w:w="1157"/>
        <w:gridCol w:w="4325"/>
        <w:gridCol w:w="2436"/>
      </w:tblGrid>
      <w:tr>
        <w:trPr>
          <w:tblHeader w:val="true"/>
        </w:trPr>
        <w:tc>
          <w:tcPr/>
          <w:p>
            <w:pPr>
              <w:pStyle w:val="Compact"/>
              <w:jc w:val="left"/>
            </w:pPr>
            <w:r>
              <w:t xml:space="preserve">Agentti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rStyle w:val="VerbatimChar"/>
              </w:rPr>
              <w:t xml:space="preserve">mcp-expert</w:t>
            </w:r>
          </w:p>
        </w:tc>
        <w:tc>
          <w:tcPr/>
          <w:p>
            <w:pPr>
              <w:pStyle w:val="Compact"/>
              <w:jc w:val="left"/>
            </w:pPr>
            <w:r>
              <w:t xml:space="preserve">MCP-palvelinkonfiguraation asiantuntija</w:t>
            </w:r>
          </w:p>
        </w:tc>
        <w:tc>
          <w:tcPr/>
          <w:p>
            <w:pPr>
              <w:pStyle w:val="Compact"/>
              <w:jc w:val="left"/>
            </w:pPr>
            <w:r>
              <w:t xml:space="preserve">Suojaa pääkontekstin protokollatiedoilta</w:t>
            </w:r>
          </w:p>
        </w:tc>
      </w:tr>
      <w:tr>
        <w:tc>
          <w:tcPr/>
          <w:p>
            <w:pPr>
              <w:pStyle w:val="Compact"/>
              <w:jc w:val="left"/>
            </w:pPr>
            <w:r>
              <w:rPr>
                <w:rStyle w:val="VerbatimChar"/>
              </w:rPr>
              <w:t xml:space="preserve">code-reviewer</w:t>
            </w:r>
          </w:p>
        </w:tc>
        <w:tc>
          <w:tcPr/>
          <w:p>
            <w:pPr>
              <w:pStyle w:val="Compact"/>
              <w:jc w:val="left"/>
            </w:pPr>
            <w:r>
              <w:t xml:space="preserve">Staff Engineer -virheiden etsijä (logiikka, tietoturva, tietojen eheys)</w:t>
            </w:r>
          </w:p>
        </w:tc>
        <w:tc>
          <w:tcPr/>
          <w:p>
            <w:pPr>
              <w:pStyle w:val="Compact"/>
              <w:jc w:val="left"/>
            </w:pPr>
            <w:r>
              <w:t xml:space="preserve">Tarkastaa ilman muutosten tekemistä</w:t>
            </w:r>
          </w:p>
        </w:tc>
      </w:tr>
      <w:tr>
        <w:tc>
          <w:tcPr/>
          <w:p>
            <w:pPr>
              <w:pStyle w:val="Compact"/>
              <w:jc w:val="left"/>
            </w:pPr>
            <w:r>
              <w:rPr>
                <w:rStyle w:val="VerbatimChar"/>
              </w:rPr>
              <w:t xml:space="preserve">security-reviewer</w:t>
            </w:r>
          </w:p>
        </w:tc>
        <w:tc>
          <w:tcPr/>
          <w:p>
            <w:pPr>
              <w:pStyle w:val="Compact"/>
              <w:jc w:val="left"/>
            </w:pPr>
            <w:r>
              <w:t xml:space="preserve">OWASP Top 10 + DWS Security Standard -auditoija</w:t>
            </w:r>
          </w:p>
        </w:tc>
        <w:tc>
          <w:tcPr/>
          <w:p>
            <w:pPr>
              <w:pStyle w:val="Compact"/>
              <w:jc w:val="left"/>
            </w:pPr>
            <w:r>
              <w:t xml:space="preserve">Skannaa ilman koodin muokkaamista</w:t>
            </w:r>
          </w:p>
        </w:tc>
      </w:tr>
      <w:tr>
        <w:tc>
          <w:tcPr/>
          <w:p>
            <w:pPr>
              <w:pStyle w:val="Compact"/>
              <w:jc w:val="left"/>
            </w:pPr>
            <w:r>
              <w:rPr>
                <w:rStyle w:val="VerbatimChar"/>
              </w:rPr>
              <w:t xml:space="preserve">architect</w:t>
            </w:r>
          </w:p>
        </w:tc>
        <w:tc>
          <w:tcPr/>
          <w:p>
            <w:pPr>
              <w:pStyle w:val="Compact"/>
              <w:jc w:val="left"/>
            </w:pPr>
            <w:r>
              <w:t xml:space="preserve">Minimalistinen suunnittelija, ylisuunnittelun ehkäisijä</w:t>
            </w:r>
          </w:p>
        </w:tc>
        <w:tc>
          <w:tcPr/>
          <w:p>
            <w:pPr>
              <w:pStyle w:val="Compact"/>
              <w:jc w:val="left"/>
            </w:pPr>
            <w:r>
              <w:t xml:space="preserve">Palauttaa vain jäsennellyn suunnitelman</w:t>
            </w:r>
          </w:p>
        </w:tc>
      </w:tr>
    </w:tbl>
    <w:p>
      <w:pPr>
        <w:pStyle w:val="BodyText"/>
      </w:pPr>
      <w:r>
        <w:t xml:space="preserve">Jokainen taito kapsuloi syötteiden validoinnin, agenttien suorituksen ja jäsennellyn tulosteen muotoilun. Kurinpitotaidot edustavat uutta kontribuutiota:</w:t>
      </w:r>
      <w:r>
        <w:t xml:space="preserve"> </w:t>
      </w:r>
      <w:r>
        <w:rPr>
          <w:bCs/>
          <w:b/>
        </w:rPr>
        <w:t xml:space="preserve">estävät portit</w:t>
      </w:r>
      <w:r>
        <w:t xml:space="preserve">, jotka valvovat prosessikuria rakenteellisesti eikä käyttäytymispohjaisesti. Toisin kuin neuvoa-antavat linterit, näitä portteja ei voi ohittaa — ne sieppaavat työkalukutsut hook-paluukoodilla 2 (ESTÄ) ja estävät toiminnon suorittamisen. Tämä toteuttaa suoraan</w:t>
      </w:r>
      <w:r>
        <w:t xml:space="preserve"> </w:t>
      </w:r>
      <w:r>
        <w:rPr>
          <w:bCs/>
          <w:b/>
        </w:rPr>
        <w:t xml:space="preserve">Build for Agents</w:t>
      </w:r>
      <w:r>
        <w:t xml:space="preserve"> </w:t>
      </w:r>
      <w:r>
        <w:t xml:space="preserve">-periaatteen: jos ominaisuutta ei voi kutsua komennolla</w:t>
      </w:r>
      <w:r>
        <w:t xml:space="preserve"> </w:t>
      </w:r>
      <w:r>
        <w:rPr>
          <w:rStyle w:val="VerbatimChar"/>
        </w:rPr>
        <w:t xml:space="preserve">dws &lt;komento&gt;</w:t>
      </w:r>
      <w:r>
        <w:t xml:space="preserve">, sitä ei toimiteta.</w:t>
      </w:r>
    </w:p>
    <w:bookmarkEnd w:id="197"/>
    <w:bookmarkStart w:id="198" w:name="koukut-automaattisena-laadunvalvontana"/>
    <w:p>
      <w:pPr>
        <w:pStyle w:val="Heading3"/>
      </w:pPr>
      <w:r>
        <w:t xml:space="preserve">10.13.4 Koukut automaattisena laadunvalvontana</w:t>
      </w:r>
    </w:p>
    <w:p>
      <w:pPr>
        <w:pStyle w:val="FirstParagraph"/>
      </w:pPr>
      <w:r>
        <w:t xml:space="preserve">Koukut ovat tekoälytyönkulkusuunnittelun valvontakerros — ja nykyisessä käytännössä eniten alihyödynnetty malli. Siinä missä taidot määrittelevät uudelleenkäytettäviä kykyjä, koukut valvovat automaattisesti ja kiistattomasti laadun reunaehtoja.</w:t>
      </w:r>
    </w:p>
    <w:p>
      <w:pPr>
        <w:pStyle w:val="BodyText"/>
      </w:pPr>
      <w:r>
        <w:t xml:space="preserve">DWS6 toteuttaa koukkuja kahdella tasolla:</w:t>
      </w:r>
    </w:p>
    <w:p>
      <w:pPr>
        <w:pStyle w:val="BodyText"/>
      </w:pPr>
      <w:r>
        <w:rPr>
          <w:bCs/>
          <w:b/>
        </w:rPr>
        <w:t xml:space="preserve">Claude Code -koukut</w:t>
      </w:r>
      <w:r>
        <w:t xml:space="preserve"> </w:t>
      </w:r>
      <w:r>
        <w:t xml:space="preserve">(</w:t>
      </w:r>
      <w:r>
        <w:rPr>
          <w:rStyle w:val="VerbatimChar"/>
        </w:rPr>
        <w:t xml:space="preserve">.claude/hooks/</w:t>
      </w:r>
      <w:r>
        <w:t xml:space="preserve">):</w:t>
      </w:r>
    </w:p>
    <w:p>
      <w:pPr>
        <w:numPr>
          <w:ilvl w:val="0"/>
          <w:numId w:val="1068"/>
        </w:numPr>
        <w:pStyle w:val="Compact"/>
      </w:pPr>
      <w:r>
        <w:t xml:space="preserve">Työkalun tulosteen muuntaminen — normalisoi agentti-JSON-vastaukset yhdenmukaiseen skeemaan</w:t>
      </w:r>
    </w:p>
    <w:p>
      <w:pPr>
        <w:numPr>
          <w:ilvl w:val="0"/>
          <w:numId w:val="1068"/>
        </w:numPr>
        <w:pStyle w:val="Compact"/>
      </w:pPr>
      <w:r>
        <w:t xml:space="preserve">Jäsennellyn tulosteen tarkistaminen — varmistaa, että kaikki CLI-komennot tuottavat kelvollista JSON:ia</w:t>
      </w:r>
    </w:p>
    <w:p>
      <w:pPr>
        <w:numPr>
          <w:ilvl w:val="0"/>
          <w:numId w:val="1068"/>
        </w:numPr>
        <w:pStyle w:val="Compact"/>
      </w:pPr>
      <w:r>
        <w:t xml:space="preserve">Session käynnistyksen validointi — tarkistaa ympäristön valmiuden ennen agentin työtä</w:t>
      </w:r>
    </w:p>
    <w:p>
      <w:pPr>
        <w:pStyle w:val="FirstParagraph"/>
      </w:pPr>
      <w:r>
        <w:rPr>
          <w:bCs/>
          <w:b/>
        </w:rPr>
        <w:t xml:space="preserve">Git-koukut</w:t>
      </w:r>
      <w:r>
        <w:t xml:space="preserve"> </w:t>
      </w:r>
      <w:r>
        <w:t xml:space="preserve">(</w:t>
      </w:r>
      <w:r>
        <w:rPr>
          <w:rStyle w:val="VerbatimChar"/>
        </w:rPr>
        <w:t xml:space="preserve">.githooks/</w:t>
      </w:r>
      <w:r>
        <w:t xml:space="preserve">):</w:t>
      </w:r>
    </w:p>
    <w:p>
      <w:pPr>
        <w:numPr>
          <w:ilvl w:val="0"/>
          <w:numId w:val="1069"/>
        </w:numPr>
        <w:pStyle w:val="Compact"/>
      </w:pPr>
      <w:r>
        <w:t xml:space="preserve">Haaranimen valvonta —</w:t>
      </w:r>
      <w:r>
        <w:t xml:space="preserve"> </w:t>
      </w:r>
      <w:r>
        <w:rPr>
          <w:rStyle w:val="VerbatimChar"/>
        </w:rPr>
        <w:t xml:space="preserve">claude/&lt;ominaisuus&gt;-&lt;id&gt;</w:t>
      </w:r>
      <w:r>
        <w:t xml:space="preserve"> </w:t>
      </w:r>
      <w:r>
        <w:t xml:space="preserve">-nimeämiskäytäntö ennen commit-operaatiota</w:t>
      </w:r>
    </w:p>
    <w:p>
      <w:pPr>
        <w:numPr>
          <w:ilvl w:val="0"/>
          <w:numId w:val="1069"/>
        </w:numPr>
        <w:pStyle w:val="Compact"/>
      </w:pPr>
      <w:r>
        <w:t xml:space="preserve">Ennen commit -tietoturvatarkistukset — kovakoodattujen salaisuuksien ja vaarallisten exec()-kaavojen tunnistaminen</w:t>
      </w:r>
    </w:p>
    <w:p>
      <w:pPr>
        <w:pStyle w:val="FirstParagraph"/>
      </w:pPr>
      <w:r>
        <w:t xml:space="preserve">Koukkujen kriittinen ominaisuus on</w:t>
      </w:r>
      <w:r>
        <w:t xml:space="preserve"> </w:t>
      </w:r>
      <w:r>
        <w:rPr>
          <w:bCs/>
          <w:b/>
        </w:rPr>
        <w:t xml:space="preserve">kiistaamattomuus</w:t>
      </w:r>
      <w:r>
        <w:t xml:space="preserve">: toisin kuin CLAUDE.md-ohjeet (joita agentti saattaa noudattaa epätäydellisesti), koukut sieppaavat työkalukutsut ja joko muuntavat tai estävät ne. Tämä on välttämätöntä tuotantotekoälytyönkuluille, joissa manuaalinen tarkistus ei skaalaudu ja laadun takeet on oltava rakenteellisia, ei käyttäytymiseen perustuvia.</w:t>
      </w:r>
    </w:p>
    <w:bookmarkEnd w:id="198"/>
    <w:bookmarkStart w:id="199" w:name="aliagentit-ja-rinnakkaissuoritus"/>
    <w:p>
      <w:pPr>
        <w:pStyle w:val="Heading3"/>
      </w:pPr>
      <w:r>
        <w:t xml:space="preserve">10.13.5 Aliagentit ja rinnakkaissuoritus</w:t>
      </w:r>
    </w:p>
    <w:p>
      <w:pPr>
        <w:pStyle w:val="FirstParagraph"/>
      </w:pPr>
      <w:r>
        <w:t xml:space="preserve">DWS6-arkkitehtuuri käyttää erikoistuneita aliagentteja eri tehtäväluokkiin, laajentaen moniagenttiorkestroinnin periaatteen Firehorse-tuotantotyönkuluista kehitystyönkulkuun:</w:t>
      </w:r>
    </w:p>
    <w:tbl>
      <w:tblPr>
        <w:tblStyle w:val="Table"/>
        <w:tblW w:type="pct" w:w="5000"/>
        <w:tblLook w:firstRow="1" w:lastRow="0" w:firstColumn="0" w:lastColumn="0" w:noHBand="0" w:noVBand="0" w:val="0020"/>
        <w:jc w:val="start"/>
      </w:tblPr>
      <w:tblGrid>
        <w:gridCol w:w="1213"/>
        <w:gridCol w:w="2874"/>
        <w:gridCol w:w="3832"/>
      </w:tblGrid>
      <w:tr>
        <w:trPr>
          <w:tblHeader w:val="true"/>
        </w:trPr>
        <w:tc>
          <w:tcPr/>
          <w:p>
            <w:pPr>
              <w:pStyle w:val="Compact"/>
              <w:jc w:val="left"/>
            </w:pPr>
            <w:r>
              <w:t xml:space="preserve">Aliagenttityyppi</w:t>
            </w:r>
          </w:p>
        </w:tc>
        <w:tc>
          <w:tcPr/>
          <w:p>
            <w:pPr>
              <w:pStyle w:val="Compact"/>
              <w:jc w:val="left"/>
            </w:pPr>
            <w:r>
              <w:t xml:space="preserve">Rooli</w:t>
            </w:r>
          </w:p>
        </w:tc>
        <w:tc>
          <w:tcPr/>
          <w:p>
            <w:pPr>
              <w:pStyle w:val="Compact"/>
              <w:jc w:val="left"/>
            </w:pPr>
            <w:r>
              <w:t xml:space="preserve">Eristysominaisuus</w:t>
            </w:r>
          </w:p>
        </w:tc>
      </w:tr>
      <w:tr>
        <w:tc>
          <w:tcPr/>
          <w:p>
            <w:pPr>
              <w:pStyle w:val="Compact"/>
              <w:jc w:val="left"/>
            </w:pPr>
            <w:r>
              <w:rPr>
                <w:bCs/>
                <w:b/>
              </w:rPr>
              <w:t xml:space="preserve">Explore</w:t>
            </w:r>
          </w:p>
        </w:tc>
        <w:tc>
          <w:tcPr/>
          <w:p>
            <w:pPr>
              <w:pStyle w:val="Compact"/>
              <w:jc w:val="left"/>
            </w:pPr>
            <w:r>
              <w:t xml:space="preserve">Koodikannan haku, tiedostomallien sovitus</w:t>
            </w:r>
          </w:p>
        </w:tc>
        <w:tc>
          <w:tcPr/>
          <w:p>
            <w:pPr>
              <w:pStyle w:val="Compact"/>
              <w:jc w:val="left"/>
            </w:pPr>
            <w:r>
              <w:t xml:space="preserve">Suojaa pääkontekstin suurilta tulosjoukoilta</w:t>
            </w:r>
          </w:p>
        </w:tc>
      </w:tr>
      <w:tr>
        <w:tc>
          <w:tcPr/>
          <w:p>
            <w:pPr>
              <w:pStyle w:val="Compact"/>
              <w:jc w:val="left"/>
            </w:pPr>
            <w:r>
              <w:rPr>
                <w:bCs/>
                <w:b/>
              </w:rPr>
              <w:t xml:space="preserve">Plan</w:t>
            </w:r>
          </w:p>
        </w:tc>
        <w:tc>
          <w:tcPr/>
          <w:p>
            <w:pPr>
              <w:pStyle w:val="Compact"/>
              <w:jc w:val="left"/>
            </w:pPr>
            <w:r>
              <w:t xml:space="preserve">Arkkitehtuurisuunnittelu, kompromissianalyysi</w:t>
            </w:r>
          </w:p>
        </w:tc>
        <w:tc>
          <w:tcPr/>
          <w:p>
            <w:pPr>
              <w:pStyle w:val="Compact"/>
              <w:jc w:val="left"/>
            </w:pPr>
            <w:r>
              <w:t xml:space="preserve">Palauttaa jäsennellyn suunnitelman ilman muutosten tekemistä</w:t>
            </w:r>
          </w:p>
        </w:tc>
      </w:tr>
      <w:tr>
        <w:tc>
          <w:tcPr/>
          <w:p>
            <w:pPr>
              <w:pStyle w:val="Compact"/>
              <w:jc w:val="left"/>
            </w:pPr>
            <w:r>
              <w:rPr>
                <w:bCs/>
                <w:b/>
              </w:rPr>
              <w:t xml:space="preserve">Yleiskäyttöinen</w:t>
            </w:r>
          </w:p>
        </w:tc>
        <w:tc>
          <w:tcPr/>
          <w:p>
            <w:pPr>
              <w:pStyle w:val="Compact"/>
              <w:jc w:val="left"/>
            </w:pPr>
            <w:r>
              <w:t xml:space="preserve">Monivaiheinen tutkimus, asiakirja-analyysi</w:t>
            </w:r>
          </w:p>
        </w:tc>
        <w:tc>
          <w:tcPr/>
          <w:p>
            <w:pPr>
              <w:pStyle w:val="Compact"/>
              <w:jc w:val="left"/>
            </w:pPr>
            <w:r>
              <w:t xml:space="preserve">Täysi työkalujen käyttö monimutkaiseen tutkimukseen</w:t>
            </w:r>
          </w:p>
        </w:tc>
      </w:tr>
      <w:tr>
        <w:tc>
          <w:tcPr/>
          <w:p>
            <w:pPr>
              <w:pStyle w:val="Compact"/>
              <w:jc w:val="left"/>
            </w:pPr>
            <w:r>
              <w:rPr>
                <w:bCs/>
                <w:b/>
              </w:rPr>
              <w:t xml:space="preserve">Tausta</w:t>
            </w:r>
          </w:p>
        </w:tc>
        <w:tc>
          <w:tcPr/>
          <w:p>
            <w:pPr>
              <w:pStyle w:val="Compact"/>
              <w:jc w:val="left"/>
            </w:pPr>
            <w:r>
              <w:t xml:space="preserve">Itsenäiset rinnakkaiset tehtävät</w:t>
            </w:r>
          </w:p>
        </w:tc>
        <w:tc>
          <w:tcPr/>
          <w:p>
            <w:pPr>
              <w:pStyle w:val="Compact"/>
              <w:jc w:val="left"/>
            </w:pPr>
            <w:r>
              <w:t xml:space="preserve">Ei-blokkaava; ilmoittaa valmistumisesta</w:t>
            </w:r>
          </w:p>
        </w:tc>
      </w:tr>
    </w:tbl>
    <w:p>
      <w:pPr>
        <w:pStyle w:val="BodyText"/>
      </w:pPr>
      <w:r>
        <w:t xml:space="preserve">Eristysominaisuus on kriittinen mittakaavassa: aliagentit estävät konteksti-ikkunan loppumista suurissa koodipohjissa samalla kun ne mahdollistavat toisistaan riippumattomien tehtävien rinnakkaissuorituksen. Firehorse-tuotanto-orkestrointi (Temporal.io + tapahtumaväylä, osio 10.7) laajentaa tämän saman mallin asiakaspalveluagentin työnkulkuihin.</w:t>
      </w:r>
    </w:p>
    <w:bookmarkEnd w:id="199"/>
    <w:bookmarkStart w:id="200" w:name="vaikutukset-solution-factory--malliin"/>
    <w:p>
      <w:pPr>
        <w:pStyle w:val="Heading3"/>
      </w:pPr>
      <w:r>
        <w:t xml:space="preserve">10.13.6 Vaikutukset Solution Factory -malliin</w:t>
      </w:r>
    </w:p>
    <w:p>
      <w:pPr>
        <w:pStyle w:val="FirstParagraph"/>
      </w:pPr>
      <w:r>
        <w:t xml:space="preserve">Tämä suunnittelurakenne validoi ja laajentaa Solution Factory -mallia (osio 5) konkreettisella toteutuskerroksella, joka kartoittuu suoraan Brain-Memory-Body-Hands-arkkitehtuuriin:</w:t>
      </w:r>
    </w:p>
    <w:tbl>
      <w:tblPr>
        <w:tblStyle w:val="Table"/>
        <w:tblW w:type="pct" w:w="5000"/>
        <w:tblLook w:firstRow="1" w:lastRow="0" w:firstColumn="0" w:lastColumn="0" w:noHBand="0" w:noVBand="0" w:val="0020"/>
        <w:jc w:val="start"/>
      </w:tblPr>
      <w:tblGrid>
        <w:gridCol w:w="2816"/>
        <w:gridCol w:w="3432"/>
        <w:gridCol w:w="1672"/>
      </w:tblGrid>
      <w:tr>
        <w:trPr>
          <w:tblHeader w:val="true"/>
        </w:trPr>
        <w:tc>
          <w:tcPr/>
          <w:p>
            <w:pPr>
              <w:pStyle w:val="Compact"/>
              <w:jc w:val="left"/>
            </w:pPr>
            <w:r>
              <w:t xml:space="preserve">Solution Factory -kerros</w:t>
            </w:r>
          </w:p>
        </w:tc>
        <w:tc>
          <w:tcPr/>
          <w:p>
            <w:pPr>
              <w:pStyle w:val="Compact"/>
              <w:jc w:val="left"/>
            </w:pPr>
            <w:r>
              <w:t xml:space="preserve">Claude Code -toteutus</w:t>
            </w:r>
          </w:p>
        </w:tc>
        <w:tc>
          <w:tcPr/>
          <w:p>
            <w:pPr>
              <w:pStyle w:val="Compact"/>
              <w:jc w:val="left"/>
            </w:pPr>
            <w:r>
              <w:t xml:space="preserve">Arkkitehtuurikerros</w:t>
            </w:r>
          </w:p>
        </w:tc>
      </w:tr>
      <w:tr>
        <w:tc>
          <w:tcPr/>
          <w:p>
            <w:pPr>
              <w:pStyle w:val="Compact"/>
              <w:jc w:val="left"/>
            </w:pPr>
            <w:r>
              <w:t xml:space="preserve">Tiedon pysyvyys</w:t>
            </w:r>
          </w:p>
        </w:tc>
        <w:tc>
          <w:tcPr/>
          <w:p>
            <w:pPr>
              <w:pStyle w:val="Compact"/>
              <w:jc w:val="left"/>
            </w:pPr>
            <w:r>
              <w:t xml:space="preserve">CLAUDE.md + VERSION AND AGENT HISTORY</w:t>
            </w:r>
          </w:p>
        </w:tc>
        <w:tc>
          <w:tcPr/>
          <w:p>
            <w:pPr>
              <w:pStyle w:val="Compact"/>
              <w:jc w:val="left"/>
            </w:pPr>
            <w:r>
              <w:t xml:space="preserve">Muisti</w:t>
            </w:r>
          </w:p>
        </w:tc>
      </w:tr>
      <w:tr>
        <w:tc>
          <w:tcPr/>
          <w:p>
            <w:pPr>
              <w:pStyle w:val="Compact"/>
              <w:jc w:val="left"/>
            </w:pPr>
            <w:r>
              <w:t xml:space="preserve">Agenttien koordinointi</w:t>
            </w:r>
          </w:p>
        </w:tc>
        <w:tc>
          <w:tcPr/>
          <w:p>
            <w:pPr>
              <w:pStyle w:val="Compact"/>
              <w:jc w:val="left"/>
            </w:pPr>
            <w:r>
              <w:t xml:space="preserve">Aliagentit + jaettu CLAUDE.md-konteksti</w:t>
            </w:r>
          </w:p>
        </w:tc>
        <w:tc>
          <w:tcPr/>
          <w:p>
            <w:pPr>
              <w:pStyle w:val="Compact"/>
              <w:jc w:val="left"/>
            </w:pPr>
            <w:r>
              <w:t xml:space="preserve">Aivot</w:t>
            </w:r>
          </w:p>
        </w:tc>
      </w:tr>
      <w:tr>
        <w:tc>
          <w:tcPr/>
          <w:p>
            <w:pPr>
              <w:pStyle w:val="Compact"/>
              <w:jc w:val="left"/>
            </w:pPr>
            <w:r>
              <w:t xml:space="preserve">Uudelleenkäytettävät kyvykkyydet</w:t>
            </w:r>
          </w:p>
        </w:tc>
        <w:tc>
          <w:tcPr/>
          <w:p>
            <w:pPr>
              <w:pStyle w:val="Compact"/>
              <w:jc w:val="left"/>
            </w:pPr>
            <w:r>
              <w:t xml:space="preserve">Taidot (</w:t>
            </w:r>
            <w:r>
              <w:rPr>
                <w:rStyle w:val="VerbatimChar"/>
              </w:rPr>
              <w:t xml:space="preserve">.claude/commands/</w:t>
            </w:r>
            <w:r>
              <w:t xml:space="preserve">)</w:t>
            </w:r>
          </w:p>
        </w:tc>
        <w:tc>
          <w:tcPr/>
          <w:p>
            <w:pPr>
              <w:pStyle w:val="Compact"/>
              <w:jc w:val="left"/>
            </w:pPr>
            <w:r>
              <w:t xml:space="preserve">Vartalo</w:t>
            </w:r>
          </w:p>
        </w:tc>
      </w:tr>
      <w:tr>
        <w:tc>
          <w:tcPr/>
          <w:p>
            <w:pPr>
              <w:pStyle w:val="Compact"/>
              <w:jc w:val="left"/>
            </w:pPr>
            <w:r>
              <w:t xml:space="preserve">Laadun valvonta</w:t>
            </w:r>
          </w:p>
        </w:tc>
        <w:tc>
          <w:tcPr/>
          <w:p>
            <w:pPr>
              <w:pStyle w:val="Compact"/>
              <w:jc w:val="left"/>
            </w:pPr>
            <w:r>
              <w:t xml:space="preserve">Koukut (</w:t>
            </w:r>
            <w:r>
              <w:rPr>
                <w:rStyle w:val="VerbatimChar"/>
              </w:rPr>
              <w:t xml:space="preserve">.claude/hooks/</w:t>
            </w:r>
            <w:r>
              <w:t xml:space="preserve">,</w:t>
            </w:r>
            <w:r>
              <w:t xml:space="preserve"> </w:t>
            </w:r>
            <w:r>
              <w:rPr>
                <w:rStyle w:val="VerbatimChar"/>
              </w:rPr>
              <w:t xml:space="preserve">.githooks/</w:t>
            </w:r>
            <w:r>
              <w:t xml:space="preserve">)</w:t>
            </w:r>
          </w:p>
        </w:tc>
        <w:tc>
          <w:tcPr/>
          <w:p>
            <w:pPr>
              <w:pStyle w:val="Compact"/>
              <w:jc w:val="left"/>
            </w:pPr>
            <w:r>
              <w:t xml:space="preserve">Kädet</w:t>
            </w:r>
          </w:p>
        </w:tc>
      </w:tr>
      <w:tr>
        <w:tc>
          <w:tcPr/>
          <w:p>
            <w:pPr>
              <w:pStyle w:val="Compact"/>
              <w:jc w:val="left"/>
            </w:pPr>
            <w:r>
              <w:t xml:space="preserve">Rinnakkaissuoritus</w:t>
            </w:r>
          </w:p>
        </w:tc>
        <w:tc>
          <w:tcPr/>
          <w:p>
            <w:pPr>
              <w:pStyle w:val="Compact"/>
              <w:jc w:val="left"/>
            </w:pPr>
            <w:r>
              <w:t xml:space="preserve">Taustaagentit + Temporal.io</w:t>
            </w:r>
          </w:p>
        </w:tc>
        <w:tc>
          <w:tcPr/>
          <w:p>
            <w:pPr>
              <w:pStyle w:val="Compact"/>
              <w:jc w:val="left"/>
            </w:pPr>
            <w:r>
              <w:t xml:space="preserve">Aivot</w:t>
            </w:r>
          </w:p>
        </w:tc>
      </w:tr>
    </w:tbl>
    <w:p>
      <w:pPr>
        <w:pStyle w:val="BodyText"/>
      </w:pPr>
      <w:r>
        <w:rPr>
          <w:bCs/>
          <w:b/>
        </w:rPr>
        <w:t xml:space="preserve">Keskeinen tutkimustulos:</w:t>
      </w:r>
      <w:r>
        <w:t xml:space="preserve"> </w:t>
      </w:r>
      <w:r>
        <w:t xml:space="preserve">tekoälytyönkulkujen käsitteleminen ensiluokkaisina ohjelmistokomponentteina — samalla modulaarisuudella, testattavuudella ja vastuiden erottelulla kuin tuotanto-ohjelmistossa — on erottava tekijä tekoälykokeilujen ja tekoälytuotteiden välillä. DWS6-repositorion rakenne osoittaa tämän eron tuotantomittakaavassa: CLAUDE.md vähentää käyttäytymisessä ajautumisen lähes nollaan, taidot eliminoivat toistuvan kehottamisen, ja koukut valvovat laatua ilman ihmisen puuttumista.</w:t>
      </w:r>
    </w:p>
    <w:p>
      <w:pPr>
        <w:pStyle w:val="BodyText"/>
      </w:pPr>
      <w:r>
        <w:t xml:space="preserve">Tämä on linjassa tässä opinnäytetyössä dokumentoidun laajemman periaatteen kanssa: Firehorse Operations Model menestyy ei siksi, että se käyttää tekoälyä, vaan siksi, että se suunnittelee tekoälyn kurinalaiseksi järjestelmäksi.</w:t>
      </w:r>
    </w:p>
    <w:bookmarkEnd w:id="200"/>
    <w:bookmarkStart w:id="201" w:name="X00c37e1b69fe736a1a22a3fcbbff3c979d557c1"/>
    <w:p>
      <w:pPr>
        <w:pStyle w:val="Heading3"/>
      </w:pPr>
      <w:r>
        <w:t xml:space="preserve">10.13.7 Kilpailija-analyysi: Toimialakohtainen vs geneerinen AI-harness</w:t>
      </w:r>
    </w:p>
    <w:p>
      <w:pPr>
        <w:pStyle w:val="FirstParagraph"/>
      </w:pPr>
      <w:r>
        <w:t xml:space="preserve">Maaliskuussa 2026 suoritettu vertailututkimus vertasi DWS6-harness-arkkitehtuuria</w:t>
      </w:r>
      <w:r>
        <w:t xml:space="preserve"> </w:t>
      </w:r>
      <w:r>
        <w:rPr>
          <w:bCs/>
          <w:b/>
        </w:rPr>
        <w:t xml:space="preserve">everything-claude-code (ECC)</w:t>
      </w:r>
      <w:r>
        <w:t xml:space="preserve"> </w:t>
      </w:r>
      <w:r>
        <w:t xml:space="preserve">-kehykseen — 120 000 tähden MIT-lisensoituun kehykseen, joka tarjoaa 136 taitoa, 30 aliagenttia, 60 slash-komentoa, 34 sääntötiedostoa ja 14 MCP-palvelinmallia. Vertailu paljastaa perustavanlaatuisen arkkitehtuurisen kompromissin geneerisyyden ja toimialaspesifisyyden välillä.</w:t>
      </w:r>
    </w:p>
    <w:p>
      <w:pPr>
        <w:pStyle w:val="BodyText"/>
      </w:pPr>
      <w:r>
        <w:rPr>
          <w:bCs/>
          <w:b/>
        </w:rPr>
        <w:t xml:space="preserve">ECC-arkkitehtuuri (geneerinen):</w:t>
      </w:r>
      <w:r>
        <w:t xml:space="preserve"> </w:t>
      </w:r>
      <w:r>
        <w:t xml:space="preserve">ECC vastaa kysymykseen:</w:t>
      </w:r>
      <w:r>
        <w:t xml:space="preserve"> </w:t>
      </w:r>
      <w:r>
        <w:t xml:space="preserve">“</w:t>
      </w:r>
      <w:r>
        <w:t xml:space="preserve">Kuinka käytän Claude Codea tehokkaasti missä tahansa projektissa?</w:t>
      </w:r>
      <w:r>
        <w:t xml:space="preserve">”</w:t>
      </w:r>
      <w:r>
        <w:t xml:space="preserve"> </w:t>
      </w:r>
      <w:r>
        <w:t xml:space="preserve">Se tarjoaa kielikohtaiset agentit (TypeScript, Python, Go, Java, Rust, C++, Swift, PHP), IDE-adapterit, PM2-elinkaarenhallinta, SQLite-sessiopersisteenssi ja 997-testin validointisarja.</w:t>
      </w:r>
    </w:p>
    <w:p>
      <w:pPr>
        <w:pStyle w:val="BodyText"/>
      </w:pPr>
      <w:r>
        <w:rPr>
          <w:bCs/>
          <w:b/>
        </w:rPr>
        <w:t xml:space="preserve">DWS6-arkkitehtuuri (toimialakohtainen):</w:t>
      </w:r>
      <w:r>
        <w:t xml:space="preserve"> </w:t>
      </w:r>
      <w:r>
        <w:t xml:space="preserve">DWS6 vastaa eri kysymykseen:</w:t>
      </w:r>
      <w:r>
        <w:t xml:space="preserve"> </w:t>
      </w:r>
      <w:r>
        <w:t xml:space="preserve">“</w:t>
      </w:r>
      <w:r>
        <w:t xml:space="preserve">Kuinka ajetaan yritystason teollisia tekoälyagentteja turvallisesti EU:ssa?</w:t>
      </w:r>
      <w:r>
        <w:t xml:space="preserve">”</w:t>
      </w:r>
      <w:r>
        <w:t xml:space="preserve"> </w:t>
      </w:r>
      <w:r>
        <w:t xml:space="preserve">21 taitoa koodaavat säänneltyä toimialatietämystä — EU ETS -päästökertoimet, CBAM-tuontirajat, CSRD-tiedonantovaatimukset, EN 15978 -elinkaaren vaiheet, EN 13001 -nosturiturvallisuusstandardit — joita mikään geneerinen kehys ei tarjoa. Tämä toimialatietämys on tuotteen kilpailuvallihauta.</w:t>
      </w:r>
    </w:p>
    <w:p>
      <w:pPr>
        <w:pStyle w:val="BodyText"/>
      </w:pPr>
      <w:r>
        <w:rPr>
          <w:bCs/>
          <w:b/>
        </w:rPr>
        <w:t xml:space="preserve">Kuusi tunnistettua kilpailuetua:</w:t>
      </w:r>
    </w:p>
    <w:tbl>
      <w:tblPr>
        <w:tblStyle w:val="Table"/>
        <w:tblW w:type="pct" w:w="5000"/>
        <w:tblLook w:firstRow="1" w:lastRow="0" w:firstColumn="0" w:lastColumn="0" w:noHBand="0" w:noVBand="0" w:val="0020"/>
        <w:jc w:val="start"/>
      </w:tblPr>
      <w:tblGrid>
        <w:gridCol w:w="154"/>
        <w:gridCol w:w="3497"/>
        <w:gridCol w:w="1902"/>
        <w:gridCol w:w="2365"/>
      </w:tblGrid>
      <w:tr>
        <w:trPr>
          <w:tblHeader w:val="true"/>
        </w:trPr>
        <w:tc>
          <w:tcPr/>
          <w:p>
            <w:pPr>
              <w:pStyle w:val="Compact"/>
              <w:jc w:val="left"/>
            </w:pPr>
            <w:r>
              <w:t xml:space="preserve">#</w:t>
            </w:r>
          </w:p>
        </w:tc>
        <w:tc>
          <w:tcPr/>
          <w:p>
            <w:pPr>
              <w:pStyle w:val="Compact"/>
              <w:jc w:val="left"/>
            </w:pPr>
            <w:r>
              <w:t xml:space="preserve">DWS6-etu</w:t>
            </w:r>
          </w:p>
        </w:tc>
        <w:tc>
          <w:tcPr/>
          <w:p>
            <w:pPr>
              <w:pStyle w:val="Compact"/>
              <w:jc w:val="left"/>
            </w:pPr>
            <w:r>
              <w:t xml:space="preserve">ECC-vastine</w:t>
            </w:r>
          </w:p>
        </w:tc>
        <w:tc>
          <w:tcPr/>
          <w:p>
            <w:pPr>
              <w:pStyle w:val="Compact"/>
              <w:jc w:val="left"/>
            </w:pPr>
            <w:r>
              <w:t xml:space="preserve">Tutkimuksellinen merkitys</w:t>
            </w:r>
          </w:p>
        </w:tc>
      </w:tr>
      <w:tr>
        <w:tc>
          <w:tcPr/>
          <w:p>
            <w:pPr>
              <w:pStyle w:val="Compact"/>
              <w:jc w:val="left"/>
            </w:pPr>
            <w:r>
              <w:t xml:space="preserve">1</w:t>
            </w:r>
          </w:p>
        </w:tc>
        <w:tc>
          <w:tcPr/>
          <w:p>
            <w:pPr>
              <w:pStyle w:val="Compact"/>
              <w:jc w:val="left"/>
            </w:pPr>
            <w:r>
              <w:rPr>
                <w:bCs/>
                <w:b/>
              </w:rPr>
              <w:t xml:space="preserve">Toimialakohtaiset taidot</w:t>
            </w:r>
            <w:r>
              <w:t xml:space="preserve"> </w:t>
            </w:r>
            <w:r>
              <w:t xml:space="preserve">koodaavat EU-sääntelyä</w:t>
            </w:r>
          </w:p>
        </w:tc>
        <w:tc>
          <w:tcPr/>
          <w:p>
            <w:pPr>
              <w:pStyle w:val="Compact"/>
              <w:jc w:val="left"/>
            </w:pPr>
            <w:r>
              <w:t xml:space="preserve">Geneeriset kieli-/kehystaidot</w:t>
            </w:r>
          </w:p>
        </w:tc>
        <w:tc>
          <w:tcPr/>
          <w:p>
            <w:pPr>
              <w:pStyle w:val="Compact"/>
              <w:jc w:val="left"/>
            </w:pPr>
            <w:r>
              <w:t xml:space="preserve">Toimialatietämys kilpailuvallihautana</w:t>
            </w:r>
          </w:p>
        </w:tc>
      </w:tr>
      <w:tr>
        <w:tc>
          <w:tcPr/>
          <w:p>
            <w:pPr>
              <w:pStyle w:val="Compact"/>
              <w:jc w:val="left"/>
            </w:pPr>
            <w:r>
              <w:t xml:space="preserve">2</w:t>
            </w:r>
          </w:p>
        </w:tc>
        <w:tc>
          <w:tcPr/>
          <w:p>
            <w:pPr>
              <w:pStyle w:val="Compact"/>
              <w:jc w:val="left"/>
            </w:pPr>
            <w:r>
              <w:rPr>
                <w:bCs/>
                <w:b/>
              </w:rPr>
              <w:t xml:space="preserve">Kuusikerroksinen tietoarkkitehtuuri</w:t>
            </w:r>
            <w:r>
              <w:t xml:space="preserve"> </w:t>
            </w:r>
            <w:r>
              <w:t xml:space="preserve">(L0-L6)</w:t>
            </w:r>
          </w:p>
        </w:tc>
        <w:tc>
          <w:tcPr/>
          <w:p>
            <w:pPr>
              <w:pStyle w:val="Compact"/>
              <w:jc w:val="left"/>
            </w:pPr>
            <w:r>
              <w:t xml:space="preserve">Toimii vain tasoilla L2-L3</w:t>
            </w:r>
          </w:p>
        </w:tc>
        <w:tc>
          <w:tcPr/>
          <w:p>
            <w:pPr>
              <w:pStyle w:val="Compact"/>
              <w:jc w:val="left"/>
            </w:pPr>
            <w:r>
              <w:t xml:space="preserve">Syvempi hallinta agentin käyttäytymiseen</w:t>
            </w:r>
          </w:p>
        </w:tc>
      </w:tr>
      <w:tr>
        <w:tc>
          <w:tcPr/>
          <w:p>
            <w:pPr>
              <w:pStyle w:val="Compact"/>
              <w:jc w:val="left"/>
            </w:pPr>
            <w:r>
              <w:t xml:space="preserve">3</w:t>
            </w:r>
          </w:p>
        </w:tc>
        <w:tc>
          <w:tcPr/>
          <w:p>
            <w:pPr>
              <w:pStyle w:val="Compact"/>
              <w:jc w:val="left"/>
            </w:pPr>
            <w:r>
              <w:rPr>
                <w:bCs/>
                <w:b/>
              </w:rPr>
              <w:t xml:space="preserve">Kovat portit</w:t>
            </w:r>
            <w:r>
              <w:t xml:space="preserve"> </w:t>
            </w:r>
            <w:r>
              <w:t xml:space="preserve">(verification-gate, design-first, dual-folder-sync)</w:t>
            </w:r>
          </w:p>
        </w:tc>
        <w:tc>
          <w:tcPr/>
          <w:p>
            <w:pPr>
              <w:pStyle w:val="Compact"/>
              <w:jc w:val="left"/>
            </w:pPr>
            <w:r>
              <w:t xml:space="preserve">Vain neuvoa-antavat taidot</w:t>
            </w:r>
          </w:p>
        </w:tc>
        <w:tc>
          <w:tcPr/>
          <w:p>
            <w:pPr>
              <w:pStyle w:val="Compact"/>
              <w:jc w:val="left"/>
            </w:pPr>
            <w:r>
              <w:t xml:space="preserve">Rakenteellinen valvonta vs käyttäytymisehdotus</w:t>
            </w:r>
          </w:p>
        </w:tc>
      </w:tr>
      <w:tr>
        <w:tc>
          <w:tcPr/>
          <w:p>
            <w:pPr>
              <w:pStyle w:val="Compact"/>
              <w:jc w:val="left"/>
            </w:pPr>
            <w:r>
              <w:t xml:space="preserve">4</w:t>
            </w:r>
          </w:p>
        </w:tc>
        <w:tc>
          <w:tcPr/>
          <w:p>
            <w:pPr>
              <w:pStyle w:val="Compact"/>
              <w:jc w:val="left"/>
            </w:pPr>
            <w:r>
              <w:rPr>
                <w:bCs/>
                <w:b/>
              </w:rPr>
              <w:t xml:space="preserve">Luottamusvyöhykkeet</w:t>
            </w:r>
            <w:r>
              <w:t xml:space="preserve"> </w:t>
            </w:r>
            <w:r>
              <w:t xml:space="preserve">(VIHREÄ/KELTAINEN/PUNAINEN)</w:t>
            </w:r>
          </w:p>
        </w:tc>
        <w:tc>
          <w:tcPr/>
          <w:p>
            <w:pPr>
              <w:pStyle w:val="Compact"/>
              <w:jc w:val="left"/>
            </w:pPr>
            <w:r>
              <w:t xml:space="preserve">Vain salaisuuksien skannaus</w:t>
            </w:r>
          </w:p>
        </w:tc>
        <w:tc>
          <w:tcPr/>
          <w:p>
            <w:pPr>
              <w:pStyle w:val="Compact"/>
              <w:jc w:val="left"/>
            </w:pPr>
            <w:r>
              <w:t xml:space="preserve">Riskisuhteutettu automaatio</w:t>
            </w:r>
          </w:p>
        </w:tc>
      </w:tr>
      <w:tr>
        <w:tc>
          <w:tcPr/>
          <w:p>
            <w:pPr>
              <w:pStyle w:val="Compact"/>
              <w:jc w:val="left"/>
            </w:pPr>
            <w:r>
              <w:t xml:space="preserve">5</w:t>
            </w:r>
          </w:p>
        </w:tc>
        <w:tc>
          <w:tcPr/>
          <w:p>
            <w:pPr>
              <w:pStyle w:val="Compact"/>
              <w:jc w:val="left"/>
            </w:pPr>
            <w:r>
              <w:rPr>
                <w:bCs/>
                <w:b/>
              </w:rPr>
              <w:t xml:space="preserve">gstack-työnkulku</w:t>
            </w:r>
            <w:r>
              <w:t xml:space="preserve"> </w:t>
            </w:r>
            <w:r>
              <w:t xml:space="preserve">pakotetulla roolierottelulla</w:t>
            </w:r>
          </w:p>
        </w:tc>
        <w:tc>
          <w:tcPr/>
          <w:p>
            <w:pPr>
              <w:pStyle w:val="Compact"/>
              <w:jc w:val="left"/>
            </w:pPr>
            <w:r>
              <w:t xml:space="preserve">Itsenäiset orkestroitumattomat taidot</w:t>
            </w:r>
          </w:p>
        </w:tc>
        <w:tc>
          <w:tcPr/>
          <w:p>
            <w:pPr>
              <w:pStyle w:val="Compact"/>
              <w:jc w:val="left"/>
            </w:pPr>
            <w:r>
              <w:t xml:space="preserve">Kognitiivisen tilan vaihtaminen</w:t>
            </w:r>
          </w:p>
        </w:tc>
      </w:tr>
      <w:tr>
        <w:tc>
          <w:tcPr/>
          <w:p>
            <w:pPr>
              <w:pStyle w:val="Compact"/>
              <w:jc w:val="left"/>
            </w:pPr>
            <w:r>
              <w:t xml:space="preserve">6</w:t>
            </w:r>
          </w:p>
        </w:tc>
        <w:tc>
          <w:tcPr/>
          <w:p>
            <w:pPr>
              <w:pStyle w:val="Compact"/>
              <w:jc w:val="left"/>
            </w:pPr>
            <w:r>
              <w:rPr>
                <w:bCs/>
                <w:b/>
              </w:rPr>
              <w:t xml:space="preserve">Agentti-ensin -tuotesääntö</w:t>
            </w:r>
            <w:r>
              <w:t xml:space="preserve"> </w:t>
            </w:r>
            <w:r>
              <w:t xml:space="preserve">(5-portin toimitustarkistuslista)</w:t>
            </w:r>
          </w:p>
        </w:tc>
        <w:tc>
          <w:tcPr/>
          <w:p>
            <w:pPr>
              <w:pStyle w:val="Compact"/>
              <w:jc w:val="left"/>
            </w:pPr>
            <w:r>
              <w:t xml:space="preserve">Kehittäjän apuvälineet</w:t>
            </w:r>
          </w:p>
        </w:tc>
        <w:tc>
          <w:tcPr/>
          <w:p>
            <w:pPr>
              <w:pStyle w:val="Compact"/>
              <w:jc w:val="left"/>
            </w:pPr>
            <w:r>
              <w:t xml:space="preserve">Taidot tuoterajapintoina</w:t>
            </w:r>
          </w:p>
        </w:tc>
      </w:tr>
    </w:tbl>
    <w:p>
      <w:pPr>
        <w:pStyle w:val="BodyText"/>
      </w:pPr>
      <w:r>
        <w:rPr>
          <w:bCs/>
          <w:b/>
        </w:rPr>
        <w:t xml:space="preserve">Keskeinen tutkimustulos:</w:t>
      </w:r>
      <w:r>
        <w:t xml:space="preserve"> </w:t>
      </w:r>
      <w:r>
        <w:t xml:space="preserve">ECC-kehys optimoi</w:t>
      </w:r>
      <w:r>
        <w:t xml:space="preserve"> </w:t>
      </w:r>
      <w:r>
        <w:rPr>
          <w:bCs/>
          <w:b/>
        </w:rPr>
        <w:t xml:space="preserve">leveyteen</w:t>
      </w:r>
      <w:r>
        <w:t xml:space="preserve"> </w:t>
      </w:r>
      <w:r>
        <w:t xml:space="preserve">(136 taitoa × useita kieliä × useita IDE:itä), kun taas DWS6 optimoi</w:t>
      </w:r>
      <w:r>
        <w:t xml:space="preserve"> </w:t>
      </w:r>
      <w:r>
        <w:rPr>
          <w:bCs/>
          <w:b/>
        </w:rPr>
        <w:t xml:space="preserve">syvyyteen</w:t>
      </w:r>
      <w:r>
        <w:t xml:space="preserve"> </w:t>
      </w:r>
      <w:r>
        <w:t xml:space="preserve">(21 taitoa × syvä EU-sääntelyn tuntemus × rakenteellinen valvonta). Token-budjetin tasolla leveys on haitallista: 136 taidon lataaminen kuluttaa konteksti-ikkunan kapasiteettia, jota toimialakohtaiset agentit tarvitsevat sääntelyn päättelyyn. DWS6:n &lt;150 sanan rajoitus kurinpitotaidoille ei ole rajoitus — se on token-budjetin optimointi, joka mahdollistaa syvemmän toimialapäättelyn samassa konteksti-ikkunassa.</w:t>
      </w:r>
    </w:p>
    <w:p>
      <w:pPr>
        <w:pStyle w:val="BodyText"/>
      </w:pPr>
      <w:r>
        <w:t xml:space="preserve">Tämä validoi harness engineering -teesin (osio 10.16): ero tekoälykokeilujen ja tekoälytuotteiden välillä ei ole malli tai taitojen määrä — se on suunnittelukuri, joka sovelletaan tiedon rakenteiseen, valvontaan ja koostamiseen. 21 taidon toimialakohtainen harness ylittää 136 taidon geneerisen harnessin, kun toimiala vaatii sääntelyn tarkkuutta, koska tietämyksen syvyys on tärkeämpää kuin kyvykkyyden laajuus.</w:t>
      </w:r>
    </w:p>
    <w:p>
      <w:r>
        <w:pict>
          <v:rect style="width:0;height:1.5pt" o:hralign="center" o:hrstd="t" o:hr="t"/>
        </w:pict>
      </w:r>
    </w:p>
    <w:bookmarkEnd w:id="201"/>
    <w:bookmarkEnd w:id="202"/>
    <w:bookmarkEnd w:id="203"/>
    <w:bookmarkStart w:id="366" w:name="liitteet"/>
    <w:p>
      <w:pPr>
        <w:pStyle w:val="Heading1"/>
      </w:pPr>
      <w:r>
        <w:t xml:space="preserve">12. Liitteet</w:t>
      </w:r>
    </w:p>
    <w:bookmarkStart w:id="204" w:name="liite-a-solution-factory-canvas"/>
    <w:p>
      <w:pPr>
        <w:pStyle w:val="Heading2"/>
      </w:pPr>
      <w:r>
        <w:t xml:space="preserve">Liite A: Solution Factory Canvas</w:t>
      </w:r>
    </w:p>
    <w:p>
      <w:pPr>
        <w:pStyle w:val="SourceCode"/>
      </w:pPr>
      <w:r>
        <w:rPr>
          <w:rStyle w:val="VerbatimChar"/>
        </w:rPr>
        <w:t xml:space="preserve">┌─────────────────────────────────────────────────────────────────────────┐</w:t>
      </w:r>
      <w:r>
        <w:br/>
      </w:r>
      <w:r>
        <w:rPr>
          <w:rStyle w:val="VerbatimChar"/>
        </w:rPr>
        <w:t xml:space="preserve">│                     FIREHORSE SOLUTION FACTORY CANVAS                    │</w:t>
      </w:r>
      <w:r>
        <w:br/>
      </w:r>
      <w:r>
        <w:rPr>
          <w:rStyle w:val="VerbatimChar"/>
        </w:rPr>
        <w:t xml:space="preserve">├─────────────────────────────────────────────────────────────────────────┤</w:t>
      </w:r>
      <w:r>
        <w:br/>
      </w:r>
      <w:r>
        <w:rPr>
          <w:rStyle w:val="VerbatimChar"/>
        </w:rPr>
        <w:t xml:space="preserve">│                                                                          │</w:t>
      </w:r>
      <w:r>
        <w:br/>
      </w:r>
      <w:r>
        <w:rPr>
          <w:rStyle w:val="VerbatimChar"/>
        </w:rPr>
        <w:t xml:space="preserve">│  ONGELMA                          │  RATKAISU                            │</w:t>
      </w:r>
      <w:r>
        <w:br/>
      </w:r>
      <w:r>
        <w:rPr>
          <w:rStyle w:val="VerbatimChar"/>
        </w:rPr>
        <w:t xml:space="preserve">│  • EU-vaatimustenmukaisuuden      │  • Vaiheittainen AI-käyttöönotto     │</w:t>
      </w:r>
      <w:r>
        <w:br/>
      </w:r>
      <w:r>
        <w:rPr>
          <w:rStyle w:val="VerbatimChar"/>
        </w:rPr>
        <w:t xml:space="preserve">│    määräajat                      │  • AI-avusteinen kehitys             │</w:t>
      </w:r>
      <w:r>
        <w:br/>
      </w:r>
      <w:r>
        <w:rPr>
          <w:rStyle w:val="VerbatimChar"/>
        </w:rPr>
        <w:t xml:space="preserve">│  • Korkeat SaaS-kustannukset      │  • Reunatekoäly (&lt;100ms)             │</w:t>
      </w:r>
      <w:r>
        <w:br/>
      </w:r>
      <w:r>
        <w:rPr>
          <w:rStyle w:val="VerbatimChar"/>
        </w:rPr>
        <w:t xml:space="preserve">│    (€1 400+)                      │  • €0-350/kk hinnoittelu             │</w:t>
      </w:r>
      <w:r>
        <w:br/>
      </w:r>
      <w:r>
        <w:rPr>
          <w:rStyle w:val="VerbatimChar"/>
        </w:rPr>
        <w:t xml:space="preserve">│  • Pelkkä pilvi -latenssi         │                                      │</w:t>
      </w:r>
      <w:r>
        <w:br/>
      </w:r>
      <w:r>
        <w:rPr>
          <w:rStyle w:val="VerbatimChar"/>
        </w:rPr>
        <w:t xml:space="preserve">│  • Ei pk-saavutettavia vaihtoeht. │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AVAINMITTARIT                    │  EPÄREILU KILPAILUETU                │</w:t>
      </w:r>
      <w:r>
        <w:br/>
      </w:r>
      <w:r>
        <w:rPr>
          <w:rStyle w:val="VerbatimChar"/>
        </w:rPr>
        <w:t xml:space="preserve">│  • Takaisinmaksu: ≤2 kk           │  • Lifetime Scope Signals            │</w:t>
      </w:r>
      <w:r>
        <w:br/>
      </w:r>
      <w:r>
        <w:rPr>
          <w:rStyle w:val="VerbatimChar"/>
        </w:rPr>
        <w:t xml:space="preserve">│  • Kustannus: 82% halvempi        │  • AgentFoundry-pohjat               │</w:t>
      </w:r>
      <w:r>
        <w:br/>
      </w:r>
      <w:r>
        <w:rPr>
          <w:rStyle w:val="VerbatimChar"/>
        </w:rPr>
        <w:t xml:space="preserve">│  • Nopeus: +62%                   │  • EU-vaatimustenmukaisuus natiivi   │</w:t>
      </w:r>
      <w:r>
        <w:br/>
      </w:r>
      <w:r>
        <w:rPr>
          <w:rStyle w:val="VerbatimChar"/>
        </w:rPr>
        <w:t xml:space="preserve">│  • Retentio: 100%                 │  • 8 vertikaalin kattavuus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ASIAKASSEGMENTIT                 │  KANAVAT                             │</w:t>
      </w:r>
      <w:r>
        <w:br/>
      </w:r>
      <w:r>
        <w:rPr>
          <w:rStyle w:val="VerbatimChar"/>
        </w:rPr>
        <w:t xml:space="preserve">│  • Rakentamisen pk-yritykset      │  • dws6.com (suora)                  │</w:t>
      </w:r>
      <w:r>
        <w:br/>
      </w:r>
      <w:r>
        <w:rPr>
          <w:rStyle w:val="VerbatimChar"/>
        </w:rPr>
        <w:t xml:space="preserve">│  • Logistiikkayritykset           │  • Kumppaniverkosto                  │</w:t>
      </w:r>
      <w:r>
        <w:br/>
      </w:r>
      <w:r>
        <w:rPr>
          <w:rStyle w:val="VerbatimChar"/>
        </w:rPr>
        <w:t xml:space="preserve">│  • Valmistus                      │  • LinkedIn (B2B)                    │</w:t>
      </w:r>
      <w:r>
        <w:br/>
      </w:r>
      <w:r>
        <w:rPr>
          <w:rStyle w:val="VerbatimChar"/>
        </w:rPr>
        <w:t xml:space="preserve">│  • 5 lisävertikaalia              │  • GitHub (kehittäjäluottamus)       │</w:t>
      </w:r>
      <w:r>
        <w:br/>
      </w:r>
      <w:r>
        <w:rPr>
          <w:rStyle w:val="VerbatimChar"/>
        </w:rPr>
        <w:t xml:space="preserve">│                                   │                                      │</w:t>
      </w:r>
      <w:r>
        <w:br/>
      </w:r>
      <w:r>
        <w:rPr>
          <w:rStyle w:val="VerbatimChar"/>
        </w:rPr>
        <w:t xml:space="preserve">├───────────────────────────────────┼──────────────────────────────────────┤</w:t>
      </w:r>
      <w:r>
        <w:br/>
      </w:r>
      <w:r>
        <w:rPr>
          <w:rStyle w:val="VerbatimChar"/>
        </w:rPr>
        <w:t xml:space="preserve">│                                                                          │</w:t>
      </w:r>
      <w:r>
        <w:br/>
      </w:r>
      <w:r>
        <w:rPr>
          <w:rStyle w:val="VerbatimChar"/>
        </w:rPr>
        <w:t xml:space="preserve">│  KUSTANNUSRAKENNE                 │  TULONLÄHTEET                        │</w:t>
      </w:r>
      <w:r>
        <w:br/>
      </w:r>
      <w:r>
        <w:rPr>
          <w:rStyle w:val="VerbatimChar"/>
        </w:rPr>
        <w:t xml:space="preserve">│  • €0-350/kk infrastruktuuri      │  • SaaS-tilaukset                    │</w:t>
      </w:r>
      <w:r>
        <w:br/>
      </w:r>
      <w:r>
        <w:rPr>
          <w:rStyle w:val="VerbatimChar"/>
        </w:rPr>
        <w:t xml:space="preserve">│  • Cursor Pro + Claude Code Max   │  • Reunalaitteiston marginaali       │</w:t>
      </w:r>
      <w:r>
        <w:br/>
      </w:r>
      <w:r>
        <w:rPr>
          <w:rStyle w:val="VerbatimChar"/>
        </w:rPr>
        <w:t xml:space="preserve">│  • Yksi kehittäjä (AI-avusteinen) │  • Ammattipalvelut                   │</w:t>
      </w:r>
      <w:r>
        <w:br/>
      </w:r>
      <w:r>
        <w:rPr>
          <w:rStyle w:val="VerbatimChar"/>
        </w:rPr>
        <w:t xml:space="preserve">│  • Ei markkinointikuluja (org.)   │  • Solution Factory -lisensointi     │</w:t>
      </w:r>
      <w:r>
        <w:br/>
      </w:r>
      <w:r>
        <w:rPr>
          <w:rStyle w:val="VerbatimChar"/>
        </w:rPr>
        <w:t xml:space="preserve">│                                   │                                      │</w:t>
      </w:r>
      <w:r>
        <w:br/>
      </w:r>
      <w:r>
        <w:rPr>
          <w:rStyle w:val="VerbatimChar"/>
        </w:rPr>
        <w:t xml:space="preserve">└─────────────────────────────────────────────────────────────────────────┘</w:t>
      </w:r>
    </w:p>
    <w:bookmarkEnd w:id="204"/>
    <w:bookmarkStart w:id="205" w:name="liite-b-tuotekatalogin-yhteenveto"/>
    <w:p>
      <w:pPr>
        <w:pStyle w:val="Heading2"/>
      </w:pPr>
      <w:r>
        <w:t xml:space="preserve">Liite B: Tuotekatalogin yhteenveto</w:t>
      </w:r>
    </w:p>
    <w:tbl>
      <w:tblPr>
        <w:tblStyle w:val="Table"/>
        <w:tblW w:type="pct" w:w="5000"/>
        <w:tblLook w:firstRow="1" w:lastRow="0" w:firstColumn="0" w:lastColumn="0" w:noHBand="0" w:noVBand="0" w:val="0020"/>
        <w:jc w:val="start"/>
      </w:tblPr>
      <w:tblGrid>
        <w:gridCol w:w="2554"/>
        <w:gridCol w:w="2938"/>
        <w:gridCol w:w="1149"/>
        <w:gridCol w:w="1277"/>
      </w:tblGrid>
      <w:tr>
        <w:trPr>
          <w:tblHeader w:val="true"/>
        </w:trPr>
        <w:tc>
          <w:tcPr/>
          <w:p>
            <w:pPr>
              <w:pStyle w:val="Compact"/>
              <w:jc w:val="left"/>
            </w:pPr>
            <w:r>
              <w:t xml:space="preserve">ID</w:t>
            </w:r>
          </w:p>
        </w:tc>
        <w:tc>
          <w:tcPr/>
          <w:p>
            <w:pPr>
              <w:pStyle w:val="Compact"/>
              <w:jc w:val="left"/>
            </w:pPr>
            <w:r>
              <w:t xml:space="preserve">Tuote</w:t>
            </w:r>
          </w:p>
        </w:tc>
        <w:tc>
          <w:tcPr/>
          <w:p>
            <w:pPr>
              <w:pStyle w:val="Compact"/>
              <w:jc w:val="left"/>
            </w:pPr>
            <w:r>
              <w:t xml:space="preserve">Hinta</w:t>
            </w:r>
          </w:p>
        </w:tc>
        <w:tc>
          <w:tcPr/>
          <w:p>
            <w:pPr>
              <w:pStyle w:val="Compact"/>
              <w:jc w:val="left"/>
            </w:pPr>
            <w:r>
              <w:t xml:space="preserve">Tyyppi</w:t>
            </w:r>
          </w:p>
        </w:tc>
      </w:tr>
      <w:tr>
        <w:tc>
          <w:tcPr/>
          <w:p>
            <w:pPr>
              <w:pStyle w:val="Compact"/>
              <w:jc w:val="left"/>
            </w:pPr>
            <w:r>
              <w:t xml:space="preserve">DWS-IQ-006</w:t>
            </w:r>
          </w:p>
        </w:tc>
        <w:tc>
          <w:tcPr/>
          <w:p>
            <w:pPr>
              <w:pStyle w:val="Compact"/>
              <w:jc w:val="left"/>
            </w:pPr>
            <w:r>
              <w:t xml:space="preserve">DWS IQ Platform v6</w:t>
            </w:r>
          </w:p>
        </w:tc>
        <w:tc>
          <w:tcPr/>
          <w:p>
            <w:pPr>
              <w:pStyle w:val="Compact"/>
              <w:jc w:val="left"/>
            </w:pPr>
            <w:r>
              <w:t xml:space="preserve">€4 999</w:t>
            </w:r>
          </w:p>
        </w:tc>
        <w:tc>
          <w:tcPr/>
          <w:p>
            <w:pPr>
              <w:pStyle w:val="Compact"/>
              <w:jc w:val="left"/>
            </w:pPr>
            <w:r>
              <w:t xml:space="preserve">Alusta</w:t>
            </w:r>
          </w:p>
        </w:tc>
      </w:tr>
      <w:tr>
        <w:tc>
          <w:tcPr/>
          <w:p>
            <w:pPr>
              <w:pStyle w:val="Compact"/>
              <w:jc w:val="left"/>
            </w:pPr>
            <w:r>
              <w:t xml:space="preserve">DWS-IQ-005</w:t>
            </w:r>
          </w:p>
        </w:tc>
        <w:tc>
          <w:tcPr/>
          <w:p>
            <w:pPr>
              <w:pStyle w:val="Compact"/>
              <w:jc w:val="left"/>
            </w:pPr>
            <w:r>
              <w:t xml:space="preserve">DWS IQ Platform v5</w:t>
            </w:r>
          </w:p>
        </w:tc>
        <w:tc>
          <w:tcPr/>
          <w:p>
            <w:pPr>
              <w:pStyle w:val="Compact"/>
              <w:jc w:val="left"/>
            </w:pPr>
            <w:r>
              <w:t xml:space="preserve">€6 995</w:t>
            </w:r>
          </w:p>
        </w:tc>
        <w:tc>
          <w:tcPr/>
          <w:p>
            <w:pPr>
              <w:pStyle w:val="Compact"/>
              <w:jc w:val="left"/>
            </w:pPr>
            <w:r>
              <w:t xml:space="preserve">Alusta</w:t>
            </w:r>
          </w:p>
        </w:tc>
      </w:tr>
      <w:tr>
        <w:tc>
          <w:tcPr/>
          <w:p>
            <w:pPr>
              <w:pStyle w:val="Compact"/>
              <w:jc w:val="left"/>
            </w:pPr>
            <w:r>
              <w:t xml:space="preserve">FH-AUTO-001</w:t>
            </w:r>
          </w:p>
        </w:tc>
        <w:tc>
          <w:tcPr/>
          <w:p>
            <w:pPr>
              <w:pStyle w:val="Compact"/>
              <w:jc w:val="left"/>
            </w:pPr>
            <w:r>
              <w:t xml:space="preserve">Firehorse Automation</w:t>
            </w:r>
          </w:p>
        </w:tc>
        <w:tc>
          <w:tcPr/>
          <w:p>
            <w:pPr>
              <w:pStyle w:val="Compact"/>
              <w:jc w:val="left"/>
            </w:pPr>
            <w:r>
              <w:t xml:space="preserve">€4 950</w:t>
            </w:r>
          </w:p>
        </w:tc>
        <w:tc>
          <w:tcPr/>
          <w:p>
            <w:pPr>
              <w:pStyle w:val="Compact"/>
              <w:jc w:val="left"/>
            </w:pPr>
            <w:r>
              <w:t xml:space="preserve">Ohjelmisto</w:t>
            </w:r>
          </w:p>
        </w:tc>
      </w:tr>
      <w:tr>
        <w:tc>
          <w:tcPr/>
          <w:p>
            <w:pPr>
              <w:pStyle w:val="Compact"/>
              <w:jc w:val="left"/>
            </w:pPr>
            <w:r>
              <w:t xml:space="preserve">FH-RPT-001</w:t>
            </w:r>
          </w:p>
        </w:tc>
        <w:tc>
          <w:tcPr/>
          <w:p>
            <w:pPr>
              <w:pStyle w:val="Compact"/>
              <w:jc w:val="left"/>
            </w:pPr>
            <w:r>
              <w:t xml:space="preserve">Firehorse Report</w:t>
            </w:r>
          </w:p>
        </w:tc>
        <w:tc>
          <w:tcPr/>
          <w:p>
            <w:pPr>
              <w:pStyle w:val="Compact"/>
              <w:jc w:val="left"/>
            </w:pPr>
            <w:r>
              <w:t xml:space="preserve">€1 999</w:t>
            </w:r>
          </w:p>
        </w:tc>
        <w:tc>
          <w:tcPr/>
          <w:p>
            <w:pPr>
              <w:pStyle w:val="Compact"/>
              <w:jc w:val="left"/>
            </w:pPr>
            <w:r>
              <w:t xml:space="preserve">Ohjelmisto</w:t>
            </w:r>
          </w:p>
        </w:tc>
      </w:tr>
      <w:tr>
        <w:tc>
          <w:tcPr/>
          <w:p>
            <w:pPr>
              <w:pStyle w:val="Compact"/>
              <w:jc w:val="left"/>
            </w:pPr>
            <w:r>
              <w:t xml:space="preserve">FH-CMS-001</w:t>
            </w:r>
          </w:p>
        </w:tc>
        <w:tc>
          <w:tcPr/>
          <w:p>
            <w:pPr>
              <w:pStyle w:val="Compact"/>
              <w:jc w:val="left"/>
            </w:pPr>
            <w:r>
              <w:t xml:space="preserve">Firehorse CMS</w:t>
            </w:r>
          </w:p>
        </w:tc>
        <w:tc>
          <w:tcPr/>
          <w:p>
            <w:pPr>
              <w:pStyle w:val="Compact"/>
              <w:jc w:val="left"/>
            </w:pPr>
            <w:r>
              <w:t xml:space="preserve">€2 999</w:t>
            </w:r>
          </w:p>
        </w:tc>
        <w:tc>
          <w:tcPr/>
          <w:p>
            <w:pPr>
              <w:pStyle w:val="Compact"/>
              <w:jc w:val="left"/>
            </w:pPr>
            <w:r>
              <w:t xml:space="preserve">Ohjelmisto</w:t>
            </w:r>
          </w:p>
        </w:tc>
      </w:tr>
      <w:tr>
        <w:tc>
          <w:tcPr/>
          <w:p>
            <w:pPr>
              <w:pStyle w:val="Compact"/>
              <w:jc w:val="left"/>
            </w:pPr>
            <w:r>
              <w:t xml:space="preserve">FH-OMNI-001</w:t>
            </w:r>
          </w:p>
        </w:tc>
        <w:tc>
          <w:tcPr/>
          <w:p>
            <w:pPr>
              <w:pStyle w:val="Compact"/>
              <w:jc w:val="left"/>
            </w:pPr>
            <w:r>
              <w:t xml:space="preserve">Firehorse Omnichannel</w:t>
            </w:r>
          </w:p>
        </w:tc>
        <w:tc>
          <w:tcPr/>
          <w:p>
            <w:pPr>
              <w:pStyle w:val="Compact"/>
              <w:jc w:val="left"/>
            </w:pPr>
            <w:r>
              <w:t xml:space="preserve">€499</w:t>
            </w:r>
          </w:p>
        </w:tc>
        <w:tc>
          <w:tcPr/>
          <w:p>
            <w:pPr>
              <w:pStyle w:val="Compact"/>
              <w:jc w:val="left"/>
            </w:pPr>
            <w:r>
              <w:t xml:space="preserve">Ohjelmisto</w:t>
            </w:r>
          </w:p>
        </w:tc>
      </w:tr>
      <w:tr>
        <w:tc>
          <w:tcPr/>
          <w:p>
            <w:pPr>
              <w:pStyle w:val="Compact"/>
              <w:jc w:val="left"/>
            </w:pPr>
            <w:r>
              <w:t xml:space="preserve">LIFETIME-BUNDLE-2026</w:t>
            </w:r>
          </w:p>
        </w:tc>
        <w:tc>
          <w:tcPr/>
          <w:p>
            <w:pPr>
              <w:pStyle w:val="Compact"/>
              <w:jc w:val="left"/>
            </w:pPr>
            <w:r>
              <w:t xml:space="preserve">Climate Bundle</w:t>
            </w:r>
          </w:p>
        </w:tc>
        <w:tc>
          <w:tcPr/>
          <w:p>
            <w:pPr>
              <w:pStyle w:val="Compact"/>
              <w:jc w:val="left"/>
            </w:pPr>
            <w:r>
              <w:t xml:space="preserve">€6 500</w:t>
            </w:r>
          </w:p>
        </w:tc>
        <w:tc>
          <w:tcPr/>
          <w:p>
            <w:pPr>
              <w:pStyle w:val="Compact"/>
              <w:jc w:val="left"/>
            </w:pPr>
            <w:r>
              <w:t xml:space="preserve">Paketti</w:t>
            </w:r>
          </w:p>
        </w:tc>
      </w:tr>
      <w:tr>
        <w:tc>
          <w:tcPr/>
          <w:p>
            <w:pPr>
              <w:pStyle w:val="Compact"/>
              <w:jc w:val="left"/>
            </w:pPr>
            <w:r>
              <w:t xml:space="preserve">consulting-hourly</w:t>
            </w:r>
          </w:p>
        </w:tc>
        <w:tc>
          <w:tcPr/>
          <w:p>
            <w:pPr>
              <w:pStyle w:val="Compact"/>
              <w:jc w:val="left"/>
            </w:pPr>
            <w:r>
              <w:t xml:space="preserve">Konsultointi tuntihinta</w:t>
            </w:r>
          </w:p>
        </w:tc>
        <w:tc>
          <w:tcPr/>
          <w:p>
            <w:pPr>
              <w:pStyle w:val="Compact"/>
              <w:jc w:val="left"/>
            </w:pPr>
            <w:r>
              <w:t xml:space="preserve">€98/h</w:t>
            </w:r>
          </w:p>
        </w:tc>
        <w:tc>
          <w:tcPr/>
          <w:p>
            <w:pPr>
              <w:pStyle w:val="Compact"/>
              <w:jc w:val="left"/>
            </w:pPr>
            <w:r>
              <w:t xml:space="preserve">Palvelu</w:t>
            </w:r>
          </w:p>
        </w:tc>
      </w:tr>
      <w:tr>
        <w:tc>
          <w:tcPr/>
          <w:p>
            <w:pPr>
              <w:pStyle w:val="Compact"/>
              <w:jc w:val="left"/>
            </w:pPr>
            <w:r>
              <w:t xml:space="preserve">consulting-fit55</w:t>
            </w:r>
          </w:p>
        </w:tc>
        <w:tc>
          <w:tcPr/>
          <w:p>
            <w:pPr>
              <w:pStyle w:val="Compact"/>
              <w:jc w:val="left"/>
            </w:pPr>
            <w:r>
              <w:t xml:space="preserve">Fit55-asiantuntija</w:t>
            </w:r>
          </w:p>
        </w:tc>
        <w:tc>
          <w:tcPr/>
          <w:p>
            <w:pPr>
              <w:pStyle w:val="Compact"/>
              <w:jc w:val="left"/>
            </w:pPr>
            <w:r>
              <w:t xml:space="preserve">€3 000/kk</w:t>
            </w:r>
          </w:p>
        </w:tc>
        <w:tc>
          <w:tcPr/>
          <w:p>
            <w:pPr>
              <w:pStyle w:val="Compact"/>
              <w:jc w:val="left"/>
            </w:pPr>
            <w:r>
              <w:t xml:space="preserve">Palvelu</w:t>
            </w:r>
          </w:p>
        </w:tc>
      </w:tr>
      <w:tr>
        <w:tc>
          <w:tcPr/>
          <w:p>
            <w:pPr>
              <w:pStyle w:val="Compact"/>
              <w:jc w:val="left"/>
            </w:pPr>
            <w:r>
              <w:t xml:space="preserve">secure-email-proton</w:t>
            </w:r>
          </w:p>
        </w:tc>
        <w:tc>
          <w:tcPr/>
          <w:p>
            <w:pPr>
              <w:pStyle w:val="Compact"/>
              <w:jc w:val="left"/>
            </w:pPr>
            <w:r>
              <w:t xml:space="preserve">Protonmail-toteutus</w:t>
            </w:r>
          </w:p>
        </w:tc>
        <w:tc>
          <w:tcPr/>
          <w:p>
            <w:pPr>
              <w:pStyle w:val="Compact"/>
              <w:jc w:val="left"/>
            </w:pPr>
            <w:r>
              <w:t xml:space="preserve">€499</w:t>
            </w:r>
          </w:p>
        </w:tc>
        <w:tc>
          <w:tcPr/>
          <w:p>
            <w:pPr>
              <w:pStyle w:val="Compact"/>
              <w:jc w:val="left"/>
            </w:pPr>
            <w:r>
              <w:t xml:space="preserve">Palvelu</w:t>
            </w:r>
          </w:p>
        </w:tc>
      </w:tr>
      <w:tr>
        <w:tc>
          <w:tcPr/>
          <w:p>
            <w:pPr>
              <w:pStyle w:val="Compact"/>
              <w:jc w:val="left"/>
            </w:pPr>
            <w:r>
              <w:t xml:space="preserve">ai-koulutus-3d</w:t>
            </w:r>
          </w:p>
        </w:tc>
        <w:tc>
          <w:tcPr/>
          <w:p>
            <w:pPr>
              <w:pStyle w:val="Compact"/>
              <w:jc w:val="left"/>
            </w:pPr>
            <w:r>
              <w:t xml:space="preserve">AI Koulutus 3 päivää</w:t>
            </w:r>
          </w:p>
        </w:tc>
        <w:tc>
          <w:tcPr/>
          <w:p>
            <w:pPr>
              <w:pStyle w:val="Compact"/>
              <w:jc w:val="left"/>
            </w:pPr>
            <w:r>
              <w:t xml:space="preserve">€6 250</w:t>
            </w:r>
          </w:p>
        </w:tc>
        <w:tc>
          <w:tcPr/>
          <w:p>
            <w:pPr>
              <w:pStyle w:val="Compact"/>
              <w:jc w:val="left"/>
            </w:pPr>
            <w:r>
              <w:t xml:space="preserve">Koulutus</w:t>
            </w:r>
          </w:p>
        </w:tc>
      </w:tr>
    </w:tbl>
    <w:bookmarkEnd w:id="205"/>
    <w:bookmarkStart w:id="206" w:name="Xff6a1f89fc28b82bc5bce11b3662883d7f93562"/>
    <w:p>
      <w:pPr>
        <w:pStyle w:val="Heading2"/>
      </w:pPr>
      <w:r>
        <w:t xml:space="preserve">Liite C: Lifetime Scope Signals -protokollan skeema</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"Lifetime Scope Signals v1.0"</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"1.0"</w:t>
      </w:r>
      <w:r>
        <w:rPr>
          <w:rStyle w:val="FunctionTok"/>
        </w:rPr>
        <w:t xml:space="preserve">,</w:t>
      </w:r>
      <w:r>
        <w:br/>
      </w:r>
      <w:r>
        <w:rPr>
          <w:rStyle w:val="NormalTok"/>
        </w:rPr>
        <w:t xml:space="preserve">  </w:t>
      </w:r>
      <w:r>
        <w:rPr>
          <w:rStyle w:val="DataTypeTok"/>
        </w:rPr>
        <w:t xml:space="preserve">"launch_date"</w:t>
      </w:r>
      <w:r>
        <w:rPr>
          <w:rStyle w:val="FunctionTok"/>
        </w:rPr>
        <w:t xml:space="preserve">:</w:t>
      </w:r>
      <w:r>
        <w:rPr>
          <w:rStyle w:val="NormalTok"/>
        </w:rPr>
        <w:t xml:space="preserve"> </w:t>
      </w:r>
      <w:r>
        <w:rPr>
          <w:rStyle w:val="StringTok"/>
        </w:rPr>
        <w:t xml:space="preserve">"2026-02-23"</w:t>
      </w:r>
      <w:r>
        <w:rPr>
          <w:rStyle w:val="FunctionTok"/>
        </w:rPr>
        <w:t xml:space="preserve">,</w:t>
      </w:r>
      <w:r>
        <w:br/>
      </w:r>
      <w:r>
        <w:rPr>
          <w:rStyle w:val="NormalTok"/>
        </w:rPr>
        <w:t xml:space="preserve">  </w:t>
      </w:r>
      <w:r>
        <w:rPr>
          <w:rStyle w:val="DataTypeTok"/>
        </w:rPr>
        <w:t xml:space="preserve">"signal_format"</w:t>
      </w:r>
      <w:r>
        <w:rPr>
          <w:rStyle w:val="FunctionTok"/>
        </w:rPr>
        <w:t xml:space="preserve">:</w:t>
      </w:r>
      <w:r>
        <w:rPr>
          <w:rStyle w:val="NormalTok"/>
        </w:rPr>
        <w:t xml:space="preserve"> </w:t>
      </w:r>
      <w:r>
        <w:rPr>
          <w:rStyle w:val="StringTok"/>
        </w:rPr>
        <w:t xml:space="preserve">"[AGENT-XX]:SIGNAL_TYPE:MILESTONE:TIMESTAMP"</w:t>
      </w:r>
      <w:r>
        <w:rPr>
          <w:rStyle w:val="FunctionTok"/>
        </w:rPr>
        <w:t xml:space="preserve">,</w:t>
      </w:r>
      <w:r>
        <w:br/>
      </w:r>
      <w:r>
        <w:rPr>
          <w:rStyle w:val="NormalTok"/>
        </w:rPr>
        <w:t xml:space="preserve">  </w:t>
      </w:r>
      <w:r>
        <w:rPr>
          <w:rStyle w:val="DataTypeTok"/>
        </w:rPr>
        <w:t xml:space="preserve">"signal_types"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"READY"</w:t>
      </w:r>
      <w:r>
        <w:rPr>
          <w:rStyle w:val="FunctionTok"/>
        </w:rPr>
        <w:t xml:space="preserve">:</w:t>
      </w:r>
      <w:r>
        <w:rPr>
          <w:rStyle w:val="NormalTok"/>
        </w:rPr>
        <w:t xml:space="preserve"> </w:t>
      </w:r>
      <w:r>
        <w:rPr>
          <w:rStyle w:val="StringTok"/>
        </w:rPr>
        <w:t xml:space="preserve">"Virstanpylväs saavutettu, vapauttaa alavirran agentit"</w:t>
      </w:r>
      <w:r>
        <w:rPr>
          <w:rStyle w:val="FunctionTok"/>
        </w:rPr>
        <w:t xml:space="preserve">,</w:t>
      </w:r>
      <w:r>
        <w:br/>
      </w:r>
      <w:r>
        <w:rPr>
          <w:rStyle w:val="NormalTok"/>
        </w:rPr>
        <w:t xml:space="preserve">    </w:t>
      </w:r>
      <w:r>
        <w:rPr>
          <w:rStyle w:val="DataTypeTok"/>
        </w:rPr>
        <w:t xml:space="preserve">"COMPLETE"</w:t>
      </w:r>
      <w:r>
        <w:rPr>
          <w:rStyle w:val="FunctionTok"/>
        </w:rPr>
        <w:t xml:space="preserve">:</w:t>
      </w:r>
      <w:r>
        <w:rPr>
          <w:rStyle w:val="NormalTok"/>
        </w:rPr>
        <w:t xml:space="preserve"> </w:t>
      </w:r>
      <w:r>
        <w:rPr>
          <w:rStyle w:val="StringTok"/>
        </w:rPr>
        <w:t xml:space="preserve">"Kaikki agentin työ valmis"</w:t>
      </w:r>
      <w:r>
        <w:rPr>
          <w:rStyle w:val="FunctionTok"/>
        </w:rPr>
        <w:t xml:space="preserve">,</w:t>
      </w:r>
      <w:r>
        <w:br/>
      </w:r>
      <w:r>
        <w:rPr>
          <w:rStyle w:val="NormalTok"/>
        </w:rPr>
        <w:t xml:space="preserve">    </w:t>
      </w:r>
      <w:r>
        <w:rPr>
          <w:rStyle w:val="DataTypeTok"/>
        </w:rPr>
        <w:t xml:space="preserve">"ERROR"</w:t>
      </w:r>
      <w:r>
        <w:rPr>
          <w:rStyle w:val="FunctionTok"/>
        </w:rPr>
        <w:t xml:space="preserve">:</w:t>
      </w:r>
      <w:r>
        <w:rPr>
          <w:rStyle w:val="NormalTok"/>
        </w:rPr>
        <w:t xml:space="preserve"> </w:t>
      </w:r>
      <w:r>
        <w:rPr>
          <w:rStyle w:val="StringTok"/>
        </w:rPr>
        <w:t xml:space="preserve">"Agentti kohtasi virheen"</w:t>
      </w:r>
      <w:r>
        <w:rPr>
          <w:rStyle w:val="FunctionTok"/>
        </w:rPr>
        <w:t xml:space="preserve">,</w:t>
      </w:r>
      <w:r>
        <w:br/>
      </w:r>
      <w:r>
        <w:rPr>
          <w:rStyle w:val="NormalTok"/>
        </w:rPr>
        <w:t xml:space="preserve">    </w:t>
      </w:r>
      <w:r>
        <w:rPr>
          <w:rStyle w:val="DataTypeTok"/>
        </w:rPr>
        <w:t xml:space="preserve">"BLOCKED"</w:t>
      </w:r>
      <w:r>
        <w:rPr>
          <w:rStyle w:val="FunctionTok"/>
        </w:rPr>
        <w:t xml:space="preserve">:</w:t>
      </w:r>
      <w:r>
        <w:rPr>
          <w:rStyle w:val="NormalTok"/>
        </w:rPr>
        <w:t xml:space="preserve"> </w:t>
      </w:r>
      <w:r>
        <w:rPr>
          <w:rStyle w:val="StringTok"/>
        </w:rPr>
        <w:t xml:space="preserve">"Odottaa ulkoista riippuvuutta"</w:t>
      </w:r>
      <w:r>
        <w:br/>
      </w:r>
      <w:r>
        <w:rPr>
          <w:rStyle w:val="NormalTok"/>
        </w:rPr>
        <w:t xml:space="preserve">  </w:t>
      </w:r>
      <w:r>
        <w:rPr>
          <w:rStyle w:val="FunctionTok"/>
        </w:rPr>
        <w:t xml:space="preserve">}</w:t>
      </w:r>
      <w:r>
        <w:br/>
      </w:r>
      <w:r>
        <w:rPr>
          <w:rStyle w:val="FunctionTok"/>
        </w:rPr>
        <w:t xml:space="preserve">}</w:t>
      </w:r>
    </w:p>
    <w:bookmarkEnd w:id="206"/>
    <w:bookmarkStart w:id="211" w:name="X0fe7b1004e8a556ff34b38eb864eac2a2290648"/>
    <w:p>
      <w:pPr>
        <w:pStyle w:val="Heading2"/>
      </w:pPr>
      <w:r>
        <w:t xml:space="preserve">Liite D: Tekoälyagenttien toimintaohjeet (Karpathyn periaatteet)</w:t>
      </w:r>
    </w:p>
    <w:bookmarkStart w:id="207" w:name="d.1-tausta"/>
    <w:p>
      <w:pPr>
        <w:pStyle w:val="Heading3"/>
      </w:pPr>
      <w:r>
        <w:t xml:space="preserve">D.1 Tausta</w:t>
      </w:r>
    </w:p>
    <w:p>
      <w:pPr>
        <w:pStyle w:val="FirstParagraph"/>
      </w:pPr>
      <w:r>
        <w:t xml:space="preserve">DWS6-projekti otti käyttöön tekoälykoodausagenttien toimintaohjeet, jotka perustuvat</w:t>
      </w:r>
      <w:r>
        <w:t xml:space="preserve"> </w:t>
      </w:r>
      <w:r>
        <w:rPr>
          <w:bCs/>
          <w:b/>
        </w:rPr>
        <w:t xml:space="preserve">Andrej Karpathyn viraaliin tekoälykoodausohjeistukseen</w:t>
      </w:r>
      <w:r>
        <w:t xml:space="preserve">. Nämä ohjeet on dokumentoitu repositorion</w:t>
      </w:r>
      <w:r>
        <w:t xml:space="preserve"> </w:t>
      </w:r>
      <w:r>
        <w:rPr>
          <w:rStyle w:val="VerbatimChar"/>
        </w:rPr>
        <w:t xml:space="preserve">CLAUDE.md</w:t>
      </w:r>
      <w:r>
        <w:t xml:space="preserve">-tiedostossa ja ne varmistavat johdonmukaisen, laadukkaan tekoäly-ihminen-yhteistyön agenttipohjaisissa koodaustyönkuluissa.</w:t>
      </w:r>
    </w:p>
    <w:bookmarkEnd w:id="207"/>
    <w:bookmarkStart w:id="208" w:name="d.2-perusfilosofia"/>
    <w:p>
      <w:pPr>
        <w:pStyle w:val="Heading3"/>
      </w:pPr>
      <w:r>
        <w:t xml:space="preserve">D.2 Perusfilosofia</w:t>
      </w:r>
    </w:p>
    <w:p>
      <w:pPr>
        <w:pStyle w:val="SourceCode"/>
      </w:pPr>
      <w:r>
        <w:rPr>
          <w:rStyle w:val="VerbatimChar"/>
        </w:rPr>
        <w:t xml:space="preserve">"Sinä olet kädet; ihminen on arkkitehti.</w:t>
      </w:r>
      <w:r>
        <w:br/>
      </w:r>
      <w:r>
        <w:rPr>
          <w:rStyle w:val="VerbatimChar"/>
        </w:rPr>
        <w:t xml:space="preserve">Liiku nopeasti, mutta älä koskaan nopeammin kuin ihminen voi varmistaa.</w:t>
      </w:r>
      <w:r>
        <w:br/>
      </w:r>
      <w:r>
        <w:rPr>
          <w:rStyle w:val="VerbatimChar"/>
        </w:rPr>
        <w:t xml:space="preserve">Koodiasi tarkkaillaan — kirjoita sen mukaisesti."</w:t>
      </w:r>
    </w:p>
    <w:bookmarkEnd w:id="208"/>
    <w:bookmarkStart w:id="209" w:name="d.3-kriittiset-käyttäytymismallit"/>
    <w:p>
      <w:pPr>
        <w:pStyle w:val="Heading3"/>
      </w:pPr>
      <w:r>
        <w:t xml:space="preserve">D.3 Kriittiset käyttäytymismallit</w:t>
      </w:r>
    </w:p>
    <w:tbl>
      <w:tblPr>
        <w:tblStyle w:val="Table"/>
        <w:tblW w:type="pct" w:w="5000"/>
        <w:tblLook w:firstRow="1" w:lastRow="0" w:firstColumn="0" w:lastColumn="0" w:noHBand="0" w:noVBand="0" w:val="0020"/>
        <w:jc w:val="start"/>
      </w:tblPr>
      <w:tblGrid>
        <w:gridCol w:w="193"/>
        <w:gridCol w:w="1931"/>
        <w:gridCol w:w="3670"/>
        <w:gridCol w:w="2124"/>
      </w:tblGrid>
      <w:tr>
        <w:trPr>
          <w:tblHeader w:val="true"/>
        </w:trPr>
        <w:tc>
          <w:tcPr/>
          <w:p>
            <w:pPr>
              <w:pStyle w:val="Compact"/>
              <w:jc w:val="left"/>
            </w:pPr>
            <w:r>
              <w:t xml:space="preserve">#</w:t>
            </w:r>
          </w:p>
        </w:tc>
        <w:tc>
          <w:tcPr/>
          <w:p>
            <w:pPr>
              <w:pStyle w:val="Compact"/>
              <w:jc w:val="left"/>
            </w:pPr>
            <w:r>
              <w:t xml:space="preserve">Käyttäytyminen</w:t>
            </w:r>
          </w:p>
        </w:tc>
        <w:tc>
          <w:tcPr/>
          <w:p>
            <w:pPr>
              <w:pStyle w:val="Compact"/>
              <w:jc w:val="left"/>
            </w:pPr>
            <w:r>
              <w:t xml:space="preserve">Kuvaus</w:t>
            </w:r>
          </w:p>
        </w:tc>
        <w:tc>
          <w:tcPr/>
          <w:p>
            <w:pPr>
              <w:pStyle w:val="Compact"/>
              <w:jc w:val="left"/>
            </w:pPr>
            <w:r>
              <w:t xml:space="preserve">EU:n tekoälysäädöksen yhteys</w:t>
            </w:r>
          </w:p>
        </w:tc>
      </w:tr>
      <w:tr>
        <w:tc>
          <w:tcPr/>
          <w:p>
            <w:pPr>
              <w:pStyle w:val="Compact"/>
              <w:jc w:val="left"/>
            </w:pPr>
            <w:r>
              <w:t xml:space="preserve">1</w:t>
            </w:r>
          </w:p>
        </w:tc>
        <w:tc>
          <w:tcPr/>
          <w:p>
            <w:pPr>
              <w:pStyle w:val="Compact"/>
              <w:jc w:val="left"/>
            </w:pPr>
            <w:r>
              <w:rPr>
                <w:bCs/>
                <w:b/>
              </w:rPr>
              <w:t xml:space="preserve">Oletusten esiin tuominen</w:t>
            </w:r>
          </w:p>
        </w:tc>
        <w:tc>
          <w:tcPr/>
          <w:p>
            <w:pPr>
              <w:pStyle w:val="Compact"/>
              <w:jc w:val="left"/>
            </w:pPr>
            <w:r>
              <w:t xml:space="preserve">Ilmaise oletukset eksplisiittisesti ennen toteutusta</w:t>
            </w:r>
          </w:p>
        </w:tc>
        <w:tc>
          <w:tcPr/>
          <w:p>
            <w:pPr>
              <w:pStyle w:val="Compact"/>
              <w:jc w:val="left"/>
            </w:pPr>
            <w:r>
              <w:t xml:space="preserve">Tukee päättelyketjua (Artikla 12)</w:t>
            </w:r>
          </w:p>
        </w:tc>
      </w:tr>
      <w:tr>
        <w:tc>
          <w:tcPr/>
          <w:p>
            <w:pPr>
              <w:pStyle w:val="Compact"/>
              <w:jc w:val="left"/>
            </w:pPr>
            <w:r>
              <w:t xml:space="preserve">2</w:t>
            </w:r>
          </w:p>
        </w:tc>
        <w:tc>
          <w:tcPr/>
          <w:p>
            <w:pPr>
              <w:pStyle w:val="Compact"/>
              <w:jc w:val="left"/>
            </w:pPr>
            <w:r>
              <w:rPr>
                <w:bCs/>
                <w:b/>
              </w:rPr>
              <w:t xml:space="preserve">Sekaannusten hallinta</w:t>
            </w:r>
          </w:p>
        </w:tc>
        <w:tc>
          <w:tcPr/>
          <w:p>
            <w:pPr>
              <w:pStyle w:val="Compact"/>
              <w:jc w:val="left"/>
            </w:pPr>
            <w:r>
              <w:t xml:space="preserve">PYSÄHDY kun olet hämmentynyt; kysy tarkentavia kysymyksiä</w:t>
            </w:r>
          </w:p>
        </w:tc>
        <w:tc>
          <w:tcPr/>
          <w:p>
            <w:pPr>
              <w:pStyle w:val="Compact"/>
              <w:jc w:val="left"/>
            </w:pPr>
            <w:r>
              <w:t xml:space="preserve">Estää autonomiset virheet</w:t>
            </w:r>
          </w:p>
        </w:tc>
      </w:tr>
      <w:tr>
        <w:tc>
          <w:tcPr/>
          <w:p>
            <w:pPr>
              <w:pStyle w:val="Compact"/>
              <w:jc w:val="left"/>
            </w:pPr>
            <w:r>
              <w:t xml:space="preserve">3</w:t>
            </w:r>
          </w:p>
        </w:tc>
        <w:tc>
          <w:tcPr/>
          <w:p>
            <w:pPr>
              <w:pStyle w:val="Compact"/>
              <w:jc w:val="left"/>
            </w:pPr>
            <w:r>
              <w:rPr>
                <w:bCs/>
                <w:b/>
              </w:rPr>
              <w:t xml:space="preserve">Vastustaminen tarvittaessa</w:t>
            </w:r>
          </w:p>
        </w:tc>
        <w:tc>
          <w:tcPr/>
          <w:p>
            <w:pPr>
              <w:pStyle w:val="Compact"/>
              <w:jc w:val="left"/>
            </w:pPr>
            <w:r>
              <w:t xml:space="preserve">Osoita ongelmat suoraan</w:t>
            </w:r>
          </w:p>
        </w:tc>
        <w:tc>
          <w:tcPr/>
          <w:p>
            <w:pPr>
              <w:pStyle w:val="Compact"/>
              <w:jc w:val="left"/>
            </w:pPr>
            <w:r>
              <w:t xml:space="preserve">Varmistaa ihmisen valvonnan</w:t>
            </w:r>
          </w:p>
        </w:tc>
      </w:tr>
      <w:tr>
        <w:tc>
          <w:tcPr/>
          <w:p>
            <w:pPr>
              <w:pStyle w:val="Compact"/>
              <w:jc w:val="left"/>
            </w:pPr>
            <w:r>
              <w:t xml:space="preserve">4</w:t>
            </w:r>
          </w:p>
        </w:tc>
        <w:tc>
          <w:tcPr/>
          <w:p>
            <w:pPr>
              <w:pStyle w:val="Compact"/>
              <w:jc w:val="left"/>
            </w:pPr>
            <w:r>
              <w:rPr>
                <w:bCs/>
                <w:b/>
              </w:rPr>
              <w:t xml:space="preserve">Yksinkertaisuuden valvonta</w:t>
            </w:r>
          </w:p>
        </w:tc>
        <w:tc>
          <w:tcPr/>
          <w:p>
            <w:pPr>
              <w:pStyle w:val="Compact"/>
              <w:jc w:val="left"/>
            </w:pPr>
            <w:r>
              <w:t xml:space="preserve">Vastusta aktiivisesti ylimonimutkaistamista</w:t>
            </w:r>
          </w:p>
        </w:tc>
        <w:tc>
          <w:tcPr/>
          <w:p>
            <w:pPr>
              <w:pStyle w:val="Compact"/>
              <w:jc w:val="left"/>
            </w:pPr>
            <w:r>
              <w:t xml:space="preserve">Ylläpidettävyys</w:t>
            </w:r>
          </w:p>
        </w:tc>
      </w:tr>
      <w:tr>
        <w:tc>
          <w:tcPr/>
          <w:p>
            <w:pPr>
              <w:pStyle w:val="Compact"/>
              <w:jc w:val="left"/>
            </w:pPr>
            <w:r>
              <w:t xml:space="preserve">5</w:t>
            </w:r>
          </w:p>
        </w:tc>
        <w:tc>
          <w:tcPr/>
          <w:p>
            <w:pPr>
              <w:pStyle w:val="Compact"/>
              <w:jc w:val="left"/>
            </w:pPr>
            <w:r>
              <w:rPr>
                <w:bCs/>
                <w:b/>
              </w:rPr>
              <w:t xml:space="preserve">Laajuuskuri</w:t>
            </w:r>
          </w:p>
        </w:tc>
        <w:tc>
          <w:tcPr/>
          <w:p>
            <w:pPr>
              <w:pStyle w:val="Compact"/>
              <w:jc w:val="left"/>
            </w:pPr>
            <w:r>
              <w:t xml:space="preserve">Koske vain sitä, mitä pyydetään</w:t>
            </w:r>
          </w:p>
        </w:tc>
        <w:tc>
          <w:tcPr/>
          <w:p>
            <w:pPr>
              <w:pStyle w:val="Compact"/>
              <w:jc w:val="left"/>
            </w:pPr>
            <w:r>
              <w:t xml:space="preserve">Auditointipolun selkeys</w:t>
            </w:r>
          </w:p>
        </w:tc>
      </w:tr>
      <w:tr>
        <w:tc>
          <w:tcPr/>
          <w:p>
            <w:pPr>
              <w:pStyle w:val="Compact"/>
              <w:jc w:val="left"/>
            </w:pPr>
            <w:r>
              <w:t xml:space="preserve">6</w:t>
            </w:r>
          </w:p>
        </w:tc>
        <w:tc>
          <w:tcPr/>
          <w:p>
            <w:pPr>
              <w:pStyle w:val="Compact"/>
              <w:jc w:val="left"/>
            </w:pPr>
            <w:r>
              <w:rPr>
                <w:bCs/>
                <w:b/>
              </w:rPr>
              <w:t xml:space="preserve">Kuolleen koodin hygienia</w:t>
            </w:r>
          </w:p>
        </w:tc>
        <w:tc>
          <w:tcPr/>
          <w:p>
            <w:pPr>
              <w:pStyle w:val="Compact"/>
              <w:jc w:val="left"/>
            </w:pPr>
            <w:r>
              <w:t xml:space="preserve">Kysy ennen käyttämättömän koodin poistamista</w:t>
            </w:r>
          </w:p>
        </w:tc>
        <w:tc>
          <w:tcPr/>
          <w:p>
            <w:pPr>
              <w:pStyle w:val="Compact"/>
              <w:jc w:val="left"/>
            </w:pPr>
            <w:r>
              <w:t xml:space="preserve">Muutosdokumentaatio</w:t>
            </w:r>
          </w:p>
        </w:tc>
      </w:tr>
    </w:tbl>
    <w:bookmarkEnd w:id="209"/>
    <w:bookmarkStart w:id="210" w:name="d.4-toteutuksen-tulokset"/>
    <w:p>
      <w:pPr>
        <w:pStyle w:val="Heading3"/>
      </w:pPr>
      <w:r>
        <w:t xml:space="preserve">D.4 Toteutuksen tulokset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Mittari</w:t>
            </w:r>
          </w:p>
        </w:tc>
        <w:tc>
          <w:tcPr/>
          <w:p>
            <w:pPr>
              <w:pStyle w:val="Compact"/>
              <w:jc w:val="left"/>
            </w:pPr>
            <w:r>
              <w:t xml:space="preserve">Ennen</w:t>
            </w:r>
          </w:p>
        </w:tc>
        <w:tc>
          <w:tcPr/>
          <w:p>
            <w:pPr>
              <w:pStyle w:val="Compact"/>
              <w:jc w:val="left"/>
            </w:pPr>
            <w:r>
              <w:t xml:space="preserve">Jälkeen</w:t>
            </w:r>
          </w:p>
        </w:tc>
        <w:tc>
          <w:tcPr/>
          <w:p>
            <w:pPr>
              <w:pStyle w:val="Compact"/>
              <w:jc w:val="left"/>
            </w:pPr>
            <w:r>
              <w:t xml:space="preserve">Parannus</w:t>
            </w:r>
          </w:p>
        </w:tc>
      </w:tr>
      <w:tr>
        <w:tc>
          <w:tcPr/>
          <w:p>
            <w:pPr>
              <w:pStyle w:val="Compact"/>
              <w:jc w:val="left"/>
            </w:pPr>
            <w:r>
              <w:t xml:space="preserve">Kooditarkastuksen hylkäykset</w:t>
            </w:r>
          </w:p>
        </w:tc>
        <w:tc>
          <w:tcPr/>
          <w:p>
            <w:pPr>
              <w:pStyle w:val="Compact"/>
              <w:jc w:val="left"/>
            </w:pPr>
            <w:r>
              <w:t xml:space="preserve">15 %</w:t>
            </w:r>
          </w:p>
        </w:tc>
        <w:tc>
          <w:tcPr/>
          <w:p>
            <w:pPr>
              <w:pStyle w:val="Compact"/>
              <w:jc w:val="left"/>
            </w:pPr>
            <w:r>
              <w:t xml:space="preserve">3 %</w:t>
            </w:r>
          </w:p>
        </w:tc>
        <w:tc>
          <w:tcPr/>
          <w:p>
            <w:pPr>
              <w:pStyle w:val="Compact"/>
              <w:jc w:val="left"/>
            </w:pPr>
            <w:r>
              <w:t xml:space="preserve">80 % vähennys</w:t>
            </w:r>
          </w:p>
        </w:tc>
      </w:tr>
      <w:tr>
        <w:tc>
          <w:tcPr/>
          <w:p>
            <w:pPr>
              <w:pStyle w:val="Compact"/>
              <w:jc w:val="left"/>
            </w:pPr>
            <w:r>
              <w:t xml:space="preserve">Epäselvät muutosperusteet</w:t>
            </w:r>
          </w:p>
        </w:tc>
        <w:tc>
          <w:tcPr/>
          <w:p>
            <w:pPr>
              <w:pStyle w:val="Compact"/>
              <w:jc w:val="left"/>
            </w:pPr>
            <w:r>
              <w:t xml:space="preserve">25 %</w:t>
            </w:r>
          </w:p>
        </w:tc>
        <w:tc>
          <w:tcPr/>
          <w:p>
            <w:pPr>
              <w:pStyle w:val="Compact"/>
              <w:jc w:val="left"/>
            </w:pPr>
            <w:r>
              <w:t xml:space="preserve">5 %</w:t>
            </w:r>
          </w:p>
        </w:tc>
        <w:tc>
          <w:tcPr/>
          <w:p>
            <w:pPr>
              <w:pStyle w:val="Compact"/>
              <w:jc w:val="left"/>
            </w:pPr>
            <w:r>
              <w:t xml:space="preserve">80 % vähennys</w:t>
            </w:r>
          </w:p>
        </w:tc>
      </w:tr>
      <w:tr>
        <w:tc>
          <w:tcPr/>
          <w:p>
            <w:pPr>
              <w:pStyle w:val="Compact"/>
              <w:jc w:val="left"/>
            </w:pPr>
            <w:r>
              <w:t xml:space="preserve">Luvattomat laajuusmuutokset</w:t>
            </w:r>
          </w:p>
        </w:tc>
        <w:tc>
          <w:tcPr/>
          <w:p>
            <w:pPr>
              <w:pStyle w:val="Compact"/>
              <w:jc w:val="left"/>
            </w:pPr>
            <w:r>
              <w:t xml:space="preserve">10 %</w:t>
            </w:r>
          </w:p>
        </w:tc>
        <w:tc>
          <w:tcPr/>
          <w:p>
            <w:pPr>
              <w:pStyle w:val="Compact"/>
              <w:jc w:val="left"/>
            </w:pPr>
            <w:r>
              <w:t xml:space="preserve">&lt;1 %</w:t>
            </w:r>
          </w:p>
        </w:tc>
        <w:tc>
          <w:tcPr/>
          <w:p>
            <w:pPr>
              <w:pStyle w:val="Compact"/>
              <w:jc w:val="left"/>
            </w:pPr>
            <w:r>
              <w:t xml:space="preserve">90 % vähennys</w:t>
            </w:r>
          </w:p>
        </w:tc>
      </w:tr>
      <w:tr>
        <w:tc>
          <w:tcPr/>
          <w:p>
            <w:pPr>
              <w:pStyle w:val="Compact"/>
              <w:jc w:val="left"/>
            </w:pPr>
            <w:r>
              <w:t xml:space="preserve">Dokumentaation kattavuus</w:t>
            </w:r>
          </w:p>
        </w:tc>
        <w:tc>
          <w:tcPr/>
          <w:p>
            <w:pPr>
              <w:pStyle w:val="Compact"/>
              <w:jc w:val="left"/>
            </w:pPr>
            <w:r>
              <w:t xml:space="preserve">60 %</w:t>
            </w:r>
          </w:p>
        </w:tc>
        <w:tc>
          <w:tcPr/>
          <w:p>
            <w:pPr>
              <w:pStyle w:val="Compact"/>
              <w:jc w:val="left"/>
            </w:pPr>
            <w:r>
              <w:t xml:space="preserve">95 %</w:t>
            </w:r>
          </w:p>
        </w:tc>
        <w:tc>
          <w:tcPr/>
          <w:p>
            <w:pPr>
              <w:pStyle w:val="Compact"/>
              <w:jc w:val="left"/>
            </w:pPr>
            <w:r>
              <w:t xml:space="preserve">58 % parannus</w:t>
            </w:r>
          </w:p>
        </w:tc>
      </w:tr>
    </w:tbl>
    <w:bookmarkEnd w:id="210"/>
    <w:bookmarkEnd w:id="211"/>
    <w:bookmarkStart w:id="214" w:name="Xac41f787b094d1bddfcce7ee07d23653e68d7a3"/>
    <w:p>
      <w:pPr>
        <w:pStyle w:val="Heading2"/>
      </w:pPr>
      <w:r>
        <w:t xml:space="preserve">Liite E: AI-Mallien koulutusinfrastruktuuri</w:t>
      </w:r>
    </w:p>
    <w:bookmarkStart w:id="212" w:name="lifetime-world-model-lwm--koulutusputki"/>
    <w:p>
      <w:pPr>
        <w:pStyle w:val="Heading3"/>
      </w:pPr>
      <w:r>
        <w:t xml:space="preserve">Lifetime World Model (LWM) -koulutusputki</w:t>
      </w:r>
    </w:p>
    <w:p>
      <w:pPr>
        <w:pStyle w:val="FirstParagraph"/>
      </w:pPr>
      <w:r>
        <w:rPr>
          <w:bCs/>
          <w:b/>
        </w:rPr>
        <w:t xml:space="preserve">Laitteisto:</w:t>
      </w:r>
    </w:p>
    <w:p>
      <w:pPr>
        <w:numPr>
          <w:ilvl w:val="0"/>
          <w:numId w:val="1070"/>
        </w:numPr>
        <w:pStyle w:val="Compact"/>
      </w:pPr>
      <w:r>
        <w:rPr>
          <w:bCs/>
          <w:b/>
        </w:rPr>
        <w:t xml:space="preserve">Ensisijainen:</w:t>
      </w:r>
      <w:r>
        <w:t xml:space="preserve"> </w:t>
      </w:r>
      <w:r>
        <w:t xml:space="preserve">Acer Veriton GN-100 (omistettu, paikan päällä)</w:t>
      </w:r>
    </w:p>
    <w:p>
      <w:pPr>
        <w:numPr>
          <w:ilvl w:val="0"/>
          <w:numId w:val="1070"/>
        </w:numPr>
        <w:pStyle w:val="Compact"/>
      </w:pPr>
      <w:r>
        <w:rPr>
          <w:bCs/>
          <w:b/>
        </w:rPr>
        <w:t xml:space="preserve">Kiihdytin:</w:t>
      </w:r>
      <w:r>
        <w:t xml:space="preserve"> </w:t>
      </w:r>
      <w:r>
        <w:t xml:space="preserve">NVIDIA GB10 Grace Blackwell Superchip</w:t>
      </w:r>
    </w:p>
    <w:p>
      <w:pPr>
        <w:numPr>
          <w:ilvl w:val="0"/>
          <w:numId w:val="1070"/>
        </w:numPr>
        <w:pStyle w:val="Compact"/>
      </w:pPr>
      <w:r>
        <w:rPr>
          <w:bCs/>
          <w:b/>
        </w:rPr>
        <w:t xml:space="preserve">Laskentataho:</w:t>
      </w:r>
      <w:r>
        <w:t xml:space="preserve"> </w:t>
      </w:r>
      <w:r>
        <w:t xml:space="preserve">1 PetaFLOP paikallinen päättely</w:t>
      </w:r>
    </w:p>
    <w:p>
      <w:pPr>
        <w:numPr>
          <w:ilvl w:val="0"/>
          <w:numId w:val="1070"/>
        </w:numPr>
        <w:pStyle w:val="Compact"/>
      </w:pPr>
      <w:r>
        <w:rPr>
          <w:bCs/>
          <w:b/>
        </w:rPr>
        <w:t xml:space="preserve">Muisti:</w:t>
      </w:r>
      <w:r>
        <w:t xml:space="preserve"> </w:t>
      </w:r>
      <w:r>
        <w:t xml:space="preserve">128GB yhdistetty muisti</w:t>
      </w:r>
    </w:p>
    <w:p>
      <w:pPr>
        <w:pStyle w:val="FirstParagraph"/>
      </w:pPr>
      <w:r>
        <w:rPr>
          <w:bCs/>
          <w:b/>
        </w:rPr>
        <w:t xml:space="preserve">Koulutustyönkulku:</w:t>
      </w:r>
    </w:p>
    <w:p>
      <w:pPr>
        <w:numPr>
          <w:ilvl w:val="0"/>
          <w:numId w:val="1071"/>
        </w:numPr>
        <w:pStyle w:val="Compact"/>
      </w:pPr>
      <w:r>
        <w:t xml:space="preserve">Opetussuunnitelman suunnittelu (Claude API)</w:t>
      </w:r>
    </w:p>
    <w:p>
      <w:pPr>
        <w:numPr>
          <w:ilvl w:val="0"/>
          <w:numId w:val="1071"/>
        </w:numPr>
        <w:pStyle w:val="Compact"/>
      </w:pPr>
      <w:r>
        <w:t xml:space="preserve">Synteettisen datan generointi (Claude API, 2000+ esimerkkiä per toimiala)</w:t>
      </w:r>
    </w:p>
    <w:p>
      <w:pPr>
        <w:numPr>
          <w:ilvl w:val="0"/>
          <w:numId w:val="1071"/>
        </w:numPr>
        <w:pStyle w:val="Compact"/>
      </w:pPr>
      <w:r>
        <w:t xml:space="preserve">Paikallinen hienosäätö (Acer Veriton GN-100, QLoRA, 16h per malli)</w:t>
      </w:r>
    </w:p>
    <w:p>
      <w:pPr>
        <w:numPr>
          <w:ilvl w:val="0"/>
          <w:numId w:val="1071"/>
        </w:numPr>
        <w:pStyle w:val="Compact"/>
      </w:pPr>
      <w:r>
        <w:t xml:space="preserve">Arviointi &amp; käyttöönotto (Claude-as-judge, tavoite &gt;7.0/10)</w:t>
      </w:r>
    </w:p>
    <w:p>
      <w:pPr>
        <w:pStyle w:val="FirstParagraph"/>
      </w:pPr>
      <w:r>
        <w:rPr>
          <w:bCs/>
          <w:b/>
        </w:rPr>
        <w:t xml:space="preserve">Kustannus:</w:t>
      </w:r>
      <w:r>
        <w:t xml:space="preserve"> </w:t>
      </w:r>
      <w:r>
        <w:t xml:space="preserve">€80-125 per toimialamalli (vs. €15 000+ perinteisesti, 99% kustannusvähennys)</w:t>
      </w:r>
    </w:p>
    <w:bookmarkEnd w:id="212"/>
    <w:bookmarkStart w:id="213" w:name="Xacdb59f0b4a8c580a690848170b23754530b27c"/>
    <w:p>
      <w:pPr>
        <w:pStyle w:val="Heading3"/>
      </w:pPr>
      <w:r>
        <w:t xml:space="preserve">LWM-koulutus — Varmennettu laitteistotodellisuus (v3.88-täydennys)</w:t>
      </w:r>
    </w:p>
    <w:p>
      <w:pPr>
        <w:pStyle w:val="FirstParagraph"/>
      </w:pPr>
      <w:r>
        <w:rPr>
          <w:iCs/>
          <w:i/>
        </w:rPr>
        <w:t xml:space="preserve">Toteutusnäytön skooppikorjaus yllä olevaan putkeen (§1.4 master-vs-PhD-skooppisäännön mukaan). Yllä kuvattu toimialakohtainen QLoRA-hienosäätö — pienet mallit, ~16 h GN-100:lla — on toteutettavissa ja säilyy toimitettuna reittinä. Tämä alaluku tekee näkyväksi rajan jonka heinäkuun 2026 varmennus paljasti; yllä oleva teksti säilytetään muuttumattomana (Rule 12).</w:t>
      </w:r>
    </w:p>
    <w:p>
      <w:pPr>
        <w:pStyle w:val="BodyText"/>
      </w:pPr>
      <w:r>
        <w:rPr>
          <w:bCs/>
          <w:b/>
        </w:rPr>
        <w:t xml:space="preserve">GN-100 on reunainferenssi-/kehitysnode, ei koulutusklusteri.</w:t>
      </w:r>
      <w:r>
        <w:t xml:space="preserve"> </w:t>
      </w:r>
      <w:r>
        <w:t xml:space="preserve">Se hienosäätää (QLoRA) pieniä malleja (~7–13B) ja palvelee inferenssiä; se ei voi esikouluttaa täyttä ~55B Lifetime World Modelia. Koulutuksessa 55B-malli tarvitsee optimoijan tilat, gradientit ja aktivaatiot noin 8–16× inferenssin muistijalanjäljestä — satoja GB–TB ja moni-GPU-yhteydet — vastaan GN-100:n 128 GB yhtenäismuistia.</w:t>
      </w:r>
    </w:p>
    <w:p>
      <w:pPr>
        <w:pStyle w:val="BodyText"/>
      </w:pPr>
      <w:r>
        <w:rPr>
          <w:bCs/>
          <w:b/>
        </w:rPr>
        <w:t xml:space="preserve">On-prem</w:t>
      </w:r>
      <w:r>
        <w:rPr>
          <w:bCs/>
          <w:b/>
        </w:rPr>
        <w:t xml:space="preserve"> </w:t>
      </w:r>
      <w:r>
        <w:rPr>
          <w:bCs/>
          <w:b/>
        </w:rPr>
        <w:t xml:space="preserve">“</w:t>
      </w:r>
      <w:r>
        <w:rPr>
          <w:bCs/>
          <w:b/>
        </w:rPr>
        <w:t xml:space="preserve">Acer Node</w:t>
      </w:r>
      <w:r>
        <w:rPr>
          <w:bCs/>
          <w:b/>
        </w:rPr>
        <w:t xml:space="preserve">”</w:t>
      </w:r>
      <w:r>
        <w:rPr>
          <w:bCs/>
          <w:b/>
        </w:rPr>
        <w:t xml:space="preserve"> </w:t>
      </w:r>
      <w:r>
        <w:rPr>
          <w:bCs/>
          <w:b/>
        </w:rPr>
        <w:t xml:space="preserve">-täyskoulutus on Pending Hardware.</w:t>
      </w:r>
      <w:r>
        <w:t xml:space="preserve"> </w:t>
      </w:r>
      <w:r>
        <w:t xml:space="preserve">Repositorion varmennus (PR #1720, 24.07.2026) ei löytänyt koulutusputken koodia eikä go-live-merkintää, ja erikseen kuvattua koulutusnodea (x86, 2× RTX 4090) ei ole repositoriossa; ainoa dokumentoitu Acer-laite on Veriton GN-100 (ARM64 / GB10 reunainferenssi ja kehitys). Enterprise Model Training -reitti joka esitti on-prem-koulutuksen toimitettuna merkittiin uudelleen</w:t>
      </w:r>
      <w:r>
        <w:t xml:space="preserve"> </w:t>
      </w:r>
      <w:r>
        <w:t xml:space="preserve">“</w:t>
      </w:r>
      <w:r>
        <w:t xml:space="preserve">Pending Hardware, ei vielä varmennettu live</w:t>
      </w:r>
      <w:r>
        <w:t xml:space="preserve">”</w:t>
      </w:r>
      <w:r>
        <w:t xml:space="preserve">.</w:t>
      </w:r>
      <w:r>
        <w:t xml:space="preserve"> </w:t>
      </w:r>
      <w:r>
        <w:rPr>
          <w:bCs/>
          <w:b/>
        </w:rPr>
        <w:t xml:space="preserve">Pilvi (GCP A3 Mega) on ainoa käytettävissä oleva täyskoulutusreitti.</w:t>
      </w:r>
    </w:p>
    <w:p>
      <w:pPr>
        <w:pStyle w:val="BodyText"/>
      </w:pPr>
      <w:r>
        <w:rPr>
          <w:bCs/>
          <w:b/>
        </w:rPr>
        <w:t xml:space="preserve">Realistinen putki:</w:t>
      </w:r>
      <w:r>
        <w:t xml:space="preserve"> </w:t>
      </w:r>
      <w:r>
        <w:t xml:space="preserve">pilvi-esikoulutus / hienosäätö (GCP A3 Mega tai vuokra-H100/H200) → NVFP4-kvantisointi Blackwellille suunniteltuna → deploy GN-100:lle reunainferenssiin. Koulutus ja inferenssi ovat eri työkuormia eri laitteistolla.</w:t>
      </w:r>
    </w:p>
    <w:p>
      <w:pPr>
        <w:pStyle w:val="BodyText"/>
      </w:pPr>
      <w:r>
        <w:rPr>
          <w:bCs/>
          <w:b/>
        </w:rPr>
        <w:t xml:space="preserve">Token-capital-kehys:</w:t>
      </w:r>
      <w:r>
        <w:t xml:space="preserve"> </w:t>
      </w:r>
      <w:r>
        <w:t xml:space="preserve">puolustettava omaisuus ei ole from-scratch 55B vaan oppimissilmukka — privaatit evaluaatiot, RL-ympäristö ja adaptointi omalla operatiivisella (fleet-)datalla. Täysi 55B-esikoulutus on pilvi-CAPEXia joka ei itsessään tuota vallihautaa; omistettu silmukka tuottaa.</w:t>
      </w:r>
    </w:p>
    <w:p>
      <w:pPr>
        <w:pStyle w:val="BodyText"/>
      </w:pPr>
      <w:r>
        <w:t xml:space="preserve">Kumppani-lab-note:</w:t>
      </w:r>
      <w:r>
        <w:t xml:space="preserve"> </w:t>
      </w:r>
      <w:r>
        <w:rPr>
          <w:rStyle w:val="VerbatimChar"/>
        </w:rPr>
        <w:t xml:space="preserve">docs/lab-notes/2026-07-26-lwm-training-hardware-reality.md</w:t>
      </w:r>
      <w:r>
        <w:t xml:space="preserve">.</w:t>
      </w:r>
    </w:p>
    <w:bookmarkEnd w:id="213"/>
    <w:bookmarkEnd w:id="214"/>
    <w:bookmarkStart w:id="215" w:name="liite-f-v1.0-agenttilaivasto"/>
    <w:p>
      <w:pPr>
        <w:pStyle w:val="Heading2"/>
      </w:pPr>
      <w:r>
        <w:t xml:space="preserve">Liite F: V1.0 Agenttilaivasto</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Agentti ID</w:t>
            </w:r>
          </w:p>
        </w:tc>
        <w:tc>
          <w:tcPr/>
          <w:p>
            <w:pPr>
              <w:pStyle w:val="Compact"/>
              <w:jc w:val="left"/>
            </w:pPr>
            <w:r>
              <w:t xml:space="preserve">Nimi</w:t>
            </w:r>
          </w:p>
        </w:tc>
        <w:tc>
          <w:tcPr/>
          <w:p>
            <w:pPr>
              <w:pStyle w:val="Compact"/>
              <w:jc w:val="left"/>
            </w:pPr>
            <w:r>
              <w:t xml:space="preserve">Vaihe</w:t>
            </w:r>
          </w:p>
        </w:tc>
        <w:tc>
          <w:tcPr/>
          <w:p>
            <w:pPr>
              <w:pStyle w:val="Compact"/>
              <w:jc w:val="left"/>
            </w:pPr>
            <w:r>
              <w:t xml:space="preserve">Prioriteetti</w:t>
            </w:r>
          </w:p>
        </w:tc>
        <w:tc>
          <w:tcPr/>
          <w:p>
            <w:pPr>
              <w:pStyle w:val="Compact"/>
              <w:jc w:val="left"/>
            </w:pPr>
            <w:r>
              <w:t xml:space="preserve">Tila</w:t>
            </w:r>
          </w:p>
        </w:tc>
      </w:tr>
      <w:tr>
        <w:tc>
          <w:tcPr/>
          <w:p>
            <w:pPr>
              <w:pStyle w:val="Compact"/>
              <w:jc w:val="left"/>
            </w:pPr>
            <w:r>
              <w:t xml:space="preserve">Agent-01</w:t>
            </w:r>
          </w:p>
        </w:tc>
        <w:tc>
          <w:tcPr/>
          <w:p>
            <w:pPr>
              <w:pStyle w:val="Compact"/>
              <w:jc w:val="left"/>
            </w:pPr>
            <w:r>
              <w:t xml:space="preserve">DWS IQ Login</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Agent-02</w:t>
            </w:r>
          </w:p>
        </w:tc>
        <w:tc>
          <w:tcPr/>
          <w:p>
            <w:pPr>
              <w:pStyle w:val="Compact"/>
              <w:jc w:val="left"/>
            </w:pPr>
            <w:r>
              <w:t xml:space="preserve">Firehorse Apps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Agent-03</w:t>
            </w:r>
          </w:p>
        </w:tc>
        <w:tc>
          <w:tcPr/>
          <w:p>
            <w:pPr>
              <w:pStyle w:val="Compact"/>
              <w:jc w:val="left"/>
            </w:pPr>
            <w:r>
              <w:t xml:space="preserve">Customer Dashboard</w:t>
            </w:r>
          </w:p>
        </w:tc>
        <w:tc>
          <w:tcPr/>
          <w:p>
            <w:pPr>
              <w:pStyle w:val="Compact"/>
              <w:jc w:val="left"/>
            </w:pPr>
            <w:r>
              <w:t xml:space="preserve">3</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Agent-04</w:t>
            </w:r>
          </w:p>
        </w:tc>
        <w:tc>
          <w:tcPr/>
          <w:p>
            <w:pPr>
              <w:pStyle w:val="Compact"/>
              <w:jc w:val="left"/>
            </w:pPr>
            <w:r>
              <w:t xml:space="preserve">AI Agents</w:t>
            </w:r>
          </w:p>
        </w:tc>
        <w:tc>
          <w:tcPr/>
          <w:p>
            <w:pPr>
              <w:pStyle w:val="Compact"/>
              <w:jc w:val="left"/>
            </w:pPr>
            <w:r>
              <w:t xml:space="preserve">2</w:t>
            </w:r>
          </w:p>
        </w:tc>
        <w:tc>
          <w:tcPr/>
          <w:p>
            <w:pPr>
              <w:pStyle w:val="Compact"/>
              <w:jc w:val="left"/>
            </w:pPr>
            <w:r>
              <w:t xml:space="preserve">Kriittinen</w:t>
            </w:r>
          </w:p>
        </w:tc>
        <w:tc>
          <w:tcPr/>
          <w:p>
            <w:pPr>
              <w:pStyle w:val="Compact"/>
              <w:jc w:val="left"/>
            </w:pPr>
            <w:r>
              <w:t xml:space="preserve">Odottaa</w:t>
            </w:r>
          </w:p>
        </w:tc>
      </w:tr>
      <w:tr>
        <w:tc>
          <w:tcPr/>
          <w:p>
            <w:pPr>
              <w:pStyle w:val="Compact"/>
              <w:jc w:val="left"/>
            </w:pPr>
            <w:r>
              <w:t xml:space="preserve">Agent-05</w:t>
            </w:r>
          </w:p>
        </w:tc>
        <w:tc>
          <w:tcPr/>
          <w:p>
            <w:pPr>
              <w:pStyle w:val="Compact"/>
              <w:jc w:val="left"/>
            </w:pPr>
            <w:r>
              <w:t xml:space="preserve">Mobile Dashboard</w:t>
            </w:r>
          </w:p>
        </w:tc>
        <w:tc>
          <w:tcPr/>
          <w:p>
            <w:pPr>
              <w:pStyle w:val="Compact"/>
              <w:jc w:val="left"/>
            </w:pPr>
            <w:r>
              <w:t xml:space="preserve">3</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Agent-06</w:t>
            </w:r>
          </w:p>
        </w:tc>
        <w:tc>
          <w:tcPr/>
          <w:p>
            <w:pPr>
              <w:pStyle w:val="Compact"/>
              <w:jc w:val="left"/>
            </w:pPr>
            <w:r>
              <w:t xml:space="preserve">Enterprise</w:t>
            </w:r>
          </w:p>
        </w:tc>
        <w:tc>
          <w:tcPr/>
          <w:p>
            <w:pPr>
              <w:pStyle w:val="Compact"/>
              <w:jc w:val="left"/>
            </w:pPr>
            <w:r>
              <w:t xml:space="preserve">V1.1</w:t>
            </w:r>
          </w:p>
        </w:tc>
        <w:tc>
          <w:tcPr/>
          <w:p>
            <w:pPr>
              <w:pStyle w:val="Compact"/>
              <w:jc w:val="left"/>
            </w:pPr>
            <w:r>
              <w:t xml:space="preserve">Matala</w:t>
            </w:r>
          </w:p>
        </w:tc>
        <w:tc>
          <w:tcPr/>
          <w:p>
            <w:pPr>
              <w:pStyle w:val="Compact"/>
              <w:jc w:val="left"/>
            </w:pPr>
            <w:r>
              <w:t xml:space="preserve">Lykätty</w:t>
            </w:r>
          </w:p>
        </w:tc>
      </w:tr>
      <w:tr>
        <w:tc>
          <w:tcPr/>
          <w:p>
            <w:pPr>
              <w:pStyle w:val="Compact"/>
              <w:jc w:val="left"/>
            </w:pPr>
            <w:r>
              <w:t xml:space="preserve">Agent-07</w:t>
            </w:r>
          </w:p>
        </w:tc>
        <w:tc>
          <w:tcPr/>
          <w:p>
            <w:pPr>
              <w:pStyle w:val="Compact"/>
              <w:jc w:val="left"/>
            </w:pPr>
            <w:r>
              <w:t xml:space="preserve">Supabase Database</w:t>
            </w:r>
          </w:p>
        </w:tc>
        <w:tc>
          <w:tcPr/>
          <w:p>
            <w:pPr>
              <w:pStyle w:val="Compact"/>
              <w:jc w:val="left"/>
            </w:pPr>
            <w:r>
              <w:t xml:space="preserve">1</w:t>
            </w:r>
          </w:p>
        </w:tc>
        <w:tc>
          <w:tcPr/>
          <w:p>
            <w:pPr>
              <w:pStyle w:val="Compact"/>
              <w:jc w:val="left"/>
            </w:pPr>
            <w:r>
              <w:t xml:space="preserve">Kriittinen</w:t>
            </w:r>
          </w:p>
        </w:tc>
        <w:tc>
          <w:tcPr/>
          <w:p>
            <w:pPr>
              <w:pStyle w:val="Compact"/>
              <w:jc w:val="left"/>
            </w:pPr>
            <w:r>
              <w:t xml:space="preserve">Käynnissä</w:t>
            </w:r>
          </w:p>
        </w:tc>
      </w:tr>
      <w:tr>
        <w:tc>
          <w:tcPr/>
          <w:p>
            <w:pPr>
              <w:pStyle w:val="Compact"/>
              <w:jc w:val="left"/>
            </w:pPr>
            <w:r>
              <w:t xml:space="preserve">Agent-08</w:t>
            </w:r>
          </w:p>
        </w:tc>
        <w:tc>
          <w:tcPr/>
          <w:p>
            <w:pPr>
              <w:pStyle w:val="Compact"/>
              <w:jc w:val="left"/>
            </w:pPr>
            <w:r>
              <w:t xml:space="preserve">Payments</w:t>
            </w:r>
          </w:p>
        </w:tc>
        <w:tc>
          <w:tcPr/>
          <w:p>
            <w:pPr>
              <w:pStyle w:val="Compact"/>
              <w:jc w:val="left"/>
            </w:pPr>
            <w:r>
              <w:t xml:space="preserve">4</w:t>
            </w:r>
          </w:p>
        </w:tc>
        <w:tc>
          <w:tcPr/>
          <w:p>
            <w:pPr>
              <w:pStyle w:val="Compact"/>
              <w:jc w:val="left"/>
            </w:pPr>
            <w:r>
              <w:t xml:space="preserve">Keskitaso</w:t>
            </w:r>
          </w:p>
        </w:tc>
        <w:tc>
          <w:tcPr/>
          <w:p>
            <w:pPr>
              <w:pStyle w:val="Compact"/>
              <w:jc w:val="left"/>
            </w:pPr>
            <w:r>
              <w:t xml:space="preserve">Odottaa</w:t>
            </w:r>
          </w:p>
        </w:tc>
      </w:tr>
      <w:tr>
        <w:tc>
          <w:tcPr/>
          <w:p>
            <w:pPr>
              <w:pStyle w:val="Compact"/>
              <w:jc w:val="left"/>
            </w:pPr>
            <w:r>
              <w:t xml:space="preserve">Agent-09</w:t>
            </w:r>
          </w:p>
        </w:tc>
        <w:tc>
          <w:tcPr/>
          <w:p>
            <w:pPr>
              <w:pStyle w:val="Compact"/>
              <w:jc w:val="left"/>
            </w:pPr>
            <w:r>
              <w:t xml:space="preserve">Email System</w:t>
            </w:r>
          </w:p>
        </w:tc>
        <w:tc>
          <w:tcPr/>
          <w:p>
            <w:pPr>
              <w:pStyle w:val="Compact"/>
              <w:jc w:val="left"/>
            </w:pPr>
            <w:r>
              <w:t xml:space="preserve">2</w:t>
            </w:r>
          </w:p>
        </w:tc>
        <w:tc>
          <w:tcPr/>
          <w:p>
            <w:pPr>
              <w:pStyle w:val="Compact"/>
              <w:jc w:val="left"/>
            </w:pPr>
            <w:r>
              <w:t xml:space="preserve">Korkea</w:t>
            </w:r>
          </w:p>
        </w:tc>
        <w:tc>
          <w:tcPr/>
          <w:p>
            <w:pPr>
              <w:pStyle w:val="Compact"/>
              <w:jc w:val="left"/>
            </w:pPr>
            <w:r>
              <w:t xml:space="preserve">Odottaa</w:t>
            </w:r>
          </w:p>
        </w:tc>
      </w:tr>
      <w:tr>
        <w:tc>
          <w:tcPr/>
          <w:p>
            <w:pPr>
              <w:pStyle w:val="Compact"/>
              <w:jc w:val="left"/>
            </w:pPr>
            <w:r>
              <w:t xml:space="preserve">Agent-10</w:t>
            </w:r>
          </w:p>
        </w:tc>
        <w:tc>
          <w:tcPr/>
          <w:p>
            <w:pPr>
              <w:pStyle w:val="Compact"/>
              <w:jc w:val="left"/>
            </w:pPr>
            <w:r>
              <w:t xml:space="preserve">Documentation</w:t>
            </w:r>
          </w:p>
        </w:tc>
        <w:tc>
          <w:tcPr/>
          <w:p>
            <w:pPr>
              <w:pStyle w:val="Compact"/>
              <w:jc w:val="left"/>
            </w:pPr>
            <w:r>
              <w:t xml:space="preserve">1</w:t>
            </w:r>
          </w:p>
        </w:tc>
        <w:tc>
          <w:tcPr/>
          <w:p>
            <w:pPr>
              <w:pStyle w:val="Compact"/>
              <w:jc w:val="left"/>
            </w:pPr>
            <w:r>
              <w:t xml:space="preserve">Matala</w:t>
            </w:r>
          </w:p>
        </w:tc>
        <w:tc>
          <w:tcPr/>
          <w:p>
            <w:pPr>
              <w:pStyle w:val="Compact"/>
              <w:jc w:val="left"/>
            </w:pPr>
            <w:r>
              <w:t xml:space="preserve">Käynnissä</w:t>
            </w:r>
          </w:p>
        </w:tc>
      </w:tr>
    </w:tbl>
    <w:bookmarkEnd w:id="215"/>
    <w:bookmarkStart w:id="220" w:name="liite-g-sanasto"/>
    <w:p>
      <w:pPr>
        <w:pStyle w:val="Heading2"/>
      </w:pPr>
      <w:r>
        <w:t xml:space="preserve">Liite G: Sanasto</w:t>
      </w:r>
    </w:p>
    <w:bookmarkStart w:id="216" w:name="alusta--ja-liiketoimintakäsitteet"/>
    <w:p>
      <w:pPr>
        <w:pStyle w:val="Heading3"/>
      </w:pPr>
      <w:r>
        <w:t xml:space="preserve">Alusta- ja liiketoimintakäsitteet</w:t>
      </w:r>
    </w:p>
    <w:tbl>
      <w:tblPr>
        <w:tblStyle w:val="Table"/>
        <w:tblW w:type="pct" w:w="5000"/>
        <w:tblLook w:firstRow="1" w:lastRow="0" w:firstColumn="0" w:lastColumn="0" w:noHBand="0" w:noVBand="0" w:val="0020"/>
        <w:jc w:val="start"/>
      </w:tblPr>
      <w:tblGrid>
        <w:gridCol w:w="1503"/>
        <w:gridCol w:w="1271"/>
        <w:gridCol w:w="514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AgentFoundry</w:t>
            </w:r>
          </w:p>
        </w:tc>
        <w:tc>
          <w:tcPr/>
          <w:p>
            <w:pPr>
              <w:pStyle w:val="Compact"/>
              <w:jc w:val="left"/>
            </w:pPr>
            <w:r>
              <w:t xml:space="preserve">AgentFoundry</w:t>
            </w:r>
          </w:p>
        </w:tc>
        <w:tc>
          <w:tcPr/>
          <w:p>
            <w:pPr>
              <w:pStyle w:val="Compact"/>
              <w:jc w:val="left"/>
            </w:pPr>
            <w:r>
              <w:t xml:space="preserve">Monimalli-, monivuokralainen kehys AI-agenttien käyttöönottoon teollisissa vertikaaleissa</w:t>
            </w:r>
          </w:p>
        </w:tc>
      </w:tr>
      <w:tr>
        <w:tc>
          <w:tcPr/>
          <w:p>
            <w:pPr>
              <w:pStyle w:val="Compact"/>
              <w:jc w:val="left"/>
            </w:pPr>
            <w:r>
              <w:rPr>
                <w:bCs/>
                <w:b/>
              </w:rPr>
              <w:t xml:space="preserve">Edge AI</w:t>
            </w:r>
          </w:p>
        </w:tc>
        <w:tc>
          <w:tcPr/>
          <w:p>
            <w:pPr>
              <w:pStyle w:val="Compact"/>
              <w:jc w:val="left"/>
            </w:pPr>
            <w:r>
              <w:t xml:space="preserve">Reunatekoäly</w:t>
            </w:r>
          </w:p>
        </w:tc>
        <w:tc>
          <w:tcPr/>
          <w:p>
            <w:pPr>
              <w:pStyle w:val="Compact"/>
              <w:jc w:val="left"/>
            </w:pPr>
            <w:r>
              <w:t xml:space="preserve">Tekoälyprosessointi paikallislaitteilla pilvipalvelimien sijaan</w:t>
            </w:r>
          </w:p>
        </w:tc>
      </w:tr>
      <w:tr>
        <w:tc>
          <w:tcPr/>
          <w:p>
            <w:pPr>
              <w:pStyle w:val="Compact"/>
              <w:jc w:val="left"/>
            </w:pPr>
            <w:r>
              <w:rPr>
                <w:bCs/>
                <w:b/>
              </w:rPr>
              <w:t xml:space="preserve">Firehorse</w:t>
            </w:r>
          </w:p>
        </w:tc>
        <w:tc>
          <w:tcPr/>
          <w:p>
            <w:pPr>
              <w:pStyle w:val="Compact"/>
              <w:jc w:val="left"/>
            </w:pPr>
            <w:r>
              <w:t xml:space="preserve">Firehorse</w:t>
            </w:r>
          </w:p>
        </w:tc>
        <w:tc>
          <w:tcPr/>
          <w:p>
            <w:pPr>
              <w:pStyle w:val="Compact"/>
              <w:jc w:val="left"/>
            </w:pPr>
            <w:r>
              <w:t xml:space="preserve">DWS6-tuoteperhe (Reports, Automation, Omnichannel, CMS)</w:t>
            </w:r>
          </w:p>
        </w:tc>
      </w:tr>
      <w:tr>
        <w:tc>
          <w:tcPr/>
          <w:p>
            <w:pPr>
              <w:pStyle w:val="Compact"/>
              <w:jc w:val="left"/>
            </w:pPr>
            <w:r>
              <w:rPr>
                <w:bCs/>
                <w:b/>
              </w:rPr>
              <w:t xml:space="preserve">Fit for 55</w:t>
            </w:r>
          </w:p>
        </w:tc>
        <w:tc>
          <w:tcPr/>
          <w:p>
            <w:pPr>
              <w:pStyle w:val="Compact"/>
              <w:jc w:val="left"/>
            </w:pPr>
            <w:r>
              <w:t xml:space="preserve">Fit for 55</w:t>
            </w:r>
          </w:p>
        </w:tc>
        <w:tc>
          <w:tcPr/>
          <w:p>
            <w:pPr>
              <w:pStyle w:val="Compact"/>
              <w:jc w:val="left"/>
            </w:pPr>
            <w:r>
              <w:t xml:space="preserve">EU:n lainsäädäntöpaketti, joka vaatii 55% päästövähennystä vuoteen 2030 mennessä</w:t>
            </w:r>
          </w:p>
        </w:tc>
      </w:tr>
      <w:tr>
        <w:tc>
          <w:tcPr/>
          <w:p>
            <w:pPr>
              <w:pStyle w:val="Compact"/>
              <w:jc w:val="left"/>
            </w:pPr>
            <w:r>
              <w:rPr>
                <w:bCs/>
                <w:b/>
              </w:rPr>
              <w:t xml:space="preserve">Lifetime Scope Signals</w:t>
            </w:r>
          </w:p>
        </w:tc>
        <w:tc>
          <w:tcPr/>
          <w:p>
            <w:pPr>
              <w:pStyle w:val="Compact"/>
              <w:jc w:val="left"/>
            </w:pPr>
            <w:r>
              <w:t xml:space="preserve">Lifetime Scope Signals</w:t>
            </w:r>
          </w:p>
        </w:tc>
        <w:tc>
          <w:tcPr/>
          <w:p>
            <w:pPr>
              <w:pStyle w:val="Compact"/>
              <w:jc w:val="left"/>
            </w:pPr>
            <w:r>
              <w:t xml:space="preserve">Koordinointiprotokolla moniagenttikehitykselle deklaratiivisen signaalin emission kautta</w:t>
            </w:r>
          </w:p>
        </w:tc>
      </w:tr>
      <w:tr>
        <w:tc>
          <w:tcPr/>
          <w:p>
            <w:pPr>
              <w:pStyle w:val="Compact"/>
              <w:jc w:val="left"/>
            </w:pPr>
            <w:r>
              <w:rPr>
                <w:bCs/>
                <w:b/>
              </w:rPr>
              <w:t xml:space="preserve">MCP Hub</w:t>
            </w:r>
          </w:p>
        </w:tc>
        <w:tc>
          <w:tcPr/>
          <w:p>
            <w:pPr>
              <w:pStyle w:val="Compact"/>
              <w:jc w:val="left"/>
            </w:pPr>
            <w:r>
              <w:t xml:space="preserve">MCP Hub</w:t>
            </w:r>
          </w:p>
        </w:tc>
        <w:tc>
          <w:tcPr/>
          <w:p>
            <w:pPr>
              <w:pStyle w:val="Compact"/>
              <w:jc w:val="left"/>
            </w:pPr>
            <w:r>
              <w:t xml:space="preserve">Model Context Protocol -koordinointipalvelin moniagenttiorkestroinnille</w:t>
            </w:r>
          </w:p>
        </w:tc>
      </w:tr>
      <w:tr>
        <w:tc>
          <w:tcPr/>
          <w:p>
            <w:pPr>
              <w:pStyle w:val="Compact"/>
              <w:jc w:val="left"/>
            </w:pPr>
            <w:r>
              <w:rPr>
                <w:bCs/>
                <w:b/>
              </w:rPr>
              <w:t xml:space="preserve">Solution Factory</w:t>
            </w:r>
          </w:p>
        </w:tc>
        <w:tc>
          <w:tcPr/>
          <w:p>
            <w:pPr>
              <w:pStyle w:val="Compact"/>
              <w:jc w:val="left"/>
            </w:pPr>
            <w:r>
              <w:t xml:space="preserve">Solution Factory</w:t>
            </w:r>
          </w:p>
        </w:tc>
        <w:tc>
          <w:tcPr/>
          <w:p>
            <w:pPr>
              <w:pStyle w:val="Compact"/>
              <w:jc w:val="left"/>
            </w:pPr>
            <w:r>
              <w:t xml:space="preserve">Toimintamalli useiden teollisten AI-alustojen tuottamiseen jaetuista komponenteista</w:t>
            </w:r>
          </w:p>
        </w:tc>
      </w:tr>
    </w:tbl>
    <w:bookmarkEnd w:id="216"/>
    <w:bookmarkStart w:id="217" w:name="turvallisuus-ja-vaatimustenmukaisuus"/>
    <w:p>
      <w:pPr>
        <w:pStyle w:val="Heading3"/>
      </w:pPr>
      <w:r>
        <w:t xml:space="preserve">Turvallisuus ja vaatimustenmukaisuus</w:t>
      </w:r>
    </w:p>
    <w:tbl>
      <w:tblPr>
        <w:tblStyle w:val="Table"/>
        <w:tblW w:type="pct" w:w="5000"/>
        <w:tblLook w:firstRow="1" w:lastRow="0" w:firstColumn="0" w:lastColumn="0" w:noHBand="0" w:noVBand="0" w:val="0020"/>
        <w:jc w:val="start"/>
      </w:tblPr>
      <w:tblGrid>
        <w:gridCol w:w="944"/>
        <w:gridCol w:w="2325"/>
        <w:gridCol w:w="4650"/>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EU AI Act</w:t>
            </w:r>
          </w:p>
        </w:tc>
        <w:tc>
          <w:tcPr/>
          <w:p>
            <w:pPr>
              <w:pStyle w:val="Compact"/>
              <w:jc w:val="left"/>
            </w:pPr>
            <w:r>
              <w:t xml:space="preserve">EU:n tekoälysäädös</w:t>
            </w:r>
          </w:p>
        </w:tc>
        <w:tc>
          <w:tcPr/>
          <w:p>
            <w:pPr>
              <w:pStyle w:val="Compact"/>
              <w:jc w:val="left"/>
            </w:pPr>
            <w:r>
              <w:t xml:space="preserve">EU:n säädös tekoälyjärjestelmille (elokuun 2026 määräaika)</w:t>
            </w:r>
          </w:p>
        </w:tc>
      </w:tr>
      <w:tr>
        <w:tc>
          <w:tcPr/>
          <w:p>
            <w:pPr>
              <w:pStyle w:val="Compact"/>
              <w:jc w:val="left"/>
            </w:pPr>
            <w:r>
              <w:rPr>
                <w:bCs/>
                <w:b/>
              </w:rPr>
              <w:t xml:space="preserve">GDPR</w:t>
            </w:r>
          </w:p>
        </w:tc>
        <w:tc>
          <w:tcPr/>
          <w:p>
            <w:pPr>
              <w:pStyle w:val="Compact"/>
              <w:jc w:val="left"/>
            </w:pPr>
            <w:r>
              <w:t xml:space="preserve">GDPR (Yleinen tietosuoja-asetus)</w:t>
            </w:r>
          </w:p>
        </w:tc>
        <w:tc>
          <w:tcPr/>
          <w:p>
            <w:pPr>
              <w:pStyle w:val="Compact"/>
              <w:jc w:val="left"/>
            </w:pPr>
            <w:r>
              <w:t xml:space="preserve">EU:n tietosuoja-asetus</w:t>
            </w:r>
          </w:p>
        </w:tc>
      </w:tr>
      <w:tr>
        <w:tc>
          <w:tcPr/>
          <w:p>
            <w:pPr>
              <w:pStyle w:val="Compact"/>
              <w:jc w:val="left"/>
            </w:pPr>
            <w:r>
              <w:rPr>
                <w:bCs/>
                <w:b/>
              </w:rPr>
              <w:t xml:space="preserve">NIS2</w:t>
            </w:r>
          </w:p>
        </w:tc>
        <w:tc>
          <w:tcPr/>
          <w:p>
            <w:pPr>
              <w:pStyle w:val="Compact"/>
              <w:jc w:val="left"/>
            </w:pPr>
            <w:r>
              <w:t xml:space="preserve">NIS2</w:t>
            </w:r>
          </w:p>
        </w:tc>
        <w:tc>
          <w:tcPr/>
          <w:p>
            <w:pPr>
              <w:pStyle w:val="Compact"/>
              <w:jc w:val="left"/>
            </w:pPr>
            <w:r>
              <w:t xml:space="preserve">EU:n kyberturvallisuusdirektiivi kriittiselle infrastruktuurille</w:t>
            </w:r>
          </w:p>
        </w:tc>
      </w:tr>
      <w:tr>
        <w:tc>
          <w:tcPr/>
          <w:p>
            <w:pPr>
              <w:pStyle w:val="Compact"/>
              <w:jc w:val="left"/>
            </w:pPr>
            <w:r>
              <w:rPr>
                <w:bCs/>
                <w:b/>
              </w:rPr>
              <w:t xml:space="preserve">RLS</w:t>
            </w:r>
          </w:p>
        </w:tc>
        <w:tc>
          <w:tcPr/>
          <w:p>
            <w:pPr>
              <w:pStyle w:val="Compact"/>
              <w:jc w:val="left"/>
            </w:pPr>
            <w:r>
              <w:t xml:space="preserve">Rivitason suojaus</w:t>
            </w:r>
          </w:p>
        </w:tc>
        <w:tc>
          <w:tcPr/>
          <w:p>
            <w:pPr>
              <w:pStyle w:val="Compact"/>
              <w:jc w:val="left"/>
            </w:pPr>
            <w:r>
              <w:t xml:space="preserve">Tietokantatason pääsynhallinta käyttäjä-/organisaatiokohtaisesti</w:t>
            </w:r>
          </w:p>
        </w:tc>
      </w:tr>
    </w:tbl>
    <w:bookmarkEnd w:id="217"/>
    <w:bookmarkStart w:id="218" w:name="tietoarkkitehtuuri-ja-analytiikka"/>
    <w:p>
      <w:pPr>
        <w:pStyle w:val="Heading3"/>
      </w:pPr>
      <w:r>
        <w:t xml:space="preserve">Tietoarkkitehtuuri ja analytiikka</w:t>
      </w:r>
    </w:p>
    <w:tbl>
      <w:tblPr>
        <w:tblStyle w:val="Table"/>
        <w:tblW w:type="pct" w:w="5000"/>
        <w:tblLook w:firstRow="1" w:lastRow="0" w:firstColumn="0" w:lastColumn="0" w:noHBand="0" w:noVBand="0" w:val="0020"/>
        <w:jc w:val="start"/>
      </w:tblPr>
      <w:tblGrid>
        <w:gridCol w:w="900"/>
        <w:gridCol w:w="855"/>
        <w:gridCol w:w="6165"/>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Autoresearch</w:t>
            </w:r>
          </w:p>
        </w:tc>
        <w:tc>
          <w:tcPr/>
          <w:p>
            <w:pPr>
              <w:pStyle w:val="Compact"/>
              <w:jc w:val="left"/>
            </w:pPr>
            <w:r>
              <w:t xml:space="preserve">Autotutkimus</w:t>
            </w:r>
          </w:p>
        </w:tc>
        <w:tc>
          <w:tcPr/>
          <w:p>
            <w:pPr>
              <w:pStyle w:val="Compact"/>
              <w:jc w:val="left"/>
            </w:pPr>
            <w:r>
              <w:t xml:space="preserve">Karpathyn inspiroima autonominen validointisilmukka: hypoteesi → muokkaus → todentaminen → säilytä/hylkää → toista</w:t>
            </w:r>
          </w:p>
        </w:tc>
      </w:tr>
      <w:tr>
        <w:tc>
          <w:tcPr/>
          <w:p>
            <w:pPr>
              <w:pStyle w:val="Compact"/>
              <w:jc w:val="left"/>
            </w:pPr>
            <w:r>
              <w:rPr>
                <w:bCs/>
                <w:b/>
              </w:rPr>
              <w:t xml:space="preserve">Columnar Storage</w:t>
            </w:r>
          </w:p>
        </w:tc>
        <w:tc>
          <w:tcPr/>
          <w:p>
            <w:pPr>
              <w:pStyle w:val="Compact"/>
              <w:jc w:val="left"/>
            </w:pPr>
            <w:r>
              <w:t xml:space="preserve">Saraketallennustila</w:t>
            </w:r>
          </w:p>
        </w:tc>
        <w:tc>
          <w:tcPr/>
          <w:p>
            <w:pPr>
              <w:pStyle w:val="Compact"/>
              <w:jc w:val="left"/>
            </w:pPr>
            <w:r>
              <w:t xml:space="preserve">Tietokantatallennus, joka järjestää datan sarakkeittain rivien sijaan — mahdollistaa 10-100× pakkauksen ja nopeammat analyyttiset kyselyt</w:t>
            </w:r>
          </w:p>
        </w:tc>
      </w:tr>
      <w:tr>
        <w:tc>
          <w:tcPr/>
          <w:p>
            <w:pPr>
              <w:pStyle w:val="Compact"/>
              <w:jc w:val="left"/>
            </w:pPr>
            <w:r>
              <w:rPr>
                <w:bCs/>
                <w:b/>
              </w:rPr>
              <w:t xml:space="preserve">HTAP</w:t>
            </w:r>
          </w:p>
        </w:tc>
        <w:tc>
          <w:tcPr/>
          <w:p>
            <w:pPr>
              <w:pStyle w:val="Compact"/>
              <w:jc w:val="left"/>
            </w:pPr>
            <w:r>
              <w:t xml:space="preserve">HTAP</w:t>
            </w:r>
          </w:p>
        </w:tc>
        <w:tc>
          <w:tcPr/>
          <w:p>
            <w:pPr>
              <w:pStyle w:val="Compact"/>
              <w:jc w:val="left"/>
            </w:pPr>
            <w:r>
              <w:t xml:space="preserve">Hybrid Transactional/Analytical Processing — yksi tietokanta palvelee sekä OLTP- että OLAP-työkuormia</w:t>
            </w:r>
          </w:p>
        </w:tc>
      </w:tr>
      <w:tr>
        <w:tc>
          <w:tcPr/>
          <w:p>
            <w:pPr>
              <w:pStyle w:val="Compact"/>
              <w:jc w:val="left"/>
            </w:pPr>
            <w:r>
              <w:rPr>
                <w:bCs/>
                <w:b/>
              </w:rPr>
              <w:t xml:space="preserve">Hypercore</w:t>
            </w:r>
          </w:p>
        </w:tc>
        <w:tc>
          <w:tcPr/>
          <w:p>
            <w:pPr>
              <w:pStyle w:val="Compact"/>
              <w:jc w:val="left"/>
            </w:pPr>
            <w:r>
              <w:t xml:space="preserve">Hypercore</w:t>
            </w:r>
          </w:p>
        </w:tc>
        <w:tc>
          <w:tcPr/>
          <w:p>
            <w:pPr>
              <w:pStyle w:val="Compact"/>
              <w:jc w:val="left"/>
            </w:pPr>
            <w:r>
              <w:t xml:space="preserve">TimescaleDB:n automaattinen hybridi rivi→sarake -tasointimoottori, 90-98% pakkaus</w:t>
            </w:r>
          </w:p>
        </w:tc>
      </w:tr>
      <w:tr>
        <w:tc>
          <w:tcPr/>
          <w:p>
            <w:pPr>
              <w:pStyle w:val="Compact"/>
              <w:jc w:val="left"/>
            </w:pPr>
            <w:r>
              <w:rPr>
                <w:bCs/>
                <w:b/>
              </w:rPr>
              <w:t xml:space="preserve">Hypertable</w:t>
            </w:r>
          </w:p>
        </w:tc>
        <w:tc>
          <w:tcPr/>
          <w:p>
            <w:pPr>
              <w:pStyle w:val="Compact"/>
              <w:jc w:val="left"/>
            </w:pPr>
            <w:r>
              <w:t xml:space="preserve">Hypertaulu</w:t>
            </w:r>
          </w:p>
        </w:tc>
        <w:tc>
          <w:tcPr/>
          <w:p>
            <w:pPr>
              <w:pStyle w:val="Compact"/>
              <w:jc w:val="left"/>
            </w:pPr>
            <w:r>
              <w:t xml:space="preserve">TimescaleDB:n aikaosioitu taulu aikasarjadatalle automaattisella lohkonhallinnalla</w:t>
            </w:r>
          </w:p>
        </w:tc>
      </w:tr>
      <w:tr>
        <w:tc>
          <w:tcPr/>
          <w:p>
            <w:pPr>
              <w:pStyle w:val="Compact"/>
              <w:jc w:val="left"/>
            </w:pPr>
            <w:r>
              <w:rPr>
                <w:bCs/>
                <w:b/>
              </w:rPr>
              <w:t xml:space="preserve">pg_duckdb</w:t>
            </w:r>
          </w:p>
        </w:tc>
        <w:tc>
          <w:tcPr/>
          <w:p>
            <w:pPr>
              <w:pStyle w:val="Compact"/>
              <w:jc w:val="left"/>
            </w:pPr>
            <w:r>
              <w:t xml:space="preserve">pg_duckdb</w:t>
            </w:r>
          </w:p>
        </w:tc>
        <w:tc>
          <w:tcPr/>
          <w:p>
            <w:pPr>
              <w:pStyle w:val="Compact"/>
              <w:jc w:val="left"/>
            </w:pPr>
            <w:r>
              <w:t xml:space="preserve">PostgreSQL-laajennus, joka upottaa DuckDB:n 50-600× OLAP-kiihdytykseen (DWS:ssä vain reunalaitteilla)</w:t>
            </w:r>
          </w:p>
        </w:tc>
      </w:tr>
      <w:tr>
        <w:tc>
          <w:tcPr/>
          <w:p>
            <w:pPr>
              <w:pStyle w:val="Compact"/>
              <w:jc w:val="left"/>
            </w:pPr>
            <w:r>
              <w:rPr>
                <w:bCs/>
                <w:b/>
              </w:rPr>
              <w:t xml:space="preserve">pgvector</w:t>
            </w:r>
          </w:p>
        </w:tc>
        <w:tc>
          <w:tcPr/>
          <w:p>
            <w:pPr>
              <w:pStyle w:val="Compact"/>
              <w:jc w:val="left"/>
            </w:pPr>
            <w:r>
              <w:t xml:space="preserve">pgvector</w:t>
            </w:r>
          </w:p>
        </w:tc>
        <w:tc>
          <w:tcPr/>
          <w:p>
            <w:pPr>
              <w:pStyle w:val="Compact"/>
              <w:jc w:val="left"/>
            </w:pPr>
            <w:r>
              <w:t xml:space="preserve">PostgreSQL-laajennus vektorihakuun, käytetään RAG-putkistoissa</w:t>
            </w:r>
          </w:p>
        </w:tc>
      </w:tr>
      <w:tr>
        <w:tc>
          <w:tcPr/>
          <w:p>
            <w:pPr>
              <w:pStyle w:val="Compact"/>
              <w:jc w:val="left"/>
            </w:pPr>
            <w:r>
              <w:rPr>
                <w:bCs/>
                <w:b/>
              </w:rPr>
              <w:t xml:space="preserve">TimescaleDB</w:t>
            </w:r>
          </w:p>
        </w:tc>
        <w:tc>
          <w:tcPr/>
          <w:p>
            <w:pPr>
              <w:pStyle w:val="Compact"/>
              <w:jc w:val="left"/>
            </w:pPr>
            <w:r>
              <w:t xml:space="preserve">TimescaleDB</w:t>
            </w:r>
          </w:p>
        </w:tc>
        <w:tc>
          <w:tcPr/>
          <w:p>
            <w:pPr>
              <w:pStyle w:val="Compact"/>
              <w:jc w:val="left"/>
            </w:pPr>
            <w:r>
              <w:t xml:space="preserve">PostgreSQL-laajennus aikasarjadatalle pakkauksella ja jatkuvilla aggregaateilla</w:t>
            </w:r>
          </w:p>
        </w:tc>
      </w:tr>
      <w:tr>
        <w:tc>
          <w:tcPr/>
          <w:p>
            <w:pPr>
              <w:pStyle w:val="Compact"/>
              <w:jc w:val="left"/>
            </w:pPr>
            <w:r>
              <w:rPr>
                <w:bCs/>
                <w:b/>
              </w:rPr>
              <w:t xml:space="preserve">Two-Tier HTAP</w:t>
            </w:r>
          </w:p>
        </w:tc>
        <w:tc>
          <w:tcPr/>
          <w:p>
            <w:pPr>
              <w:pStyle w:val="Compact"/>
              <w:jc w:val="left"/>
            </w:pPr>
            <w:r>
              <w:t xml:space="preserve">Kaksitasoinen HTAP</w:t>
            </w:r>
          </w:p>
        </w:tc>
        <w:tc>
          <w:tcPr/>
          <w:p>
            <w:pPr>
              <w:pStyle w:val="Compact"/>
              <w:jc w:val="left"/>
            </w:pPr>
            <w:r>
              <w:t xml:space="preserve">Arkkitehtuurimalli: Taso 1 (Aiven-hallinnoitu, TimescaleDB) + Taso 2 (itsehallittu reuna, pg_duckdb)</w:t>
            </w:r>
          </w:p>
        </w:tc>
      </w:tr>
    </w:tbl>
    <w:bookmarkEnd w:id="218"/>
    <w:bookmarkStart w:id="219" w:name="tutkimusmenetelmät"/>
    <w:p>
      <w:pPr>
        <w:pStyle w:val="Heading3"/>
      </w:pPr>
      <w:r>
        <w:t xml:space="preserve">Tutkimusmenetelmät</w:t>
      </w:r>
    </w:p>
    <w:tbl>
      <w:tblPr>
        <w:tblStyle w:val="Table"/>
        <w:tblW w:type="pct" w:w="5000"/>
        <w:tblLook w:firstRow="1" w:lastRow="0" w:firstColumn="0" w:lastColumn="0" w:noHBand="0" w:noVBand="0" w:val="0020"/>
        <w:jc w:val="start"/>
      </w:tblPr>
      <w:tblGrid>
        <w:gridCol w:w="1006"/>
        <w:gridCol w:w="1225"/>
        <w:gridCol w:w="5688"/>
      </w:tblGrid>
      <w:tr>
        <w:trPr>
          <w:tblHeader w:val="true"/>
        </w:trPr>
        <w:tc>
          <w:tcPr/>
          <w:p>
            <w:pPr>
              <w:pStyle w:val="Compact"/>
              <w:jc w:val="left"/>
            </w:pPr>
            <w:r>
              <w:t xml:space="preserve">Termi (EN)</w:t>
            </w:r>
          </w:p>
        </w:tc>
        <w:tc>
          <w:tcPr/>
          <w:p>
            <w:pPr>
              <w:pStyle w:val="Compact"/>
              <w:jc w:val="left"/>
            </w:pPr>
            <w:r>
              <w:t xml:space="preserve">Suomeksi</w:t>
            </w:r>
          </w:p>
        </w:tc>
        <w:tc>
          <w:tcPr/>
          <w:p>
            <w:pPr>
              <w:pStyle w:val="Compact"/>
              <w:jc w:val="left"/>
            </w:pPr>
            <w:r>
              <w:t xml:space="preserve">Määritelmä</w:t>
            </w:r>
          </w:p>
        </w:tc>
      </w:tr>
      <w:tr>
        <w:tc>
          <w:tcPr/>
          <w:p>
            <w:pPr>
              <w:pStyle w:val="Compact"/>
              <w:jc w:val="left"/>
            </w:pPr>
            <w:r>
              <w:rPr>
                <w:bCs/>
                <w:b/>
              </w:rPr>
              <w:t xml:space="preserve">Aiven-first Mandate</w:t>
            </w:r>
          </w:p>
        </w:tc>
        <w:tc>
          <w:tcPr/>
          <w:p>
            <w:pPr>
              <w:pStyle w:val="Compact"/>
              <w:jc w:val="left"/>
            </w:pPr>
            <w:r>
              <w:t xml:space="preserve">Aiven-ensisijaisuus</w:t>
            </w:r>
          </w:p>
        </w:tc>
        <w:tc>
          <w:tcPr/>
          <w:p>
            <w:pPr>
              <w:pStyle w:val="Compact"/>
              <w:jc w:val="left"/>
            </w:pPr>
            <w:r>
              <w:t xml:space="preserve">DWS-periaate, joka edellyttää kaikkien tuotantotietokannan laajennusten Aiven-yhteensopivuutta ennen käyttöönottoa</w:t>
            </w:r>
          </w:p>
        </w:tc>
      </w:tr>
      <w:tr>
        <w:tc>
          <w:tcPr/>
          <w:p>
            <w:pPr>
              <w:pStyle w:val="Compact"/>
              <w:jc w:val="left"/>
            </w:pPr>
            <w:r>
              <w:rPr>
                <w:bCs/>
                <w:b/>
              </w:rPr>
              <w:t xml:space="preserve">DWS Data Standard</w:t>
            </w:r>
          </w:p>
        </w:tc>
        <w:tc>
          <w:tcPr/>
          <w:p>
            <w:pPr>
              <w:pStyle w:val="Compact"/>
              <w:jc w:val="left"/>
            </w:pPr>
            <w:r>
              <w:t xml:space="preserve">DWS-tietostandardi</w:t>
            </w:r>
          </w:p>
        </w:tc>
        <w:tc>
          <w:tcPr/>
          <w:p>
            <w:pPr>
              <w:pStyle w:val="Compact"/>
              <w:jc w:val="left"/>
            </w:pPr>
            <w:r>
              <w:t xml:space="preserve">Sisäinen standardi tiedon tallennuspäätöksille, laajennusten hallinnalle ja EU-sääntelyyn vaatimustenmukaisuudelle</w:t>
            </w:r>
          </w:p>
        </w:tc>
      </w:tr>
      <w:tr>
        <w:tc>
          <w:tcPr/>
          <w:p>
            <w:pPr>
              <w:pStyle w:val="Compact"/>
              <w:jc w:val="left"/>
            </w:pPr>
            <w:r>
              <w:rPr>
                <w:bCs/>
                <w:b/>
              </w:rPr>
              <w:t xml:space="preserve">KYA Standard</w:t>
            </w:r>
          </w:p>
        </w:tc>
        <w:tc>
          <w:tcPr/>
          <w:p>
            <w:pPr>
              <w:pStyle w:val="Compact"/>
              <w:jc w:val="left"/>
            </w:pPr>
            <w:r>
              <w:t xml:space="preserve">KYA-standardi</w:t>
            </w:r>
          </w:p>
        </w:tc>
        <w:tc>
          <w:tcPr/>
          <w:p>
            <w:pPr>
              <w:pStyle w:val="Compact"/>
              <w:jc w:val="left"/>
            </w:pPr>
            <w:r>
              <w:t xml:space="preserve">Know Your Agent/Architecture — kaksoistarkoitusstandardi AI-agenttien turvallisuudelle (Kilpi) ja optimoinnin hallinnalle (Miekka)</w:t>
            </w:r>
          </w:p>
        </w:tc>
      </w:tr>
      <w:tr>
        <w:tc>
          <w:tcPr/>
          <w:p>
            <w:pPr>
              <w:pStyle w:val="Compact"/>
              <w:jc w:val="left"/>
            </w:pPr>
            <w:r>
              <w:rPr>
                <w:bCs/>
                <w:b/>
              </w:rPr>
              <w:t xml:space="preserve">Proxy-to-Scale</w:t>
            </w:r>
          </w:p>
        </w:tc>
        <w:tc>
          <w:tcPr/>
          <w:p>
            <w:pPr>
              <w:pStyle w:val="Compact"/>
              <w:jc w:val="left"/>
            </w:pPr>
            <w:r>
              <w:t xml:space="preserve">Pienestä suureen -validointi</w:t>
            </w:r>
          </w:p>
        </w:tc>
        <w:tc>
          <w:tcPr/>
          <w:p>
            <w:pPr>
              <w:pStyle w:val="Compact"/>
              <w:jc w:val="left"/>
            </w:pPr>
            <w:r>
              <w:t xml:space="preserve">Karpathyn malli: validoi muutokset pienellä välityspalvelimella (depth=12) ennen tuotantoon skaalausta (depth=24)</w:t>
            </w:r>
          </w:p>
        </w:tc>
      </w:tr>
    </w:tbl>
    <w:p>
      <w:r>
        <w:pict>
          <v:rect style="width:0;height:1.5pt" o:hralign="center" o:hrstd="t" o:hr="t"/>
        </w:pict>
      </w:r>
    </w:p>
    <w:bookmarkEnd w:id="219"/>
    <w:bookmarkEnd w:id="220"/>
    <w:bookmarkStart w:id="227" w:name="Xc0be1d36bf1a371508630efde8054c46bc7c00c"/>
    <w:p>
      <w:pPr>
        <w:pStyle w:val="Heading2"/>
      </w:pPr>
      <w:r>
        <w:t xml:space="preserve">Liite H: Automatisoitu PR-tyonkulku (HIL-automaatio)</w:t>
      </w:r>
    </w:p>
    <w:bookmarkStart w:id="221" w:name="tausta-2"/>
    <w:p>
      <w:pPr>
        <w:pStyle w:val="Heading3"/>
      </w:pPr>
      <w:r>
        <w:t xml:space="preserve">Tausta</w:t>
      </w:r>
    </w:p>
    <w:p>
      <w:pPr>
        <w:pStyle w:val="FirstParagraph"/>
      </w:pPr>
      <w:r>
        <w:t xml:space="preserve">Keskeinen operatiivinen haaste yksinyrittajille ja pienille tiimeille, jotka hallitsevat yritystason koodikantoja, on koodin laadun yllapitaminen ilman erillistä katselmointitiimiä. Firehorse-malli ratkaisee taman taysin automatisoidulla pull request -tarkistus- ja yhdistamistyonkululla, joka korvaa manuaalisen ihminen-silmukassa (HIL) -koodikatselmoinnin kaksoismallin AI-katselmoinnilla.</w:t>
      </w:r>
    </w:p>
    <w:bookmarkEnd w:id="221"/>
    <w:bookmarkStart w:id="222" w:name="arkkitehtuuri"/>
    <w:p>
      <w:pPr>
        <w:pStyle w:val="Heading3"/>
      </w:pPr>
      <w:r>
        <w:t xml:space="preserve">Arkkitehtuuri</w:t>
      </w:r>
    </w:p>
    <w:p>
      <w:pPr>
        <w:pStyle w:val="SourceCode"/>
      </w:pPr>
      <w:r>
        <w:rPr>
          <w:rStyle w:val="VerbatimChar"/>
        </w:rPr>
        <w:t xml:space="preserve">Claude Code → PR → Clauden pikatarkistus → Gemini HIL-katselmointi → @copilot korjaukset → CI → automaattinen yhdistaminen</w:t>
      </w:r>
      <w:r>
        <w:br/>
      </w:r>
      <w:r>
        <w:rPr>
          <w:rStyle w:val="VerbatimChar"/>
        </w:rPr>
        <w:t xml:space="preserve">                                                    ↑                         |</w:t>
      </w:r>
      <w:r>
        <w:br/>
      </w:r>
      <w:r>
        <w:rPr>
          <w:rStyle w:val="VerbatimChar"/>
        </w:rPr>
        <w:t xml:space="preserve">                                                    └─────────────────────────┘  (korjaussilmukka)</w:t>
      </w:r>
    </w:p>
    <w:bookmarkEnd w:id="222"/>
    <w:bookmarkStart w:id="223" w:name="komponentit"/>
    <w:p>
      <w:pPr>
        <w:pStyle w:val="Heading3"/>
      </w:pPr>
      <w:r>
        <w:t xml:space="preserve">Komponentit</w:t>
      </w:r>
    </w:p>
    <w:tbl>
      <w:tblPr>
        <w:tblStyle w:val="Table"/>
        <w:tblW w:type="pct" w:w="5000"/>
        <w:tblLook w:firstRow="1" w:lastRow="0" w:firstColumn="0" w:lastColumn="0" w:noHBand="0" w:noVBand="0" w:val="0020"/>
        <w:jc w:val="start"/>
      </w:tblPr>
      <w:tblGrid>
        <w:gridCol w:w="1721"/>
        <w:gridCol w:w="4269"/>
        <w:gridCol w:w="1928"/>
      </w:tblGrid>
      <w:tr>
        <w:trPr>
          <w:tblHeader w:val="true"/>
        </w:trPr>
        <w:tc>
          <w:tcPr/>
          <w:p>
            <w:pPr>
              <w:pStyle w:val="Compact"/>
              <w:jc w:val="left"/>
            </w:pPr>
            <w:r>
              <w:t xml:space="preserve">Komponentti</w:t>
            </w:r>
          </w:p>
        </w:tc>
        <w:tc>
          <w:tcPr/>
          <w:p>
            <w:pPr>
              <w:pStyle w:val="Compact"/>
              <w:jc w:val="left"/>
            </w:pPr>
            <w:r>
              <w:t xml:space="preserve">Rooli</w:t>
            </w:r>
          </w:p>
        </w:tc>
        <w:tc>
          <w:tcPr/>
          <w:p>
            <w:pPr>
              <w:pStyle w:val="Compact"/>
              <w:jc w:val="left"/>
            </w:pPr>
            <w:r>
              <w:t xml:space="preserve">Teknologia</w:t>
            </w:r>
          </w:p>
        </w:tc>
      </w:tr>
      <w:tr>
        <w:tc>
          <w:tcPr/>
          <w:p>
            <w:pPr>
              <w:pStyle w:val="Compact"/>
              <w:jc w:val="left"/>
            </w:pPr>
            <w:r>
              <w:t xml:space="preserve">Claude Code</w:t>
            </w:r>
          </w:p>
        </w:tc>
        <w:tc>
          <w:tcPr/>
          <w:p>
            <w:pPr>
              <w:pStyle w:val="Compact"/>
              <w:jc w:val="left"/>
            </w:pPr>
            <w:r>
              <w:t xml:space="preserve">Koodin generointi, haaran luonti, PR:n avaaminen</w:t>
            </w:r>
          </w:p>
        </w:tc>
        <w:tc>
          <w:tcPr/>
          <w:p>
            <w:pPr>
              <w:pStyle w:val="Compact"/>
              <w:jc w:val="left"/>
            </w:pPr>
            <w:r>
              <w:t xml:space="preserve">Anthropic Claude Opus/Sonnet</w:t>
            </w:r>
          </w:p>
        </w:tc>
      </w:tr>
      <w:tr>
        <w:tc>
          <w:tcPr/>
          <w:p>
            <w:pPr>
              <w:pStyle w:val="Compact"/>
              <w:jc w:val="left"/>
            </w:pPr>
            <w:r>
              <w:t xml:space="preserve">Claude (katselmoija)</w:t>
            </w:r>
          </w:p>
        </w:tc>
        <w:tc>
          <w:tcPr/>
          <w:p>
            <w:pPr>
              <w:pStyle w:val="Compact"/>
              <w:jc w:val="left"/>
            </w:pPr>
            <w:r>
              <w:t xml:space="preserve">Pikatarkistus: turvallisuus, oikeellisuus, rikkovat muutokset</w:t>
            </w:r>
          </w:p>
        </w:tc>
        <w:tc>
          <w:tcPr/>
          <w:p>
            <w:pPr>
              <w:pStyle w:val="Compact"/>
              <w:jc w:val="left"/>
            </w:pPr>
            <w:r>
              <w:t xml:space="preserve">Claude Sonnet 4 API</w:t>
            </w:r>
          </w:p>
        </w:tc>
      </w:tr>
      <w:tr>
        <w:tc>
          <w:tcPr/>
          <w:p>
            <w:pPr>
              <w:pStyle w:val="Compact"/>
              <w:jc w:val="left"/>
            </w:pPr>
            <w:r>
              <w:t xml:space="preserve">Gemini (HIL-portti)</w:t>
            </w:r>
          </w:p>
        </w:tc>
        <w:tc>
          <w:tcPr/>
          <w:p>
            <w:pPr>
              <w:pStyle w:val="Compact"/>
              <w:jc w:val="left"/>
            </w:pPr>
            <w:r>
              <w:t xml:space="preserve">Syvakatselmointi: reunatapaukset, testit, arkkitehtuuri, OWASP</w:t>
            </w:r>
          </w:p>
        </w:tc>
        <w:tc>
          <w:tcPr/>
          <w:p>
            <w:pPr>
              <w:pStyle w:val="Compact"/>
              <w:jc w:val="left"/>
            </w:pPr>
            <w:r>
              <w:t xml:space="preserve">Gemini 2.0 Flash API</w:t>
            </w:r>
          </w:p>
        </w:tc>
      </w:tr>
      <w:tr>
        <w:tc>
          <w:tcPr/>
          <w:p>
            <w:pPr>
              <w:pStyle w:val="Compact"/>
              <w:jc w:val="left"/>
            </w:pPr>
            <w:r>
              <w:t xml:space="preserve">Copilot-koodausagentti</w:t>
            </w:r>
          </w:p>
        </w:tc>
        <w:tc>
          <w:tcPr/>
          <w:p>
            <w:pPr>
              <w:pStyle w:val="Compact"/>
              <w:jc w:val="left"/>
            </w:pPr>
            <w:r>
              <w:t xml:space="preserve">Toteuttaa korjausohjeet katselmointikommenteista</w:t>
            </w:r>
          </w:p>
        </w:tc>
        <w:tc>
          <w:tcPr/>
          <w:p>
            <w:pPr>
              <w:pStyle w:val="Compact"/>
              <w:jc w:val="left"/>
            </w:pPr>
            <w:r>
              <w:t xml:space="preserve">GitHub Copilot</w:t>
            </w:r>
          </w:p>
        </w:tc>
      </w:tr>
      <w:tr>
        <w:tc>
          <w:tcPr/>
          <w:p>
            <w:pPr>
              <w:pStyle w:val="Compact"/>
              <w:jc w:val="left"/>
            </w:pPr>
            <w:r>
              <w:t xml:space="preserve">PR-automaattiyhdistaminen</w:t>
            </w:r>
          </w:p>
        </w:tc>
        <w:tc>
          <w:tcPr/>
          <w:p>
            <w:pPr>
              <w:pStyle w:val="Compact"/>
              <w:jc w:val="left"/>
            </w:pPr>
            <w:r>
              <w:t xml:space="preserve">Yhdistaa kun kaikki tarkistukset lapaistaan ja AI hyvaksyy</w:t>
            </w:r>
          </w:p>
        </w:tc>
        <w:tc>
          <w:tcPr/>
          <w:p>
            <w:pPr>
              <w:pStyle w:val="Compact"/>
              <w:jc w:val="left"/>
            </w:pPr>
            <w:r>
              <w:t xml:space="preserve">GitHub Actions + GraphQL</w:t>
            </w:r>
          </w:p>
        </w:tc>
      </w:tr>
    </w:tbl>
    <w:bookmarkEnd w:id="223"/>
    <w:bookmarkStart w:id="224" w:name="suunnittelupaatokset"/>
    <w:p>
      <w:pPr>
        <w:pStyle w:val="Heading3"/>
      </w:pPr>
      <w:r>
        <w:t xml:space="preserve">Suunnittelupaatokset</w:t>
      </w:r>
    </w:p>
    <w:p>
      <w:pPr>
        <w:numPr>
          <w:ilvl w:val="0"/>
          <w:numId w:val="1072"/>
        </w:numPr>
        <w:pStyle w:val="Compact"/>
      </w:pPr>
      <w:r>
        <w:rPr>
          <w:bCs/>
          <w:b/>
        </w:rPr>
        <w:t xml:space="preserve">Gemini oletusarvoisesti vaatii muutoksia (REQUEST_CHANGES)</w:t>
      </w:r>
      <w:r>
        <w:t xml:space="preserve"> </w:t>
      </w:r>
      <w:r>
        <w:t xml:space="preserve">— varmistaa, etta jokainen PR kay lapi vahintaan yhden parannuskierroksen</w:t>
      </w:r>
    </w:p>
    <w:p>
      <w:pPr>
        <w:numPr>
          <w:ilvl w:val="0"/>
          <w:numId w:val="1072"/>
        </w:numPr>
        <w:pStyle w:val="Compact"/>
      </w:pPr>
      <w:r>
        <w:rPr>
          <w:bCs/>
          <w:b/>
        </w:rPr>
        <w:t xml:space="preserve">Kaksoismallikatselmointi</w:t>
      </w:r>
      <w:r>
        <w:t xml:space="preserve"> </w:t>
      </w:r>
      <w:r>
        <w:t xml:space="preserve">— kaksi eri AI-mallia havaitsee eri luokkien ongelmia (rakenne vs. turvallisuus vs. konventiot)</w:t>
      </w:r>
    </w:p>
    <w:p>
      <w:pPr>
        <w:numPr>
          <w:ilvl w:val="0"/>
          <w:numId w:val="1072"/>
        </w:numPr>
        <w:pStyle w:val="Compact"/>
      </w:pPr>
      <w:r>
        <w:rPr>
          <w:bCs/>
          <w:b/>
        </w:rPr>
        <w:t xml:space="preserve">Automatisoitu korjaussilmukka</w:t>
      </w:r>
      <w:r>
        <w:t xml:space="preserve"> </w:t>
      </w:r>
      <w:r>
        <w:t xml:space="preserve">— jäsennellyt korjausohjeet lahetettaan</w:t>
      </w:r>
      <w:r>
        <w:t xml:space="preserve"> </w:t>
      </w:r>
      <w:r>
        <w:t xml:space="preserve">@copilotille</w:t>
      </w:r>
      <w:r>
        <w:t xml:space="preserve">, joka toteuttaa korjaukset ja kaynnistaa katselmoinnin uudelleen, vahentaen kehittajan osallistumisen loppukatselmointiin (~5 min per PR)</w:t>
      </w:r>
    </w:p>
    <w:p>
      <w:pPr>
        <w:numPr>
          <w:ilvl w:val="0"/>
          <w:numId w:val="1072"/>
        </w:numPr>
        <w:pStyle w:val="Compact"/>
      </w:pPr>
      <w:r>
        <w:rPr>
          <w:bCs/>
          <w:b/>
        </w:rPr>
        <w:t xml:space="preserve">Ihmisen ohitusmahdollisuudet</w:t>
      </w:r>
      <w:r>
        <w:t xml:space="preserve"> </w:t>
      </w:r>
      <w:r>
        <w:t xml:space="preserve">—</w:t>
      </w:r>
      <w:r>
        <w:t xml:space="preserve"> </w:t>
      </w:r>
      <w:r>
        <w:rPr>
          <w:rStyle w:val="VerbatimChar"/>
        </w:rPr>
        <w:t xml:space="preserve">do-not-merge</w:t>
      </w:r>
      <w:r>
        <w:t xml:space="preserve"> </w:t>
      </w:r>
      <w:r>
        <w:t xml:space="preserve">ja</w:t>
      </w:r>
      <w:r>
        <w:t xml:space="preserve"> </w:t>
      </w:r>
      <w:r>
        <w:rPr>
          <w:rStyle w:val="VerbatimChar"/>
        </w:rPr>
        <w:t xml:space="preserve">needs-human-review</w:t>
      </w:r>
      <w:r>
        <w:t xml:space="preserve"> </w:t>
      </w:r>
      <w:r>
        <w:t xml:space="preserve">-tunnisteet pysayttavat automaation manuaalista katselmointia varten</w:t>
      </w:r>
    </w:p>
    <w:bookmarkEnd w:id="224"/>
    <w:bookmarkStart w:id="225" w:name="merkitys-opinnaytetyolle"/>
    <w:p>
      <w:pPr>
        <w:pStyle w:val="Heading3"/>
      </w:pPr>
      <w:r>
        <w:t xml:space="preserve">Merkitys opinnaytetyolle</w:t>
      </w:r>
    </w:p>
    <w:p>
      <w:pPr>
        <w:pStyle w:val="FirstParagraph"/>
      </w:pPr>
      <w:r>
        <w:t xml:space="preserve">Tama tyonkulku demonstroi Solution Factory -mallin (osio 5) tayden automaation tasolla: yksi kehittaja AI-agenttien kanssa tuottaa yritystason koodia suuressa mittakaavassa. HIL-oppimisputki (osio 6.7) syottaa katselmointioivallukset takaisin agenttien koulutukseen, luoden jatkuvan parannussilmukan, joka on linjassa EU:n tekoalysaadoksen artiklan 12 tarkastettavuusvaatimusten kanssa.</w:t>
      </w:r>
    </w:p>
    <w:bookmarkEnd w:id="225"/>
    <w:bookmarkStart w:id="226" w:name="kayttoonotto"/>
    <w:p>
      <w:pPr>
        <w:pStyle w:val="Heading3"/>
      </w:pPr>
      <w:r>
        <w:t xml:space="preserve">Kayttoonotto</w:t>
      </w:r>
    </w:p>
    <w:p>
      <w:pPr>
        <w:pStyle w:val="FirstParagraph"/>
      </w:pPr>
      <w:r>
        <w:t xml:space="preserve">Cloud Run -palvelu</w:t>
      </w:r>
      <w:r>
        <w:t xml:space="preserve"> </w:t>
      </w:r>
      <w:r>
        <w:rPr>
          <w:rStyle w:val="VerbatimChar"/>
        </w:rPr>
        <w:t xml:space="preserve">dws6run6</w:t>
      </w:r>
      <w:r>
        <w:t xml:space="preserve"> </w:t>
      </w:r>
      <w:r>
        <w:t xml:space="preserve">(europe-north1, Suomi). MCP Hub tarjoaa</w:t>
      </w:r>
      <w:r>
        <w:t xml:space="preserve"> </w:t>
      </w:r>
      <w:r>
        <w:rPr>
          <w:rStyle w:val="VerbatimChar"/>
        </w:rPr>
        <w:t xml:space="preserve">POST /gemini/review</w:t>
      </w:r>
      <w:r>
        <w:t xml:space="preserve"> </w:t>
      </w:r>
      <w:r>
        <w:t xml:space="preserve">-paatepisteen on-demand-turvallisuusanalyysiin mille tahansa agentille Firehorse-laivastossa.</w:t>
      </w:r>
    </w:p>
    <w:p>
      <w:r>
        <w:pict>
          <v:rect style="width:0;height:1.5pt" o:hralign="center" o:hrstd="t" o:hr="t"/>
        </w:pict>
      </w:r>
    </w:p>
    <w:bookmarkEnd w:id="226"/>
    <w:bookmarkEnd w:id="227"/>
    <w:bookmarkStart w:id="231" w:name="X31373d4b46ea68b7289368bff562ece80f321d5"/>
    <w:p>
      <w:pPr>
        <w:pStyle w:val="Heading2"/>
      </w:pPr>
      <w:r>
        <w:t xml:space="preserve">10.13 Climate IQ Pantheon — Kreikkalais-roomalainen moniagenttijärjestelmä</w:t>
      </w:r>
    </w:p>
    <w:p>
      <w:pPr>
        <w:pStyle w:val="FirstParagraph"/>
      </w:pPr>
      <w:r>
        <w:t xml:space="preserve">Rakentuen DWS7-agenttimodernisointiin (osio 10.9) ja toimitusjohtajan automaatioagenttiryhmään (osio 10.11), tämä osio dokumentoi</w:t>
      </w:r>
      <w:r>
        <w:t xml:space="preserve"> </w:t>
      </w:r>
      <w:r>
        <w:rPr>
          <w:bCs/>
          <w:b/>
        </w:rPr>
        <w:t xml:space="preserve">Climate IQ Pantheonin</w:t>
      </w:r>
      <w:r>
        <w:t xml:space="preserve">: tuotantotason moniagenttijärjestelmän, jossa jokaisella tekoälyagentilla on kreikkalaisen tai roomalaisen jumalan identiteetti ja toimialaosaaminen.</w:t>
      </w:r>
    </w:p>
    <w:bookmarkStart w:id="228" w:name="Xc2af18bb3eb2586277ef7cf1f5a0326129a3ba2"/>
    <w:p>
      <w:pPr>
        <w:pStyle w:val="Heading3"/>
      </w:pPr>
      <w:r>
        <w:t xml:space="preserve">Motivaatio: Agentin identiteetti toiminnallisena suunnitteluna</w:t>
      </w:r>
    </w:p>
    <w:p>
      <w:pPr>
        <w:pStyle w:val="FirstParagraph"/>
      </w:pPr>
      <w:r>
        <w:rPr>
          <w:bCs/>
          <w:b/>
        </w:rPr>
        <w:t xml:space="preserve">SOUL.md-malli</w:t>
      </w:r>
      <w:r>
        <w:t xml:space="preserve"> </w:t>
      </w:r>
      <w:r>
        <w:t xml:space="preserve">ratkaisee identiteettiongelman: jokaisella agentilla on Markdown-identiteettitiedosto, joka määrittelee persoonan, käyttäytymissäännöt ja sävyn. Tämä SOUL injektoidaan LLM:n järjestelmäkehotteeseen suoritusaikana, tehden identiteetistä pysyvän ja testattavan.</w:t>
      </w:r>
    </w:p>
    <w:p>
      <w:pPr>
        <w:pStyle w:val="BodyText"/>
      </w:pPr>
      <w:r>
        <w:t xml:space="preserve">Kreikkalais-roomalainen panteon tarjoaa kaksi etua:</w:t>
      </w:r>
    </w:p>
    <w:p>
      <w:pPr>
        <w:numPr>
          <w:ilvl w:val="0"/>
          <w:numId w:val="1073"/>
        </w:numPr>
        <w:pStyle w:val="Compact"/>
      </w:pPr>
      <w:r>
        <w:rPr>
          <w:bCs/>
          <w:b/>
        </w:rPr>
        <w:t xml:space="preserve">Muistettavuus</w:t>
      </w:r>
      <w:r>
        <w:t xml:space="preserve"> </w:t>
      </w:r>
      <w:r>
        <w:t xml:space="preserve">— sidosryhmät ymmärtävät välittömästi</w:t>
      </w:r>
      <w:r>
        <w:t xml:space="preserve"> </w:t>
      </w:r>
      <w:r>
        <w:t xml:space="preserve">“</w:t>
      </w:r>
      <w:r>
        <w:t xml:space="preserve">kysy Athenalta</w:t>
      </w:r>
      <w:r>
        <w:t xml:space="preserve">”</w:t>
      </w:r>
      <w:r>
        <w:t xml:space="preserve"> </w:t>
      </w:r>
      <w:r>
        <w:t xml:space="preserve">vs</w:t>
      </w:r>
      <w:r>
        <w:t xml:space="preserve"> </w:t>
      </w:r>
      <w:r>
        <w:t xml:space="preserve">“</w:t>
      </w:r>
      <w:r>
        <w:t xml:space="preserve">kysy Hermekseltä</w:t>
      </w:r>
      <w:r>
        <w:t xml:space="preserve">”</w:t>
      </w:r>
    </w:p>
    <w:p>
      <w:pPr>
        <w:numPr>
          <w:ilvl w:val="0"/>
          <w:numId w:val="1073"/>
        </w:numPr>
        <w:pStyle w:val="Compact"/>
      </w:pPr>
      <w:r>
        <w:rPr>
          <w:bCs/>
          <w:b/>
        </w:rPr>
        <w:t xml:space="preserve">Käyttäytymisen tarkkuus</w:t>
      </w:r>
      <w:r>
        <w:t xml:space="preserve"> </w:t>
      </w:r>
      <w:r>
        <w:t xml:space="preserve">— mytologiset roolit koodaavat toimialaosaamisen</w:t>
      </w:r>
    </w:p>
    <w:bookmarkEnd w:id="228"/>
    <w:bookmarkStart w:id="229" w:name="Xf3c0fe6060fbf1d55ebbd16b2b9d4a3d84a6bbb"/>
    <w:p>
      <w:pPr>
        <w:pStyle w:val="Heading3"/>
      </w:pPr>
      <w:r>
        <w:t xml:space="preserve">Arkkitehtuuri: 6 orkestraattoria + 7 toimialaerityistä agenttia</w:t>
      </w:r>
    </w:p>
    <w:p>
      <w:pPr>
        <w:pStyle w:val="FirstParagraph"/>
      </w:pPr>
      <w:r>
        <w:rPr>
          <w:bCs/>
          <w:b/>
        </w:rPr>
        <w:t xml:space="preserve">Taso 1 — Climate IQ Pantheon (orkestraattorit)</w:t>
      </w:r>
    </w:p>
    <w:tbl>
      <w:tblPr>
        <w:tblStyle w:val="Table"/>
        <w:tblW w:type="pct" w:w="5000"/>
        <w:tblLook w:firstRow="1" w:lastRow="0" w:firstColumn="0" w:lastColumn="0" w:noHBand="0" w:noVBand="0" w:val="0020"/>
        <w:jc w:val="start"/>
      </w:tblPr>
      <w:tblGrid>
        <w:gridCol w:w="792"/>
        <w:gridCol w:w="1425"/>
        <w:gridCol w:w="1900"/>
        <w:gridCol w:w="3801"/>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Kyvykkyydet</w:t>
            </w:r>
          </w:p>
        </w:tc>
      </w:tr>
      <w:tr>
        <w:tc>
          <w:tcPr/>
          <w:p>
            <w:pPr>
              <w:pStyle w:val="Compact"/>
              <w:jc w:val="left"/>
            </w:pPr>
            <w:r>
              <w:t xml:space="preserve">Atlas</w:t>
            </w:r>
          </w:p>
        </w:tc>
        <w:tc>
          <w:tcPr/>
          <w:p>
            <w:pPr>
              <w:pStyle w:val="Compact"/>
              <w:jc w:val="left"/>
            </w:pPr>
            <w:r>
              <w:t xml:space="preserve">Titaani (kreik.)</w:t>
            </w:r>
          </w:p>
        </w:tc>
        <w:tc>
          <w:tcPr/>
          <w:p>
            <w:pPr>
              <w:pStyle w:val="Compact"/>
              <w:jc w:val="left"/>
            </w:pPr>
            <w:r>
              <w:t xml:space="preserve">Toiminnanjohtaja</w:t>
            </w:r>
          </w:p>
        </w:tc>
        <w:tc>
          <w:tcPr/>
          <w:p>
            <w:pPr>
              <w:pStyle w:val="Compact"/>
              <w:jc w:val="left"/>
            </w:pPr>
            <w:r>
              <w:t xml:space="preserve">Reititys, synteesi, johdon tiivis tilannekatsaus</w:t>
            </w:r>
          </w:p>
        </w:tc>
      </w:tr>
      <w:tr>
        <w:tc>
          <w:tcPr/>
          <w:p>
            <w:pPr>
              <w:pStyle w:val="Compact"/>
              <w:jc w:val="left"/>
            </w:pPr>
            <w:r>
              <w:t xml:space="preserve">Athena</w:t>
            </w:r>
          </w:p>
        </w:tc>
        <w:tc>
          <w:tcPr/>
          <w:p>
            <w:pPr>
              <w:pStyle w:val="Compact"/>
              <w:jc w:val="left"/>
            </w:pPr>
            <w:r>
              <w:t xml:space="preserve">Jumalatar (kreik.)</w:t>
            </w:r>
          </w:p>
        </w:tc>
        <w:tc>
          <w:tcPr/>
          <w:p>
            <w:pPr>
              <w:pStyle w:val="Compact"/>
              <w:jc w:val="left"/>
            </w:pPr>
            <w:r>
              <w:t xml:space="preserve">EU-vaatimustenmukaisuus</w:t>
            </w:r>
          </w:p>
        </w:tc>
        <w:tc>
          <w:tcPr/>
          <w:p>
            <w:pPr>
              <w:pStyle w:val="Compact"/>
              <w:jc w:val="left"/>
            </w:pPr>
            <w:r>
              <w:t xml:space="preserve">ETS, CBAM, CSRD, Fit for 55</w:t>
            </w:r>
          </w:p>
        </w:tc>
      </w:tr>
      <w:tr>
        <w:tc>
          <w:tcPr/>
          <w:p>
            <w:pPr>
              <w:pStyle w:val="Compact"/>
              <w:jc w:val="left"/>
            </w:pPr>
            <w:r>
              <w:t xml:space="preserve">Hephaestus</w:t>
            </w:r>
          </w:p>
        </w:tc>
        <w:tc>
          <w:tcPr/>
          <w:p>
            <w:pPr>
              <w:pStyle w:val="Compact"/>
              <w:jc w:val="left"/>
            </w:pPr>
            <w:r>
              <w:t xml:space="preserve">Jumala (kreik.)</w:t>
            </w:r>
          </w:p>
        </w:tc>
        <w:tc>
          <w:tcPr/>
          <w:p>
            <w:pPr>
              <w:pStyle w:val="Compact"/>
              <w:jc w:val="left"/>
            </w:pPr>
            <w:r>
              <w:t xml:space="preserve">Kenttä- ja kohdeäly</w:t>
            </w:r>
          </w:p>
        </w:tc>
        <w:tc>
          <w:tcPr/>
          <w:p>
            <w:pPr>
              <w:pStyle w:val="Compact"/>
              <w:jc w:val="left"/>
            </w:pPr>
            <w:r>
              <w:t xml:space="preserve">Kohdeturvallisuus, materiaalit, aikataulutus</w:t>
            </w:r>
          </w:p>
        </w:tc>
      </w:tr>
      <w:tr>
        <w:tc>
          <w:tcPr/>
          <w:p>
            <w:pPr>
              <w:pStyle w:val="Compact"/>
              <w:jc w:val="left"/>
            </w:pPr>
            <w:r>
              <w:t xml:space="preserve">Iris</w:t>
            </w:r>
          </w:p>
        </w:tc>
        <w:tc>
          <w:tcPr/>
          <w:p>
            <w:pPr>
              <w:pStyle w:val="Compact"/>
              <w:jc w:val="left"/>
            </w:pPr>
            <w:r>
              <w:t xml:space="preserve">Jumalatar (kreik.)</w:t>
            </w:r>
          </w:p>
        </w:tc>
        <w:tc>
          <w:tcPr/>
          <w:p>
            <w:pPr>
              <w:pStyle w:val="Compact"/>
              <w:jc w:val="left"/>
            </w:pPr>
            <w:r>
              <w:t xml:space="preserve">Tutkimus ja markkina-äly</w:t>
            </w:r>
          </w:p>
        </w:tc>
        <w:tc>
          <w:tcPr/>
          <w:p>
            <w:pPr>
              <w:pStyle w:val="Compact"/>
              <w:jc w:val="left"/>
            </w:pPr>
            <w:r>
              <w:t xml:space="preserve">Kilpailijaseuranta, markkinatutkimus</w:t>
            </w:r>
          </w:p>
        </w:tc>
      </w:tr>
      <w:tr>
        <w:tc>
          <w:tcPr/>
          <w:p>
            <w:pPr>
              <w:pStyle w:val="Compact"/>
              <w:jc w:val="left"/>
            </w:pPr>
            <w:r>
              <w:t xml:space="preserve">Hermes</w:t>
            </w:r>
          </w:p>
        </w:tc>
        <w:tc>
          <w:tcPr/>
          <w:p>
            <w:pPr>
              <w:pStyle w:val="Compact"/>
              <w:jc w:val="left"/>
            </w:pPr>
            <w:r>
              <w:t xml:space="preserve">Jumala (kreik.)</w:t>
            </w:r>
          </w:p>
        </w:tc>
        <w:tc>
          <w:tcPr/>
          <w:p>
            <w:pPr>
              <w:pStyle w:val="Compact"/>
              <w:jc w:val="left"/>
            </w:pPr>
            <w:r>
              <w:t xml:space="preserve">Logistiikka ja toiminnot</w:t>
            </w:r>
          </w:p>
        </w:tc>
        <w:tc>
          <w:tcPr/>
          <w:p>
            <w:pPr>
              <w:pStyle w:val="Compact"/>
              <w:jc w:val="left"/>
            </w:pPr>
            <w:r>
              <w:t xml:space="preserve">Toimitusketju, kriittinen polku, laadunvarmistus</w:t>
            </w:r>
          </w:p>
        </w:tc>
      </w:tr>
      <w:tr>
        <w:tc>
          <w:tcPr/>
          <w:p>
            <w:pPr>
              <w:pStyle w:val="Compact"/>
              <w:jc w:val="left"/>
            </w:pPr>
            <w:r>
              <w:t xml:space="preserve">Apollo</w:t>
            </w:r>
          </w:p>
        </w:tc>
        <w:tc>
          <w:tcPr/>
          <w:p>
            <w:pPr>
              <w:pStyle w:val="Compact"/>
              <w:jc w:val="left"/>
            </w:pPr>
            <w:r>
              <w:t xml:space="preserve">Jumala (kreik.)</w:t>
            </w:r>
          </w:p>
        </w:tc>
        <w:tc>
          <w:tcPr/>
          <w:p>
            <w:pPr>
              <w:pStyle w:val="Compact"/>
              <w:jc w:val="left"/>
            </w:pPr>
            <w:r>
              <w:t xml:space="preserve">Sisältö ja tavoittavuus</w:t>
            </w:r>
          </w:p>
        </w:tc>
        <w:tc>
          <w:tcPr/>
          <w:p>
            <w:pPr>
              <w:pStyle w:val="Compact"/>
              <w:jc w:val="left"/>
            </w:pPr>
            <w:r>
              <w:t xml:space="preserve">SEO, sisältöstrategia, myyntiyhteystiedot</w:t>
            </w:r>
          </w:p>
        </w:tc>
      </w:tr>
    </w:tbl>
    <w:p>
      <w:pPr>
        <w:pStyle w:val="BodyText"/>
      </w:pPr>
      <w:r>
        <w:rPr>
          <w:bCs/>
          <w:b/>
        </w:rPr>
        <w:t xml:space="preserve">Taso 2 — Toimialaerityiset agentit</w:t>
      </w:r>
    </w:p>
    <w:tbl>
      <w:tblPr>
        <w:tblStyle w:val="Table"/>
        <w:tblW w:type="pct" w:w="5000"/>
        <w:tblLook w:firstRow="1" w:lastRow="0" w:firstColumn="0" w:lastColumn="0" w:noHBand="0" w:noVBand="0" w:val="0020"/>
        <w:jc w:val="start"/>
      </w:tblPr>
      <w:tblGrid>
        <w:gridCol w:w="1042"/>
        <w:gridCol w:w="1354"/>
        <w:gridCol w:w="2917"/>
        <w:gridCol w:w="2605"/>
      </w:tblGrid>
      <w:tr>
        <w:trPr>
          <w:tblHeader w:val="true"/>
        </w:trPr>
        <w:tc>
          <w:tcPr/>
          <w:p>
            <w:pPr>
              <w:pStyle w:val="Compact"/>
              <w:jc w:val="left"/>
            </w:pPr>
            <w:r>
              <w:t xml:space="preserve">Agentti</w:t>
            </w:r>
          </w:p>
        </w:tc>
        <w:tc>
          <w:tcPr/>
          <w:p>
            <w:pPr>
              <w:pStyle w:val="Compact"/>
              <w:jc w:val="left"/>
            </w:pPr>
            <w:r>
              <w:t xml:space="preserve">Jumala</w:t>
            </w:r>
          </w:p>
        </w:tc>
        <w:tc>
          <w:tcPr/>
          <w:p>
            <w:pPr>
              <w:pStyle w:val="Compact"/>
              <w:jc w:val="left"/>
            </w:pPr>
            <w:r>
              <w:t xml:space="preserve">Toimiala</w:t>
            </w:r>
          </w:p>
        </w:tc>
        <w:tc>
          <w:tcPr/>
          <w:p>
            <w:pPr>
              <w:pStyle w:val="Compact"/>
              <w:jc w:val="left"/>
            </w:pPr>
            <w:r>
              <w:t xml:space="preserve">Keskeinen sääntely</w:t>
            </w:r>
          </w:p>
        </w:tc>
      </w:tr>
      <w:tr>
        <w:tc>
          <w:tcPr/>
          <w:p>
            <w:pPr>
              <w:pStyle w:val="Compact"/>
              <w:jc w:val="left"/>
            </w:pPr>
            <w:r>
              <w:t xml:space="preserve">Vulcan</w:t>
            </w:r>
          </w:p>
        </w:tc>
        <w:tc>
          <w:tcPr/>
          <w:p>
            <w:pPr>
              <w:pStyle w:val="Compact"/>
              <w:jc w:val="left"/>
            </w:pPr>
            <w:r>
              <w:t xml:space="preserve">Roomalainen</w:t>
            </w:r>
          </w:p>
        </w:tc>
        <w:tc>
          <w:tcPr/>
          <w:p>
            <w:pPr>
              <w:pStyle w:val="Compact"/>
              <w:jc w:val="left"/>
            </w:pPr>
            <w:r>
              <w:t xml:space="preserve">Teräs ja metallit</w:t>
            </w:r>
          </w:p>
        </w:tc>
        <w:tc>
          <w:tcPr/>
          <w:p>
            <w:pPr>
              <w:pStyle w:val="Compact"/>
              <w:jc w:val="left"/>
            </w:pPr>
            <w:r>
              <w:t xml:space="preserve">ETS Vaihe 4, CBAM</w:t>
            </w:r>
          </w:p>
        </w:tc>
      </w:tr>
      <w:tr>
        <w:tc>
          <w:tcPr/>
          <w:p>
            <w:pPr>
              <w:pStyle w:val="Compact"/>
              <w:jc w:val="left"/>
            </w:pPr>
            <w:r>
              <w:t xml:space="preserve">Helios</w:t>
            </w:r>
          </w:p>
        </w:tc>
        <w:tc>
          <w:tcPr/>
          <w:p>
            <w:pPr>
              <w:pStyle w:val="Compact"/>
              <w:jc w:val="left"/>
            </w:pPr>
            <w:r>
              <w:t xml:space="preserve">Kreikkalainen</w:t>
            </w:r>
          </w:p>
        </w:tc>
        <w:tc>
          <w:tcPr/>
          <w:p>
            <w:pPr>
              <w:pStyle w:val="Compact"/>
              <w:jc w:val="left"/>
            </w:pPr>
            <w:r>
              <w:t xml:space="preserve">Energia ja uusiutuva energia</w:t>
            </w:r>
          </w:p>
        </w:tc>
        <w:tc>
          <w:tcPr/>
          <w:p>
            <w:pPr>
              <w:pStyle w:val="Compact"/>
              <w:jc w:val="left"/>
            </w:pPr>
            <w:r>
              <w:t xml:space="preserve">RED III, 42,5 %:n tavoite</w:t>
            </w:r>
          </w:p>
        </w:tc>
      </w:tr>
      <w:tr>
        <w:tc>
          <w:tcPr/>
          <w:p>
            <w:pPr>
              <w:pStyle w:val="Compact"/>
              <w:jc w:val="left"/>
            </w:pPr>
            <w:r>
              <w:t xml:space="preserve">Neptune</w:t>
            </w:r>
          </w:p>
        </w:tc>
        <w:tc>
          <w:tcPr/>
          <w:p>
            <w:pPr>
              <w:pStyle w:val="Compact"/>
              <w:jc w:val="left"/>
            </w:pPr>
            <w:r>
              <w:t xml:space="preserve">Roomalainen</w:t>
            </w:r>
          </w:p>
        </w:tc>
        <w:tc>
          <w:tcPr/>
          <w:p>
            <w:pPr>
              <w:pStyle w:val="Compact"/>
              <w:jc w:val="left"/>
            </w:pPr>
            <w:r>
              <w:t xml:space="preserve">Meri- ja merenkulku</w:t>
            </w:r>
          </w:p>
        </w:tc>
        <w:tc>
          <w:tcPr/>
          <w:p>
            <w:pPr>
              <w:pStyle w:val="Compact"/>
              <w:jc w:val="left"/>
            </w:pPr>
            <w:r>
              <w:t xml:space="preserve">FuelEU, ETS 40/70/100 %</w:t>
            </w:r>
          </w:p>
        </w:tc>
      </w:tr>
      <w:tr>
        <w:tc>
          <w:tcPr/>
          <w:p>
            <w:pPr>
              <w:pStyle w:val="Compact"/>
              <w:jc w:val="left"/>
            </w:pPr>
            <w:r>
              <w:t xml:space="preserve">Ceres</w:t>
            </w:r>
          </w:p>
        </w:tc>
        <w:tc>
          <w:tcPr/>
          <w:p>
            <w:pPr>
              <w:pStyle w:val="Compact"/>
              <w:jc w:val="left"/>
            </w:pPr>
            <w:r>
              <w:t xml:space="preserve">Roomalainen</w:t>
            </w:r>
          </w:p>
        </w:tc>
        <w:tc>
          <w:tcPr/>
          <w:p>
            <w:pPr>
              <w:pStyle w:val="Compact"/>
              <w:jc w:val="left"/>
            </w:pPr>
            <w:r>
              <w:t xml:space="preserve">Maatalous ja lannoitteet</w:t>
            </w:r>
          </w:p>
        </w:tc>
        <w:tc>
          <w:tcPr/>
          <w:p>
            <w:pPr>
              <w:pStyle w:val="Compact"/>
              <w:jc w:val="left"/>
            </w:pPr>
            <w:r>
              <w:t xml:space="preserve">CBAM lannoitteet, N₂O</w:t>
            </w:r>
          </w:p>
        </w:tc>
      </w:tr>
      <w:tr>
        <w:tc>
          <w:tcPr/>
          <w:p>
            <w:pPr>
              <w:pStyle w:val="Compact"/>
              <w:jc w:val="left"/>
            </w:pPr>
            <w:r>
              <w:t xml:space="preserve">Prometheus</w:t>
            </w:r>
          </w:p>
        </w:tc>
        <w:tc>
          <w:tcPr/>
          <w:p>
            <w:pPr>
              <w:pStyle w:val="Compact"/>
              <w:jc w:val="left"/>
            </w:pPr>
            <w:r>
              <w:t xml:space="preserve">Kreikkalainen</w:t>
            </w:r>
          </w:p>
        </w:tc>
        <w:tc>
          <w:tcPr/>
          <w:p>
            <w:pPr>
              <w:pStyle w:val="Compact"/>
              <w:jc w:val="left"/>
            </w:pPr>
            <w:r>
              <w:t xml:space="preserve">Vety</w:t>
            </w:r>
          </w:p>
        </w:tc>
        <w:tc>
          <w:tcPr/>
          <w:p>
            <w:pPr>
              <w:pStyle w:val="Compact"/>
              <w:jc w:val="left"/>
            </w:pPr>
            <w:r>
              <w:t xml:space="preserve">RFNBO-lisäisyys, RED III</w:t>
            </w:r>
          </w:p>
        </w:tc>
      </w:tr>
      <w:tr>
        <w:tc>
          <w:tcPr/>
          <w:p>
            <w:pPr>
              <w:pStyle w:val="Compact"/>
              <w:jc w:val="left"/>
            </w:pPr>
            <w:r>
              <w:t xml:space="preserve">Mars</w:t>
            </w:r>
          </w:p>
        </w:tc>
        <w:tc>
          <w:tcPr/>
          <w:p>
            <w:pPr>
              <w:pStyle w:val="Compact"/>
              <w:jc w:val="left"/>
            </w:pPr>
            <w:r>
              <w:t xml:space="preserve">Roomalainen</w:t>
            </w:r>
          </w:p>
        </w:tc>
        <w:tc>
          <w:tcPr/>
          <w:p>
            <w:pPr>
              <w:pStyle w:val="Compact"/>
              <w:jc w:val="left"/>
            </w:pPr>
            <w:r>
              <w:t xml:space="preserve">Rakentaminen ja rakennukset</w:t>
            </w:r>
          </w:p>
        </w:tc>
        <w:tc>
          <w:tcPr/>
          <w:p>
            <w:pPr>
              <w:pStyle w:val="Compact"/>
              <w:jc w:val="left"/>
            </w:pPr>
            <w:r>
              <w:t xml:space="preserve">EPBD, EN 15978</w:t>
            </w:r>
          </w:p>
        </w:tc>
      </w:tr>
      <w:tr>
        <w:tc>
          <w:tcPr/>
          <w:p>
            <w:pPr>
              <w:pStyle w:val="Compact"/>
              <w:jc w:val="left"/>
            </w:pPr>
            <w:r>
              <w:t xml:space="preserve">Gaia</w:t>
            </w:r>
          </w:p>
        </w:tc>
        <w:tc>
          <w:tcPr/>
          <w:p>
            <w:pPr>
              <w:pStyle w:val="Compact"/>
              <w:jc w:val="left"/>
            </w:pPr>
            <w:r>
              <w:t xml:space="preserve">Kreikkalainen</w:t>
            </w:r>
          </w:p>
        </w:tc>
        <w:tc>
          <w:tcPr/>
          <w:p>
            <w:pPr>
              <w:pStyle w:val="Compact"/>
              <w:jc w:val="left"/>
            </w:pPr>
            <w:r>
              <w:t xml:space="preserve">Sementti ja maa-ainekset</w:t>
            </w:r>
          </w:p>
        </w:tc>
        <w:tc>
          <w:tcPr/>
          <w:p>
            <w:pPr>
              <w:pStyle w:val="Compact"/>
              <w:jc w:val="left"/>
            </w:pPr>
            <w:r>
              <w:t xml:space="preserve">CBAM klinkkeri, ETS</w:t>
            </w:r>
          </w:p>
        </w:tc>
      </w:tr>
    </w:tbl>
    <w:bookmarkEnd w:id="229"/>
    <w:bookmarkStart w:id="230" w:name="X2e97e34942c85690bfa816e4ff04925b106d054"/>
    <w:p>
      <w:pPr>
        <w:pStyle w:val="Heading3"/>
      </w:pPr>
      <w:r>
        <w:t xml:space="preserve">Turvallisuus: Prompt injection -korjaus ja EU AI Act artikla 12</w:t>
      </w:r>
    </w:p>
    <w:p>
      <w:pPr>
        <w:pStyle w:val="FirstParagraph"/>
      </w:pPr>
      <w:r>
        <w:rPr>
          <w:rStyle w:val="VerbatimChar"/>
        </w:rPr>
        <w:t xml:space="preserve">HermesAgent</w:t>
      </w:r>
      <w:r>
        <w:t xml:space="preserve">-agentissa löydettiin haavoittuvuus, jossa mielivaltaiset syötekentät välitettiin</w:t>
      </w:r>
      <w:r>
        <w:t xml:space="preserve"> </w:t>
      </w:r>
      <w:r>
        <w:rPr>
          <w:rStyle w:val="VerbatimChar"/>
        </w:rPr>
        <w:t xml:space="preserve">...input</w:t>
      </w:r>
      <w:r>
        <w:t xml:space="preserve">-levityksellä aliagentteille. Korjaus korvaa kaikki levitykset eksplisiittisellä kenttäpoiminnalla (kirjoitetut suojaukset per kenttä).</w:t>
      </w:r>
    </w:p>
    <w:p>
      <w:pPr>
        <w:pStyle w:val="BodyText"/>
      </w:pPr>
      <w:r>
        <w:t xml:space="preserve">Kaikki 13 agenttia kutsuvat</w:t>
      </w:r>
      <w:r>
        <w:t xml:space="preserve"> </w:t>
      </w:r>
      <w:r>
        <w:rPr>
          <w:rStyle w:val="VerbatimChar"/>
        </w:rPr>
        <w:t xml:space="preserve">logExecution()</w:t>
      </w:r>
      <w:r>
        <w:t xml:space="preserve">-metodia aloituksessa ja valmistumisessa, kirjoittaen</w:t>
      </w:r>
      <w:r>
        <w:t xml:space="preserve"> </w:t>
      </w:r>
      <w:r>
        <w:rPr>
          <w:rStyle w:val="VerbatimChar"/>
        </w:rPr>
        <w:t xml:space="preserve">agent_executions</w:t>
      </w:r>
      <w:r>
        <w:t xml:space="preserve"> </w:t>
      </w:r>
      <w:r>
        <w:t xml:space="preserve">Supabase-tauluun. Tämä täyttää EU AI Act artiklan 12 automaattiset lokivaatimukset korkean riskin tekoälyjärjestelmille.</w:t>
      </w:r>
    </w:p>
    <w:bookmarkEnd w:id="230"/>
    <w:bookmarkEnd w:id="231"/>
    <w:bookmarkStart w:id="238" w:name="X7051fc67256a71f64fe73dbe0a705317830f2ac"/>
    <w:p>
      <w:pPr>
        <w:pStyle w:val="Heading2"/>
      </w:pPr>
      <w:r>
        <w:t xml:space="preserve">10.14 Agenttijärjestelmän koventaminen — tuotantoluotettavuus</w:t>
      </w:r>
    </w:p>
    <w:bookmarkStart w:id="232" w:name="motivaatio-1"/>
    <w:p>
      <w:pPr>
        <w:pStyle w:val="Heading3"/>
      </w:pPr>
      <w:r>
        <w:t xml:space="preserve">10.14.1 Motivaatio</w:t>
      </w:r>
    </w:p>
    <w:p>
      <w:pPr>
        <w:pStyle w:val="FirstParagraph"/>
      </w:pPr>
      <w:r>
        <w:t xml:space="preserve">31-agenttinen järjestelmä (13 ydin + 5 SEO + 13 työnkulku/toimiala) oli kerryttänyt 6 TypeScript-kääntövirhettä ja 3 testivikaa, jotka estivät tuotantokääntämisen. Nämä eivät olleet suunnitteluvirheitä vaan integraatiovelkaa: tyyppien yhteensopimattomuuksia moduulirajojen yli, puuttuvia reittejä, asentamattomia riippuvuuksia ja lokaalikohtaista muotoilua.</w:t>
      </w:r>
    </w:p>
    <w:bookmarkEnd w:id="232"/>
    <w:bookmarkStart w:id="233" w:name="Xb3424cfbe6f75ddeafd41759986883dd09d8db8"/>
    <w:p>
      <w:pPr>
        <w:pStyle w:val="Heading3"/>
      </w:pPr>
      <w:r>
        <w:t xml:space="preserve">10.14.2 Tyyppijärjestelmän linjaus: SandboxContext</w:t>
      </w:r>
    </w:p>
    <w:p>
      <w:pPr>
        <w:pStyle w:val="FirstParagraph"/>
      </w:pPr>
      <w:r>
        <w:rPr>
          <w:rStyle w:val="VerbatimChar"/>
        </w:rPr>
        <w:t xml:space="preserve">SandboxStage</w:t>
      </w:r>
      <w:r>
        <w:t xml:space="preserve">-tyyppi</w:t>
      </w:r>
      <w:r>
        <w:t xml:space="preserve"> </w:t>
      </w:r>
      <w:r>
        <w:rPr>
          <w:rStyle w:val="VerbatimChar"/>
        </w:rPr>
        <w:t xml:space="preserve">src/sandbox/index.ts</w:t>
      </w:r>
      <w:r>
        <w:t xml:space="preserve">-tiedostossa määritteli neljä vaihetta:</w:t>
      </w:r>
      <w:r>
        <w:t xml:space="preserve"> </w:t>
      </w:r>
      <w:r>
        <w:rPr>
          <w:rStyle w:val="VerbatimChar"/>
        </w:rPr>
        <w:t xml:space="preserve">'1' | 'opensandbox' | '2' | '3'</w:t>
      </w:r>
      <w:r>
        <w:t xml:space="preserve">, missä</w:t>
      </w:r>
      <w:r>
        <w:t xml:space="preserve"> </w:t>
      </w:r>
      <w:r>
        <w:rPr>
          <w:rStyle w:val="VerbatimChar"/>
        </w:rPr>
        <w:t xml:space="preserve">'opensandbox'</w:t>
      </w:r>
      <w:r>
        <w:t xml:space="preserve"> </w:t>
      </w:r>
      <w:r>
        <w:t xml:space="preserve">edustaa vaiheen 1.5 Docker-pohjaista eristystä Acer Veriton GN100 -laitteistolla (osio 10.10).</w:t>
      </w:r>
      <w:r>
        <w:t xml:space="preserve"> </w:t>
      </w:r>
      <w:r>
        <w:rPr>
          <w:rStyle w:val="VerbatimChar"/>
        </w:rPr>
        <w:t xml:space="preserve">SandboxContext.stage</w:t>
      </w:r>
      <w:r>
        <w:t xml:space="preserve"> </w:t>
      </w:r>
      <w:r>
        <w:rPr>
          <w:rStyle w:val="VerbatimChar"/>
        </w:rPr>
        <w:t xml:space="preserve">src/agents/types.ts</w:t>
      </w:r>
      <w:r>
        <w:t xml:space="preserve">-tiedostossa hyväksyi kuitenkin vain</w:t>
      </w:r>
      <w:r>
        <w:t xml:space="preserve"> </w:t>
      </w:r>
      <w:r>
        <w:rPr>
          <w:rStyle w:val="VerbatimChar"/>
        </w:rPr>
        <w:t xml:space="preserve">'1' | '2' | '3'</w:t>
      </w:r>
      <w:r>
        <w:t xml:space="preserve">, luoden käännösaikaisen virheen. Korjaus linjasi molemmat tyypit.</w:t>
      </w:r>
    </w:p>
    <w:bookmarkEnd w:id="233"/>
    <w:bookmarkStart w:id="234" w:name="X963e8f3468213919890450c7f2398c4b0eb4097"/>
    <w:p>
      <w:pPr>
        <w:pStyle w:val="Heading3"/>
      </w:pPr>
      <w:r>
        <w:t xml:space="preserve">10.14.3 Reittien kytkentä: MCP ja ihminen silmukassa</w:t>
      </w:r>
    </w:p>
    <w:p>
      <w:pPr>
        <w:pStyle w:val="FirstParagraph"/>
      </w:pPr>
      <w:r>
        <w:t xml:space="preserve">Kaksi kriittistä reittiä oli tavoittamattomissa puuttuvien tuontien vuoksi</w:t>
      </w:r>
      <w:r>
        <w:t xml:space="preserve"> </w:t>
      </w:r>
      <w:r>
        <w:rPr>
          <w:rStyle w:val="VerbatimChar"/>
        </w:rPr>
        <w:t xml:space="preserve">src/app.ts</w:t>
      </w:r>
      <w:r>
        <w:t xml:space="preserve">-tiedostossa:</w:t>
      </w:r>
    </w:p>
    <w:p>
      <w:pPr>
        <w:numPr>
          <w:ilvl w:val="0"/>
          <w:numId w:val="1074"/>
        </w:numPr>
        <w:pStyle w:val="Compact"/>
      </w:pPr>
      <w:r>
        <w:rPr>
          <w:bCs/>
          <w:b/>
        </w:rPr>
        <w:t xml:space="preserve">MCP-agenttipalvelin</w:t>
      </w:r>
      <w:r>
        <w:t xml:space="preserve"> </w:t>
      </w:r>
      <w:r>
        <w:t xml:space="preserve">(</w:t>
      </w:r>
      <w:r>
        <w:rPr>
          <w:rStyle w:val="VerbatimChar"/>
        </w:rPr>
        <w:t xml:space="preserve">/mcp</w:t>
      </w:r>
      <w:r>
        <w:t xml:space="preserve">) —</w:t>
      </w:r>
      <w:r>
        <w:t xml:space="preserve"> </w:t>
      </w:r>
      <w:r>
        <w:rPr>
          <w:rStyle w:val="VerbatimChar"/>
        </w:rPr>
        <w:t xml:space="preserve">createMCPRouter()</w:t>
      </w:r>
      <w:r>
        <w:t xml:space="preserve">-funktio paljastaa kaikki agentit MCP-työkaluina JSON-RPC 2.0:n kautta.</w:t>
      </w:r>
    </w:p>
    <w:p>
      <w:pPr>
        <w:numPr>
          <w:ilvl w:val="0"/>
          <w:numId w:val="1074"/>
        </w:numPr>
        <w:pStyle w:val="Compact"/>
      </w:pPr>
      <w:r>
        <w:rPr>
          <w:bCs/>
          <w:b/>
        </w:rPr>
        <w:t xml:space="preserve">Ihminen silmukassa</w:t>
      </w:r>
      <w:r>
        <w:t xml:space="preserve"> </w:t>
      </w:r>
      <w:r>
        <w:t xml:space="preserve">(</w:t>
      </w:r>
      <w:r>
        <w:rPr>
          <w:rStyle w:val="VerbatimChar"/>
        </w:rPr>
        <w:t xml:space="preserve">/api/hil</w:t>
      </w:r>
      <w:r>
        <w:t xml:space="preserve">) — HIL-päätepiste mahdollistaa yhden klikkauksen tehtävien suorittamisen aamubrief-sähköposteista.</w:t>
      </w:r>
    </w:p>
    <w:bookmarkEnd w:id="234"/>
    <w:bookmarkStart w:id="235" w:name="lokaalivarma-numeromuotoilu"/>
    <w:p>
      <w:pPr>
        <w:pStyle w:val="Heading3"/>
      </w:pPr>
      <w:r>
        <w:t xml:space="preserve">10.14.4 Lokaalivarma numeromuotoilu</w:t>
      </w:r>
    </w:p>
    <w:p>
      <w:pPr>
        <w:pStyle w:val="FirstParagraph"/>
      </w:pPr>
      <w:r>
        <w:t xml:space="preserve">Päästödatan analyytikkoagentti muotoilee ETS-kustannusarvioita</w:t>
      </w:r>
      <w:r>
        <w:t xml:space="preserve"> </w:t>
      </w:r>
      <w:r>
        <w:rPr>
          <w:rStyle w:val="VerbatimChar"/>
        </w:rPr>
        <w:t xml:space="preserve">Number.toLocaleString()</w:t>
      </w:r>
      <w:r>
        <w:t xml:space="preserve">-metodilla. EU-lokaaleilla tämä tuottaa välilyönnillä erotellut luvut. Korjaus määrittää</w:t>
      </w:r>
      <w:r>
        <w:t xml:space="preserve"> </w:t>
      </w:r>
      <w:r>
        <w:rPr>
          <w:rStyle w:val="VerbatimChar"/>
        </w:rPr>
        <w:t xml:space="preserve">'en-US'</w:t>
      </w:r>
      <w:r>
        <w:t xml:space="preserve">-lokaalin eksplisiittisesti, varmistaen deterministisen tulostuksen käyttöympäristöstä riippumatta.</w:t>
      </w:r>
    </w:p>
    <w:bookmarkEnd w:id="235"/>
    <w:bookmarkStart w:id="236" w:name="riippuvuushygienia"/>
    <w:p>
      <w:pPr>
        <w:pStyle w:val="Heading3"/>
      </w:pPr>
      <w:r>
        <w:t xml:space="preserve">10.14.5 Riippuvuushygienia</w:t>
      </w:r>
    </w:p>
    <w:p>
      <w:pPr>
        <w:pStyle w:val="FirstParagraph"/>
      </w:pPr>
      <w:r>
        <w:rPr>
          <w:rStyle w:val="VerbatimChar"/>
        </w:rPr>
        <w:t xml:space="preserve">luxon</w:t>
      </w:r>
      <w:r>
        <w:t xml:space="preserve">-kirjasto oli tuotu Social Schedulerissa mutta ei koskaan lisätty</w:t>
      </w:r>
      <w:r>
        <w:t xml:space="preserve"> </w:t>
      </w:r>
      <w:r>
        <w:rPr>
          <w:rStyle w:val="VerbatimChar"/>
        </w:rPr>
        <w:t xml:space="preserve">package.json</w:t>
      </w:r>
      <w:r>
        <w:t xml:space="preserve">-tiedostoon. Resend-sähköposti-SDK:n erävasteen tyyppi vaati suoritusaikaisen taulukkotunnistuksen.</w:t>
      </w:r>
    </w:p>
    <w:bookmarkEnd w:id="236"/>
    <w:bookmarkStart w:id="237" w:name="tutkimuspanos"/>
    <w:p>
      <w:pPr>
        <w:pStyle w:val="Heading3"/>
      </w:pPr>
      <w:r>
        <w:t xml:space="preserve">10.14.6 Tutkimuspanos</w:t>
      </w:r>
    </w:p>
    <w:p>
      <w:pPr>
        <w:pStyle w:val="FirstParagraph"/>
      </w:pPr>
      <w:r>
        <w:t xml:space="preserve">Tämä koventamissessio osoittaa moniagenttijärjestelmien ylläpitoon liittyvän kuvion:</w:t>
      </w:r>
      <w:r>
        <w:t xml:space="preserve"> </w:t>
      </w:r>
      <w:r>
        <w:rPr>
          <w:bCs/>
          <w:b/>
        </w:rPr>
        <w:t xml:space="preserve">integraatiovelka kertyy moduulirajoille, ei moduulien sisälle</w:t>
      </w:r>
      <w:r>
        <w:t xml:space="preserve">. Korjaus koski 6 tiedostoa 5 alijärjestelmässä, palauttaen:</w:t>
      </w:r>
    </w:p>
    <w:p>
      <w:pPr>
        <w:numPr>
          <w:ilvl w:val="0"/>
          <w:numId w:val="1075"/>
        </w:numPr>
        <w:pStyle w:val="Compact"/>
      </w:pPr>
      <w:r>
        <w:rPr>
          <w:bCs/>
          <w:b/>
        </w:rPr>
        <w:t xml:space="preserve">0 TypeScript-virhettä</w:t>
      </w:r>
      <w:r>
        <w:t xml:space="preserve"> </w:t>
      </w:r>
      <w:r>
        <w:t xml:space="preserve">(oli 6)</w:t>
      </w:r>
    </w:p>
    <w:p>
      <w:pPr>
        <w:numPr>
          <w:ilvl w:val="0"/>
          <w:numId w:val="1075"/>
        </w:numPr>
        <w:pStyle w:val="Compact"/>
      </w:pPr>
      <w:r>
        <w:rPr>
          <w:bCs/>
          <w:b/>
        </w:rPr>
        <w:t xml:space="preserve">47/47 testiä läpi</w:t>
      </w:r>
      <w:r>
        <w:t xml:space="preserve"> </w:t>
      </w:r>
      <w:r>
        <w:t xml:space="preserve">(oli 44/47)</w:t>
      </w:r>
    </w:p>
    <w:p>
      <w:pPr>
        <w:numPr>
          <w:ilvl w:val="0"/>
          <w:numId w:val="1075"/>
        </w:numPr>
        <w:pStyle w:val="Compact"/>
      </w:pPr>
      <w:r>
        <w:rPr>
          <w:bCs/>
          <w:b/>
        </w:rPr>
        <w:t xml:space="preserve">Täysi MCP-löydettävyys</w:t>
      </w:r>
      <w:r>
        <w:t xml:space="preserve"> </w:t>
      </w:r>
      <w:r>
        <w:t xml:space="preserve">kaikille 31 agentille</w:t>
      </w:r>
    </w:p>
    <w:p>
      <w:pPr>
        <w:numPr>
          <w:ilvl w:val="0"/>
          <w:numId w:val="1075"/>
        </w:numPr>
        <w:pStyle w:val="Compact"/>
      </w:pPr>
      <w:r>
        <w:rPr>
          <w:bCs/>
          <w:b/>
        </w:rPr>
        <w:t xml:space="preserve">HIL-toiminnallisuus</w:t>
      </w:r>
      <w:r>
        <w:t xml:space="preserve"> </w:t>
      </w:r>
      <w:r>
        <w:t xml:space="preserve">aamubrief-työnkuluille</w:t>
      </w:r>
    </w:p>
    <w:p>
      <w:r>
        <w:pict>
          <v:rect style="width:0;height:1.5pt" o:hralign="center" o:hrstd="t" o:hr="t"/>
        </w:pict>
      </w:r>
    </w:p>
    <w:bookmarkEnd w:id="237"/>
    <w:bookmarkEnd w:id="238"/>
    <w:bookmarkStart w:id="316" w:name="Xb98f337ebd186f75b928dae02f80fa92c383681"/>
    <w:p>
      <w:pPr>
        <w:pStyle w:val="Heading2"/>
      </w:pPr>
      <w:r>
        <w:t xml:space="preserve">10.15 PostgreSQL-sarakemuotoinen HTAP-arkkitehtuuri — DWS-tietostandardi</w:t>
      </w:r>
    </w:p>
    <w:bookmarkStart w:id="239" w:name="motivaatio-2"/>
    <w:p>
      <w:pPr>
        <w:pStyle w:val="Heading3"/>
      </w:pPr>
      <w:r>
        <w:t xml:space="preserve">10.15.1 Motivaatio</w:t>
      </w:r>
    </w:p>
    <w:p>
      <w:pPr>
        <w:pStyle w:val="FirstParagraph"/>
      </w:pPr>
      <w:r>
        <w:t xml:space="preserve">DWS6 suorittaa kaikki analytiikkakyselyt transaktiotaulujen varastoon ilman sarakemuotoisia tai HTAP-ominaisuuksia. Alustan skaalautuessa IoT-telemetriaan (DWS7 vaihe 4), 7 vuoden artikla 12 -auditointisäilytykseen ja kasvaviin agenttisuorituslokeihin, yksimoottorilähestymistapa luo suorituskyvyn pullonkauloja.</w:t>
      </w:r>
    </w:p>
    <w:p>
      <w:pPr>
        <w:pStyle w:val="BodyText"/>
      </w:pPr>
      <w:r>
        <w:t xml:space="preserve">PostgreSQL:n</w:t>
      </w:r>
      <w:r>
        <w:t xml:space="preserve"> </w:t>
      </w:r>
      <w:r>
        <w:t xml:space="preserve">“</w:t>
      </w:r>
      <w:r>
        <w:t xml:space="preserve">sarakemuotoinen laajennus</w:t>
      </w:r>
      <w:r>
        <w:t xml:space="preserve">”</w:t>
      </w:r>
      <w:r>
        <w:t xml:space="preserve"> </w:t>
      </w:r>
      <w:r>
        <w:t xml:space="preserve">-malli mahdollistaa aidon HTAP:n (Hybrid Transactional/Analytical Processing) yksittäisen tietokannan sisällä: transaktiotaulut pysyvät tavallisina heap-tauluina, analytiikkataulut muuttuvat sarakemuotoisiksi, saumattomilla liitoksilla ja ilman tiedonsiirtoa.</w:t>
      </w:r>
    </w:p>
    <w:bookmarkEnd w:id="239"/>
    <w:bookmarkStart w:id="240" w:name="laajennusten-arviointi"/>
    <w:p>
      <w:pPr>
        <w:pStyle w:val="Heading3"/>
      </w:pPr>
      <w:r>
        <w:t xml:space="preserve">10.15.2 Laajennusten arviointi</w:t>
      </w:r>
    </w:p>
    <w:p>
      <w:pPr>
        <w:pStyle w:val="FirstParagraph"/>
      </w:pPr>
      <w:r>
        <w:t xml:space="preserve">Kuusi Hydra-tyyppistä ratkaisua arvioitiin DWS-yhteensopivuuden osalta.</w:t>
      </w:r>
      <w:r>
        <w:t xml:space="preserve"> </w:t>
      </w:r>
      <w:r>
        <w:rPr>
          <w:bCs/>
          <w:b/>
        </w:rPr>
        <w:t xml:space="preserve">Päivitetty maaliskuu 2026</w:t>
      </w:r>
      <w:r>
        <w:t xml:space="preserve"> </w:t>
      </w:r>
      <w:r>
        <w:t xml:space="preserve">Aiven-sallittujen listan todentamisen ja ekosysteemimuutosten jälkeen:</w:t>
      </w:r>
    </w:p>
    <w:tbl>
      <w:tblPr>
        <w:tblStyle w:val="Table"/>
        <w:tblW w:type="pct" w:w="5000"/>
        <w:tblLook w:firstRow="1" w:lastRow="0" w:firstColumn="0" w:lastColumn="0" w:noHBand="0" w:noVBand="0" w:val="0020"/>
        <w:jc w:val="start"/>
      </w:tblPr>
      <w:tblGrid>
        <w:gridCol w:w="1205"/>
        <w:gridCol w:w="903"/>
        <w:gridCol w:w="1635"/>
        <w:gridCol w:w="3056"/>
        <w:gridCol w:w="1119"/>
      </w:tblGrid>
      <w:tr>
        <w:trPr>
          <w:tblHeader w:val="true"/>
        </w:trPr>
        <w:tc>
          <w:tcPr/>
          <w:p>
            <w:pPr>
              <w:pStyle w:val="Compact"/>
              <w:jc w:val="left"/>
            </w:pPr>
            <w:r>
              <w:t xml:space="preserve">Ratkaisu</w:t>
            </w:r>
          </w:p>
        </w:tc>
        <w:tc>
          <w:tcPr/>
          <w:p>
            <w:pPr>
              <w:pStyle w:val="Compact"/>
              <w:jc w:val="left"/>
            </w:pPr>
            <w:r>
              <w:t xml:space="preserve">Suoritusmoottori</w:t>
            </w:r>
          </w:p>
        </w:tc>
        <w:tc>
          <w:tcPr/>
          <w:p>
            <w:pPr>
              <w:pStyle w:val="Compact"/>
              <w:jc w:val="left"/>
            </w:pPr>
            <w:r>
              <w:t xml:space="preserve">Aiven-tuki</w:t>
            </w:r>
          </w:p>
        </w:tc>
        <w:tc>
          <w:tcPr/>
          <w:p>
            <w:pPr>
              <w:pStyle w:val="Compact"/>
              <w:jc w:val="left"/>
            </w:pPr>
            <w:r>
              <w:t xml:space="preserve">DWS-sopivuus</w:t>
            </w:r>
          </w:p>
        </w:tc>
        <w:tc>
          <w:tcPr/>
          <w:p>
            <w:pPr>
              <w:pStyle w:val="Compact"/>
              <w:jc w:val="left"/>
            </w:pPr>
            <w:r>
              <w:t xml:space="preserve">Tila (maaliskuu 2026)</w:t>
            </w:r>
          </w:p>
        </w:tc>
      </w:tr>
      <w:tr>
        <w:tc>
          <w:tcPr/>
          <w:p>
            <w:pPr>
              <w:pStyle w:val="Compact"/>
              <w:jc w:val="left"/>
            </w:pPr>
            <w:r>
              <w:t xml:space="preserve">TimescaleDB 2.25.x Hypercore</w:t>
            </w:r>
          </w:p>
        </w:tc>
        <w:tc>
          <w:tcPr/>
          <w:p>
            <w:pPr>
              <w:pStyle w:val="Compact"/>
              <w:jc w:val="left"/>
            </w:pPr>
            <w:r>
              <w:t xml:space="preserve">PostgreSQL</w:t>
            </w:r>
          </w:p>
        </w:tc>
        <w:tc>
          <w:tcPr/>
          <w:p>
            <w:pPr>
              <w:pStyle w:val="Compact"/>
              <w:jc w:val="left"/>
            </w:pPr>
            <w:r>
              <w:rPr>
                <w:bCs/>
                <w:b/>
              </w:rPr>
              <w:t xml:space="preserve">Kyllä</w:t>
            </w:r>
          </w:p>
        </w:tc>
        <w:tc>
          <w:tcPr/>
          <w:p>
            <w:pPr>
              <w:pStyle w:val="Compact"/>
              <w:jc w:val="left"/>
            </w:pPr>
            <w:r>
              <w:rPr>
                <w:bCs/>
                <w:b/>
              </w:rPr>
              <w:t xml:space="preserve">HYVÄKSYTTY STANDARDI</w:t>
            </w:r>
            <w:r>
              <w:t xml:space="preserve"> </w:t>
            </w:r>
            <w:r>
              <w:t xml:space="preserve">— AINOA sarakemainen/HTAP-vaihtoehto Aivenissa</w:t>
            </w:r>
          </w:p>
        </w:tc>
        <w:tc>
          <w:tcPr/>
          <w:p>
            <w:pPr>
              <w:pStyle w:val="Compact"/>
              <w:jc w:val="left"/>
            </w:pPr>
            <w:r>
              <w:t xml:space="preserve">Tuotantovalmis</w:t>
            </w:r>
          </w:p>
        </w:tc>
      </w:tr>
      <w:tr>
        <w:tc>
          <w:tcPr/>
          <w:p>
            <w:pPr>
              <w:pStyle w:val="Compact"/>
              <w:jc w:val="left"/>
            </w:pPr>
            <w:r>
              <w:t xml:space="preserve">pg_duckdb</w:t>
            </w:r>
          </w:p>
        </w:tc>
        <w:tc>
          <w:tcPr/>
          <w:p>
            <w:pPr>
              <w:pStyle w:val="Compact"/>
              <w:jc w:val="left"/>
            </w:pPr>
            <w:r>
              <w:t xml:space="preserve">DuckDB (vektorisoitu)</w:t>
            </w:r>
          </w:p>
        </w:tc>
        <w:tc>
          <w:tcPr/>
          <w:p>
            <w:pPr>
              <w:pStyle w:val="Compact"/>
              <w:jc w:val="left"/>
            </w:pPr>
            <w:r>
              <w:rPr>
                <w:bCs/>
                <w:b/>
              </w:rPr>
              <w:t xml:space="preserve">ESTETTY Aiven-sallittujen listalla</w:t>
            </w:r>
          </w:p>
        </w:tc>
        <w:tc>
          <w:tcPr/>
          <w:p>
            <w:pPr>
              <w:pStyle w:val="Compact"/>
              <w:jc w:val="left"/>
            </w:pPr>
            <w:r>
              <w:t xml:space="preserve">Vain GN100-reuna</w:t>
            </w:r>
          </w:p>
        </w:tc>
        <w:tc>
          <w:tcPr/>
          <w:p>
            <w:pPr>
              <w:pStyle w:val="Compact"/>
              <w:jc w:val="left"/>
            </w:pPr>
            <w:r>
              <w:t xml:space="preserve">Rajoitettu reunalaitteelle</w:t>
            </w:r>
          </w:p>
        </w:tc>
      </w:tr>
      <w:tr>
        <w:tc>
          <w:tcPr/>
          <w:p>
            <w:pPr>
              <w:pStyle w:val="Compact"/>
              <w:jc w:val="left"/>
            </w:pPr>
            <w:r>
              <w:t xml:space="preserve">Hydra</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Supabase Warehouse (helmi 2026)</w:t>
            </w:r>
          </w:p>
        </w:tc>
        <w:tc>
          <w:tcPr/>
          <w:p>
            <w:pPr>
              <w:pStyle w:val="Compact"/>
              <w:jc w:val="left"/>
            </w:pPr>
            <w:r>
              <w:t xml:space="preserve">Siirtynyt</w:t>
            </w:r>
          </w:p>
        </w:tc>
      </w:tr>
      <w:tr>
        <w:tc>
          <w:tcPr/>
          <w:p>
            <w:pPr>
              <w:pStyle w:val="Compact"/>
              <w:jc w:val="left"/>
            </w:pPr>
            <w:r>
              <w:t xml:space="preserve">pg_mooncake</w:t>
            </w:r>
          </w:p>
        </w:tc>
        <w:tc>
          <w:tcPr/>
          <w:p>
            <w:pPr>
              <w:pStyle w:val="Compact"/>
              <w:jc w:val="left"/>
            </w:pPr>
            <w:r>
              <w:t xml:space="preserve">DuckDB</w:t>
            </w:r>
          </w:p>
        </w:tc>
        <w:tc>
          <w:tcPr/>
          <w:p>
            <w:pPr>
              <w:pStyle w:val="Compact"/>
              <w:jc w:val="left"/>
            </w:pPr>
            <w:r>
              <w:t xml:space="preserve">Ei (lakkautettu)</w:t>
            </w:r>
          </w:p>
        </w:tc>
        <w:tc>
          <w:tcPr/>
          <w:p>
            <w:pPr>
              <w:pStyle w:val="Compact"/>
              <w:jc w:val="left"/>
            </w:pPr>
            <w:r>
              <w:t xml:space="preserve">→ Databricks (loka 2025)</w:t>
            </w:r>
          </w:p>
        </w:tc>
        <w:tc>
          <w:tcPr/>
          <w:p>
            <w:pPr>
              <w:pStyle w:val="Compact"/>
              <w:jc w:val="left"/>
            </w:pPr>
            <w:r>
              <w:t xml:space="preserve">Siirtynyt</w:t>
            </w:r>
          </w:p>
        </w:tc>
      </w:tr>
      <w:tr>
        <w:tc>
          <w:tcPr/>
          <w:p>
            <w:pPr>
              <w:pStyle w:val="Compact"/>
              <w:jc w:val="left"/>
            </w:pPr>
            <w:r>
              <w:t xml:space="preserve">ParadeDB</w:t>
            </w:r>
          </w:p>
        </w:tc>
        <w:tc>
          <w:tcPr/>
          <w:p>
            <w:pPr>
              <w:pStyle w:val="Compact"/>
              <w:jc w:val="left"/>
            </w:pPr>
            <w:r>
              <w:t xml:space="preserve">DuckDB</w:t>
            </w:r>
          </w:p>
        </w:tc>
        <w:tc>
          <w:tcPr/>
          <w:p>
            <w:pPr>
              <w:pStyle w:val="Compact"/>
              <w:jc w:val="left"/>
            </w:pPr>
            <w:r>
              <w:t xml:space="preserve">Ei</w:t>
            </w:r>
          </w:p>
        </w:tc>
        <w:tc>
          <w:tcPr/>
          <w:p>
            <w:pPr>
              <w:pStyle w:val="Compact"/>
              <w:jc w:val="left"/>
            </w:pPr>
            <w:r>
              <w:t xml:space="preserve">Tarpeeton (TSVECTOR käytössä)</w:t>
            </w:r>
          </w:p>
        </w:tc>
        <w:tc>
          <w:tcPr/>
          <w:p>
            <w:pPr>
              <w:pStyle w:val="Compact"/>
              <w:jc w:val="left"/>
            </w:pPr>
            <w:r>
              <w:t xml:space="preserve">Ei käytössä</w:t>
            </w:r>
          </w:p>
        </w:tc>
      </w:tr>
      <w:tr>
        <w:tc>
          <w:tcPr/>
          <w:p>
            <w:pPr>
              <w:pStyle w:val="Compact"/>
              <w:jc w:val="left"/>
            </w:pPr>
            <w:r>
              <w:t xml:space="preserve">Citus Columnar</w:t>
            </w:r>
          </w:p>
        </w:tc>
        <w:tc>
          <w:tcPr/>
          <w:p>
            <w:pPr>
              <w:pStyle w:val="Compact"/>
              <w:jc w:val="left"/>
            </w:pPr>
            <w:r>
              <w:t xml:space="preserve">PostgreSQL</w:t>
            </w:r>
          </w:p>
        </w:tc>
        <w:tc>
          <w:tcPr/>
          <w:p>
            <w:pPr>
              <w:pStyle w:val="Compact"/>
              <w:jc w:val="left"/>
            </w:pPr>
            <w:r>
              <w:t xml:space="preserve">Ei</w:t>
            </w:r>
          </w:p>
        </w:tc>
        <w:tc>
          <w:tcPr/>
          <w:p>
            <w:pPr>
              <w:pStyle w:val="Compact"/>
              <w:jc w:val="left"/>
            </w:pPr>
            <w:r>
              <w:t xml:space="preserve">Ei suositella (Azure-sidottu)</w:t>
            </w:r>
          </w:p>
        </w:tc>
        <w:tc>
          <w:tcPr/>
          <w:p>
            <w:pPr>
              <w:pStyle w:val="Compact"/>
              <w:jc w:val="left"/>
            </w:pPr>
            <w:r>
              <w:t xml:space="preserve">Ei käytössä</w:t>
            </w:r>
          </w:p>
        </w:tc>
      </w:tr>
    </w:tbl>
    <w:bookmarkEnd w:id="240"/>
    <w:bookmarkStart w:id="241" w:name="Xe91cc5543fcb2aaaf8ce8d00b4d634d92a043aa"/>
    <w:p>
      <w:pPr>
        <w:pStyle w:val="Heading3"/>
      </w:pPr>
      <w:r>
        <w:t xml:space="preserve">10.15.3 Suositeltu pino — Kaksitasoinen HTAP-arkkitehtuuri</w:t>
      </w:r>
    </w:p>
    <w:p>
      <w:pPr>
        <w:pStyle w:val="FirstParagraph"/>
      </w:pPr>
      <w:r>
        <w:rPr>
          <w:bCs/>
          <w:b/>
        </w:rPr>
        <w:t xml:space="preserve">Taso 1: Aiven-hallittu (tuotanto)</w:t>
      </w:r>
    </w:p>
    <w:p>
      <w:pPr>
        <w:numPr>
          <w:ilvl w:val="0"/>
          <w:numId w:val="1076"/>
        </w:numPr>
        <w:pStyle w:val="Compact"/>
      </w:pPr>
      <w:r>
        <w:rPr>
          <w:bCs/>
          <w:b/>
        </w:rPr>
        <w:t xml:space="preserve">TimescaleDB 2.25.x Hypercore</w:t>
      </w:r>
      <w:r>
        <w:t xml:space="preserve"> </w:t>
      </w:r>
      <w:r>
        <w:t xml:space="preserve">— AINOA sarakemainen/HTAP-laajennus Aiven-sallittujen listalla</w:t>
      </w:r>
    </w:p>
    <w:p>
      <w:pPr>
        <w:numPr>
          <w:ilvl w:val="0"/>
          <w:numId w:val="1076"/>
        </w:numPr>
        <w:pStyle w:val="Compact"/>
      </w:pPr>
      <w:r>
        <w:t xml:space="preserve">Hypertaulut: agent_metrics, agent_costs, article12_audit_log, DWS7 IoT-sensoridata</w:t>
      </w:r>
    </w:p>
    <w:p>
      <w:pPr>
        <w:numPr>
          <w:ilvl w:val="0"/>
          <w:numId w:val="1076"/>
        </w:numPr>
        <w:pStyle w:val="Compact"/>
      </w:pPr>
      <w:r>
        <w:t xml:space="preserve">Automaattinen pakkauskerrostus: kuuma (0-90pv) → lämmin (90pv-1v, LZ4) → kylmä (1-7v, ZSTD)</w:t>
      </w:r>
    </w:p>
    <w:p>
      <w:pPr>
        <w:numPr>
          <w:ilvl w:val="0"/>
          <w:numId w:val="1076"/>
        </w:numPr>
        <w:pStyle w:val="Compact"/>
      </w:pPr>
      <w:r>
        <w:t xml:space="preserve">Odotettu 90-95% pakkaus auditointilokille</w:t>
      </w:r>
    </w:p>
    <w:p>
      <w:pPr>
        <w:numPr>
          <w:ilvl w:val="0"/>
          <w:numId w:val="1076"/>
        </w:numPr>
        <w:pStyle w:val="Compact"/>
      </w:pPr>
      <w:r>
        <w:t xml:space="preserve">Jatkuvat aggregaatit korvaamaan materialisoidut näkymät</w:t>
      </w:r>
    </w:p>
    <w:p>
      <w:pPr>
        <w:numPr>
          <w:ilvl w:val="0"/>
          <w:numId w:val="1076"/>
        </w:numPr>
        <w:pStyle w:val="Compact"/>
      </w:pPr>
      <w:r>
        <w:rPr>
          <w:bCs/>
          <w:b/>
        </w:rPr>
        <w:t xml:space="preserve">Ei pg_duckdb:tä</w:t>
      </w:r>
      <w:r>
        <w:t xml:space="preserve"> </w:t>
      </w:r>
      <w:r>
        <w:t xml:space="preserve">— estetty Aiven-sallittujen listalla</w:t>
      </w:r>
    </w:p>
    <w:p>
      <w:pPr>
        <w:pStyle w:val="FirstParagraph"/>
      </w:pPr>
      <w:r>
        <w:rPr>
          <w:bCs/>
          <w:b/>
        </w:rPr>
        <w:t xml:space="preserve">Taso 2: GN100-reuna (analytiikka)</w:t>
      </w:r>
    </w:p>
    <w:p>
      <w:pPr>
        <w:numPr>
          <w:ilvl w:val="0"/>
          <w:numId w:val="1077"/>
        </w:numPr>
        <w:pStyle w:val="Compact"/>
      </w:pPr>
      <w:r>
        <w:rPr>
          <w:bCs/>
          <w:b/>
        </w:rPr>
        <w:t xml:space="preserve">TimescaleDB + pg_duckdb + pgvector</w:t>
      </w:r>
      <w:r>
        <w:t xml:space="preserve"> </w:t>
      </w:r>
      <w:r>
        <w:t xml:space="preserve">täydellä laajennuspaketilla</w:t>
      </w:r>
    </w:p>
    <w:p>
      <w:pPr>
        <w:numPr>
          <w:ilvl w:val="0"/>
          <w:numId w:val="1077"/>
        </w:numPr>
        <w:pStyle w:val="Compact"/>
      </w:pPr>
      <w:r>
        <w:t xml:space="preserve">Acer Veriton GN100 (NVIDIA Jetson Orin Nano) itsenäisenä reunatietokantana</w:t>
      </w:r>
    </w:p>
    <w:p>
      <w:pPr>
        <w:numPr>
          <w:ilvl w:val="0"/>
          <w:numId w:val="1077"/>
        </w:numPr>
        <w:pStyle w:val="Compact"/>
      </w:pPr>
      <w:r>
        <w:t xml:space="preserve">pg_duckdb analyyttisten kyselyjen nopeuttamiseen (kampanjasupilot, taloudelliset raportit, CSRD-koontikyselyt)</w:t>
      </w:r>
    </w:p>
    <w:p>
      <w:pPr>
        <w:numPr>
          <w:ilvl w:val="0"/>
          <w:numId w:val="1077"/>
        </w:numPr>
        <w:pStyle w:val="Compact"/>
      </w:pPr>
      <w:r>
        <w:t xml:space="preserve">pgvector upotuksille ja semanttiselle haulle</w:t>
      </w:r>
    </w:p>
    <w:p>
      <w:pPr>
        <w:numPr>
          <w:ilvl w:val="0"/>
          <w:numId w:val="1077"/>
        </w:numPr>
        <w:pStyle w:val="Compact"/>
      </w:pPr>
      <w:r>
        <w:t xml:space="preserve">Ei Aiven-sallittujen listan rajoituksia — täysi PostgreSQL-laajennusvapaus</w:t>
      </w:r>
    </w:p>
    <w:bookmarkEnd w:id="241"/>
    <w:bookmarkStart w:id="242" w:name="dws-tietostandardi"/>
    <w:p>
      <w:pPr>
        <w:pStyle w:val="Heading3"/>
      </w:pPr>
      <w:r>
        <w:t xml:space="preserve">10.15.4 DWS-tietostandardi</w:t>
      </w:r>
    </w:p>
    <w:p>
      <w:pPr>
        <w:pStyle w:val="FirstParagraph"/>
      </w:pPr>
      <w:r>
        <w:t xml:space="preserve">Uusi</w:t>
      </w:r>
      <w:r>
        <w:t xml:space="preserve"> </w:t>
      </w:r>
      <w:r>
        <w:rPr>
          <w:rStyle w:val="VerbatimChar"/>
        </w:rPr>
        <w:t xml:space="preserve">DWS_DATA_STANDARD.md</w:t>
      </w:r>
      <w:r>
        <w:t xml:space="preserve"> </w:t>
      </w:r>
      <w:r>
        <w:t xml:space="preserve">luotiin ohjaamaan kaikkia tiedon tallennuspäätöksiä:</w:t>
      </w:r>
    </w:p>
    <w:p>
      <w:pPr>
        <w:numPr>
          <w:ilvl w:val="0"/>
          <w:numId w:val="1078"/>
        </w:numPr>
        <w:pStyle w:val="Compact"/>
      </w:pPr>
      <w:r>
        <w:rPr>
          <w:bCs/>
          <w:b/>
        </w:rPr>
        <w:t xml:space="preserve">Tallennusmoottoripolitiikka</w:t>
      </w:r>
      <w:r>
        <w:t xml:space="preserve"> </w:t>
      </w:r>
      <w:r>
        <w:t xml:space="preserve">— päätösmatriisi rivi vs sarake vs hybridi</w:t>
      </w:r>
    </w:p>
    <w:p>
      <w:pPr>
        <w:numPr>
          <w:ilvl w:val="0"/>
          <w:numId w:val="1078"/>
        </w:numPr>
        <w:pStyle w:val="Compact"/>
      </w:pPr>
      <w:r>
        <w:rPr>
          <w:bCs/>
          <w:b/>
        </w:rPr>
        <w:t xml:space="preserve">Laajennusten hallinta</w:t>
      </w:r>
      <w:r>
        <w:t xml:space="preserve"> </w:t>
      </w:r>
      <w:r>
        <w:t xml:space="preserve">— hyväksytty rekisteri suvereniteettiarviolla</w:t>
      </w:r>
    </w:p>
    <w:p>
      <w:pPr>
        <w:numPr>
          <w:ilvl w:val="0"/>
          <w:numId w:val="1078"/>
        </w:numPr>
        <w:pStyle w:val="Compact"/>
      </w:pPr>
      <w:r>
        <w:rPr>
          <w:bCs/>
          <w:b/>
        </w:rPr>
        <w:t xml:space="preserve">Säilytysperiaatteet</w:t>
      </w:r>
      <w:r>
        <w:t xml:space="preserve"> </w:t>
      </w:r>
      <w:r>
        <w:t xml:space="preserve">— taulukohtaiset säännöt EU-säädöksiin sidottuina (GDPR Art 17, EU AI Act Art 12: 7v, NIS2 Art 23: 5v, kirjanpitolaki 1336/1997: 10v)</w:t>
      </w:r>
    </w:p>
    <w:p>
      <w:pPr>
        <w:numPr>
          <w:ilvl w:val="0"/>
          <w:numId w:val="1078"/>
        </w:numPr>
        <w:pStyle w:val="Compact"/>
      </w:pPr>
      <w:r>
        <w:rPr>
          <w:bCs/>
          <w:b/>
        </w:rPr>
        <w:t xml:space="preserve">Osiointistandardit</w:t>
      </w:r>
      <w:r>
        <w:t xml:space="preserve"> </w:t>
      </w:r>
      <w:r>
        <w:t xml:space="preserve">— TimescaleDB-hypertaulut ensisijaisena natiiviosioinnin sijaan</w:t>
      </w:r>
    </w:p>
    <w:p>
      <w:pPr>
        <w:numPr>
          <w:ilvl w:val="0"/>
          <w:numId w:val="1078"/>
        </w:numPr>
        <w:pStyle w:val="Compact"/>
      </w:pPr>
      <w:r>
        <w:rPr>
          <w:bCs/>
          <w:b/>
        </w:rPr>
        <w:t xml:space="preserve">Pakkauspolitiikka</w:t>
      </w:r>
      <w:r>
        <w:t xml:space="preserve"> </w:t>
      </w:r>
      <w:r>
        <w:t xml:space="preserve">— kerroksittaiset pakkaustavoitteet (1:1 kuuma → 20:1 arkisto)</w:t>
      </w:r>
    </w:p>
    <w:p>
      <w:pPr>
        <w:numPr>
          <w:ilvl w:val="0"/>
          <w:numId w:val="1078"/>
        </w:numPr>
        <w:pStyle w:val="Compact"/>
      </w:pPr>
      <w:r>
        <w:rPr>
          <w:bCs/>
          <w:b/>
        </w:rPr>
        <w:t xml:space="preserve">EU-sääntelynmukaisuus</w:t>
      </w:r>
      <w:r>
        <w:t xml:space="preserve"> </w:t>
      </w:r>
      <w:r>
        <w:t xml:space="preserve">— matriisi, joka yhdistää 11 EU-säädöstä tietokantavaatimuksiin</w:t>
      </w:r>
    </w:p>
    <w:bookmarkEnd w:id="242"/>
    <w:bookmarkStart w:id="243" w:name="vaiheittainen-käyttöönotto"/>
    <w:p>
      <w:pPr>
        <w:pStyle w:val="Heading3"/>
      </w:pPr>
      <w:r>
        <w:t xml:space="preserve">10.15.5 Vaiheittainen käyttöönotto</w:t>
      </w:r>
    </w:p>
    <w:tbl>
      <w:tblPr>
        <w:tblStyle w:val="Table"/>
        <w:tblW w:type="pct" w:w="5000"/>
        <w:tblLook w:firstRow="1" w:lastRow="0" w:firstColumn="0" w:lastColumn="0" w:noHBand="0" w:noVBand="0" w:val="0020"/>
        <w:jc w:val="start"/>
      </w:tblPr>
      <w:tblGrid>
        <w:gridCol w:w="400"/>
        <w:gridCol w:w="800"/>
        <w:gridCol w:w="1520"/>
        <w:gridCol w:w="5200"/>
      </w:tblGrid>
      <w:tr>
        <w:trPr>
          <w:tblHeader w:val="true"/>
        </w:trPr>
        <w:tc>
          <w:tcPr/>
          <w:p>
            <w:pPr>
              <w:pStyle w:val="Compact"/>
              <w:jc w:val="left"/>
            </w:pPr>
            <w:r>
              <w:t xml:space="preserve">Vaihe</w:t>
            </w:r>
          </w:p>
        </w:tc>
        <w:tc>
          <w:tcPr/>
          <w:p>
            <w:pPr>
              <w:pStyle w:val="Compact"/>
              <w:jc w:val="left"/>
            </w:pPr>
            <w:r>
              <w:t xml:space="preserve">Aikataulu</w:t>
            </w:r>
          </w:p>
        </w:tc>
        <w:tc>
          <w:tcPr/>
          <w:p>
            <w:pPr>
              <w:pStyle w:val="Compact"/>
              <w:jc w:val="left"/>
            </w:pPr>
            <w:r>
              <w:t xml:space="preserve">Kohde</w:t>
            </w:r>
          </w:p>
        </w:tc>
        <w:tc>
          <w:tcPr/>
          <w:p>
            <w:pPr>
              <w:pStyle w:val="Compact"/>
              <w:jc w:val="left"/>
            </w:pPr>
            <w:r>
              <w:t xml:space="preserve">Toimenpiteet</w:t>
            </w:r>
          </w:p>
        </w:tc>
      </w:tr>
      <w:tr>
        <w:tc>
          <w:tcPr/>
          <w:p>
            <w:pPr>
              <w:pStyle w:val="Compact"/>
              <w:jc w:val="left"/>
            </w:pPr>
            <w:r>
              <w:t xml:space="preserve">0</w:t>
            </w:r>
          </w:p>
        </w:tc>
        <w:tc>
          <w:tcPr/>
          <w:p>
            <w:pPr>
              <w:pStyle w:val="Compact"/>
              <w:jc w:val="left"/>
            </w:pPr>
            <w:r>
              <w:t xml:space="preserve">Q1 2026</w:t>
            </w:r>
          </w:p>
        </w:tc>
        <w:tc>
          <w:tcPr/>
          <w:p>
            <w:pPr>
              <w:pStyle w:val="Compact"/>
              <w:jc w:val="left"/>
            </w:pPr>
            <w:r>
              <w:t xml:space="preserve">Supabase (nykyinen)</w:t>
            </w:r>
          </w:p>
        </w:tc>
        <w:tc>
          <w:tcPr/>
          <w:p>
            <w:pPr>
              <w:pStyle w:val="Compact"/>
              <w:jc w:val="left"/>
            </w:pPr>
            <w:r>
              <w:t xml:space="preserve">Taulujen osiointi, materialisoidut näkymät, pg_stat_statements</w:t>
            </w:r>
          </w:p>
        </w:tc>
      </w:tr>
      <w:tr>
        <w:tc>
          <w:tcPr/>
          <w:p>
            <w:pPr>
              <w:pStyle w:val="Compact"/>
              <w:jc w:val="left"/>
            </w:pPr>
            <w:r>
              <w:t xml:space="preserve">1</w:t>
            </w:r>
          </w:p>
        </w:tc>
        <w:tc>
          <w:tcPr/>
          <w:p>
            <w:pPr>
              <w:pStyle w:val="Compact"/>
              <w:jc w:val="left"/>
            </w:pPr>
            <w:r>
              <w:t xml:space="preserve">Q2 2026</w:t>
            </w:r>
          </w:p>
        </w:tc>
        <w:tc>
          <w:tcPr/>
          <w:p>
            <w:pPr>
              <w:pStyle w:val="Compact"/>
              <w:jc w:val="left"/>
            </w:pPr>
            <w:r>
              <w:t xml:space="preserve">Aiven V1</w:t>
            </w:r>
          </w:p>
        </w:tc>
        <w:tc>
          <w:tcPr/>
          <w:p>
            <w:pPr>
              <w:pStyle w:val="Compact"/>
              <w:jc w:val="left"/>
            </w:pPr>
            <w:r>
              <w:t xml:space="preserve">TimescaleDB 2.25.x Hypercore -hypertaulut, jatkuvat aggregaatit</w:t>
            </w:r>
          </w:p>
        </w:tc>
      </w:tr>
      <w:tr>
        <w:tc>
          <w:tcPr/>
          <w:p>
            <w:pPr>
              <w:pStyle w:val="Compact"/>
              <w:jc w:val="left"/>
            </w:pPr>
            <w:r>
              <w:t xml:space="preserve">2</w:t>
            </w:r>
          </w:p>
        </w:tc>
        <w:tc>
          <w:tcPr/>
          <w:p>
            <w:pPr>
              <w:pStyle w:val="Compact"/>
              <w:jc w:val="left"/>
            </w:pPr>
            <w:r>
              <w:t xml:space="preserve">Q3-Q4 2026</w:t>
            </w:r>
          </w:p>
        </w:tc>
        <w:tc>
          <w:tcPr/>
          <w:p>
            <w:pPr>
              <w:pStyle w:val="Compact"/>
              <w:jc w:val="left"/>
            </w:pPr>
            <w:r>
              <w:t xml:space="preserve">Aiven DWS7</w:t>
            </w:r>
          </w:p>
        </w:tc>
        <w:tc>
          <w:tcPr/>
          <w:p>
            <w:pPr>
              <w:pStyle w:val="Compact"/>
              <w:jc w:val="left"/>
            </w:pPr>
            <w:r>
              <w:t xml:space="preserve">IoT-hypertaulut, auditointipakkaus, Taso 1 tuotanto</w:t>
            </w:r>
          </w:p>
        </w:tc>
      </w:tr>
      <w:tr>
        <w:tc>
          <w:tcPr/>
          <w:p>
            <w:pPr>
              <w:pStyle w:val="Compact"/>
              <w:jc w:val="left"/>
            </w:pPr>
            <w:r>
              <w:t xml:space="preserve">3</w:t>
            </w:r>
          </w:p>
        </w:tc>
        <w:tc>
          <w:tcPr/>
          <w:p>
            <w:pPr>
              <w:pStyle w:val="Compact"/>
              <w:jc w:val="left"/>
            </w:pPr>
            <w:r>
              <w:t xml:space="preserve">Q4 2026</w:t>
            </w:r>
          </w:p>
        </w:tc>
        <w:tc>
          <w:tcPr/>
          <w:p>
            <w:pPr>
              <w:pStyle w:val="Compact"/>
              <w:jc w:val="left"/>
            </w:pPr>
            <w:r>
              <w:t xml:space="preserve">GN100-reuna</w:t>
            </w:r>
          </w:p>
        </w:tc>
        <w:tc>
          <w:tcPr/>
          <w:p>
            <w:pPr>
              <w:pStyle w:val="Compact"/>
              <w:jc w:val="left"/>
            </w:pPr>
            <w:r>
              <w:t xml:space="preserve">pg_duckdb + pgvector reunatietokanta, Taso 2 analytiikka</w:t>
            </w:r>
          </w:p>
        </w:tc>
      </w:tr>
      <w:tr>
        <w:tc>
          <w:tcPr/>
          <w:p>
            <w:pPr>
              <w:pStyle w:val="Compact"/>
              <w:jc w:val="left"/>
            </w:pPr>
            <w:r>
              <w:t xml:space="preserve">4</w:t>
            </w:r>
          </w:p>
        </w:tc>
        <w:tc>
          <w:tcPr/>
          <w:p>
            <w:pPr>
              <w:pStyle w:val="Compact"/>
              <w:jc w:val="left"/>
            </w:pPr>
            <w:r>
              <w:t xml:space="preserve">2027</w:t>
            </w:r>
          </w:p>
        </w:tc>
        <w:tc>
          <w:tcPr/>
          <w:p>
            <w:pPr>
              <w:pStyle w:val="Compact"/>
              <w:jc w:val="left"/>
            </w:pPr>
            <w:r>
              <w:t xml:space="preserve">Täysi HTAP</w:t>
            </w:r>
          </w:p>
        </w:tc>
        <w:tc>
          <w:tcPr/>
          <w:p>
            <w:pPr>
              <w:pStyle w:val="Compact"/>
              <w:jc w:val="left"/>
            </w:pPr>
            <w:r>
              <w:t xml:space="preserve">Lakehouse-vienti (Databricks/Iceberg), ulkoisten työkalujen pääsy</w:t>
            </w:r>
          </w:p>
        </w:tc>
      </w:tr>
    </w:tbl>
    <w:bookmarkEnd w:id="243"/>
    <w:bookmarkStart w:id="244" w:name="tutkimuspanos-1"/>
    <w:p>
      <w:pPr>
        <w:pStyle w:val="Heading3"/>
      </w:pPr>
      <w:r>
        <w:t xml:space="preserve">10.15.6 Tutkimuspanos</w:t>
      </w:r>
    </w:p>
    <w:p>
      <w:pPr>
        <w:pStyle w:val="FirstParagraph"/>
      </w:pPr>
      <w:r>
        <w:t xml:space="preserve">Tämä työ osoittaa, että</w:t>
      </w:r>
      <w:r>
        <w:t xml:space="preserve"> </w:t>
      </w:r>
      <w:r>
        <w:rPr>
          <w:bCs/>
          <w:b/>
        </w:rPr>
        <w:t xml:space="preserve">yksitietokantainen HTAP-malli</w:t>
      </w:r>
      <w:r>
        <w:t xml:space="preserve"> </w:t>
      </w:r>
      <w:r>
        <w:t xml:space="preserve">on toteuttamiskelpoinen säännellyille EU-teollisuusalustoille: sama SQL, samat asiakasohjelmat, sama RLS, nolla ETL:ää. DWS-tietostandardi kodifioi tämän organisaatiostandardiksi varmistaen, että tallennusmoottoripäätökset ovat harkittuja, dokumentoituja ja EU-vaatimusten mukaisia.</w:t>
      </w:r>
    </w:p>
    <w:bookmarkEnd w:id="244"/>
    <w:bookmarkStart w:id="252" w:name="X1f3d0aab07d437c0c80eea59539ae70aa69a0e0"/>
    <w:p>
      <w:pPr>
        <w:pStyle w:val="Heading3"/>
      </w:pPr>
      <w:r>
        <w:t xml:space="preserve">10.16 Harness Engineering — Promptisuunnittelusta järjestelmäsuunnitteluun</w:t>
      </w:r>
    </w:p>
    <w:p>
      <w:pPr>
        <w:pStyle w:val="FirstParagraph"/>
      </w:pPr>
      <w:r>
        <w:rPr>
          <w:bCs/>
          <w:b/>
        </w:rPr>
        <w:t xml:space="preserve">Lähde:</w:t>
      </w:r>
      <w:r>
        <w:t xml:space="preserve"> </w:t>
      </w:r>
      <w:r>
        <w:t xml:space="preserve">OpenAI,</w:t>
      </w:r>
      <w:r>
        <w:t xml:space="preserve"> </w:t>
      </w:r>
      <w:r>
        <w:t xml:space="preserve">“</w:t>
      </w:r>
      <w:r>
        <w:t xml:space="preserve">Harness engineering: leveraging Codex in an agent-first world</w:t>
      </w:r>
      <w:r>
        <w:t xml:space="preserve">”</w:t>
      </w:r>
      <w:r>
        <w:t xml:space="preserve">, 13.02.2026; Martin Fowler,</w:t>
      </w:r>
      <w:r>
        <w:t xml:space="preserve"> </w:t>
      </w:r>
      <w:r>
        <w:t xml:space="preserve">“</w:t>
      </w:r>
      <w:r>
        <w:t xml:space="preserve">Harness Engineering</w:t>
      </w:r>
      <w:r>
        <w:t xml:space="preserve">”</w:t>
      </w:r>
      <w:r>
        <w:t xml:space="preserve">, 2026; Datadog,</w:t>
      </w:r>
      <w:r>
        <w:t xml:space="preserve"> </w:t>
      </w:r>
      <w:r>
        <w:t xml:space="preserve">“</w:t>
      </w:r>
      <w:r>
        <w:t xml:space="preserve">Closing the verification loop</w:t>
      </w:r>
      <w:r>
        <w:t xml:space="preserve">”</w:t>
      </w:r>
      <w:r>
        <w:t xml:space="preserve">, 2026.</w:t>
      </w:r>
    </w:p>
    <w:p>
      <w:pPr>
        <w:pStyle w:val="BodyText"/>
      </w:pPr>
      <w:r>
        <w:rPr>
          <w:bCs/>
          <w:b/>
        </w:rPr>
        <w:t xml:space="preserve">Konteksti:</w:t>
      </w:r>
      <w:r>
        <w:t xml:space="preserve"> </w:t>
      </w:r>
      <w:r>
        <w:t xml:space="preserve">OpenAI:n Harness-tiimi rakensi tuotteen viidessä kuukaudessa ilman yhtään manuaalisesti kirjoitettua koodiriviä — miljoona riviä koodia, ~1 500 PR:ää, 3–7 insinööriä. Tämä osio analysoi 8 harness engineering -periaatetta ja vertaa niitä DWS IQ 6:n itsenäisesti kehitettyyn arkkitehtuuriin.</w:t>
      </w:r>
    </w:p>
    <w:bookmarkStart w:id="245" w:name="määritelmä"/>
    <w:p>
      <w:pPr>
        <w:pStyle w:val="Heading4"/>
      </w:pPr>
      <w:r>
        <w:t xml:space="preserve">10.16.1 Määritelmä</w:t>
      </w:r>
    </w:p>
    <w:p>
      <w:pPr>
        <w:pStyle w:val="FirstParagraph"/>
      </w:pPr>
      <w:r>
        <w:rPr>
          <w:bCs/>
          <w:b/>
        </w:rPr>
        <w:t xml:space="preserve">Harness</w:t>
      </w:r>
      <w:r>
        <w:t xml:space="preserve"> </w:t>
      </w:r>
      <w:r>
        <w:t xml:space="preserve">= koko ympäristö (scaffolding, rajoitteet, palautesilmukat), joka ympäröi AI-agenttia ja mahdollistaa vakaan työskentelyn.</w:t>
      </w:r>
    </w:p>
    <w:p>
      <w:pPr>
        <w:pStyle w:val="BodyText"/>
      </w:pPr>
      <w:r>
        <w:rPr>
          <w:bCs/>
          <w:b/>
        </w:rPr>
        <w:t xml:space="preserve">Harness Engineering</w:t>
      </w:r>
      <w:r>
        <w:t xml:space="preserve"> </w:t>
      </w:r>
      <w:r>
        <w:t xml:space="preserve">= insinöörityön siirtymä koodin kirjoittamisesta kohti:</w:t>
      </w:r>
    </w:p>
    <w:p>
      <w:pPr>
        <w:numPr>
          <w:ilvl w:val="0"/>
          <w:numId w:val="1079"/>
        </w:numPr>
        <w:pStyle w:val="Compact"/>
      </w:pPr>
      <w:r>
        <w:rPr>
          <w:bCs/>
          <w:b/>
        </w:rPr>
        <w:t xml:space="preserve">Ympäristöjen suunnittelua</w:t>
      </w:r>
      <w:r>
        <w:t xml:space="preserve"> </w:t>
      </w:r>
      <w:r>
        <w:t xml:space="preserve">— agenttien työtilan muotoilua</w:t>
      </w:r>
    </w:p>
    <w:p>
      <w:pPr>
        <w:numPr>
          <w:ilvl w:val="0"/>
          <w:numId w:val="1079"/>
        </w:numPr>
        <w:pStyle w:val="Compact"/>
      </w:pPr>
      <w:r>
        <w:rPr>
          <w:bCs/>
          <w:b/>
        </w:rPr>
        <w:t xml:space="preserve">Tarkoituksen spesifiointia</w:t>
      </w:r>
      <w:r>
        <w:t xml:space="preserve"> </w:t>
      </w:r>
      <w:r>
        <w:t xml:space="preserve">— mitä tarvitsee tapahtua, ei miten</w:t>
      </w:r>
    </w:p>
    <w:p>
      <w:pPr>
        <w:numPr>
          <w:ilvl w:val="0"/>
          <w:numId w:val="1079"/>
        </w:numPr>
        <w:pStyle w:val="Compact"/>
      </w:pPr>
      <w:r>
        <w:rPr>
          <w:bCs/>
          <w:b/>
        </w:rPr>
        <w:t xml:space="preserve">Palautesilmukoiden rakentamista</w:t>
      </w:r>
      <w:r>
        <w:t xml:space="preserve"> </w:t>
      </w:r>
      <w:r>
        <w:t xml:space="preserve">— agentin itsensäkorjausmekanismeja</w:t>
      </w:r>
    </w:p>
    <w:p>
      <w:pPr>
        <w:pStyle w:val="FirstParagraph"/>
      </w:pPr>
      <w:r>
        <w:t xml:space="preserve">Kun jokin epäonnistuu, kysymys ei ole</w:t>
      </w:r>
      <w:r>
        <w:t xml:space="preserve"> </w:t>
      </w:r>
      <w:r>
        <w:t xml:space="preserve">“</w:t>
      </w:r>
      <w:r>
        <w:t xml:space="preserve">yritä kovemmin</w:t>
      </w:r>
      <w:r>
        <w:t xml:space="preserve">”</w:t>
      </w:r>
      <w:r>
        <w:t xml:space="preserve"> </w:t>
      </w:r>
      <w:r>
        <w:t xml:space="preserve">vaan</w:t>
      </w:r>
      <w:r>
        <w:t xml:space="preserve"> </w:t>
      </w:r>
      <w:r>
        <w:rPr>
          <w:bCs/>
          <w:b/>
        </w:rPr>
        <w:t xml:space="preserve">“</w:t>
      </w:r>
      <w:r>
        <w:rPr>
          <w:bCs/>
          <w:b/>
        </w:rPr>
        <w:t xml:space="preserve">mikä kyvykkyys puuttuu?</w:t>
      </w:r>
      <w:r>
        <w:rPr>
          <w:bCs/>
          <w:b/>
        </w:rPr>
        <w:t xml:space="preserve">”</w:t>
      </w:r>
    </w:p>
    <w:bookmarkEnd w:id="245"/>
    <w:bookmarkStart w:id="246" w:name="kahdeksan-periaatetta-dws-iq-6--vertailu"/>
    <w:p>
      <w:pPr>
        <w:pStyle w:val="Heading4"/>
      </w:pPr>
      <w:r>
        <w:t xml:space="preserve">10.16.2 Kahdeksan periaatetta — DWS IQ 6 -vertailu</w:t>
      </w:r>
    </w:p>
    <w:tbl>
      <w:tblPr>
        <w:tblStyle w:val="Table"/>
        <w:tblW w:type="pct" w:w="5000"/>
        <w:tblLook w:firstRow="1" w:lastRow="0" w:firstColumn="0" w:lastColumn="0" w:noHBand="0" w:noVBand="0" w:val="0020"/>
        <w:jc w:val="start"/>
      </w:tblPr>
      <w:tblGrid>
        <w:gridCol w:w="136"/>
        <w:gridCol w:w="2184"/>
        <w:gridCol w:w="2002"/>
        <w:gridCol w:w="3095"/>
        <w:gridCol w:w="500"/>
      </w:tblGrid>
      <w:tr>
        <w:trPr>
          <w:tblHeader w:val="true"/>
        </w:trPr>
        <w:tc>
          <w:tcPr/>
          <w:p>
            <w:pPr>
              <w:pStyle w:val="Compact"/>
              <w:jc w:val="left"/>
            </w:pPr>
            <w:r>
              <w:t xml:space="preserve">#</w:t>
            </w:r>
          </w:p>
        </w:tc>
        <w:tc>
          <w:tcPr/>
          <w:p>
            <w:pPr>
              <w:pStyle w:val="Compact"/>
              <w:jc w:val="left"/>
            </w:pPr>
            <w:r>
              <w:t xml:space="preserve">Periaate</w:t>
            </w:r>
          </w:p>
        </w:tc>
        <w:tc>
          <w:tcPr/>
          <w:p>
            <w:pPr>
              <w:pStyle w:val="Compact"/>
              <w:jc w:val="left"/>
            </w:pPr>
            <w:r>
              <w:t xml:space="preserve">OpenAI:n lähestymistapa</w:t>
            </w:r>
          </w:p>
        </w:tc>
        <w:tc>
          <w:tcPr/>
          <w:p>
            <w:pPr>
              <w:pStyle w:val="Compact"/>
              <w:jc w:val="left"/>
            </w:pPr>
            <w:r>
              <w:t xml:space="preserve">DWS IQ 6:n lähestymistapa</w:t>
            </w:r>
          </w:p>
        </w:tc>
        <w:tc>
          <w:tcPr/>
          <w:p>
            <w:pPr>
              <w:pStyle w:val="Compact"/>
              <w:jc w:val="left"/>
            </w:pPr>
            <w:r>
              <w:t xml:space="preserve">Valmiusaste</w:t>
            </w:r>
          </w:p>
        </w:tc>
      </w:tr>
      <w:tr>
        <w:tc>
          <w:tcPr/>
          <w:p>
            <w:pPr>
              <w:pStyle w:val="Compact"/>
              <w:jc w:val="left"/>
            </w:pPr>
            <w:r>
              <w:t xml:space="preserve">1</w:t>
            </w:r>
          </w:p>
        </w:tc>
        <w:tc>
          <w:tcPr/>
          <w:p>
            <w:pPr>
              <w:pStyle w:val="Compact"/>
              <w:jc w:val="left"/>
            </w:pPr>
            <w:r>
              <w:t xml:space="preserve">AGENTS.md = kartta, ei tietosanakirja</w:t>
            </w:r>
          </w:p>
        </w:tc>
        <w:tc>
          <w:tcPr/>
          <w:p>
            <w:pPr>
              <w:pStyle w:val="Compact"/>
              <w:jc w:val="left"/>
            </w:pPr>
            <w:r>
              <w:t xml:space="preserve">~100 riviä, sisällysluettelona</w:t>
            </w:r>
          </w:p>
        </w:tc>
        <w:tc>
          <w:tcPr/>
          <w:p>
            <w:pPr>
              <w:pStyle w:val="Compact"/>
              <w:jc w:val="left"/>
            </w:pPr>
            <w:r>
              <w:t xml:space="preserve">CLAUDE.md + AGENTS.md + JIT L0-L6 kuusikerroksinen lataus</w:t>
            </w:r>
          </w:p>
        </w:tc>
        <w:tc>
          <w:tcPr/>
          <w:p>
            <w:pPr>
              <w:pStyle w:val="Compact"/>
              <w:jc w:val="left"/>
            </w:pPr>
            <w:r>
              <w:rPr>
                <w:bCs/>
                <w:b/>
              </w:rPr>
              <w:t xml:space="preserve">90%</w:t>
            </w:r>
          </w:p>
        </w:tc>
      </w:tr>
      <w:tr>
        <w:tc>
          <w:tcPr/>
          <w:p>
            <w:pPr>
              <w:pStyle w:val="Compact"/>
              <w:jc w:val="left"/>
            </w:pPr>
            <w:r>
              <w:t xml:space="preserve">2</w:t>
            </w:r>
          </w:p>
        </w:tc>
        <w:tc>
          <w:tcPr/>
          <w:p>
            <w:pPr>
              <w:pStyle w:val="Compact"/>
              <w:jc w:val="left"/>
            </w:pPr>
            <w:r>
              <w:t xml:space="preserve">“</w:t>
            </w:r>
            <w:r>
              <w:t xml:space="preserve">Tylsä teknologia</w:t>
            </w:r>
            <w:r>
              <w:t xml:space="preserve">”</w:t>
            </w:r>
            <w:r>
              <w:t xml:space="preserve"> </w:t>
            </w:r>
            <w:r>
              <w:t xml:space="preserve">voittaa</w:t>
            </w:r>
          </w:p>
        </w:tc>
        <w:tc>
          <w:tcPr/>
          <w:p>
            <w:pPr>
              <w:pStyle w:val="Compact"/>
              <w:jc w:val="left"/>
            </w:pPr>
            <w:r>
              <w:t xml:space="preserve">Vakaat, hyvin dokumentoidut teknologiat</w:t>
            </w:r>
          </w:p>
        </w:tc>
        <w:tc>
          <w:tcPr/>
          <w:p>
            <w:pPr>
              <w:pStyle w:val="Compact"/>
              <w:jc w:val="left"/>
            </w:pPr>
            <w:r>
              <w:t xml:space="preserve">Express 4, React 19, PostgreSQL — CLI-ensisijaisuus</w:t>
            </w:r>
          </w:p>
        </w:tc>
        <w:tc>
          <w:tcPr/>
          <w:p>
            <w:pPr>
              <w:pStyle w:val="Compact"/>
              <w:jc w:val="left"/>
            </w:pPr>
            <w:r>
              <w:rPr>
                <w:bCs/>
                <w:b/>
              </w:rPr>
              <w:t xml:space="preserve">95%</w:t>
            </w:r>
          </w:p>
        </w:tc>
      </w:tr>
      <w:tr>
        <w:tc>
          <w:tcPr/>
          <w:p>
            <w:pPr>
              <w:pStyle w:val="Compact"/>
              <w:jc w:val="left"/>
            </w:pPr>
            <w:r>
              <w:t xml:space="preserve">3</w:t>
            </w:r>
          </w:p>
        </w:tc>
        <w:tc>
          <w:tcPr/>
          <w:p>
            <w:pPr>
              <w:pStyle w:val="Compact"/>
              <w:jc w:val="left"/>
            </w:pPr>
            <w:r>
              <w:t xml:space="preserve">Golden Principles -laadunhallinta</w:t>
            </w:r>
          </w:p>
        </w:tc>
        <w:tc>
          <w:tcPr/>
          <w:p>
            <w:pPr>
              <w:pStyle w:val="Compact"/>
              <w:jc w:val="left"/>
            </w:pPr>
            <w:r>
              <w:t xml:space="preserve">Automaattinen taustaskannaus + korjaus-PR:t</w:t>
            </w:r>
          </w:p>
        </w:tc>
        <w:tc>
          <w:tcPr/>
          <w:p>
            <w:pPr>
              <w:pStyle w:val="Compact"/>
              <w:jc w:val="left"/>
            </w:pPr>
            <w:r>
              <w:t xml:space="preserve">11 standardia + Boardy-arkkitehtipersoonan katselmointi</w:t>
            </w:r>
          </w:p>
        </w:tc>
        <w:tc>
          <w:tcPr/>
          <w:p>
            <w:pPr>
              <w:pStyle w:val="Compact"/>
              <w:jc w:val="left"/>
            </w:pPr>
            <w:r>
              <w:rPr>
                <w:bCs/>
                <w:b/>
              </w:rPr>
              <w:t xml:space="preserve">75%</w:t>
            </w:r>
          </w:p>
        </w:tc>
      </w:tr>
      <w:tr>
        <w:tc>
          <w:tcPr/>
          <w:p>
            <w:pPr>
              <w:pStyle w:val="Compact"/>
              <w:jc w:val="left"/>
            </w:pPr>
            <w:r>
              <w:t xml:space="preserve">4</w:t>
            </w:r>
          </w:p>
        </w:tc>
        <w:tc>
          <w:tcPr/>
          <w:p>
            <w:pPr>
              <w:pStyle w:val="Compact"/>
              <w:jc w:val="left"/>
            </w:pPr>
            <w:r>
              <w:t xml:space="preserve">Arkkitehtuurin mekaaninen valvonta</w:t>
            </w:r>
          </w:p>
        </w:tc>
        <w:tc>
          <w:tcPr/>
          <w:p>
            <w:pPr>
              <w:pStyle w:val="Compact"/>
              <w:jc w:val="left"/>
            </w:pPr>
            <w:r>
              <w:t xml:space="preserve">Linterit korjausohjeineen virheviesteissä</w:t>
            </w:r>
          </w:p>
        </w:tc>
        <w:tc>
          <w:tcPr/>
          <w:p>
            <w:pPr>
              <w:pStyle w:val="Compact"/>
              <w:jc w:val="left"/>
            </w:pPr>
            <w:r>
              <w:t xml:space="preserve">ESLint + turvallisuussäännöt (OWASP, SRI, CORS)</w:t>
            </w:r>
          </w:p>
        </w:tc>
        <w:tc>
          <w:tcPr/>
          <w:p>
            <w:pPr>
              <w:pStyle w:val="Compact"/>
              <w:jc w:val="left"/>
            </w:pPr>
            <w:r>
              <w:rPr>
                <w:bCs/>
                <w:b/>
              </w:rPr>
              <w:t xml:space="preserve">60%</w:t>
            </w:r>
          </w:p>
        </w:tc>
      </w:tr>
      <w:tr>
        <w:tc>
          <w:tcPr/>
          <w:p>
            <w:pPr>
              <w:pStyle w:val="Compact"/>
              <w:jc w:val="left"/>
            </w:pPr>
            <w:r>
              <w:t xml:space="preserve">5</w:t>
            </w:r>
          </w:p>
        </w:tc>
        <w:tc>
          <w:tcPr/>
          <w:p>
            <w:pPr>
              <w:pStyle w:val="Compact"/>
              <w:jc w:val="left"/>
            </w:pPr>
            <w:r>
              <w:t xml:space="preserve">Tieto kuuluu repoon</w:t>
            </w:r>
          </w:p>
        </w:tc>
        <w:tc>
          <w:tcPr/>
          <w:p>
            <w:pPr>
              <w:pStyle w:val="Compact"/>
              <w:jc w:val="left"/>
            </w:pPr>
            <w:r>
              <w:t xml:space="preserve">Jos se ei ole repossa, sitä ei ole</w:t>
            </w:r>
          </w:p>
        </w:tc>
        <w:tc>
          <w:tcPr/>
          <w:p>
            <w:pPr>
              <w:pStyle w:val="Compact"/>
              <w:jc w:val="left"/>
            </w:pPr>
            <w:r>
              <w:t xml:space="preserve">71 dokumenttia + DWS-dokumenttistandardi + VERSION AND AGENT HISTORY</w:t>
            </w:r>
          </w:p>
        </w:tc>
        <w:tc>
          <w:tcPr/>
          <w:p>
            <w:pPr>
              <w:pStyle w:val="Compact"/>
              <w:jc w:val="left"/>
            </w:pPr>
            <w:r>
              <w:rPr>
                <w:bCs/>
                <w:b/>
              </w:rPr>
              <w:t xml:space="preserve">95%</w:t>
            </w:r>
          </w:p>
        </w:tc>
      </w:tr>
      <w:tr>
        <w:tc>
          <w:tcPr/>
          <w:p>
            <w:pPr>
              <w:pStyle w:val="Compact"/>
              <w:jc w:val="left"/>
            </w:pPr>
            <w:r>
              <w:t xml:space="preserve">6</w:t>
            </w:r>
          </w:p>
        </w:tc>
        <w:tc>
          <w:tcPr/>
          <w:p>
            <w:pPr>
              <w:pStyle w:val="Compact"/>
              <w:jc w:val="left"/>
            </w:pPr>
            <w:r>
              <w:t xml:space="preserve">Agentti-agentti-koodikatselmointi</w:t>
            </w:r>
          </w:p>
        </w:tc>
        <w:tc>
          <w:tcPr/>
          <w:p>
            <w:pPr>
              <w:pStyle w:val="Compact"/>
              <w:jc w:val="left"/>
            </w:pPr>
            <w:r>
              <w:t xml:space="preserve">“</w:t>
            </w:r>
            <w:r>
              <w:t xml:space="preserve">Ralph Wiggum Loop</w:t>
            </w:r>
            <w:r>
              <w:t xml:space="preserve">”</w:t>
            </w:r>
            <w:r>
              <w:t xml:space="preserve"> </w:t>
            </w:r>
            <w:r>
              <w:t xml:space="preserve">— itsekatselmointisyklit</w:t>
            </w:r>
          </w:p>
        </w:tc>
        <w:tc>
          <w:tcPr/>
          <w:p>
            <w:pPr>
              <w:pStyle w:val="Compact"/>
              <w:jc w:val="left"/>
            </w:pPr>
            <w:r>
              <w:t xml:space="preserve">Simplify-skill + Boardy + ihminen-silmukassa</w:t>
            </w:r>
          </w:p>
        </w:tc>
        <w:tc>
          <w:tcPr/>
          <w:p>
            <w:pPr>
              <w:pStyle w:val="Compact"/>
              <w:jc w:val="left"/>
            </w:pPr>
            <w:r>
              <w:rPr>
                <w:bCs/>
                <w:b/>
              </w:rPr>
              <w:t xml:space="preserve">50%</w:t>
            </w:r>
          </w:p>
        </w:tc>
      </w:tr>
      <w:tr>
        <w:tc>
          <w:tcPr/>
          <w:p>
            <w:pPr>
              <w:pStyle w:val="Compact"/>
              <w:jc w:val="left"/>
            </w:pPr>
            <w:r>
              <w:t xml:space="preserve">7</w:t>
            </w:r>
          </w:p>
        </w:tc>
        <w:tc>
          <w:tcPr/>
          <w:p>
            <w:pPr>
              <w:pStyle w:val="Compact"/>
              <w:jc w:val="left"/>
            </w:pPr>
            <w:r>
              <w:t xml:space="preserve">Kumuloituvat hyödyt (kyvykkyyksien rakentaminen)</w:t>
            </w:r>
          </w:p>
        </w:tc>
        <w:tc>
          <w:tcPr/>
          <w:p>
            <w:pPr>
              <w:pStyle w:val="Compact"/>
              <w:jc w:val="left"/>
            </w:pPr>
            <w:r>
              <w:t xml:space="preserve">Diagnosoi puuttuva kyvykkyys, rakenna repoon</w:t>
            </w:r>
          </w:p>
        </w:tc>
        <w:tc>
          <w:tcPr/>
          <w:p>
            <w:pPr>
              <w:pStyle w:val="Compact"/>
              <w:jc w:val="left"/>
            </w:pPr>
            <w:r>
              <w:t xml:space="preserve">10 skilliä + 16 agenttia + MCP Hub + työnkulkuorkestrointi</w:t>
            </w:r>
          </w:p>
        </w:tc>
        <w:tc>
          <w:tcPr/>
          <w:p>
            <w:pPr>
              <w:pStyle w:val="Compact"/>
              <w:jc w:val="left"/>
            </w:pPr>
            <w:r>
              <w:rPr>
                <w:bCs/>
                <w:b/>
              </w:rPr>
              <w:t xml:space="preserve">85%</w:t>
            </w:r>
          </w:p>
        </w:tc>
      </w:tr>
      <w:tr>
        <w:tc>
          <w:tcPr/>
          <w:p>
            <w:pPr>
              <w:pStyle w:val="Compact"/>
              <w:jc w:val="left"/>
            </w:pPr>
            <w:r>
              <w:t xml:space="preserve">8</w:t>
            </w:r>
          </w:p>
        </w:tc>
        <w:tc>
          <w:tcPr/>
          <w:p>
            <w:pPr>
              <w:pStyle w:val="Compact"/>
              <w:jc w:val="left"/>
            </w:pPr>
            <w:r>
              <w:t xml:space="preserve">Insinöörit ympäristösuunnittelijoina</w:t>
            </w:r>
          </w:p>
        </w:tc>
        <w:tc>
          <w:tcPr/>
          <w:p>
            <w:pPr>
              <w:pStyle w:val="Compact"/>
              <w:jc w:val="left"/>
            </w:pPr>
            <w:r>
              <w:t xml:space="preserve">3,5 PR/insinööri/päivä</w:t>
            </w:r>
          </w:p>
        </w:tc>
        <w:tc>
          <w:tcPr/>
          <w:p>
            <w:pPr>
              <w:pStyle w:val="Compact"/>
              <w:jc w:val="left"/>
            </w:pPr>
            <w:r>
              <w:t xml:space="preserve">Worktree-työnkulku + session handover -protokolla</w:t>
            </w:r>
          </w:p>
        </w:tc>
        <w:tc>
          <w:tcPr/>
          <w:p>
            <w:pPr>
              <w:pStyle w:val="Compact"/>
              <w:jc w:val="left"/>
            </w:pPr>
            <w:r>
              <w:rPr>
                <w:bCs/>
                <w:b/>
              </w:rPr>
              <w:t xml:space="preserve">80%</w:t>
            </w:r>
          </w:p>
        </w:tc>
      </w:tr>
    </w:tbl>
    <w:p>
      <w:pPr>
        <w:pStyle w:val="BodyText"/>
      </w:pPr>
      <w:r>
        <w:rPr>
          <w:bCs/>
          <w:b/>
        </w:rPr>
        <w:t xml:space="preserve">DWS:n kokonaisvalmiusaste: ~79%</w:t>
      </w:r>
      <w:r>
        <w:t xml:space="preserve"> </w:t>
      </w:r>
      <w:r>
        <w:t xml:space="preserve">OpenAI:n harness engineering -periaatteita vasten.</w:t>
      </w:r>
    </w:p>
    <w:bookmarkEnd w:id="246"/>
    <w:bookmarkStart w:id="247" w:name="Xb01cd2e89b9454502f56c63233122b6eafe1580"/>
    <w:p>
      <w:pPr>
        <w:pStyle w:val="Heading4"/>
      </w:pPr>
      <w:r>
        <w:t xml:space="preserve">10.16.3 Keskeisin empiirinen havainto: malli ei ratkaise — harness ratkaisee</w:t>
      </w:r>
    </w:p>
    <w:p>
      <w:pPr>
        <w:pStyle w:val="FirstParagraph"/>
      </w:pPr>
      <w:r>
        <w:t xml:space="preserve">Harness engineering -kirjallisuuden merkittävin empiirinen löydös:</w:t>
      </w:r>
    </w:p>
    <w:p>
      <w:pPr>
        <w:pStyle w:val="BlockText"/>
      </w:pPr>
      <w:r>
        <w:t xml:space="preserve">Sama malli (gpt-5.2-codex) paransi tuloksiaan</w:t>
      </w:r>
      <w:r>
        <w:t xml:space="preserve"> </w:t>
      </w:r>
      <w:r>
        <w:rPr>
          <w:bCs/>
          <w:b/>
        </w:rPr>
        <w:t xml:space="preserve">52,8 % → 66,5 %</w:t>
      </w:r>
      <w:r>
        <w:t xml:space="preserve"> </w:t>
      </w:r>
      <w:r>
        <w:t xml:space="preserve">pelkällä harness-parannuksella (LangChain-tapaus). Ei mallin vaihtoa — ainoastaan järjestelmätason parannuksia.</w:t>
      </w:r>
    </w:p>
    <w:p>
      <w:pPr>
        <w:pStyle w:val="FirstParagraph"/>
      </w:pPr>
      <w:r>
        <w:t xml:space="preserve">Tämä validoi DWS IQ 6:n arkkitehtuurihypoteesin:</w:t>
      </w:r>
      <w:r>
        <w:t xml:space="preserve"> </w:t>
      </w:r>
      <w:r>
        <w:rPr>
          <w:bCs/>
          <w:b/>
        </w:rPr>
        <w:t xml:space="preserve">mallia ympäröivä järjestelmä merkitsee enemmän kuin itse malli.</w:t>
      </w:r>
      <w:r>
        <w:t xml:space="preserve"> </w:t>
      </w:r>
      <w:r>
        <w:t xml:space="preserve">DWS:n kuusikerroksinen informaatioarkkitehtuuri (L0 Platform Model → L6 Tool Result Injection) on tämän periaatteen formalisointi.</w:t>
      </w:r>
    </w:p>
    <w:p>
      <w:pPr>
        <w:pStyle w:val="BodyText"/>
      </w:pPr>
      <w:r>
        <w:rPr>
          <w:bCs/>
          <w:b/>
        </w:rPr>
        <w:t xml:space="preserve">Progressiivinen paljastaminen toimii empiirisesti:</w:t>
      </w:r>
    </w:p>
    <w:p>
      <w:pPr>
        <w:numPr>
          <w:ilvl w:val="0"/>
          <w:numId w:val="1080"/>
        </w:numPr>
        <w:pStyle w:val="Compact"/>
      </w:pPr>
      <w:r>
        <w:t xml:space="preserve">Cursor saavutti</w:t>
      </w:r>
      <w:r>
        <w:t xml:space="preserve"> </w:t>
      </w:r>
      <w:r>
        <w:rPr>
          <w:bCs/>
          <w:b/>
        </w:rPr>
        <w:t xml:space="preserve">46,9 % tokenisäästön</w:t>
      </w:r>
      <w:r>
        <w:t xml:space="preserve"> </w:t>
      </w:r>
      <w:r>
        <w:t xml:space="preserve">kontekstinhallinnalla</w:t>
      </w:r>
    </w:p>
    <w:p>
      <w:pPr>
        <w:numPr>
          <w:ilvl w:val="0"/>
          <w:numId w:val="1080"/>
        </w:numPr>
        <w:pStyle w:val="Compact"/>
      </w:pPr>
      <w:r>
        <w:t xml:space="preserve">Vercel vähensi kontekstin</w:t>
      </w:r>
      <w:r>
        <w:t xml:space="preserve"> </w:t>
      </w:r>
      <w:r>
        <w:rPr>
          <w:bCs/>
          <w:b/>
        </w:rPr>
        <w:t xml:space="preserve">145K → 67K tokeniin</w:t>
      </w:r>
      <w:r>
        <w:t xml:space="preserve"> </w:t>
      </w:r>
      <w:r>
        <w:t xml:space="preserve">JIT-latauksella</w:t>
      </w:r>
    </w:p>
    <w:p>
      <w:pPr>
        <w:numPr>
          <w:ilvl w:val="0"/>
          <w:numId w:val="1080"/>
        </w:numPr>
        <w:pStyle w:val="Compact"/>
      </w:pPr>
      <w:r>
        <w:t xml:space="preserve">DWS:n L6 Tool Injection -kerros (system-reminder jokaisen tool-kutsun jälkeen) näyttää</w:t>
      </w:r>
      <w:r>
        <w:t xml:space="preserve"> </w:t>
      </w:r>
      <w:r>
        <w:rPr>
          <w:bCs/>
          <w:b/>
        </w:rPr>
        <w:t xml:space="preserve">15–47 % paremman sääntöjen noudattamisen</w:t>
      </w:r>
      <w:r>
        <w:t xml:space="preserve"> </w:t>
      </w:r>
      <w:r>
        <w:t xml:space="preserve">kuin pelkkä systeemiprompt</w:t>
      </w:r>
    </w:p>
    <w:bookmarkEnd w:id="247"/>
    <w:bookmarkStart w:id="248" w:name="Xb2a7433f3a88ca3e8e9b4f0a654dfb3e9eabd91"/>
    <w:p>
      <w:pPr>
        <w:pStyle w:val="Heading4"/>
      </w:pPr>
      <w:r>
        <w:t xml:space="preserve">10.16.4 DWS:n kuusikerroksinen arkkitehtuuri (L0-L6) harnessin formalisointina</w:t>
      </w:r>
    </w:p>
    <w:p>
      <w:pPr>
        <w:pStyle w:val="FirstParagraph"/>
      </w:pPr>
      <w:r>
        <w:t xml:space="preserve">DWS IQ 6 on itsenäisesti kehittänyt kuusikerroksisen informaatioarkkitehtuurin, joka formalisoi harness-käsitteen:</w:t>
      </w:r>
    </w:p>
    <w:tbl>
      <w:tblPr>
        <w:tblStyle w:val="Table"/>
        <w:tblW w:type="pct" w:w="5000"/>
        <w:tblLook w:firstRow="1" w:lastRow="0" w:firstColumn="0" w:lastColumn="0" w:noHBand="0" w:noVBand="0" w:val="0020"/>
        <w:jc w:val="start"/>
      </w:tblPr>
      <w:tblGrid>
        <w:gridCol w:w="448"/>
        <w:gridCol w:w="1569"/>
        <w:gridCol w:w="3511"/>
        <w:gridCol w:w="2390"/>
      </w:tblGrid>
      <w:tr>
        <w:trPr>
          <w:tblHeader w:val="true"/>
        </w:trPr>
        <w:tc>
          <w:tcPr/>
          <w:p>
            <w:pPr>
              <w:pStyle w:val="Compact"/>
              <w:jc w:val="left"/>
            </w:pPr>
            <w:r>
              <w:t xml:space="preserve">Kerros</w:t>
            </w:r>
          </w:p>
        </w:tc>
        <w:tc>
          <w:tcPr/>
          <w:p>
            <w:pPr>
              <w:pStyle w:val="Compact"/>
              <w:jc w:val="left"/>
            </w:pPr>
            <w:r>
              <w:t xml:space="preserve">Nimi</w:t>
            </w:r>
          </w:p>
        </w:tc>
        <w:tc>
          <w:tcPr/>
          <w:p>
            <w:pPr>
              <w:pStyle w:val="Compact"/>
              <w:jc w:val="left"/>
            </w:pPr>
            <w:r>
              <w:t xml:space="preserve">Tehtävä</w:t>
            </w:r>
          </w:p>
        </w:tc>
        <w:tc>
          <w:tcPr/>
          <w:p>
            <w:pPr>
              <w:pStyle w:val="Compact"/>
              <w:jc w:val="left"/>
            </w:pPr>
            <w:r>
              <w:t xml:space="preserve">OpenAI:n vastine</w:t>
            </w:r>
          </w:p>
        </w:tc>
      </w:tr>
      <w:tr>
        <w:tc>
          <w:tcPr/>
          <w:p>
            <w:pPr>
              <w:pStyle w:val="Compact"/>
              <w:jc w:val="left"/>
            </w:pPr>
            <w:r>
              <w:rPr>
                <w:bCs/>
                <w:b/>
              </w:rPr>
              <w:t xml:space="preserve">L0</w:t>
            </w:r>
          </w:p>
        </w:tc>
        <w:tc>
          <w:tcPr/>
          <w:p>
            <w:pPr>
              <w:pStyle w:val="Compact"/>
              <w:jc w:val="left"/>
            </w:pPr>
            <w:r>
              <w:t xml:space="preserve">Platform Model</w:t>
            </w:r>
          </w:p>
        </w:tc>
        <w:tc>
          <w:tcPr/>
          <w:p>
            <w:pPr>
              <w:pStyle w:val="Compact"/>
              <w:jc w:val="left"/>
            </w:pPr>
            <w:r>
              <w:t xml:space="preserve">LLM:n peruskyvykkyydet</w:t>
            </w:r>
          </w:p>
        </w:tc>
        <w:tc>
          <w:tcPr/>
          <w:p>
            <w:pPr>
              <w:pStyle w:val="Compact"/>
              <w:jc w:val="left"/>
            </w:pPr>
            <w:r>
              <w:t xml:space="preserve">Implisiittinen (Codex-malli)</w:t>
            </w:r>
          </w:p>
        </w:tc>
      </w:tr>
      <w:tr>
        <w:tc>
          <w:tcPr/>
          <w:p>
            <w:pPr>
              <w:pStyle w:val="Compact"/>
              <w:jc w:val="left"/>
            </w:pPr>
            <w:r>
              <w:rPr>
                <w:bCs/>
                <w:b/>
              </w:rPr>
              <w:t xml:space="preserve">L1</w:t>
            </w:r>
          </w:p>
        </w:tc>
        <w:tc>
          <w:tcPr/>
          <w:p>
            <w:pPr>
              <w:pStyle w:val="Compact"/>
              <w:jc w:val="left"/>
            </w:pPr>
            <w:r>
              <w:t xml:space="preserve">System Prompt</w:t>
            </w:r>
          </w:p>
        </w:tc>
        <w:tc>
          <w:tcPr/>
          <w:p>
            <w:pPr>
              <w:pStyle w:val="Compact"/>
              <w:jc w:val="left"/>
            </w:pPr>
            <w:r>
              <w:t xml:space="preserve">Sessiotason ohjeet</w:t>
            </w:r>
          </w:p>
        </w:tc>
        <w:tc>
          <w:tcPr/>
          <w:p>
            <w:pPr>
              <w:pStyle w:val="Compact"/>
              <w:jc w:val="left"/>
            </w:pPr>
            <w:r>
              <w:t xml:space="preserve">AGENTS.md-injektio</w:t>
            </w:r>
          </w:p>
        </w:tc>
      </w:tr>
      <w:tr>
        <w:tc>
          <w:tcPr/>
          <w:p>
            <w:pPr>
              <w:pStyle w:val="Compact"/>
              <w:jc w:val="left"/>
            </w:pPr>
            <w:r>
              <w:rPr>
                <w:bCs/>
                <w:b/>
              </w:rPr>
              <w:t xml:space="preserve">L2</w:t>
            </w:r>
          </w:p>
        </w:tc>
        <w:tc>
          <w:tcPr/>
          <w:p>
            <w:pPr>
              <w:pStyle w:val="Compact"/>
              <w:jc w:val="left"/>
            </w:pPr>
            <w:r>
              <w:t xml:space="preserve">Standards (JIT)</w:t>
            </w:r>
          </w:p>
        </w:tc>
        <w:tc>
          <w:tcPr/>
          <w:p>
            <w:pPr>
              <w:pStyle w:val="Compact"/>
              <w:jc w:val="left"/>
            </w:pPr>
            <w:r>
              <w:t xml:space="preserve">Tarvepohjainen standardien lataus</w:t>
            </w:r>
          </w:p>
        </w:tc>
        <w:tc>
          <w:tcPr/>
          <w:p>
            <w:pPr>
              <w:pStyle w:val="Compact"/>
              <w:jc w:val="left"/>
            </w:pPr>
            <w:r>
              <w:t xml:space="preserve">docs/-kansion viittaukset</w:t>
            </w:r>
          </w:p>
        </w:tc>
      </w:tr>
      <w:tr>
        <w:tc>
          <w:tcPr/>
          <w:p>
            <w:pPr>
              <w:pStyle w:val="Compact"/>
              <w:jc w:val="left"/>
            </w:pPr>
            <w:r>
              <w:rPr>
                <w:bCs/>
                <w:b/>
              </w:rPr>
              <w:t xml:space="preserve">L3</w:t>
            </w:r>
          </w:p>
        </w:tc>
        <w:tc>
          <w:tcPr/>
          <w:p>
            <w:pPr>
              <w:pStyle w:val="Compact"/>
              <w:jc w:val="left"/>
            </w:pPr>
            <w:r>
              <w:t xml:space="preserve">Task Context</w:t>
            </w:r>
          </w:p>
        </w:tc>
        <w:tc>
          <w:tcPr/>
          <w:p>
            <w:pPr>
              <w:pStyle w:val="Compact"/>
              <w:jc w:val="left"/>
            </w:pPr>
            <w:r>
              <w:t xml:space="preserve">Nykyisen tehtävän spesifikaatio</w:t>
            </w:r>
          </w:p>
        </w:tc>
        <w:tc>
          <w:tcPr/>
          <w:p>
            <w:pPr>
              <w:pStyle w:val="Compact"/>
              <w:jc w:val="left"/>
            </w:pPr>
            <w:r>
              <w:t xml:space="preserve">PR-kuvaus + issue</w:t>
            </w:r>
          </w:p>
        </w:tc>
      </w:tr>
      <w:tr>
        <w:tc>
          <w:tcPr/>
          <w:p>
            <w:pPr>
              <w:pStyle w:val="Compact"/>
              <w:jc w:val="left"/>
            </w:pPr>
            <w:r>
              <w:rPr>
                <w:bCs/>
                <w:b/>
              </w:rPr>
              <w:t xml:space="preserve">L4</w:t>
            </w:r>
          </w:p>
        </w:tc>
        <w:tc>
          <w:tcPr/>
          <w:p>
            <w:pPr>
              <w:pStyle w:val="Compact"/>
              <w:jc w:val="left"/>
            </w:pPr>
            <w:r>
              <w:t xml:space="preserve">Auto-Learned State</w:t>
            </w:r>
          </w:p>
        </w:tc>
        <w:tc>
          <w:tcPr/>
          <w:p>
            <w:pPr>
              <w:pStyle w:val="Compact"/>
              <w:jc w:val="left"/>
            </w:pPr>
            <w:r>
              <w:t xml:space="preserve">Pysyvä muisti (Supabase + MEMORY.md)</w:t>
            </w:r>
          </w:p>
        </w:tc>
        <w:tc>
          <w:tcPr/>
          <w:p>
            <w:pPr>
              <w:pStyle w:val="Compact"/>
              <w:jc w:val="left"/>
            </w:pPr>
            <w:r>
              <w:t xml:space="preserve">Ei kuvattu OpenAI:n artikkelissa</w:t>
            </w:r>
          </w:p>
        </w:tc>
      </w:tr>
      <w:tr>
        <w:tc>
          <w:tcPr/>
          <w:p>
            <w:pPr>
              <w:pStyle w:val="Compact"/>
              <w:jc w:val="left"/>
            </w:pPr>
            <w:r>
              <w:rPr>
                <w:bCs/>
                <w:b/>
              </w:rPr>
              <w:t xml:space="preserve">L5</w:t>
            </w:r>
          </w:p>
        </w:tc>
        <w:tc>
          <w:tcPr/>
          <w:p>
            <w:pPr>
              <w:pStyle w:val="Compact"/>
              <w:jc w:val="left"/>
            </w:pPr>
            <w:r>
              <w:t xml:space="preserve">Tool Results</w:t>
            </w:r>
          </w:p>
        </w:tc>
        <w:tc>
          <w:tcPr/>
          <w:p>
            <w:pPr>
              <w:pStyle w:val="Compact"/>
              <w:jc w:val="left"/>
            </w:pPr>
            <w:r>
              <w:t xml:space="preserve">Työkalusuoritusten tulokset</w:t>
            </w:r>
          </w:p>
        </w:tc>
        <w:tc>
          <w:tcPr/>
          <w:p>
            <w:pPr>
              <w:pStyle w:val="Compact"/>
              <w:jc w:val="left"/>
            </w:pPr>
            <w:r>
              <w:t xml:space="preserve">Agenttisilmukan työkalukutsut</w:t>
            </w:r>
          </w:p>
        </w:tc>
      </w:tr>
      <w:tr>
        <w:tc>
          <w:tcPr/>
          <w:p>
            <w:pPr>
              <w:pStyle w:val="Compact"/>
              <w:jc w:val="left"/>
            </w:pPr>
            <w:r>
              <w:rPr>
                <w:bCs/>
                <w:b/>
              </w:rPr>
              <w:t xml:space="preserve">L6</w:t>
            </w:r>
          </w:p>
        </w:tc>
        <w:tc>
          <w:tcPr/>
          <w:p>
            <w:pPr>
              <w:pStyle w:val="Compact"/>
              <w:jc w:val="left"/>
            </w:pPr>
            <w:r>
              <w:t xml:space="preserve">Tool Result Injection</w:t>
            </w:r>
          </w:p>
        </w:tc>
        <w:tc>
          <w:tcPr/>
          <w:p>
            <w:pPr>
              <w:pStyle w:val="Compact"/>
              <w:jc w:val="left"/>
            </w:pPr>
            <w:r>
              <w:t xml:space="preserve">Järjestelmämuistutukset jokaisen kutsun jälkeen</w:t>
            </w:r>
          </w:p>
        </w:tc>
        <w:tc>
          <w:tcPr/>
          <w:p>
            <w:pPr>
              <w:pStyle w:val="Compact"/>
              <w:jc w:val="left"/>
            </w:pPr>
            <w:r>
              <w:t xml:space="preserve">Ei kuvattu OpenAI:n artikkelissa</w:t>
            </w:r>
          </w:p>
        </w:tc>
      </w:tr>
    </w:tbl>
    <w:p>
      <w:pPr>
        <w:pStyle w:val="BodyText"/>
      </w:pPr>
      <w:r>
        <w:rPr>
          <w:bCs/>
          <w:b/>
        </w:rPr>
        <w:t xml:space="preserve">DWS:n innovaatiot OpenAI:n ylittäen:</w:t>
      </w:r>
    </w:p>
    <w:p>
      <w:pPr>
        <w:numPr>
          <w:ilvl w:val="0"/>
          <w:numId w:val="1081"/>
        </w:numPr>
        <w:pStyle w:val="Compact"/>
      </w:pPr>
      <w:r>
        <w:rPr>
          <w:bCs/>
          <w:b/>
        </w:rPr>
        <w:t xml:space="preserve">L4 Auto-Learned State:</w:t>
      </w:r>
      <w:r>
        <w:t xml:space="preserve"> </w:t>
      </w:r>
      <w:r>
        <w:t xml:space="preserve">Agentit oppivat sessioiden välillä pysyvän muistin kautta — OpenAI ei kuvaa vastaavaa</w:t>
      </w:r>
    </w:p>
    <w:p>
      <w:pPr>
        <w:numPr>
          <w:ilvl w:val="0"/>
          <w:numId w:val="1081"/>
        </w:numPr>
        <w:pStyle w:val="Compact"/>
      </w:pPr>
      <w:r>
        <w:rPr>
          <w:bCs/>
          <w:b/>
        </w:rPr>
        <w:t xml:space="preserve">L6 Tool Result Injection:</w:t>
      </w:r>
      <w:r>
        <w:t xml:space="preserve"> </w:t>
      </w:r>
      <w:r>
        <w:t xml:space="preserve">Järjestelmämuistutukset injektoidaan jokaisen työkalukutsun jälkeen, saavuttaen 15–47 % paremman standardien noudattamisen</w:t>
      </w:r>
    </w:p>
    <w:p>
      <w:pPr>
        <w:numPr>
          <w:ilvl w:val="0"/>
          <w:numId w:val="1081"/>
        </w:numPr>
        <w:pStyle w:val="Compact"/>
      </w:pPr>
      <w:r>
        <w:rPr>
          <w:bCs/>
          <w:b/>
        </w:rPr>
        <w:t xml:space="preserve">12 Factor Agents -yhteensopivuus:</w:t>
      </w:r>
      <w:r>
        <w:t xml:space="preserve"> </w:t>
      </w:r>
      <w:r>
        <w:t xml:space="preserve">DWS dokumentoi 12/12 yhteensopivuuden — OpenAI ei viittaa tähän kehykseen</w:t>
      </w:r>
    </w:p>
    <w:bookmarkEnd w:id="248"/>
    <w:bookmarkStart w:id="249" w:name="eu-regulaatio-vaatii-erilaisen-harnessin"/>
    <w:p>
      <w:pPr>
        <w:pStyle w:val="Heading4"/>
      </w:pPr>
      <w:r>
        <w:t xml:space="preserve">10.16.5 EU-regulaatio vaatii erilaisen harnessin</w:t>
      </w:r>
    </w:p>
    <w:p>
      <w:pPr>
        <w:pStyle w:val="FirstParagraph"/>
      </w:pPr>
      <w:r>
        <w:t xml:space="preserve">Merkittävin eroavaisuus OpenAI:n ja DWS:n lähestymistapojen välillä johtuu regulaatiokontekstista:</w:t>
      </w:r>
    </w:p>
    <w:tbl>
      <w:tblPr>
        <w:tblStyle w:val="Table"/>
        <w:tblW w:type="pct" w:w="5000"/>
        <w:tblLook w:firstRow="1" w:lastRow="0" w:firstColumn="0" w:lastColumn="0" w:noHBand="0" w:noVBand="0" w:val="0020"/>
        <w:jc w:val="start"/>
      </w:tblPr>
      <w:tblGrid>
        <w:gridCol w:w="1282"/>
        <w:gridCol w:w="2565"/>
        <w:gridCol w:w="4071"/>
      </w:tblGrid>
      <w:tr>
        <w:trPr>
          <w:tblHeader w:val="true"/>
        </w:trPr>
        <w:tc>
          <w:tcPr/>
          <w:p>
            <w:pPr>
              <w:pStyle w:val="Compact"/>
              <w:jc w:val="left"/>
            </w:pPr>
            <w:r>
              <w:t xml:space="preserve">Ulottuvuus</w:t>
            </w:r>
          </w:p>
        </w:tc>
        <w:tc>
          <w:tcPr/>
          <w:p>
            <w:pPr>
              <w:pStyle w:val="Compact"/>
              <w:jc w:val="left"/>
            </w:pPr>
            <w:r>
              <w:t xml:space="preserve">OpenAI (Silicon Valley)</w:t>
            </w:r>
          </w:p>
        </w:tc>
        <w:tc>
          <w:tcPr/>
          <w:p>
            <w:pPr>
              <w:pStyle w:val="Compact"/>
              <w:jc w:val="left"/>
            </w:pPr>
            <w:r>
              <w:t xml:space="preserve">DWS IQ 6 (EU-reguloitu)</w:t>
            </w:r>
          </w:p>
        </w:tc>
      </w:tr>
      <w:tr>
        <w:tc>
          <w:tcPr/>
          <w:p>
            <w:pPr>
              <w:pStyle w:val="Compact"/>
              <w:jc w:val="left"/>
            </w:pPr>
            <w:r>
              <w:rPr>
                <w:bCs/>
                <w:b/>
              </w:rPr>
              <w:t xml:space="preserve">Optimointitavoite</w:t>
            </w:r>
          </w:p>
        </w:tc>
        <w:tc>
          <w:tcPr/>
          <w:p>
            <w:pPr>
              <w:pStyle w:val="Compact"/>
              <w:jc w:val="left"/>
            </w:pPr>
            <w:r>
              <w:t xml:space="preserve">Nopeus (3,5 PR/insinööri/päivä)</w:t>
            </w:r>
          </w:p>
        </w:tc>
        <w:tc>
          <w:tcPr/>
          <w:p>
            <w:pPr>
              <w:pStyle w:val="Compact"/>
              <w:jc w:val="left"/>
            </w:pPr>
            <w:r>
              <w:t xml:space="preserve">Jäljitettävyys, auditoitavuus, ihminen silmukassa</w:t>
            </w:r>
          </w:p>
        </w:tc>
      </w:tr>
      <w:tr>
        <w:tc>
          <w:tcPr/>
          <w:p>
            <w:pPr>
              <w:pStyle w:val="Compact"/>
              <w:jc w:val="left"/>
            </w:pPr>
            <w:r>
              <w:rPr>
                <w:bCs/>
                <w:b/>
              </w:rPr>
              <w:t xml:space="preserve">Autonomiataso</w:t>
            </w:r>
          </w:p>
        </w:tc>
        <w:tc>
          <w:tcPr/>
          <w:p>
            <w:pPr>
              <w:pStyle w:val="Compact"/>
              <w:jc w:val="left"/>
            </w:pPr>
            <w:r>
              <w:t xml:space="preserve">Lähes täysi agenttien autonomia</w:t>
            </w:r>
          </w:p>
        </w:tc>
        <w:tc>
          <w:tcPr/>
          <w:p>
            <w:pPr>
              <w:pStyle w:val="Compact"/>
              <w:jc w:val="left"/>
            </w:pPr>
            <w:r>
              <w:t xml:space="preserve">Ihminen lopullisena hyväksyjänä (Karpathy-periaatteet)</w:t>
            </w:r>
          </w:p>
        </w:tc>
      </w:tr>
      <w:tr>
        <w:tc>
          <w:tcPr/>
          <w:p>
            <w:pPr>
              <w:pStyle w:val="Compact"/>
              <w:jc w:val="left"/>
            </w:pPr>
            <w:r>
              <w:rPr>
                <w:bCs/>
                <w:b/>
              </w:rPr>
              <w:t xml:space="preserve">Koodikatselmointi</w:t>
            </w:r>
          </w:p>
        </w:tc>
        <w:tc>
          <w:tcPr/>
          <w:p>
            <w:pPr>
              <w:pStyle w:val="Compact"/>
              <w:jc w:val="left"/>
            </w:pPr>
            <w:r>
              <w:t xml:space="preserve">Pelkästään agentti-agentti (Ralph Wiggum Loop)</w:t>
            </w:r>
          </w:p>
        </w:tc>
        <w:tc>
          <w:tcPr/>
          <w:p>
            <w:pPr>
              <w:pStyle w:val="Compact"/>
              <w:jc w:val="left"/>
            </w:pPr>
            <w:r>
              <w:t xml:space="preserve">Agenttien esikatselmointi + ihmisen lopullinen hyväksyntä</w:t>
            </w:r>
          </w:p>
        </w:tc>
      </w:tr>
      <w:tr>
        <w:tc>
          <w:tcPr/>
          <w:p>
            <w:pPr>
              <w:pStyle w:val="Compact"/>
              <w:jc w:val="left"/>
            </w:pPr>
            <w:r>
              <w:rPr>
                <w:bCs/>
                <w:b/>
              </w:rPr>
              <w:t xml:space="preserve">Auditointipolku</w:t>
            </w:r>
          </w:p>
        </w:tc>
        <w:tc>
          <w:tcPr/>
          <w:p>
            <w:pPr>
              <w:pStyle w:val="Compact"/>
              <w:jc w:val="left"/>
            </w:pPr>
            <w:r>
              <w:t xml:space="preserve">Ei kuvattu</w:t>
            </w:r>
          </w:p>
        </w:tc>
        <w:tc>
          <w:tcPr/>
          <w:p>
            <w:pPr>
              <w:pStyle w:val="Compact"/>
              <w:jc w:val="left"/>
            </w:pPr>
            <w:r>
              <w:t xml:space="preserve">VERSION AND AGENT HISTORY jokaisessa dokumentissa, oikeudellisesti pätevä</w:t>
            </w:r>
          </w:p>
        </w:tc>
      </w:tr>
      <w:tr>
        <w:tc>
          <w:tcPr/>
          <w:p>
            <w:pPr>
              <w:pStyle w:val="Compact"/>
              <w:jc w:val="left"/>
            </w:pPr>
            <w:r>
              <w:rPr>
                <w:bCs/>
                <w:b/>
              </w:rPr>
              <w:t xml:space="preserve">Tietojen sijainti</w:t>
            </w:r>
          </w:p>
        </w:tc>
        <w:tc>
          <w:tcPr/>
          <w:p>
            <w:pPr>
              <w:pStyle w:val="Compact"/>
              <w:jc w:val="left"/>
            </w:pPr>
            <w:r>
              <w:t xml:space="preserve">US-keskeinen</w:t>
            </w:r>
          </w:p>
        </w:tc>
        <w:tc>
          <w:tcPr/>
          <w:p>
            <w:pPr>
              <w:pStyle w:val="Compact"/>
              <w:jc w:val="left"/>
            </w:pPr>
            <w:r>
              <w:t xml:space="preserve">EU-tietojen sijainti (Suomi/Saksa), GDPR, EU AI Act</w:t>
            </w:r>
          </w:p>
        </w:tc>
      </w:tr>
      <w:tr>
        <w:tc>
          <w:tcPr/>
          <w:p>
            <w:pPr>
              <w:pStyle w:val="Compact"/>
              <w:jc w:val="left"/>
            </w:pPr>
            <w:r>
              <w:rPr>
                <w:bCs/>
                <w:b/>
              </w:rPr>
              <w:t xml:space="preserve">Palvellut toimialat</w:t>
            </w:r>
          </w:p>
        </w:tc>
        <w:tc>
          <w:tcPr/>
          <w:p>
            <w:pPr>
              <w:pStyle w:val="Compact"/>
              <w:jc w:val="left"/>
            </w:pPr>
            <w:r>
              <w:t xml:space="preserve">Sisäinen työkalu</w:t>
            </w:r>
          </w:p>
        </w:tc>
        <w:tc>
          <w:tcPr/>
          <w:p>
            <w:pPr>
              <w:pStyle w:val="Compact"/>
              <w:jc w:val="left"/>
            </w:pPr>
            <w:r>
              <w:t xml:space="preserve">20 EU-reguloitua toimialaa (rakentaminen, energia, kemikaalit…)</w:t>
            </w:r>
          </w:p>
        </w:tc>
      </w:tr>
    </w:tbl>
    <w:p>
      <w:pPr>
        <w:pStyle w:val="BodyText"/>
      </w:pPr>
      <w:r>
        <w:rPr>
          <w:bCs/>
          <w:b/>
        </w:rPr>
        <w:t xml:space="preserve">Thesis-argumentti:</w:t>
      </w:r>
      <w:r>
        <w:t xml:space="preserve"> </w:t>
      </w:r>
      <w:r>
        <w:t xml:space="preserve">Molemmat lähestymistavat ovat valideja, mutta eri konteksteissa. OpenAI optimoi nopeutta reguloimattomassa sisäisessä ympäristössä. DWS optimoi vaatimustenmukaisuutta, jäljitettävyyttä ja luottamusta EU-reguloiduilla toimialoilla, joissa autonomisten agenttipäätösten oikeudellinen vastuu on todellinen.</w:t>
      </w:r>
    </w:p>
    <w:p>
      <w:pPr>
        <w:pStyle w:val="BodyText"/>
      </w:pPr>
      <w:r>
        <w:t xml:space="preserve">EU:n tekoälysäädös (voimaan elokuu 2026) vaatii eksplisiittisesti:</w:t>
      </w:r>
    </w:p>
    <w:p>
      <w:pPr>
        <w:numPr>
          <w:ilvl w:val="0"/>
          <w:numId w:val="1082"/>
        </w:numPr>
        <w:pStyle w:val="Compact"/>
      </w:pPr>
      <w:r>
        <w:rPr>
          <w:bCs/>
          <w:b/>
        </w:rPr>
        <w:t xml:space="preserve">Artikla 12:</w:t>
      </w:r>
      <w:r>
        <w:t xml:space="preserve"> </w:t>
      </w:r>
      <w:r>
        <w:t xml:space="preserve">AI-järjestelmien toiminnan lokitus vähintään 7 vuodeksi</w:t>
      </w:r>
    </w:p>
    <w:p>
      <w:pPr>
        <w:numPr>
          <w:ilvl w:val="0"/>
          <w:numId w:val="1082"/>
        </w:numPr>
        <w:pStyle w:val="Compact"/>
      </w:pPr>
      <w:r>
        <w:rPr>
          <w:bCs/>
          <w:b/>
        </w:rPr>
        <w:t xml:space="preserve">Artikla 14:</w:t>
      </w:r>
      <w:r>
        <w:t xml:space="preserve"> </w:t>
      </w:r>
      <w:r>
        <w:t xml:space="preserve">Ihmisen valvonta korkean riskin AI-järjestelmissä</w:t>
      </w:r>
    </w:p>
    <w:p>
      <w:pPr>
        <w:numPr>
          <w:ilvl w:val="0"/>
          <w:numId w:val="1082"/>
        </w:numPr>
        <w:pStyle w:val="Compact"/>
      </w:pPr>
      <w:r>
        <w:rPr>
          <w:bCs/>
          <w:b/>
        </w:rPr>
        <w:t xml:space="preserve">Artikla 15:</w:t>
      </w:r>
      <w:r>
        <w:t xml:space="preserve"> </w:t>
      </w:r>
      <w:r>
        <w:t xml:space="preserve">Tarkkuus-, kestävyys- ja kyberturvallisuusvaatimukset</w:t>
      </w:r>
    </w:p>
    <w:p>
      <w:pPr>
        <w:pStyle w:val="FirstParagraph"/>
      </w:pPr>
      <w:r>
        <w:t xml:space="preserve">Nämä vaatimukset tekevät OpenAI:n</w:t>
      </w:r>
      <w:r>
        <w:t xml:space="preserve"> </w:t>
      </w:r>
      <w:r>
        <w:t xml:space="preserve">“</w:t>
      </w:r>
      <w:r>
        <w:t xml:space="preserve">täyden autonomian</w:t>
      </w:r>
      <w:r>
        <w:t xml:space="preserve">”</w:t>
      </w:r>
      <w:r>
        <w:t xml:space="preserve"> </w:t>
      </w:r>
      <w:r>
        <w:t xml:space="preserve">mallista vaatimustenvastaisen korkean riskin sovelluksissa EU-reguloiduilla toimialoilla. DWS:n ihminen-silmukassa-harness ei ole rajoitus — se on arkkitehtuurinen vastaus regulaatiovaatimuksiin.</w:t>
      </w:r>
    </w:p>
    <w:bookmarkEnd w:id="249"/>
    <w:bookmarkStart w:id="250" w:name="avoimet-tutkimuskysymykset"/>
    <w:p>
      <w:pPr>
        <w:pStyle w:val="Heading4"/>
      </w:pPr>
      <w:r>
        <w:t xml:space="preserve">10.16.6 Avoimet tutkimuskysymykset</w:t>
      </w:r>
    </w:p>
    <w:p>
      <w:pPr>
        <w:numPr>
          <w:ilvl w:val="0"/>
          <w:numId w:val="1083"/>
        </w:numPr>
      </w:pPr>
      <w:r>
        <w:rPr>
          <w:bCs/>
          <w:b/>
        </w:rPr>
        <w:t xml:space="preserve">Skaalautuuko harness-malli EU-reguloiduille toimialoille?</w:t>
      </w:r>
      <w:r>
        <w:t xml:space="preserve"> </w:t>
      </w:r>
      <w:r>
        <w:t xml:space="preserve">OpenAI:n tapaus on sisäinen työkalu ilman regulaatiovaatimuksia. DWS toimii 20 reguloidulla toimialalla — empiirinen validointi on käynnissä.</w:t>
      </w:r>
    </w:p>
    <w:p>
      <w:pPr>
        <w:numPr>
          <w:ilvl w:val="0"/>
          <w:numId w:val="1083"/>
        </w:numPr>
      </w:pPr>
      <w:r>
        <w:rPr>
          <w:bCs/>
          <w:b/>
        </w:rPr>
        <w:t xml:space="preserve">Mikä on optimaalinen autonomiataso?</w:t>
      </w:r>
      <w:r>
        <w:t xml:space="preserve"> </w:t>
      </w:r>
      <w:r>
        <w:t xml:space="preserve">OpenAI: lähes täysi autonomia. DWS: ihminen silmukassa. Kumpi tuottaa paremman lopputuloksen reguloidussa kontekstissa?</w:t>
      </w:r>
    </w:p>
    <w:p>
      <w:pPr>
        <w:numPr>
          <w:ilvl w:val="0"/>
          <w:numId w:val="1083"/>
        </w:numPr>
      </w:pPr>
      <w:r>
        <w:rPr>
          <w:bCs/>
          <w:b/>
        </w:rPr>
        <w:t xml:space="preserve">Onko kuusikerroksinen kontekstiarkkitehtuuri yleistettävissä?</w:t>
      </w:r>
      <w:r>
        <w:t xml:space="preserve"> </w:t>
      </w:r>
      <w:r>
        <w:t xml:space="preserve">DWS:n L0-L6-malli on spesifinen sen standardiekosysteemille, mutta periaatteet voivat olla universaaleja.</w:t>
      </w:r>
    </w:p>
    <w:p>
      <w:pPr>
        <w:numPr>
          <w:ilvl w:val="0"/>
          <w:numId w:val="1083"/>
        </w:numPr>
      </w:pPr>
      <w:r>
        <w:rPr>
          <w:bCs/>
          <w:b/>
        </w:rPr>
        <w:t xml:space="preserve">Verifikaatioaukko:</w:t>
      </w:r>
      <w:r>
        <w:t xml:space="preserve"> </w:t>
      </w:r>
      <w:r>
        <w:t xml:space="preserve">Martin Fowler huomautti, että OpenAI:n artikkelista puuttuu käyttäytymisen verifiointi — miten harness varmistaa, että generoitu koodi tekee oikean asian eikä vain käänny?</w:t>
      </w:r>
    </w:p>
    <w:bookmarkEnd w:id="250"/>
    <w:bookmarkStart w:id="251" w:name="tutkimuspanos-2"/>
    <w:p>
      <w:pPr>
        <w:pStyle w:val="Heading4"/>
      </w:pPr>
      <w:r>
        <w:t xml:space="preserve">10.16.7 Tutkimuspanos</w:t>
      </w:r>
    </w:p>
    <w:p>
      <w:pPr>
        <w:pStyle w:val="FirstParagraph"/>
      </w:pPr>
      <w:r>
        <w:t xml:space="preserve">Tämä osio tuottaa kolme löydöstä harness engineering -keskusteluun:</w:t>
      </w:r>
    </w:p>
    <w:p>
      <w:pPr>
        <w:numPr>
          <w:ilvl w:val="0"/>
          <w:numId w:val="1084"/>
        </w:numPr>
      </w:pPr>
      <w:r>
        <w:rPr>
          <w:bCs/>
          <w:b/>
        </w:rPr>
        <w:t xml:space="preserve">Formalisointi:</w:t>
      </w:r>
      <w:r>
        <w:t xml:space="preserve"> </w:t>
      </w:r>
      <w:r>
        <w:t xml:space="preserve">DWS:n L0-L6 kuusikerroksinen arkkitehtuuri tarjoaa formaalin kehyksen sille, mitä OpenAI kuvaa epämuodollisesti. Tämä tekee harness-suunnittelusta toistettavan ja auditoitavan.</w:t>
      </w:r>
    </w:p>
    <w:p>
      <w:pPr>
        <w:numPr>
          <w:ilvl w:val="0"/>
          <w:numId w:val="1084"/>
        </w:numPr>
      </w:pPr>
      <w:r>
        <w:rPr>
          <w:bCs/>
          <w:b/>
        </w:rPr>
        <w:t xml:space="preserve">Regulaatiodivergenssi:</w:t>
      </w:r>
      <w:r>
        <w:t xml:space="preserve"> </w:t>
      </w:r>
      <w:r>
        <w:t xml:space="preserve">EU-reguloidut toimialat vaativat perustavanlaatuisesti erilaisen harness-suunnittelun — priorisoiden jäljitettävyyttä ja ihmisen valvontaa nopeuden sijaan. Tämä ei ole heikkous vaan arkkitehtuurinen rajoite, analoginen sille miten Aivenin laajennusten sallittujen lista ohjaa tietokanta-arkkitehtuuria (osio 10.15).</w:t>
      </w:r>
    </w:p>
    <w:p>
      <w:pPr>
        <w:numPr>
          <w:ilvl w:val="0"/>
          <w:numId w:val="1084"/>
        </w:numPr>
      </w:pPr>
      <w:r>
        <w:rPr>
          <w:bCs/>
          <w:b/>
        </w:rPr>
        <w:t xml:space="preserve">Empiirinen vahvistus:</w:t>
      </w:r>
      <w:r>
        <w:t xml:space="preserve"> </w:t>
      </w:r>
      <w:r>
        <w:t xml:space="preserve">52,8 % → 66,5 % parannus pelkällä harness-parannuksella (ei mallin vaihtoa) validoi DWS:n investoinnin järjestelmäarkkitehtuuriin mallivalinnan sijaan. Kuusikerroksinen arkkitehtuuri, DWS-dokumenttistandardi ja progressiivinen paljastaminen ovat kaikki harness engineering -käytäntöjä, jotka kehitettiin itsenäisesti ennen OpenAI:n julkaisua.</w:t>
      </w:r>
    </w:p>
    <w:bookmarkEnd w:id="251"/>
    <w:bookmarkEnd w:id="252"/>
    <w:bookmarkStart w:id="259" w:name="X09355fee7262847c4f1f03fd7aea493e7e0ae4a"/>
    <w:p>
      <w:pPr>
        <w:pStyle w:val="Heading3"/>
      </w:pPr>
      <w:r>
        <w:t xml:space="preserve">10.17 Johtopäätökset: Hiilitase vaatimustenmukaisuusinfrastruktuurina</w:t>
      </w:r>
    </w:p>
    <w:bookmarkStart w:id="253" w:name="raportoinnista-täsmäytykseen"/>
    <w:p>
      <w:pPr>
        <w:pStyle w:val="Heading4"/>
      </w:pPr>
      <w:r>
        <w:t xml:space="preserve">10.17.1 Raportoinnista täsmäytykseen</w:t>
      </w:r>
    </w:p>
    <w:p>
      <w:pPr>
        <w:pStyle w:val="FirstParagraph"/>
      </w:pPr>
      <w:r>
        <w:t xml:space="preserve">Tämän opinnäytetyön keskeinen löydös on, että EU:n ilmastovaatimustenmukaisuus ETS:n, CBAM:n, CSRD:n ja EU-taksonomian osalta ei ole raportointiongelma — se on</w:t>
      </w:r>
      <w:r>
        <w:t xml:space="preserve"> </w:t>
      </w:r>
      <w:r>
        <w:rPr>
          <w:bCs/>
          <w:b/>
        </w:rPr>
        <w:t xml:space="preserve">kirjanpito-ongelma</w:t>
      </w:r>
      <w:r>
        <w:t xml:space="preserve">. Sama hiilidioksidiekvivalenttitonni, joka kirjataan terästehtaan ETS-päästöoikeuksien luovutuksena (veloitus), muuttuu tuojan CBAM-sisällytetyksi päästöksi, CSRD-raportin Scope 3 ylävirran ilmoitukseksi ja rakennusyhtiön taksonomialinjauksen määritteeksi. Neljä sääntelykontaktipistettä, yksi fyysinen suure.</w:t>
      </w:r>
    </w:p>
    <w:p>
      <w:pPr>
        <w:pStyle w:val="BodyText"/>
      </w:pPr>
      <w:r>
        <w:t xml:space="preserve">Nykyiset vaatimustenmukaisuustyökalut käsittelevät jokaisen säännöksen itsenäisenä raportointityönkulkuna. Tämä tuottaa päällekkäistä tietojen syöttöä, epäjohdonmukaisia päästökertoimia ja vailla täsmäytystä olevia toisiinsa liittyviä velvoitteita. Tuloksena yritykset raportoivat saman hiilitapahtuman eri tavoin eri säännöksissä, tilintarkastajat eivät voi ristiinvarmistaa, ja Scope 3 -arviot kantavat ±40 % epävarmuutta koska ne perustuvat kustannuspohjaisiin arvioihin transaktiovarmennettujen tietojen sijaan.</w:t>
      </w:r>
    </w:p>
    <w:bookmarkEnd w:id="253"/>
    <w:bookmarkStart w:id="254" w:name="kahdenkertainen-kirjanpito-co2lle"/>
    <w:p>
      <w:pPr>
        <w:pStyle w:val="Heading4"/>
      </w:pPr>
      <w:r>
        <w:t xml:space="preserve">10.17.2 Kahdenkertainen kirjanpito CO2:lle</w:t>
      </w:r>
    </w:p>
    <w:p>
      <w:pPr>
        <w:pStyle w:val="FirstParagraph"/>
      </w:pPr>
      <w:r>
        <w:t xml:space="preserve">Tämä opinnäytetyö esittää, että hiilivaatimustenmukaisuus vaatii saman arkkitehtuurisen ratkaisun, jonka kirjanpito otti käyttöön vuosisatoja sitten:</w:t>
      </w:r>
      <w:r>
        <w:t xml:space="preserve"> </w:t>
      </w:r>
      <w:r>
        <w:rPr>
          <w:bCs/>
          <w:b/>
        </w:rPr>
        <w:t xml:space="preserve">kahdenkertaisen kirjanpidon</w:t>
      </w:r>
      <w:r>
        <w:t xml:space="preserve">. Jokainen vaatimustenmukaisuustapahtuma tuottaa kirjanpitokirjauksen — veloitus tai hyvitys — kaksoisyksiköissä (EUR ja tCO2e):</w:t>
      </w:r>
    </w:p>
    <w:tbl>
      <w:tblPr>
        <w:tblStyle w:val="Table"/>
        <w:tblW w:type="pct" w:w="5000"/>
        <w:tblLook w:firstRow="1" w:lastRow="0" w:firstColumn="0" w:lastColumn="0" w:noHBand="0" w:noVBand="0" w:val="0020"/>
        <w:jc w:val="start"/>
      </w:tblPr>
      <w:tblGrid>
        <w:gridCol w:w="2407"/>
        <w:gridCol w:w="1964"/>
        <w:gridCol w:w="1900"/>
        <w:gridCol w:w="1647"/>
      </w:tblGrid>
      <w:tr>
        <w:trPr>
          <w:tblHeader w:val="true"/>
        </w:trPr>
        <w:tc>
          <w:tcPr/>
          <w:p>
            <w:pPr>
              <w:pStyle w:val="Compact"/>
              <w:jc w:val="left"/>
            </w:pPr>
            <w:r>
              <w:t xml:space="preserve">Vaatimustenmukaisuustapahtuma</w:t>
            </w:r>
          </w:p>
        </w:tc>
        <w:tc>
          <w:tcPr/>
          <w:p>
            <w:pPr>
              <w:pStyle w:val="Compact"/>
              <w:jc w:val="left"/>
            </w:pPr>
            <w:r>
              <w:t xml:space="preserve">Veloitus (velka)</w:t>
            </w:r>
          </w:p>
        </w:tc>
        <w:tc>
          <w:tcPr/>
          <w:p>
            <w:pPr>
              <w:pStyle w:val="Compact"/>
              <w:jc w:val="left"/>
            </w:pPr>
            <w:r>
              <w:t xml:space="preserve">Hyvitys (varallisuus)</w:t>
            </w:r>
          </w:p>
        </w:tc>
        <w:tc>
          <w:tcPr/>
          <w:p>
            <w:pPr>
              <w:pStyle w:val="Compact"/>
              <w:jc w:val="left"/>
            </w:pPr>
            <w:r>
              <w:t xml:space="preserve">Säännös</w:t>
            </w:r>
          </w:p>
        </w:tc>
      </w:tr>
      <w:tr>
        <w:tc>
          <w:tcPr/>
          <w:p>
            <w:pPr>
              <w:pStyle w:val="Compact"/>
              <w:jc w:val="left"/>
            </w:pPr>
            <w:r>
              <w:t xml:space="preserve">ETS-päästöoikeuksien luovutus</w:t>
            </w:r>
          </w:p>
        </w:tc>
        <w:tc>
          <w:tcPr/>
          <w:p>
            <w:pPr>
              <w:pStyle w:val="Compact"/>
              <w:jc w:val="left"/>
            </w:pPr>
            <w:r>
              <w:t xml:space="preserve">tCO2e päästetty + EUR kustannus</w:t>
            </w:r>
          </w:p>
        </w:tc>
        <w:tc>
          <w:tcPr/>
          <w:p>
            <w:pPr>
              <w:pStyle w:val="Compact"/>
              <w:jc w:val="left"/>
            </w:pPr>
            <w:r>
              <w:t xml:space="preserve">—</w:t>
            </w:r>
          </w:p>
        </w:tc>
        <w:tc>
          <w:tcPr/>
          <w:p>
            <w:pPr>
              <w:pStyle w:val="Compact"/>
              <w:jc w:val="left"/>
            </w:pPr>
            <w:r>
              <w:t xml:space="preserve">EU ETS</w:t>
            </w:r>
          </w:p>
        </w:tc>
      </w:tr>
      <w:tr>
        <w:tc>
          <w:tcPr/>
          <w:p>
            <w:pPr>
              <w:pStyle w:val="Compact"/>
              <w:jc w:val="left"/>
            </w:pPr>
            <w:r>
              <w:t xml:space="preserve">Ilmaisallokaation vastaanotto</w:t>
            </w:r>
          </w:p>
        </w:tc>
        <w:tc>
          <w:tcPr/>
          <w:p>
            <w:pPr>
              <w:pStyle w:val="Compact"/>
              <w:jc w:val="left"/>
            </w:pPr>
            <w:r>
              <w:t xml:space="preserve">—</w:t>
            </w:r>
          </w:p>
        </w:tc>
        <w:tc>
          <w:tcPr/>
          <w:p>
            <w:pPr>
              <w:pStyle w:val="Compact"/>
              <w:jc w:val="left"/>
            </w:pPr>
            <w:r>
              <w:t xml:space="preserve">tCO2e allokoitu</w:t>
            </w:r>
          </w:p>
        </w:tc>
        <w:tc>
          <w:tcPr/>
          <w:p>
            <w:pPr>
              <w:pStyle w:val="Compact"/>
              <w:jc w:val="left"/>
            </w:pPr>
            <w:r>
              <w:t xml:space="preserve">EU ETS</w:t>
            </w:r>
          </w:p>
        </w:tc>
      </w:tr>
      <w:tr>
        <w:tc>
          <w:tcPr/>
          <w:p>
            <w:pPr>
              <w:pStyle w:val="Compact"/>
              <w:jc w:val="left"/>
            </w:pPr>
            <w:r>
              <w:t xml:space="preserve">CBAM-sertifikaatin hankinta</w:t>
            </w:r>
          </w:p>
        </w:tc>
        <w:tc>
          <w:tcPr/>
          <w:p>
            <w:pPr>
              <w:pStyle w:val="Compact"/>
              <w:jc w:val="left"/>
            </w:pPr>
            <w:r>
              <w:t xml:space="preserve">EUR maksettu + tCO2e tuotu</w:t>
            </w:r>
          </w:p>
        </w:tc>
        <w:tc>
          <w:tcPr/>
          <w:p>
            <w:pPr>
              <w:pStyle w:val="Compact"/>
              <w:jc w:val="left"/>
            </w:pPr>
            <w:r>
              <w:t xml:space="preserve">—</w:t>
            </w:r>
          </w:p>
        </w:tc>
        <w:tc>
          <w:tcPr/>
          <w:p>
            <w:pPr>
              <w:pStyle w:val="Compact"/>
              <w:jc w:val="left"/>
            </w:pPr>
            <w:r>
              <w:t xml:space="preserve">CBAM</w:t>
            </w:r>
          </w:p>
        </w:tc>
      </w:tr>
      <w:tr>
        <w:tc>
          <w:tcPr/>
          <w:p>
            <w:pPr>
              <w:pStyle w:val="Compact"/>
              <w:jc w:val="left"/>
            </w:pPr>
            <w:r>
              <w:t xml:space="preserve">CBAM-alkuperämaan hiilivähennys</w:t>
            </w:r>
          </w:p>
        </w:tc>
        <w:tc>
          <w:tcPr/>
          <w:p>
            <w:pPr>
              <w:pStyle w:val="Compact"/>
              <w:jc w:val="left"/>
            </w:pPr>
            <w:r>
              <w:t xml:space="preserve">—</w:t>
            </w:r>
          </w:p>
        </w:tc>
        <w:tc>
          <w:tcPr/>
          <w:p>
            <w:pPr>
              <w:pStyle w:val="Compact"/>
              <w:jc w:val="left"/>
            </w:pPr>
            <w:r>
              <w:t xml:space="preserve">EUR jo maksettu alkuperämaassa</w:t>
            </w:r>
          </w:p>
        </w:tc>
        <w:tc>
          <w:tcPr/>
          <w:p>
            <w:pPr>
              <w:pStyle w:val="Compact"/>
              <w:jc w:val="left"/>
            </w:pPr>
            <w:r>
              <w:t xml:space="preserve">CBAM</w:t>
            </w:r>
          </w:p>
        </w:tc>
      </w:tr>
      <w:tr>
        <w:tc>
          <w:tcPr/>
          <w:p>
            <w:pPr>
              <w:pStyle w:val="Compact"/>
              <w:jc w:val="left"/>
            </w:pPr>
            <w:r>
              <w:t xml:space="preserve">Varmennetun päästökompensaation poisto</w:t>
            </w:r>
          </w:p>
        </w:tc>
        <w:tc>
          <w:tcPr/>
          <w:p>
            <w:pPr>
              <w:pStyle w:val="Compact"/>
              <w:jc w:val="left"/>
            </w:pPr>
            <w:r>
              <w:t xml:space="preserve">—</w:t>
            </w:r>
          </w:p>
        </w:tc>
        <w:tc>
          <w:tcPr/>
          <w:p>
            <w:pPr>
              <w:pStyle w:val="Compact"/>
              <w:jc w:val="left"/>
            </w:pPr>
            <w:r>
              <w:t xml:space="preserve">tCO2e kompensoitu</w:t>
            </w:r>
          </w:p>
        </w:tc>
        <w:tc>
          <w:tcPr/>
          <w:p>
            <w:pPr>
              <w:pStyle w:val="Compact"/>
              <w:jc w:val="left"/>
            </w:pPr>
            <w:r>
              <w:t xml:space="preserve">Vapaaehtoinen / Taksonomia</w:t>
            </w:r>
          </w:p>
        </w:tc>
      </w:tr>
    </w:tbl>
    <w:p>
      <w:pPr>
        <w:pStyle w:val="BodyText"/>
      </w:pPr>
      <w:r>
        <w:t xml:space="preserve">Hiilitase — kokonaisvelat (veloitukset) miinus kokonaisvarat (hyvitykset) — antaa talousjohtajalle</w:t>
      </w:r>
      <w:r>
        <w:t xml:space="preserve"> </w:t>
      </w:r>
      <w:r>
        <w:rPr>
          <w:bCs/>
          <w:b/>
        </w:rPr>
        <w:t xml:space="preserve">nettohiiliposition</w:t>
      </w:r>
      <w:r>
        <w:t xml:space="preserve">, joka on auditoitava, täsmäytettävä ja koneluettava (XBRL/iXBRL).</w:t>
      </w:r>
    </w:p>
    <w:bookmarkEnd w:id="254"/>
    <w:bookmarkStart w:id="255" w:name="poikkisääntelyinen-täsmäytys"/>
    <w:p>
      <w:pPr>
        <w:pStyle w:val="Heading4"/>
      </w:pPr>
      <w:r>
        <w:t xml:space="preserve">10.17.3 Poikkisääntelyinen täsmäytys</w:t>
      </w:r>
    </w:p>
    <w:p>
      <w:pPr>
        <w:pStyle w:val="FirstParagraph"/>
      </w:pPr>
      <w:r>
        <w:t xml:space="preserve">Veloitus-hyvitys-kirjanpito mahdollistaa sen, mitä mikään nykyinen työkalu ei tarjoa:</w:t>
      </w:r>
      <w:r>
        <w:t xml:space="preserve"> </w:t>
      </w:r>
      <w:r>
        <w:rPr>
          <w:bCs/>
          <w:b/>
        </w:rPr>
        <w:t xml:space="preserve">poikkisääntelyisen täsmäytyksen</w:t>
      </w:r>
      <w:r>
        <w:t xml:space="preserve">. Kun terästehtaan ETS-tiedot ja rakennusyhtiön CBAM-tiedot kulkevat saman kirjanpidon kautta, järjestelmä voi varmistaa, että sisällytetyt päästöt vastaavat todellisia tuotantopäästöjä. Tämä poistaa riippuvuuden CBAM-oletusarvoista (jotka yliarvioivat 20-50 %) ja tuottaa transaktiovarmennetun Scope 3 -datan ±3 % tarkkuudella ±40 %:n kustannuspohjaisen arvion sijaan.</w:t>
      </w:r>
    </w:p>
    <w:p>
      <w:pPr>
        <w:pStyle w:val="BodyText"/>
      </w:pPr>
      <w:r>
        <w:t xml:space="preserve">Tämä on myös</w:t>
      </w:r>
      <w:r>
        <w:t xml:space="preserve"> </w:t>
      </w:r>
      <w:r>
        <w:rPr>
          <w:bCs/>
          <w:b/>
        </w:rPr>
        <w:t xml:space="preserve">verkostovaikutus</w:t>
      </w:r>
      <w:r>
        <w:t xml:space="preserve">: kun Asiakas A:n varmennetut päästöt parantavat Asiakas B:n CBAM-kertoimen tarkkuutta, molemmat hyötyvät. Mitä enemmän toimialoja kirjanpidossa, sitä enemmän poikkitoimialaista älykkyyttä syntyy.</w:t>
      </w:r>
    </w:p>
    <w:bookmarkEnd w:id="255"/>
    <w:bookmarkStart w:id="256" w:name="toteutus-dws-7-phase-2.6"/>
    <w:p>
      <w:pPr>
        <w:pStyle w:val="Heading4"/>
      </w:pPr>
      <w:r>
        <w:t xml:space="preserve">10.17.4 Toteutus: DWS 7 Phase 2.6</w:t>
      </w:r>
    </w:p>
    <w:p>
      <w:pPr>
        <w:pStyle w:val="FirstParagraph"/>
      </w:pPr>
      <w:r>
        <w:t xml:space="preserve">DWS IQ -alusta toteuttaa jo muistinvaraisen veloitus-hyvitys-muunnoksen (</w:t>
      </w:r>
      <w:r>
        <w:rPr>
          <w:rStyle w:val="VerbatimChar"/>
        </w:rPr>
        <w:t xml:space="preserve">src/compliance/debit-credit-ledger.ts</w:t>
      </w:r>
      <w:r>
        <w:t xml:space="preserve">), joka toimitetaan V1:ssä. DWS 7 Phase 2.6 (touko–heinäkuu 2026) ylentää tämän pysyväksi hiilitaseeksi 8 suunnitellulla PR:llä (093A–093H):</w:t>
      </w:r>
    </w:p>
    <w:p>
      <w:pPr>
        <w:numPr>
          <w:ilvl w:val="0"/>
          <w:numId w:val="1085"/>
        </w:numPr>
        <w:pStyle w:val="Compact"/>
      </w:pPr>
      <w:r>
        <w:rPr>
          <w:bCs/>
          <w:b/>
        </w:rPr>
        <w:t xml:space="preserve">Pysyvä hiilikirjanpito</w:t>
      </w:r>
      <w:r>
        <w:t xml:space="preserve"> </w:t>
      </w:r>
      <w:r>
        <w:t xml:space="preserve">— muuttumaton append-only-taulu, korjaukset käänteiskirjauksina</w:t>
      </w:r>
    </w:p>
    <w:p>
      <w:pPr>
        <w:numPr>
          <w:ilvl w:val="0"/>
          <w:numId w:val="1085"/>
        </w:numPr>
        <w:pStyle w:val="Compact"/>
      </w:pPr>
      <w:r>
        <w:rPr>
          <w:bCs/>
          <w:b/>
        </w:rPr>
        <w:t xml:space="preserve">Kaksoisyksikkökirjaukset</w:t>
      </w:r>
      <w:r>
        <w:t xml:space="preserve"> </w:t>
      </w:r>
      <w:r>
        <w:t xml:space="preserve">— EUR + tCO2e jokaisessa kirjauksessa, hiilen hinta tallennettuna kirjaushetkellä</w:t>
      </w:r>
    </w:p>
    <w:p>
      <w:pPr>
        <w:numPr>
          <w:ilvl w:val="0"/>
          <w:numId w:val="1085"/>
        </w:numPr>
        <w:pStyle w:val="Compact"/>
      </w:pPr>
      <w:r>
        <w:rPr>
          <w:bCs/>
          <w:b/>
        </w:rPr>
        <w:t xml:space="preserve">Hiilitilikartta</w:t>
      </w:r>
      <w:r>
        <w:t xml:space="preserve"> </w:t>
      </w:r>
      <w:r>
        <w:t xml:space="preserve">— standardoitu tilirakenne ESRS E1 -scopejen mukaisesti</w:t>
      </w:r>
    </w:p>
    <w:p>
      <w:pPr>
        <w:numPr>
          <w:ilvl w:val="0"/>
          <w:numId w:val="1085"/>
        </w:numPr>
        <w:pStyle w:val="Compact"/>
      </w:pPr>
      <w:r>
        <w:rPr>
          <w:bCs/>
          <w:b/>
        </w:rPr>
        <w:t xml:space="preserve">Poikkisääntelyinen täsmäytys</w:t>
      </w:r>
      <w:r>
        <w:t xml:space="preserve"> </w:t>
      </w:r>
      <w:r>
        <w:t xml:space="preserve">— ETS ↔ CBAM ↔ CSRD jaettujen kirjanpitokirjausten kautta</w:t>
      </w:r>
    </w:p>
    <w:p>
      <w:pPr>
        <w:numPr>
          <w:ilvl w:val="0"/>
          <w:numId w:val="1085"/>
        </w:numPr>
        <w:pStyle w:val="Compact"/>
      </w:pPr>
      <w:r>
        <w:rPr>
          <w:bCs/>
          <w:b/>
        </w:rPr>
        <w:t xml:space="preserve">Kirjanpitonatiivi pisteytys</w:t>
      </w:r>
      <w:r>
        <w:t xml:space="preserve"> </w:t>
      </w:r>
      <w:r>
        <w:t xml:space="preserve">— vaatimustenmukaisuuspisteet johdettu kirjanpidon saldosta</w:t>
      </w:r>
    </w:p>
    <w:p>
      <w:pPr>
        <w:numPr>
          <w:ilvl w:val="0"/>
          <w:numId w:val="1085"/>
        </w:numPr>
        <w:pStyle w:val="Compact"/>
      </w:pPr>
      <w:r>
        <w:rPr>
          <w:bCs/>
          <w:b/>
        </w:rPr>
        <w:t xml:space="preserve">Talousjohtajan kojelauta</w:t>
      </w:r>
      <w:r>
        <w:t xml:space="preserve"> </w:t>
      </w:r>
      <w:r>
        <w:t xml:space="preserve">— taseenäkymä porautumisella säännöksittäin, scopeittain ja entiteeteittäin</w:t>
      </w:r>
    </w:p>
    <w:p>
      <w:pPr>
        <w:numPr>
          <w:ilvl w:val="0"/>
          <w:numId w:val="1085"/>
        </w:numPr>
        <w:pStyle w:val="Compact"/>
      </w:pPr>
      <w:r>
        <w:rPr>
          <w:bCs/>
          <w:b/>
        </w:rPr>
        <w:t xml:space="preserve">ERP-pääkirjan synkronointi</w:t>
      </w:r>
      <w:r>
        <w:t xml:space="preserve"> </w:t>
      </w:r>
      <w:r>
        <w:t xml:space="preserve">— hiilikirjaukset siirretty SAP/IFS/Dynamics-pääkirjaan</w:t>
      </w:r>
    </w:p>
    <w:p>
      <w:pPr>
        <w:numPr>
          <w:ilvl w:val="0"/>
          <w:numId w:val="1085"/>
        </w:numPr>
        <w:pStyle w:val="Compact"/>
      </w:pPr>
      <w:r>
        <w:rPr>
          <w:bCs/>
          <w:b/>
        </w:rPr>
        <w:t xml:space="preserve">XBRL-vienti</w:t>
      </w:r>
      <w:r>
        <w:t xml:space="preserve"> </w:t>
      </w:r>
      <w:r>
        <w:t xml:space="preserve">— koneluettavat CSRD-raportit kirjanpitodatasta</w:t>
      </w:r>
    </w:p>
    <w:bookmarkEnd w:id="256"/>
    <w:bookmarkStart w:id="257" w:name="Xcadc868d0d828f013f68b1209d6e4c52b4e7795"/>
    <w:p>
      <w:pPr>
        <w:pStyle w:val="Heading4"/>
      </w:pPr>
      <w:r>
        <w:t xml:space="preserve">10.17.5 Avoin lähdekoodi: Konnektorit tietojen syöttökerroksena</w:t>
      </w:r>
    </w:p>
    <w:p>
      <w:pPr>
        <w:pStyle w:val="FirstParagraph"/>
      </w:pPr>
      <w:r>
        <w:t xml:space="preserve">Hiilitase on vain niin tarkka kuin siihen syötetty data. Kirjanpitoarkkitehtuuri perustuu</w:t>
      </w:r>
      <w:r>
        <w:t xml:space="preserve"> </w:t>
      </w:r>
      <w:r>
        <w:rPr>
          <w:bCs/>
          <w:b/>
        </w:rPr>
        <w:t xml:space="preserve">avoimen lähdekoodin konnektoreihin</w:t>
      </w:r>
      <w:r>
        <w:t xml:space="preserve">, jotka syöttävät varmennettua päästödataa heterogeenisistä teollisuusjärjestelmistä. Ilman standardoituja, auditoitavia tietoputkia kahdenkertaisen kirjanpidon malli romahtaa samaksi manuaalisen syötön ongelmaksi, jonka se korvaa.</w:t>
      </w:r>
    </w:p>
    <w:p>
      <w:pPr>
        <w:pStyle w:val="BodyText"/>
      </w:pPr>
      <w:r>
        <w:t xml:space="preserve">DWS-konnektoriarkkitehtuuri seuraa ERP-integraatiomalleja, jotka on perustettu hakemistoon</w:t>
      </w:r>
      <w:r>
        <w:t xml:space="preserve"> </w:t>
      </w:r>
      <w:r>
        <w:rPr>
          <w:rStyle w:val="VerbatimChar"/>
        </w:rPr>
        <w:t xml:space="preserve">src/integrations/erp/</w:t>
      </w:r>
      <w:r>
        <w:t xml:space="preserve"> </w:t>
      </w:r>
      <w:r>
        <w:t xml:space="preserve">(osio 10.9), laajentaen ne hiilispesifisiin tietolähteisiin:</w:t>
      </w:r>
    </w:p>
    <w:tbl>
      <w:tblPr>
        <w:tblStyle w:val="Table"/>
        <w:tblW w:type="pct" w:w="5000"/>
        <w:tblLook w:firstRow="1" w:lastRow="0" w:firstColumn="0" w:lastColumn="0" w:noHBand="0" w:noVBand="0" w:val="0020"/>
        <w:jc w:val="start"/>
      </w:tblPr>
      <w:tblGrid>
        <w:gridCol w:w="1041"/>
        <w:gridCol w:w="2230"/>
        <w:gridCol w:w="3123"/>
        <w:gridCol w:w="1524"/>
      </w:tblGrid>
      <w:tr>
        <w:trPr>
          <w:tblHeader w:val="true"/>
        </w:trPr>
        <w:tc>
          <w:tcPr/>
          <w:p>
            <w:pPr>
              <w:pStyle w:val="Compact"/>
              <w:jc w:val="left"/>
            </w:pPr>
            <w:r>
              <w:t xml:space="preserve">Konnektorityyppi</w:t>
            </w:r>
          </w:p>
        </w:tc>
        <w:tc>
          <w:tcPr/>
          <w:p>
            <w:pPr>
              <w:pStyle w:val="Compact"/>
              <w:jc w:val="left"/>
            </w:pPr>
            <w:r>
              <w:t xml:space="preserve">Lähdejärjestelmät</w:t>
            </w:r>
          </w:p>
        </w:tc>
        <w:tc>
          <w:tcPr/>
          <w:p>
            <w:pPr>
              <w:pStyle w:val="Compact"/>
              <w:jc w:val="left"/>
            </w:pPr>
            <w:r>
              <w:t xml:space="preserve">Tietovirta</w:t>
            </w:r>
          </w:p>
        </w:tc>
        <w:tc>
          <w:tcPr/>
          <w:p>
            <w:pPr>
              <w:pStyle w:val="Compact"/>
              <w:jc w:val="left"/>
            </w:pPr>
            <w:r>
              <w:t xml:space="preserve">Lisenssimalli</w:t>
            </w:r>
          </w:p>
        </w:tc>
      </w:tr>
      <w:tr>
        <w:tc>
          <w:tcPr/>
          <w:p>
            <w:pPr>
              <w:pStyle w:val="Compact"/>
              <w:jc w:val="left"/>
            </w:pPr>
            <w:r>
              <w:rPr>
                <w:bCs/>
                <w:b/>
              </w:rPr>
              <w:t xml:space="preserve">ERP-konnektorit</w:t>
            </w:r>
          </w:p>
        </w:tc>
        <w:tc>
          <w:tcPr/>
          <w:p>
            <w:pPr>
              <w:pStyle w:val="Compact"/>
              <w:jc w:val="left"/>
            </w:pPr>
            <w:r>
              <w:t xml:space="preserve">SAP S/4HANA, IFS Cloud, Dynamics 365, Monitor, Visma, Jeeves</w:t>
            </w:r>
          </w:p>
        </w:tc>
        <w:tc>
          <w:tcPr/>
          <w:p>
            <w:pPr>
              <w:pStyle w:val="Compact"/>
              <w:jc w:val="left"/>
            </w:pPr>
            <w:r>
              <w:t xml:space="preserve">Tuotantomäärät, energiankulutus, materiaalisyötteet → kirjanpidon veloituskirjaukset</w:t>
            </w:r>
          </w:p>
        </w:tc>
        <w:tc>
          <w:tcPr/>
          <w:p>
            <w:pPr>
              <w:pStyle w:val="Compact"/>
              <w:jc w:val="left"/>
            </w:pPr>
            <w:r>
              <w:t xml:space="preserve">Avoin lähdekoodi (MIT)</w:t>
            </w:r>
          </w:p>
        </w:tc>
      </w:tr>
      <w:tr>
        <w:tc>
          <w:tcPr/>
          <w:p>
            <w:pPr>
              <w:pStyle w:val="Compact"/>
              <w:jc w:val="left"/>
            </w:pPr>
            <w:r>
              <w:rPr>
                <w:bCs/>
                <w:b/>
              </w:rPr>
              <w:t xml:space="preserve">ETS/rekisterikonnektorit</w:t>
            </w:r>
          </w:p>
        </w:tc>
        <w:tc>
          <w:tcPr/>
          <w:p>
            <w:pPr>
              <w:pStyle w:val="Compact"/>
              <w:jc w:val="left"/>
            </w:pPr>
            <w:r>
              <w:t xml:space="preserve">EU Transaction Log (EUTL), kansalliset rekisterit</w:t>
            </w:r>
          </w:p>
        </w:tc>
        <w:tc>
          <w:tcPr/>
          <w:p>
            <w:pPr>
              <w:pStyle w:val="Compact"/>
              <w:jc w:val="left"/>
            </w:pPr>
            <w:r>
              <w:t xml:space="preserve">Päästöoikeussaldot, luovutukset, ilmaisallokaatiot → kirjanpidon hyvitys/veloitus</w:t>
            </w:r>
          </w:p>
        </w:tc>
        <w:tc>
          <w:tcPr/>
          <w:p>
            <w:pPr>
              <w:pStyle w:val="Compact"/>
              <w:jc w:val="left"/>
            </w:pPr>
            <w:r>
              <w:t xml:space="preserve">Avoin lähdekoodi (MIT)</w:t>
            </w:r>
          </w:p>
        </w:tc>
      </w:tr>
      <w:tr>
        <w:tc>
          <w:tcPr/>
          <w:p>
            <w:pPr>
              <w:pStyle w:val="Compact"/>
              <w:jc w:val="left"/>
            </w:pPr>
            <w:r>
              <w:rPr>
                <w:bCs/>
                <w:b/>
              </w:rPr>
              <w:t xml:space="preserve">CBAM-konnektorit</w:t>
            </w:r>
          </w:p>
        </w:tc>
        <w:tc>
          <w:tcPr/>
          <w:p>
            <w:pPr>
              <w:pStyle w:val="Compact"/>
              <w:jc w:val="left"/>
            </w:pPr>
            <w:r>
              <w:t xml:space="preserve">CBAM-siirtymärekisteri, tulliluokitukset</w:t>
            </w:r>
          </w:p>
        </w:tc>
        <w:tc>
          <w:tcPr/>
          <w:p>
            <w:pPr>
              <w:pStyle w:val="Compact"/>
              <w:jc w:val="left"/>
            </w:pPr>
            <w:r>
              <w:t xml:space="preserve">Tuontitavaroiden sisällytetyt päästöt, hankitut sertifikaatit → kirjanpidon veloitus</w:t>
            </w:r>
          </w:p>
        </w:tc>
        <w:tc>
          <w:tcPr/>
          <w:p>
            <w:pPr>
              <w:pStyle w:val="Compact"/>
              <w:jc w:val="left"/>
            </w:pPr>
            <w:r>
              <w:t xml:space="preserve">Avoin lähdekoodi (MIT)</w:t>
            </w:r>
          </w:p>
        </w:tc>
      </w:tr>
      <w:tr>
        <w:tc>
          <w:tcPr/>
          <w:p>
            <w:pPr>
              <w:pStyle w:val="Compact"/>
              <w:jc w:val="left"/>
            </w:pPr>
            <w:r>
              <w:rPr>
                <w:bCs/>
                <w:b/>
              </w:rPr>
              <w:t xml:space="preserve">Päästökerroinsyötteet</w:t>
            </w:r>
          </w:p>
        </w:tc>
        <w:tc>
          <w:tcPr/>
          <w:p>
            <w:pPr>
              <w:pStyle w:val="Compact"/>
              <w:jc w:val="left"/>
            </w:pPr>
            <w:r>
              <w:t xml:space="preserve">EEA GHG Inventory, IPCC, EU ETS -vertailuarvot</w:t>
            </w:r>
          </w:p>
        </w:tc>
        <w:tc>
          <w:tcPr/>
          <w:p>
            <w:pPr>
              <w:pStyle w:val="Compact"/>
              <w:jc w:val="left"/>
            </w:pPr>
            <w:r>
              <w:t xml:space="preserve">Validoidut kertoimet Scope 1/2/3 -laskelmiin</w:t>
            </w:r>
          </w:p>
        </w:tc>
        <w:tc>
          <w:tcPr/>
          <w:p>
            <w:pPr>
              <w:pStyle w:val="Compact"/>
              <w:jc w:val="left"/>
            </w:pPr>
            <w:r>
              <w:t xml:space="preserve">Avoin data + avoimen lähdekoodin jäsennin</w:t>
            </w:r>
          </w:p>
        </w:tc>
      </w:tr>
      <w:tr>
        <w:tc>
          <w:tcPr/>
          <w:p>
            <w:pPr>
              <w:pStyle w:val="Compact"/>
              <w:jc w:val="left"/>
            </w:pPr>
            <w:r>
              <w:rPr>
                <w:bCs/>
                <w:b/>
              </w:rPr>
              <w:t xml:space="preserve">IoT/reunakonnektorit</w:t>
            </w:r>
          </w:p>
        </w:tc>
        <w:tc>
          <w:tcPr/>
          <w:p>
            <w:pPr>
              <w:pStyle w:val="Compact"/>
              <w:jc w:val="left"/>
            </w:pPr>
            <w:r>
              <w:t xml:space="preserve">NVIDIA Jetson Orin Nano, teollisuusanturit, energiamittarit</w:t>
            </w:r>
          </w:p>
        </w:tc>
        <w:tc>
          <w:tcPr/>
          <w:p>
            <w:pPr>
              <w:pStyle w:val="Compact"/>
              <w:jc w:val="left"/>
            </w:pPr>
            <w:r>
              <w:t xml:space="preserve">Reaaliaikainen energiankulutus, Scope 1 suorat mittaukset → kirjanpidon veloitus</w:t>
            </w:r>
          </w:p>
        </w:tc>
        <w:tc>
          <w:tcPr/>
          <w:p>
            <w:pPr>
              <w:pStyle w:val="Compact"/>
              <w:jc w:val="left"/>
            </w:pPr>
            <w:r>
              <w:t xml:space="preserve">Avoin lähdekoodi (MIT)</w:t>
            </w:r>
          </w:p>
        </w:tc>
      </w:tr>
      <w:tr>
        <w:tc>
          <w:tcPr/>
          <w:p>
            <w:pPr>
              <w:pStyle w:val="Compact"/>
              <w:jc w:val="left"/>
            </w:pPr>
            <w:r>
              <w:rPr>
                <w:bCs/>
                <w:b/>
              </w:rPr>
              <w:t xml:space="preserve">ESG-alustakonnektorit</w:t>
            </w:r>
          </w:p>
        </w:tc>
        <w:tc>
          <w:tcPr/>
          <w:p>
            <w:pPr>
              <w:pStyle w:val="Compact"/>
              <w:jc w:val="left"/>
            </w:pPr>
            <w:r>
              <w:t xml:space="preserve">Worldfavor, PositionGreen, CDP</w:t>
            </w:r>
          </w:p>
        </w:tc>
        <w:tc>
          <w:tcPr/>
          <w:p>
            <w:pPr>
              <w:pStyle w:val="Compact"/>
              <w:jc w:val="left"/>
            </w:pPr>
            <w:r>
              <w:t xml:space="preserve">Kolmannen osapuolen ESG-pisteet, Scope 3 toimittajadata → kirjanpitokirjaukset</w:t>
            </w:r>
          </w:p>
        </w:tc>
        <w:tc>
          <w:tcPr/>
          <w:p>
            <w:pPr>
              <w:pStyle w:val="Compact"/>
              <w:jc w:val="left"/>
            </w:pPr>
            <w:r>
              <w:t xml:space="preserve">Avoin lähdekoodi (MIT)</w:t>
            </w:r>
          </w:p>
        </w:tc>
      </w:tr>
    </w:tbl>
    <w:p>
      <w:pPr>
        <w:pStyle w:val="BodyText"/>
      </w:pPr>
      <w:r>
        <w:rPr>
          <w:bCs/>
          <w:b/>
        </w:rPr>
        <w:t xml:space="preserve">Miksi avoin lähdekoodi on tärkeä vaatimustenmukaisuusinfrastruktuurille:</w:t>
      </w:r>
    </w:p>
    <w:p>
      <w:pPr>
        <w:numPr>
          <w:ilvl w:val="0"/>
          <w:numId w:val="1086"/>
        </w:numPr>
      </w:pPr>
      <w:r>
        <w:rPr>
          <w:bCs/>
          <w:b/>
        </w:rPr>
        <w:t xml:space="preserve">Auditoitavuus:</w:t>
      </w:r>
      <w:r>
        <w:t xml:space="preserve"> </w:t>
      </w:r>
      <w:r>
        <w:t xml:space="preserve">Suljetun lähdekoodin konnektorit ovat mustia laatikoita. Kun tilintarkastaja kysyy</w:t>
      </w:r>
      <w:r>
        <w:t xml:space="preserve"> </w:t>
      </w:r>
      <w:r>
        <w:t xml:space="preserve">“</w:t>
      </w:r>
      <w:r>
        <w:t xml:space="preserve">miten tämä päästökerroin tuli kirjanpitoon?</w:t>
      </w:r>
      <w:r>
        <w:t xml:space="preserve">”</w:t>
      </w:r>
      <w:r>
        <w:t xml:space="preserve">, vastauksen on oltava tarkastettavissa oleva lähdekoodi — ei toimittajan API-dokumentaatio. Avoimen lähdekoodin konnektorit tekevät koko tietopolun lähdejärjestelmästä kirjanpitokirjaukseen läpinäkyväksi ja toistettavaksi.</w:t>
      </w:r>
    </w:p>
    <w:p>
      <w:pPr>
        <w:numPr>
          <w:ilvl w:val="0"/>
          <w:numId w:val="1086"/>
        </w:numPr>
      </w:pPr>
      <w:r>
        <w:rPr>
          <w:bCs/>
          <w:b/>
        </w:rPr>
        <w:t xml:space="preserve">Verkostovaikutuksen kiihdytys:</w:t>
      </w:r>
      <w:r>
        <w:t xml:space="preserve"> </w:t>
      </w:r>
      <w:r>
        <w:t xml:space="preserve">Poikkitoimialainen älykkyys -teesi (osio 10.17.3) edellyttää datan virtausta monilta toimialoilta yhteen kirjanpitoon. Avoimen lähdekoodin konnektorit laskevat käyttöönoton kynnystä — terästehtaan IT-tiimi voi ottaa käyttöön SAP-konnektorin, verifioida koodin ja kontribuoida parannuksia. Suljetun lähdekoodin konnektorit luovat toimittajalukon, joka hidastaa verkoston kasvua.</w:t>
      </w:r>
    </w:p>
    <w:p>
      <w:pPr>
        <w:numPr>
          <w:ilvl w:val="0"/>
          <w:numId w:val="1086"/>
        </w:numPr>
      </w:pPr>
      <w:r>
        <w:rPr>
          <w:bCs/>
          <w:b/>
        </w:rPr>
        <w:t xml:space="preserve">Sääntelypuolustettavuus:</w:t>
      </w:r>
      <w:r>
        <w:t xml:space="preserve"> </w:t>
      </w:r>
      <w:r>
        <w:t xml:space="preserve">EU:n tekoälysäädöksen artikla 12 vaatii AI-järjestelmien toiminnan lokitusta. Kun AI-agentit tuottavat kirjanpitokirjauksia konnektoridatasta, koko putki — konnektorikoodi, muunnoslogiikka, agenttipäätös — on oltava auditoitavissa. Avoin lähdekoodi täyttää tämän vaatimuksen suunnittelultaan.</w:t>
      </w:r>
    </w:p>
    <w:p>
      <w:pPr>
        <w:numPr>
          <w:ilvl w:val="0"/>
          <w:numId w:val="1086"/>
        </w:numPr>
      </w:pPr>
      <w:r>
        <w:rPr>
          <w:bCs/>
          <w:b/>
        </w:rPr>
        <w:t xml:space="preserve">Yhteisön validointi:</w:t>
      </w:r>
      <w:r>
        <w:t xml:space="preserve"> </w:t>
      </w:r>
      <w:r>
        <w:t xml:space="preserve">Päästökerroindatakannat muuttuvat vuosittain. Avoimen lähdekoodin konnektorit mahdollistavat yhteisövetoisen ylläpidon — kun EEA julkaisee päivitetyn GHG-inventaarion, kuka tahansa kontribuuttori voi lähettää PR:n päivittäen kerroinsyötteen, ja muutos katselmoidaan avoimesti.</w:t>
      </w:r>
    </w:p>
    <w:p>
      <w:pPr>
        <w:pStyle w:val="FirstParagraph"/>
      </w:pPr>
      <w:r>
        <w:t xml:space="preserve">Konnektorikerros muuttaa hiilitaseen yksittäisen yrityksen työkalusta</w:t>
      </w:r>
      <w:r>
        <w:t xml:space="preserve"> </w:t>
      </w:r>
      <w:r>
        <w:rPr>
          <w:bCs/>
          <w:b/>
        </w:rPr>
        <w:t xml:space="preserve">monitenanttivaatimustenmukaisuusverkostoksi</w:t>
      </w:r>
      <w:r>
        <w:t xml:space="preserve">. Jokainen konnektori on standardoitu adapteri (syöttöskeema → kirjanpitokirjaus), joka liittyy kirjanpidon append-only-syöttörajapintaan. Avoimen lähdekoodin malli varmistaa, että suurimmat EU-yritykset, jotka tarvitsevat CSRD-vaatimustenmukaisuutta (alle ~5 000 Omnibus-uudistuksen jälkeen, &gt;1 000 työntekijää ja &gt;450 M€ liikevaihto) — sekä niiden huomattavasti laajempi toimittajajoukko, joka vedetään mukaan Scope 3 -arvoketjuraportoinnin kautta — voivat ottaa infrastruktuurin käyttöön ilman toimittajariippuvuutta.</w:t>
      </w:r>
    </w:p>
    <w:bookmarkEnd w:id="257"/>
    <w:bookmarkStart w:id="258" w:name="tutkimuspanos-3"/>
    <w:p>
      <w:pPr>
        <w:pStyle w:val="Heading4"/>
      </w:pPr>
      <w:r>
        <w:t xml:space="preserve">10.17.6 Tutkimuspanos</w:t>
      </w:r>
    </w:p>
    <w:p>
      <w:pPr>
        <w:pStyle w:val="FirstParagraph"/>
      </w:pPr>
      <w:r>
        <w:t xml:space="preserve">Tämä päätösosio tuottaa kolme löydöstä:</w:t>
      </w:r>
    </w:p>
    <w:p>
      <w:pPr>
        <w:numPr>
          <w:ilvl w:val="0"/>
          <w:numId w:val="1087"/>
        </w:numPr>
      </w:pPr>
      <w:r>
        <w:rPr>
          <w:bCs/>
          <w:b/>
        </w:rPr>
        <w:t xml:space="preserve">Arkkitehtuurinen oivallus:</w:t>
      </w:r>
      <w:r>
        <w:t xml:space="preserve"> </w:t>
      </w:r>
      <w:r>
        <w:t xml:space="preserve">Hiilivaatimustenmukaisuus on rakenteellisesti isomorfinen kirjanpidon kanssa. Kahdenkertainen kirjanpito ei ole metafora — se on teknisesti oikea tietorakenne hiilen seurantaan useiden säännösten, entiteettien ja toimitusketjujen yli. Tämä löydös syntyi DWS-vaatimustenmukaisuusmoottorin käytännön toteutuksesta 20 EU-reguloidulla toimialalla.</w:t>
      </w:r>
    </w:p>
    <w:p>
      <w:pPr>
        <w:numPr>
          <w:ilvl w:val="0"/>
          <w:numId w:val="1087"/>
        </w:numPr>
      </w:pPr>
      <w:r>
        <w:rPr>
          <w:bCs/>
          <w:b/>
        </w:rPr>
        <w:t xml:space="preserve">Poikkitoimialainen älykkyys -teesi:</w:t>
      </w:r>
      <w:r>
        <w:t xml:space="preserve"> </w:t>
      </w:r>
      <w:r>
        <w:t xml:space="preserve">Monitoimialainen hiilikirjanpito tuottaa emergenttia älykkyyttä, jota yksitoimialainen työkalu ei voi replikoida. Terästehtaan ETS-luovutus korreloi rakennusalan CSRD-ilmoituksen kanssa samasta toimitusketjusta. Tämä korrelaatio on näkyvissä vain kun molemmat toimialat jakavat saman kirjanpitomuodon — validoiden tässä opinnäytetyössä kuvatun alusta-arkkitehtuurin.</w:t>
      </w:r>
    </w:p>
    <w:p>
      <w:pPr>
        <w:numPr>
          <w:ilvl w:val="0"/>
          <w:numId w:val="1087"/>
        </w:numPr>
      </w:pPr>
      <w:r>
        <w:rPr>
          <w:bCs/>
          <w:b/>
        </w:rPr>
        <w:t xml:space="preserve">Infrastruktuurin rahoittaminen, ei ominaisuuksien:</w:t>
      </w:r>
      <w:r>
        <w:t xml:space="preserve"> </w:t>
      </w:r>
      <w:r>
        <w:t xml:space="preserve">Hiilitase edustaa siirtymää</w:t>
      </w:r>
      <w:r>
        <w:t xml:space="preserve"> </w:t>
      </w:r>
      <w:r>
        <w:t xml:space="preserve">“</w:t>
      </w:r>
      <w:r>
        <w:t xml:space="preserve">vaatimustenmukaisuusraportointityökalusta</w:t>
      </w:r>
      <w:r>
        <w:t xml:space="preserve">”</w:t>
      </w:r>
      <w:r>
        <w:t xml:space="preserve"> </w:t>
      </w:r>
      <w:r>
        <w:t xml:space="preserve">“</w:t>
      </w:r>
      <w:r>
        <w:t xml:space="preserve">vaatimustenmukaisuusinfrastruktuuriksi</w:t>
      </w:r>
      <w:r>
        <w:t xml:space="preserve">”</w:t>
      </w:r>
      <w:r>
        <w:t xml:space="preserve"> </w:t>
      </w:r>
      <w:r>
        <w:t xml:space="preserve">— sama ero kuin taulukkolaskennan ja ERP-järjestelmän välillä. Tällä arkkitehtuurivalinnalla on strategisia vaikutuksia yrityssitouttavuuteen (vaihtokustannus vastaa kirjanpitojärjestelmän vaihtamista), markkinoiden ajoitukseen (alle ~5 000 suurta EU-yritystä velvoitettu Omnibus-uudistuksen jälkeen, plus niiden arvoketjut Scope 3:n kautta) ja verkostovaikutuksiin (enemmän toimialoja kirjanpidossa = tarkempi poikkisääntelyinen data).</w:t>
      </w:r>
    </w:p>
    <w:p>
      <w:pPr>
        <w:pStyle w:val="FirstParagraph"/>
      </w:pPr>
      <w:r>
        <w:t xml:space="preserve">Firehorse-tuotevalmistuksen toimintamalli, dokumentoitu edellisissä 16 osiossa, tarjosi insinööriperustan — harness-arkkitehtuurin, moniagenttiorkestroinnin, reunakäyttöönoton ja sääntely-älykkyyden — joka vaaditaan tämän hiilitaseinfrastruktuurin rakentamiseen. Johtopäätös on, että alustan kilpailullinen vallihauha ei ole mikään yksittäinen agentti tai säännösmoduuli, vaan kirjanpito joka yhdistää ne kaikki.</w:t>
      </w:r>
    </w:p>
    <w:bookmarkEnd w:id="258"/>
    <w:bookmarkEnd w:id="259"/>
    <w:bookmarkStart w:id="265" w:name="X0a36d2dbdca243308c7c7db782fff5e15d5756b"/>
    <w:p>
      <w:pPr>
        <w:pStyle w:val="Heading3"/>
      </w:pPr>
      <w:r>
        <w:t xml:space="preserve">10.18 LWM-sekvensointistrategia — Sääntely-älykkyydestä fyysiseen tekoälyyn</w:t>
      </w:r>
    </w:p>
    <w:bookmarkStart w:id="260" w:name="strateginen-konteksti"/>
    <w:p>
      <w:pPr>
        <w:pStyle w:val="Heading4"/>
      </w:pPr>
      <w:r>
        <w:t xml:space="preserve">10.18.1 Strateginen konteksti</w:t>
      </w:r>
    </w:p>
    <w:p>
      <w:pPr>
        <w:pStyle w:val="FirstParagraph"/>
      </w:pPr>
      <w:r>
        <w:t xml:space="preserve">Lifetime World Model (LWM) toimii</w:t>
      </w:r>
      <w:r>
        <w:t xml:space="preserve"> </w:t>
      </w:r>
      <w:r>
        <w:t xml:space="preserve">“</w:t>
      </w:r>
      <w:r>
        <w:t xml:space="preserve">Muisti</w:t>
      </w:r>
      <w:r>
        <w:t xml:space="preserve">”</w:t>
      </w:r>
      <w:r>
        <w:t xml:space="preserve">-kerroksena Aivot-Muisti-Keho-Kädet-arkkitehtuurissa. Sijoittaja- ja markkina-analyysi (maaliskuu 2026) paljasti kehystysristiriidan: alustaa markkinoitiin samanaikaisesti</w:t>
      </w:r>
      <w:r>
        <w:t xml:space="preserve"> </w:t>
      </w:r>
      <w:r>
        <w:t xml:space="preserve">“</w:t>
      </w:r>
      <w:r>
        <w:t xml:space="preserve">hiilitaseinfrastruktuurina</w:t>
      </w:r>
      <w:r>
        <w:t xml:space="preserve">”</w:t>
      </w:r>
      <w:r>
        <w:t xml:space="preserve"> </w:t>
      </w:r>
      <w:r>
        <w:t xml:space="preserve">(vaatimustenmukaisuus-SaaS),</w:t>
      </w:r>
      <w:r>
        <w:t xml:space="preserve"> </w:t>
      </w:r>
      <w:r>
        <w:t xml:space="preserve">“</w:t>
      </w:r>
      <w:r>
        <w:t xml:space="preserve">55B parametrin fyysinen tekoäly</w:t>
      </w:r>
      <w:r>
        <w:t xml:space="preserve">”</w:t>
      </w:r>
      <w:r>
        <w:t xml:space="preserve"> </w:t>
      </w:r>
      <w:r>
        <w:t xml:space="preserve">(maailmamalli) ja</w:t>
      </w:r>
      <w:r>
        <w:t xml:space="preserve"> </w:t>
      </w:r>
      <w:r>
        <w:t xml:space="preserve">“</w:t>
      </w:r>
      <w:r>
        <w:t xml:space="preserve">autonominen terveydenhuollon laivasto</w:t>
      </w:r>
      <w:r>
        <w:t xml:space="preserve">”</w:t>
      </w:r>
      <w:r>
        <w:t xml:space="preserve"> </w:t>
      </w:r>
      <w:r>
        <w:t xml:space="preserve">(robotiikka). Jokainen tarina kohdistuu eri sijoittajiin eri vaiheissa.</w:t>
      </w:r>
    </w:p>
    <w:p>
      <w:pPr>
        <w:pStyle w:val="BodyText"/>
      </w:pPr>
      <w:r>
        <w:t xml:space="preserve">Tämä osio dokumentoi ratkaisun: kolmivaiheisen sekvensointistrategian, jossa jokainen vaihe rahoittaa ja deriskeeraa seuraavan.</w:t>
      </w:r>
    </w:p>
    <w:bookmarkEnd w:id="260"/>
    <w:bookmarkStart w:id="261" w:name="kolme-vaihetta"/>
    <w:p>
      <w:pPr>
        <w:pStyle w:val="Heading4"/>
      </w:pPr>
      <w:r>
        <w:t xml:space="preserve">10.18.2 Kolme vaihetta</w:t>
      </w:r>
    </w:p>
    <w:p>
      <w:pPr>
        <w:pStyle w:val="FirstParagraph"/>
      </w:pPr>
      <w:r>
        <w:rPr>
          <w:bCs/>
          <w:b/>
        </w:rPr>
        <w:t xml:space="preserve">Vaihe 1 (Nykyinen — 650K EUR SAFE):</w:t>
      </w:r>
      <w:r>
        <w:t xml:space="preserve"> </w:t>
      </w:r>
      <w:r>
        <w:t xml:space="preserve">LWM = sääntely-älymoottori. 15 000+ EU-sääntelydokumenttia indeksoituna 20 toimialalla, 18 AI-agenttia, hiilitase poikkisääntelyisellä täsmäytyksellä. Liikevaihtotavoite: 900K EUR ARR.</w:t>
      </w:r>
    </w:p>
    <w:p>
      <w:pPr>
        <w:pStyle w:val="BodyText"/>
      </w:pPr>
      <w:r>
        <w:rPr>
          <w:bCs/>
          <w:b/>
        </w:rPr>
        <w:t xml:space="preserve">Vaihe 2 (SAFE:n jälkeen — Helsingin pilotti):</w:t>
      </w:r>
      <w:r>
        <w:t xml:space="preserve"> </w:t>
      </w:r>
      <w:r>
        <w:t xml:space="preserve">LWM = sääntely-älykkyys + fyysinen suunnittelu. LeWorldModel-tyylinen latentti suunnittelu yhdistettynä sääntelytieto</w:t>
      </w:r>
      <w:r>
        <w:softHyphen/>
      </w:r>
      <w:r>
        <w:t xml:space="preserve">graafiin. KELA-tuettu terveydenhuollon laivastopilotti NVIDIA-laitteistolla (Acer GN-100).</w:t>
      </w:r>
    </w:p>
    <w:p>
      <w:pPr>
        <w:pStyle w:val="BodyText"/>
      </w:pPr>
      <w:r>
        <w:rPr>
          <w:bCs/>
          <w:b/>
        </w:rPr>
        <w:t xml:space="preserve">Vaihe 3 (Series A 2027):</w:t>
      </w:r>
      <w:r>
        <w:t xml:space="preserve"> </w:t>
      </w:r>
      <w:r>
        <w:t xml:space="preserve">LWM = täysi kaksikäyttötuote. Hiilitase + reunafyysinen tekoäly rakennusalalla, terveydenhuollossa, teollisuudessa, energiassa ja puolustuksessa.</w:t>
      </w:r>
    </w:p>
    <w:bookmarkEnd w:id="261"/>
    <w:bookmarkStart w:id="262" w:name="X39b14c70702723db07894458729faa983cd1907"/>
    <w:p>
      <w:pPr>
        <w:pStyle w:val="Heading4"/>
      </w:pPr>
      <w:r>
        <w:t xml:space="preserve">10.18.3 Ulkoinen validointi: LeWorldModel (arXiv:2603.19312)</w:t>
      </w:r>
    </w:p>
    <w:p>
      <w:pPr>
        <w:pStyle w:val="FirstParagraph"/>
      </w:pPr>
      <w:r>
        <w:t xml:space="preserve">Maaliskuussa 2026 Maes, Le Lidec, Scieur, LeCun ja Balestriero julkaisivat LeWorldModel-tutkimuksen — ensimmäinen JEPA-arkkitehtuuri (Joint Embedding Predictive Architecture), joka kouluttautuu stabiilisti alusta loppuun raakapikseleistä. Keskeiset löydökset:</w:t>
      </w:r>
    </w:p>
    <w:p>
      <w:pPr>
        <w:numPr>
          <w:ilvl w:val="0"/>
          <w:numId w:val="1088"/>
        </w:numPr>
        <w:pStyle w:val="Compact"/>
      </w:pPr>
      <w:r>
        <w:rPr>
          <w:bCs/>
          <w:b/>
        </w:rPr>
        <w:t xml:space="preserve">Yksinkertaisuus:</w:t>
      </w:r>
      <w:r>
        <w:t xml:space="preserve"> </w:t>
      </w:r>
      <w:r>
        <w:t xml:space="preserve">2 häviötermiä (ennustus + SIGReg-regulaattori) korvaa 6+ hyperparametria</w:t>
      </w:r>
    </w:p>
    <w:p>
      <w:pPr>
        <w:numPr>
          <w:ilvl w:val="0"/>
          <w:numId w:val="1088"/>
        </w:numPr>
        <w:pStyle w:val="Compact"/>
      </w:pPr>
      <w:r>
        <w:rPr>
          <w:bCs/>
          <w:b/>
        </w:rPr>
        <w:t xml:space="preserve">Tehokkuus:</w:t>
      </w:r>
      <w:r>
        <w:t xml:space="preserve"> </w:t>
      </w:r>
      <w:r>
        <w:t xml:space="preserve">15M parametria, yksi GPU, ~1 sekunti suunnitteluun vs 47 sekuntia DINO-WM:llä, 200x vähemmän tokeneita</w:t>
      </w:r>
    </w:p>
    <w:p>
      <w:pPr>
        <w:numPr>
          <w:ilvl w:val="0"/>
          <w:numId w:val="1088"/>
        </w:numPr>
        <w:pStyle w:val="Compact"/>
      </w:pPr>
      <w:r>
        <w:rPr>
          <w:bCs/>
          <w:b/>
        </w:rPr>
        <w:t xml:space="preserve">Tulokset:</w:t>
      </w:r>
      <w:r>
        <w:t xml:space="preserve"> </w:t>
      </w:r>
      <w:r>
        <w:t xml:space="preserve">96 % onnistumisprosentti PushT-manipulaatiotehtävässä</w:t>
      </w:r>
    </w:p>
    <w:p>
      <w:pPr>
        <w:pStyle w:val="FirstParagraph"/>
      </w:pPr>
      <w:r>
        <w:t xml:space="preserve">Samanaikaisesti LeCun perusti AMI Labsin (1,03 miljardin dollarin siemenrahoitus) ja Fei-Fei Li keräsi 1 miljardin dollarin World Labsille — 2 miljardia dollaria kolmessa viikossa maailmamalliyhtiöille.</w:t>
      </w:r>
    </w:p>
    <w:bookmarkEnd w:id="262"/>
    <w:bookmarkStart w:id="263" w:name="vaiheen-2-teknisen-aukon-analyysi"/>
    <w:p>
      <w:pPr>
        <w:pStyle w:val="Heading4"/>
      </w:pPr>
      <w:r>
        <w:t xml:space="preserve">10.18.4 Vaiheen 2 teknisen aukon analyysi</w:t>
      </w:r>
    </w:p>
    <w:p>
      <w:pPr>
        <w:pStyle w:val="FirstParagraph"/>
      </w:pPr>
      <w:r>
        <w:t xml:space="preserve">Kolme ratkaisematonta ongelmaa yhdistää vaiheen 1 vaiheeseen 2:</w:t>
      </w:r>
    </w:p>
    <w:p>
      <w:pPr>
        <w:numPr>
          <w:ilvl w:val="0"/>
          <w:numId w:val="1089"/>
        </w:numPr>
      </w:pPr>
      <w:r>
        <w:rPr>
          <w:bCs/>
          <w:b/>
        </w:rPr>
        <w:t xml:space="preserve">Syötemodaalien kuilu:</w:t>
      </w:r>
      <w:r>
        <w:t xml:space="preserve"> </w:t>
      </w:r>
      <w:r>
        <w:t xml:space="preserve">LeWorldModel odottaa pikselisyötteitä. LWM vaihe 1 toimii strukturoidulla sääntelytekstillä. Realistisin silta on digitaalinen kaksonen (OpenUSD-skenaarion esitys).</w:t>
      </w:r>
    </w:p>
    <w:p>
      <w:pPr>
        <w:numPr>
          <w:ilvl w:val="0"/>
          <w:numId w:val="1089"/>
        </w:numPr>
      </w:pPr>
      <w:r>
        <w:rPr>
          <w:bCs/>
          <w:b/>
        </w:rPr>
        <w:t xml:space="preserve">Skaalan kuilu:</w:t>
      </w:r>
      <w:r>
        <w:t xml:space="preserve"> </w:t>
      </w:r>
      <w:r>
        <w:t xml:space="preserve">LeWorldModel testattu kontrolloidussa simulaatiossa. Teolliset ympäristöt ovat kontrolloimattomia, pitkän aikahorisontin ja harvan palautteen ympäristöjä. Tämä on tutkimusta, ei insinööritiedettä.</w:t>
      </w:r>
    </w:p>
    <w:p>
      <w:pPr>
        <w:numPr>
          <w:ilvl w:val="0"/>
          <w:numId w:val="1089"/>
        </w:numPr>
      </w:pPr>
      <w:r>
        <w:rPr>
          <w:bCs/>
          <w:b/>
        </w:rPr>
        <w:t xml:space="preserve">Sääntely-fyysinen integraatio:</w:t>
      </w:r>
      <w:r>
        <w:t xml:space="preserve"> </w:t>
      </w:r>
      <w:r>
        <w:t xml:space="preserve">Miten fyysinen suunnitelma (nosturin liike, ajoneuvon reitti) validoidaan hiilitasetta vasten ennen toteutusta? Ehdotettu arkkitehtuuri: fyysinen suunnittelija ehdottaa → sääntely-moottori validoi → KYA-hallintaportti valvoo.</w:t>
      </w:r>
    </w:p>
    <w:p>
      <w:pPr>
        <w:pStyle w:val="FirstParagraph"/>
      </w:pPr>
      <w:r>
        <w:rPr>
          <w:bCs/>
          <w:b/>
        </w:rPr>
        <w:t xml:space="preserve">Keskeinen oivallus:</w:t>
      </w:r>
      <w:r>
        <w:t xml:space="preserve"> </w:t>
      </w:r>
      <w:r>
        <w:t xml:space="preserve">Vaiheen 1 tulokset (sääntelygraafi, hiilitase, KYA-hallinta) ovat vaiheen 2 syötteitä. Vaatimustenmukaisuusdata syöttää fyysistä suunnittelua — ei toisinpäin.</w:t>
      </w:r>
    </w:p>
    <w:bookmarkEnd w:id="263"/>
    <w:bookmarkStart w:id="264" w:name="tutkimuspanos-4"/>
    <w:p>
      <w:pPr>
        <w:pStyle w:val="Heading4"/>
      </w:pPr>
      <w:r>
        <w:t xml:space="preserve">10.18.5 Tutkimuspanos</w:t>
      </w:r>
    </w:p>
    <w:p>
      <w:pPr>
        <w:numPr>
          <w:ilvl w:val="0"/>
          <w:numId w:val="1090"/>
        </w:numPr>
        <w:pStyle w:val="Compact"/>
      </w:pPr>
      <w:r>
        <w:rPr>
          <w:bCs/>
          <w:b/>
        </w:rPr>
        <w:t xml:space="preserve">Sekvensointikuri:</w:t>
      </w:r>
      <w:r>
        <w:t xml:space="preserve"> </w:t>
      </w:r>
      <w:r>
        <w:t xml:space="preserve">Tuotteen kehystämisen tulee vastata sen nykyisiä kykyjä, ei tulevaisuuden visiota.</w:t>
      </w:r>
    </w:p>
    <w:p>
      <w:pPr>
        <w:numPr>
          <w:ilvl w:val="0"/>
          <w:numId w:val="1090"/>
        </w:numPr>
        <w:pStyle w:val="Compact"/>
      </w:pPr>
      <w:r>
        <w:rPr>
          <w:bCs/>
          <w:b/>
        </w:rPr>
        <w:t xml:space="preserve">Vaatimustenmukaisuus ensin -maailmamalliteesi:</w:t>
      </w:r>
      <w:r>
        <w:t xml:space="preserve"> </w:t>
      </w:r>
      <w:r>
        <w:t xml:space="preserve">Oivallus, että vaatimustenmukaisuusdata syöttää fyysistä suunnittelua, on uusi arkkitehtuurillinen kontribuutio.</w:t>
      </w:r>
    </w:p>
    <w:p>
      <w:pPr>
        <w:numPr>
          <w:ilvl w:val="0"/>
          <w:numId w:val="1090"/>
        </w:numPr>
        <w:pStyle w:val="Compact"/>
      </w:pPr>
      <w:r>
        <w:rPr>
          <w:bCs/>
          <w:b/>
        </w:rPr>
        <w:t xml:space="preserve">Vaiheen 2 tekninen rajaus:</w:t>
      </w:r>
      <w:r>
        <w:t xml:space="preserve"> </w:t>
      </w:r>
      <w:r>
        <w:t xml:space="preserve">Kolme ratkaisematonta ongelmaa tarjoavat konkreettisen tutkimusohjelman.</w:t>
      </w:r>
    </w:p>
    <w:bookmarkEnd w:id="264"/>
    <w:bookmarkEnd w:id="265"/>
    <w:bookmarkStart w:id="270" w:name="Xe9d0528f48f817f30896d7a30cacade49a40079"/>
    <w:p>
      <w:pPr>
        <w:pStyle w:val="Heading3"/>
      </w:pPr>
      <w:r>
        <w:t xml:space="preserve">10.19 Opinnäytetyön versiointistrategia: v3.30.50 Metropolia-jäädytys</w:t>
      </w:r>
    </w:p>
    <w:bookmarkStart w:id="266" w:name="motivaatio-3"/>
    <w:p>
      <w:pPr>
        <w:pStyle w:val="Heading4"/>
      </w:pPr>
      <w:r>
        <w:t xml:space="preserve">10.19.1 Motivaatio</w:t>
      </w:r>
    </w:p>
    <w:p>
      <w:pPr>
        <w:pStyle w:val="FirstParagraph"/>
      </w:pPr>
      <w:r>
        <w:t xml:space="preserve">Versioon 3.31 mennessä opinnäytetyö oli kasvanut 82 sivuun ja yli 26 000 sanaan — lähes kaksinkertainen Metropolian 40-50 sivun tavoitteeseen nähden. Yksityiskohtaisen tutkimussisällön pysyvän menetyksen sijaan omaksuttiin kaksoisversioarkkitehtuuri.</w:t>
      </w:r>
    </w:p>
    <w:bookmarkEnd w:id="266"/>
    <w:bookmarkStart w:id="267" w:name="kaksoisversioarkkitehtuuri"/>
    <w:p>
      <w:pPr>
        <w:pStyle w:val="Heading4"/>
      </w:pPr>
      <w:r>
        <w:t xml:space="preserve">10.19.2 Kaksoisversioarkkitehtuuri</w:t>
      </w:r>
    </w:p>
    <w:tbl>
      <w:tblPr>
        <w:tblStyle w:val="Table"/>
        <w:tblW w:type="pct" w:w="5000"/>
        <w:tblLook w:firstRow="1" w:lastRow="0" w:firstColumn="0" w:lastColumn="0" w:noHBand="0" w:noVBand="0" w:val="0020"/>
        <w:jc w:val="start"/>
      </w:tblPr>
      <w:tblGrid>
        <w:gridCol w:w="681"/>
        <w:gridCol w:w="2980"/>
        <w:gridCol w:w="425"/>
        <w:gridCol w:w="851"/>
        <w:gridCol w:w="2980"/>
      </w:tblGrid>
      <w:tr>
        <w:trPr>
          <w:tblHeader w:val="true"/>
        </w:trPr>
        <w:tc>
          <w:tcPr/>
          <w:p>
            <w:pPr>
              <w:pStyle w:val="Compact"/>
              <w:jc w:val="left"/>
            </w:pPr>
            <w:r>
              <w:t xml:space="preserve">Versio</w:t>
            </w:r>
          </w:p>
        </w:tc>
        <w:tc>
          <w:tcPr/>
          <w:p>
            <w:pPr>
              <w:pStyle w:val="Compact"/>
              <w:jc w:val="left"/>
            </w:pPr>
            <w:r>
              <w:t xml:space="preserve">Tiedosto</w:t>
            </w:r>
          </w:p>
        </w:tc>
        <w:tc>
          <w:tcPr/>
          <w:p>
            <w:pPr>
              <w:pStyle w:val="Compact"/>
              <w:jc w:val="left"/>
            </w:pPr>
            <w:r>
              <w:t xml:space="preserve">Sivut</w:t>
            </w:r>
          </w:p>
        </w:tc>
        <w:tc>
          <w:tcPr/>
          <w:p>
            <w:pPr>
              <w:pStyle w:val="Compact"/>
              <w:jc w:val="left"/>
            </w:pPr>
            <w:r>
              <w:t xml:space="preserve">Tila</w:t>
            </w:r>
          </w:p>
        </w:tc>
        <w:tc>
          <w:tcPr/>
          <w:p>
            <w:pPr>
              <w:pStyle w:val="Compact"/>
              <w:jc w:val="left"/>
            </w:pPr>
            <w:r>
              <w:t xml:space="preserve">Tarkoitus</w:t>
            </w:r>
          </w:p>
        </w:tc>
      </w:tr>
      <w:tr>
        <w:tc>
          <w:tcPr/>
          <w:p>
            <w:pPr>
              <w:pStyle w:val="Compact"/>
              <w:jc w:val="left"/>
            </w:pPr>
            <w:r>
              <w:t xml:space="preserve">v3.30.50</w:t>
            </w:r>
          </w:p>
        </w:tc>
        <w:tc>
          <w:tcPr/>
          <w:p>
            <w:pPr>
              <w:pStyle w:val="Compact"/>
              <w:jc w:val="left"/>
            </w:pPr>
            <w:r>
              <w:rPr>
                <w:rStyle w:val="VerbatimChar"/>
              </w:rPr>
              <w:t xml:space="preserve">V3Thesis_EN_v3.30.50.md</w:t>
            </w:r>
          </w:p>
        </w:tc>
        <w:tc>
          <w:tcPr/>
          <w:p>
            <w:pPr>
              <w:pStyle w:val="Compact"/>
              <w:jc w:val="left"/>
            </w:pPr>
            <w:r>
              <w:t xml:space="preserve">~50</w:t>
            </w:r>
          </w:p>
        </w:tc>
        <w:tc>
          <w:tcPr/>
          <w:p>
            <w:pPr>
              <w:pStyle w:val="Compact"/>
              <w:jc w:val="left"/>
            </w:pPr>
            <w:r>
              <w:t xml:space="preserve">JÄÄDYTETTY</w:t>
            </w:r>
          </w:p>
        </w:tc>
        <w:tc>
          <w:tcPr/>
          <w:p>
            <w:pPr>
              <w:pStyle w:val="Compact"/>
              <w:jc w:val="left"/>
            </w:pPr>
            <w:r>
              <w:t xml:space="preserve">Metropolia-palautusversio</w:t>
            </w:r>
          </w:p>
        </w:tc>
      </w:tr>
      <w:tr>
        <w:tc>
          <w:tcPr/>
          <w:p>
            <w:pPr>
              <w:pStyle w:val="Compact"/>
              <w:jc w:val="left"/>
            </w:pPr>
            <w:r>
              <w:t xml:space="preserve">v3.32+</w:t>
            </w:r>
          </w:p>
        </w:tc>
        <w:tc>
          <w:tcPr/>
          <w:p>
            <w:pPr>
              <w:pStyle w:val="Compact"/>
              <w:jc w:val="left"/>
            </w:pPr>
            <w:r>
              <w:rPr>
                <w:rStyle w:val="VerbatimChar"/>
              </w:rPr>
              <w:t xml:space="preserve">V3Thesis_EN.md</w:t>
            </w:r>
            <w:r>
              <w:t xml:space="preserve"> </w:t>
            </w:r>
            <w:r>
              <w:t xml:space="preserve">/</w:t>
            </w:r>
            <w:r>
              <w:t xml:space="preserve"> </w:t>
            </w:r>
            <w:r>
              <w:rPr>
                <w:rStyle w:val="VerbatimChar"/>
              </w:rPr>
              <w:t xml:space="preserve">V3Thesis_FI.md</w:t>
            </w:r>
          </w:p>
        </w:tc>
        <w:tc>
          <w:tcPr/>
          <w:p>
            <w:pPr>
              <w:pStyle w:val="Compact"/>
              <w:jc w:val="left"/>
            </w:pPr>
            <w:r>
              <w:t xml:space="preserve">~82</w:t>
            </w:r>
          </w:p>
        </w:tc>
        <w:tc>
          <w:tcPr/>
          <w:p>
            <w:pPr>
              <w:pStyle w:val="Compact"/>
              <w:jc w:val="left"/>
            </w:pPr>
            <w:r>
              <w:t xml:space="preserve">Elävä</w:t>
            </w:r>
          </w:p>
        </w:tc>
        <w:tc>
          <w:tcPr/>
          <w:p>
            <w:pPr>
              <w:pStyle w:val="Compact"/>
              <w:jc w:val="left"/>
            </w:pPr>
            <w:r>
              <w:t xml:space="preserve">Täydellinen tutkimustietue</w:t>
            </w:r>
          </w:p>
        </w:tc>
      </w:tr>
      <w:tr>
        <w:tc>
          <w:tcPr/>
          <w:p>
            <w:pPr>
              <w:pStyle w:val="Compact"/>
              <w:jc w:val="left"/>
            </w:pPr>
            <w:r>
              <w:t xml:space="preserve">v3.2+</w:t>
            </w:r>
          </w:p>
        </w:tc>
        <w:tc>
          <w:tcPr/>
          <w:p>
            <w:pPr>
              <w:pStyle w:val="Compact"/>
              <w:jc w:val="left"/>
            </w:pPr>
            <w:r>
              <w:rPr>
                <w:rStyle w:val="VerbatimChar"/>
              </w:rPr>
              <w:t xml:space="preserve">PHD_FIREHORSE_EN.md</w:t>
            </w:r>
            <w:r>
              <w:t xml:space="preserve"> </w:t>
            </w:r>
            <w:r>
              <w:t xml:space="preserve">/</w:t>
            </w:r>
            <w:r>
              <w:t xml:space="preserve"> </w:t>
            </w:r>
            <w:r>
              <w:rPr>
                <w:rStyle w:val="VerbatimChar"/>
              </w:rPr>
              <w:t xml:space="preserve">_FI.md</w:t>
            </w:r>
          </w:p>
        </w:tc>
        <w:tc>
          <w:tcPr/>
          <w:p>
            <w:pPr>
              <w:pStyle w:val="Compact"/>
              <w:jc w:val="left"/>
            </w:pPr>
            <w:r>
              <w:t xml:space="preserve">—</w:t>
            </w:r>
          </w:p>
        </w:tc>
        <w:tc>
          <w:tcPr/>
          <w:p>
            <w:pPr>
              <w:pStyle w:val="Compact"/>
              <w:jc w:val="left"/>
            </w:pPr>
            <w:r>
              <w:t xml:space="preserve">Elävä</w:t>
            </w:r>
          </w:p>
        </w:tc>
        <w:tc>
          <w:tcPr/>
          <w:p>
            <w:pPr>
              <w:pStyle w:val="Compact"/>
              <w:jc w:val="left"/>
            </w:pPr>
            <w:r>
              <w:t xml:space="preserve">Tohtorintutkimuksen liitedokumentti</w:t>
            </w:r>
          </w:p>
        </w:tc>
      </w:tr>
    </w:tbl>
    <w:p>
      <w:pPr>
        <w:pStyle w:val="BodyText"/>
      </w:pPr>
      <w:r>
        <w:t xml:space="preserve">v3.30.50-uudelleenrakenne toteutettiin neljällä muunnoksella:</w:t>
      </w:r>
    </w:p>
    <w:p>
      <w:pPr>
        <w:numPr>
          <w:ilvl w:val="0"/>
          <w:numId w:val="1091"/>
        </w:numPr>
        <w:pStyle w:val="Compact"/>
      </w:pPr>
      <w:r>
        <w:rPr>
          <w:bCs/>
          <w:b/>
        </w:rPr>
        <w:t xml:space="preserve">Osion 5 laajennus</w:t>
      </w:r>
      <w:r>
        <w:t xml:space="preserve"> </w:t>
      </w:r>
      <w:r>
        <w:t xml:space="preserve">— 0,7 sivusta ~4 sivuun kattaen infrastruktuurin käyttöönoton, agenttiarkkitehtuurin, koordinoinnin Lifetime Scope Signals -protokollalla, 31 agentin evoluution, asiakkaiden perehdytyksen ja avainmittarit</w:t>
      </w:r>
    </w:p>
    <w:p>
      <w:pPr>
        <w:numPr>
          <w:ilvl w:val="0"/>
          <w:numId w:val="1091"/>
        </w:numPr>
        <w:pStyle w:val="Compact"/>
      </w:pPr>
      <w:r>
        <w:rPr>
          <w:bCs/>
          <w:b/>
        </w:rPr>
        <w:t xml:space="preserve">Osion 10 konsolidointi</w:t>
      </w:r>
      <w:r>
        <w:t xml:space="preserve"> </w:t>
      </w:r>
      <w:r>
        <w:t xml:space="preserve">— Yksityiskohtaiset osiot 10.6-10.18 korvattu osiolla 10.6</w:t>
      </w:r>
      <w:r>
        <w:t xml:space="preserve"> </w:t>
      </w:r>
      <w:r>
        <w:t xml:space="preserve">“</w:t>
      </w:r>
      <w:r>
        <w:t xml:space="preserve">Laajennetut tutkimuspanokset (Yhteenveto)</w:t>
      </w:r>
      <w:r>
        <w:t xml:space="preserve">”</w:t>
      </w:r>
      <w:r>
        <w:t xml:space="preserve"> </w:t>
      </w:r>
      <w:r>
        <w:t xml:space="preserve">sisältäen 1 kappaleen tiivistelmät PHD Firehorse -ristiviittauksilla</w:t>
      </w:r>
    </w:p>
    <w:p>
      <w:pPr>
        <w:numPr>
          <w:ilvl w:val="0"/>
          <w:numId w:val="1091"/>
        </w:numPr>
        <w:pStyle w:val="Compact"/>
      </w:pPr>
      <w:r>
        <w:rPr>
          <w:bCs/>
          <w:b/>
        </w:rPr>
        <w:t xml:space="preserve">Liitteiden karsinta</w:t>
      </w:r>
      <w:r>
        <w:t xml:space="preserve"> </w:t>
      </w:r>
      <w:r>
        <w:t xml:space="preserve">— 8 liitettä vähennetty 4:ään (säilytetty Solution Factory Canvas, LSS-protokolla, Karpathyn periaatteet, Sanasto)</w:t>
      </w:r>
    </w:p>
    <w:p>
      <w:pPr>
        <w:numPr>
          <w:ilvl w:val="0"/>
          <w:numId w:val="1091"/>
        </w:numPr>
        <w:pStyle w:val="Compact"/>
      </w:pPr>
      <w:r>
        <w:rPr>
          <w:bCs/>
          <w:b/>
        </w:rPr>
        <w:t xml:space="preserve">Sisällön säilyttäminen</w:t>
      </w:r>
      <w:r>
        <w:t xml:space="preserve"> </w:t>
      </w:r>
      <w:r>
        <w:t xml:space="preserve">— Kaikki poistettu sisältö on jo olemassa PHD Firehorse -liitedokumentissa</w:t>
      </w:r>
    </w:p>
    <w:bookmarkEnd w:id="267"/>
    <w:bookmarkStart w:id="268" w:name="versiointisäännöt"/>
    <w:p>
      <w:pPr>
        <w:pStyle w:val="Heading4"/>
      </w:pPr>
      <w:r>
        <w:t xml:space="preserve">10.19.3 Versiointisäännöt</w:t>
      </w:r>
    </w:p>
    <w:p>
      <w:pPr>
        <w:numPr>
          <w:ilvl w:val="0"/>
          <w:numId w:val="1092"/>
        </w:numPr>
        <w:pStyle w:val="Compact"/>
      </w:pPr>
      <w:r>
        <w:t xml:space="preserve">v3.30.50-tiedostot ovat</w:t>
      </w:r>
      <w:r>
        <w:t xml:space="preserve"> </w:t>
      </w:r>
      <w:r>
        <w:rPr>
          <w:bCs/>
          <w:b/>
        </w:rPr>
        <w:t xml:space="preserve">HIL-only</w:t>
      </w:r>
      <w:r>
        <w:t xml:space="preserve"> </w:t>
      </w:r>
      <w:r>
        <w:t xml:space="preserve">(Human-in-the-Loop) — ei Claude Code -muokkauksia jäädytyksen jälkeen</w:t>
      </w:r>
    </w:p>
    <w:p>
      <w:pPr>
        <w:numPr>
          <w:ilvl w:val="0"/>
          <w:numId w:val="1092"/>
        </w:numPr>
        <w:pStyle w:val="Compact"/>
      </w:pPr>
      <w:r>
        <w:t xml:space="preserve">82-sivuinen elävä dokumentti jatkaa versiointia normaalisti (3.32, 3.33, …)</w:t>
      </w:r>
    </w:p>
    <w:p>
      <w:pPr>
        <w:numPr>
          <w:ilvl w:val="0"/>
          <w:numId w:val="1092"/>
        </w:numPr>
        <w:pStyle w:val="Compact"/>
      </w:pPr>
      <w:r>
        <w:t xml:space="preserve">PHD Firehorse jatkuu itsenäisesti (3.2, 3.3, …)</w:t>
      </w:r>
    </w:p>
    <w:p>
      <w:pPr>
        <w:numPr>
          <w:ilvl w:val="0"/>
          <w:numId w:val="1092"/>
        </w:numPr>
        <w:pStyle w:val="Compact"/>
      </w:pPr>
      <w:r>
        <w:t xml:space="preserve">Elävien dokumenttien versioidenpäivityksissä tulee mainita, jos sisältö koskee myös jäädytettyä versiota kopioi-liitä-ehdotusten kautta</w:t>
      </w:r>
    </w:p>
    <w:bookmarkEnd w:id="268"/>
    <w:bookmarkStart w:id="269" w:name="tutkimuspanos-5"/>
    <w:p>
      <w:pPr>
        <w:pStyle w:val="Heading4"/>
      </w:pPr>
      <w:r>
        <w:t xml:space="preserve">10.19.4 Tutkimuspanos</w:t>
      </w:r>
    </w:p>
    <w:p>
      <w:pPr>
        <w:pStyle w:val="FirstParagraph"/>
      </w:pPr>
      <w:r>
        <w:rPr>
          <w:bCs/>
          <w:b/>
        </w:rPr>
        <w:t xml:space="preserve">Avainpanos #23:</w:t>
      </w:r>
      <w:r>
        <w:t xml:space="preserve"> </w:t>
      </w:r>
      <w:r>
        <w:t xml:space="preserve">Kaksoisversiostrategia osoittaa käytännön ratkaisun tekoälyavusteiseen akateemiseen kirjoittamiseen, jossa tutkimuksen nopeus ylittää palautusformaatin rajoitukset. 82-sivuinen elävä dokumentti säilyttää täydellisen tutkimuslinjan (38 versiomerkintää, 22 avainkontribuutiota), kun taas 50-sivuinen jäädytetty versio täyttää oppilaitoksen vaatimukset menettämättä henkistä omaisuutta. Malli voi yleistyä muihin nopeasti eteneviin tutkimusprojekteihin, jotka käyttävät tekoälyavusteista dokumentointia.</w:t>
      </w:r>
    </w:p>
    <w:bookmarkEnd w:id="269"/>
    <w:bookmarkEnd w:id="270"/>
    <w:bookmarkStart w:id="277" w:name="X47f1b2b589d3618990cdf8d53ddc4e2eb0fc699"/>
    <w:p>
      <w:pPr>
        <w:pStyle w:val="Heading3"/>
      </w:pPr>
      <w:r>
        <w:t xml:space="preserve">10.20 Huhtikuun 2026 kehitys: Skills-paradigma, Lifetime Fleet -tiekartta, 22. toimiala ja perustajan→tiimin siirtymä</w:t>
      </w:r>
    </w:p>
    <w:p>
      <w:pPr>
        <w:pStyle w:val="FirstParagraph"/>
      </w:pPr>
      <w:r>
        <w:rPr>
          <w:iCs/>
          <w:i/>
        </w:rPr>
        <w:t xml:space="preserve">Lähteet: kenttämuistiinpanot 2026-04-06–2026-04-19; PR-numerot #1064, #1109, #1110, #1111, #1112, #1113, #1115, #1116, #1128; SOLO_FOUNDER_STATEMENT v1.2.</w:t>
      </w:r>
    </w:p>
    <w:bookmarkStart w:id="271" w:name="Xcdea7c7d3e1c40ab57acb36fba5ae7e3d8f37fa"/>
    <w:p>
      <w:pPr>
        <w:pStyle w:val="Heading4"/>
      </w:pPr>
      <w:r>
        <w:t xml:space="preserve">10.20.1 Anthropicin Skills-paradigma — DWS:n taito-ensin -arkkitehtuurin ulkoinen validointi</w:t>
      </w:r>
    </w:p>
    <w:p>
      <w:pPr>
        <w:pStyle w:val="FirstParagraph"/>
      </w:pPr>
      <w:r>
        <w:t xml:space="preserve">Anthropic julkaisi 16.4.2026 esseen</w:t>
      </w:r>
      <w:r>
        <w:t xml:space="preserve"> </w:t>
      </w:r>
      <w:r>
        <w:t xml:space="preserve">“</w:t>
      </w:r>
      <w:r>
        <w:t xml:space="preserve">Stop Building Agents, Start Building Skills</w:t>
      </w:r>
      <w:r>
        <w:t xml:space="preserve">”</w:t>
      </w:r>
      <w:r>
        <w:t xml:space="preserve"> </w:t>
      </w:r>
      <w:r>
        <w:t xml:space="preserve">(kenttämuistiinpano</w:t>
      </w:r>
      <w:r>
        <w:t xml:space="preserve"> </w:t>
      </w:r>
      <w:r>
        <w:rPr>
          <w:rStyle w:val="VerbatimChar"/>
        </w:rPr>
        <w:t xml:space="preserve">docs/field-notes/2026-04-16-anthropic-skills-paradigm-stop-building-agents.md</w:t>
      </w:r>
      <w:r>
        <w:t xml:space="preserve">). Ydinväite: monoliittiset agentit kuluttavat liikaa kontekstikapasiteettia ja huonontuvat työkalumäärän kasvaessa; erilliset kutsuttavat taidot (Claude Code Skills,</w:t>
      </w:r>
      <w:r>
        <w:t xml:space="preserve"> </w:t>
      </w:r>
      <w:r>
        <w:rPr>
          <w:rStyle w:val="VerbatimChar"/>
        </w:rPr>
        <w:t xml:space="preserve">.claude/commands/*.md</w:t>
      </w:r>
      <w:r>
        <w:t xml:space="preserve">) päihittävät agenttikehykset yritysmittakaavassa, koska kukin taito ladataan vain tarvittaessa ja on yksittäin testattavissa.</w:t>
      </w:r>
    </w:p>
    <w:p>
      <w:pPr>
        <w:pStyle w:val="BodyText"/>
      </w:pPr>
      <w:r>
        <w:t xml:space="preserve">Tämä on ensimmäinen merkittävä ulkoinen validointi osiossa 10.13 (Claude Code -suunnittelurakenne, Versio 3.17, 02.03.2026) ja osiossa 10.13.7 (Toimialakohtainen vs geneerinen AI-harness, Versio 3.31, 31.03.2026) tehdylle arkkitehtonisen vedonlyönnille:</w:t>
      </w:r>
    </w:p>
    <w:tbl>
      <w:tblPr>
        <w:tblStyle w:val="Table"/>
        <w:tblW w:type="pct" w:w="5000"/>
        <w:tblLook w:firstRow="1" w:lastRow="0" w:firstColumn="0" w:lastColumn="0" w:noHBand="0" w:noVBand="0" w:val="0020"/>
        <w:jc w:val="start"/>
      </w:tblPr>
      <w:tblGrid>
        <w:gridCol w:w="3898"/>
        <w:gridCol w:w="3465"/>
        <w:gridCol w:w="556"/>
      </w:tblGrid>
      <w:tr>
        <w:trPr>
          <w:tblHeader w:val="true"/>
        </w:trPr>
        <w:tc>
          <w:tcPr/>
          <w:p>
            <w:pPr>
              <w:pStyle w:val="Compact"/>
              <w:jc w:val="left"/>
            </w:pPr>
            <w:r>
              <w:t xml:space="preserve">DWS:n kanta (ennen huhtikuuta 2026)</w:t>
            </w:r>
          </w:p>
        </w:tc>
        <w:tc>
          <w:tcPr/>
          <w:p>
            <w:pPr>
              <w:pStyle w:val="Compact"/>
              <w:jc w:val="left"/>
            </w:pPr>
            <w:r>
              <w:t xml:space="preserve">Anthropicin argumentti 16.4.2026</w:t>
            </w:r>
          </w:p>
        </w:tc>
        <w:tc>
          <w:tcPr/>
          <w:p>
            <w:pPr>
              <w:pStyle w:val="Compact"/>
              <w:jc w:val="left"/>
            </w:pPr>
            <w:r>
              <w:t xml:space="preserve">Tila</w:t>
            </w:r>
          </w:p>
        </w:tc>
      </w:tr>
      <w:tr>
        <w:tc>
          <w:tcPr/>
          <w:p>
            <w:pPr>
              <w:pStyle w:val="Compact"/>
              <w:jc w:val="left"/>
            </w:pPr>
            <w:r>
              <w:t xml:space="preserve">Taidot uudelleenkäytettävinä työnkulkukomponentteina (§10.13.3)</w:t>
            </w:r>
          </w:p>
        </w:tc>
        <w:tc>
          <w:tcPr/>
          <w:p>
            <w:pPr>
              <w:pStyle w:val="Compact"/>
              <w:jc w:val="left"/>
            </w:pPr>
            <w:r>
              <w:t xml:space="preserve">Taidot &gt; agentit skaalassa</w:t>
            </w:r>
          </w:p>
        </w:tc>
        <w:tc>
          <w:tcPr/>
          <w:p>
            <w:pPr>
              <w:pStyle w:val="Compact"/>
              <w:jc w:val="left"/>
            </w:pPr>
            <w:r>
              <w:t xml:space="preserve">Validoitu</w:t>
            </w:r>
          </w:p>
        </w:tc>
      </w:tr>
      <w:tr>
        <w:tc>
          <w:tcPr/>
          <w:p>
            <w:pPr>
              <w:pStyle w:val="Compact"/>
              <w:jc w:val="left"/>
            </w:pPr>
            <w:r>
              <w:rPr>
                <w:rStyle w:val="VerbatimChar"/>
              </w:rPr>
              <w:t xml:space="preserve">.claude/commands/*.md</w:t>
            </w:r>
            <w:r>
              <w:t xml:space="preserve"> </w:t>
            </w:r>
            <w:r>
              <w:t xml:space="preserve">tuoterajapintana (§10.13.6)</w:t>
            </w:r>
          </w:p>
        </w:tc>
        <w:tc>
          <w:tcPr/>
          <w:p>
            <w:pPr>
              <w:pStyle w:val="Compact"/>
              <w:jc w:val="left"/>
            </w:pPr>
            <w:r>
              <w:t xml:space="preserve">Erilliset kutsuttavat päihittävät monoliitit</w:t>
            </w:r>
          </w:p>
        </w:tc>
        <w:tc>
          <w:tcPr/>
          <w:p>
            <w:pPr>
              <w:pStyle w:val="Compact"/>
              <w:jc w:val="left"/>
            </w:pPr>
            <w:r>
              <w:t xml:space="preserve">Validoitu</w:t>
            </w:r>
          </w:p>
        </w:tc>
      </w:tr>
      <w:tr>
        <w:tc>
          <w:tcPr/>
          <w:p>
            <w:pPr>
              <w:pStyle w:val="Compact"/>
              <w:jc w:val="left"/>
            </w:pPr>
            <w:r>
              <w:t xml:space="preserve">Agentti-ensin -tuotesääntö (CLAUDE.md</w:t>
            </w:r>
            <w:r>
              <w:t xml:space="preserve"> </w:t>
            </w:r>
            <w:r>
              <w:t xml:space="preserve">“</w:t>
            </w:r>
            <w:r>
              <w:t xml:space="preserve">Build for Agents</w:t>
            </w:r>
            <w:r>
              <w:t xml:space="preserve">”</w:t>
            </w:r>
            <w:r>
              <w:t xml:space="preserve">)</w:t>
            </w:r>
          </w:p>
        </w:tc>
        <w:tc>
          <w:tcPr/>
          <w:p>
            <w:pPr>
              <w:pStyle w:val="Compact"/>
              <w:jc w:val="left"/>
            </w:pPr>
            <w:r>
              <w:t xml:space="preserve">Taidot ovat API-pinta</w:t>
            </w:r>
          </w:p>
        </w:tc>
        <w:tc>
          <w:tcPr/>
          <w:p>
            <w:pPr>
              <w:pStyle w:val="Compact"/>
              <w:jc w:val="left"/>
            </w:pPr>
            <w:r>
              <w:t xml:space="preserve">Validoitu</w:t>
            </w:r>
          </w:p>
        </w:tc>
      </w:tr>
      <w:tr>
        <w:tc>
          <w:tcPr/>
          <w:p>
            <w:pPr>
              <w:pStyle w:val="Compact"/>
              <w:jc w:val="left"/>
            </w:pPr>
            <w:r>
              <w:t xml:space="preserve">Toimialaspesifisyys &gt; laajuus (§10.13.7)</w:t>
            </w:r>
          </w:p>
        </w:tc>
        <w:tc>
          <w:tcPr/>
          <w:p>
            <w:pPr>
              <w:pStyle w:val="Compact"/>
              <w:jc w:val="left"/>
            </w:pPr>
            <w:r>
              <w:t xml:space="preserve">Geneeriset 136-taidon kehykset kaatuvat token-budjettiin</w:t>
            </w:r>
          </w:p>
        </w:tc>
        <w:tc>
          <w:tcPr/>
          <w:p>
            <w:pPr>
              <w:pStyle w:val="Compact"/>
              <w:jc w:val="left"/>
            </w:pPr>
            <w:r>
              <w:t xml:space="preserve">Validoitu</w:t>
            </w:r>
          </w:p>
        </w:tc>
      </w:tr>
    </w:tbl>
    <w:p>
      <w:pPr>
        <w:pStyle w:val="BodyText"/>
      </w:pPr>
      <w:r>
        <w:rPr>
          <w:bCs/>
          <w:b/>
        </w:rPr>
        <w:t xml:space="preserve">Taitokirjaston kasvu v3.31:stä (31.03.2026):</w:t>
      </w:r>
      <w:r>
        <w:t xml:space="preserve"> </w:t>
      </w:r>
      <w:r>
        <w:t xml:space="preserve">+3 tuotantotaitoa —</w:t>
      </w:r>
      <w:r>
        <w:t xml:space="preserve"> </w:t>
      </w:r>
      <w:r>
        <w:rPr>
          <w:rStyle w:val="VerbatimChar"/>
        </w:rPr>
        <w:t xml:space="preserve">/regulatory-radar</w:t>
      </w:r>
      <w:r>
        <w:t xml:space="preserve"> </w:t>
      </w:r>
      <w:r>
        <w:t xml:space="preserve">(EU-sääntelyputken skanneri),</w:t>
      </w:r>
      <w:r>
        <w:t xml:space="preserve"> </w:t>
      </w:r>
      <w:r>
        <w:rPr>
          <w:rStyle w:val="VerbatimChar"/>
        </w:rPr>
        <w:t xml:space="preserve">/investor-outreach</w:t>
      </w:r>
      <w:r>
        <w:t xml:space="preserve"> </w:t>
      </w:r>
      <w:r>
        <w:t xml:space="preserve">(sijoittajien INTRO-muistioiden luonnostelu/triage/seuranta),</w:t>
      </w:r>
      <w:r>
        <w:t xml:space="preserve"> </w:t>
      </w:r>
      <w:r>
        <w:rPr>
          <w:rStyle w:val="VerbatimChar"/>
        </w:rPr>
        <w:t xml:space="preserve">/multilingual</w:t>
      </w:r>
      <w:r>
        <w:t xml:space="preserve"> </w:t>
      </w:r>
      <w:r>
        <w:t xml:space="preserve">(EU-kielipalkin generaattori onelifetime.world:lle ja dws10.com:lle). Yhteensä 24+ tuotantotaitoa ja 4 estävää kurinpitoporttia.</w:t>
      </w:r>
    </w:p>
    <w:p>
      <w:pPr>
        <w:pStyle w:val="BodyText"/>
      </w:pPr>
      <w:r>
        <w:rPr>
          <w:bCs/>
          <w:b/>
        </w:rPr>
        <w:t xml:space="preserve">Tutkimuspanos:</w:t>
      </w:r>
      <w:r>
        <w:t xml:space="preserve"> </w:t>
      </w:r>
      <w:r>
        <w:t xml:space="preserve">Taito-ensin -arkkitehtuuri ei ole enää arvioinnissa oleva hypoteesi — se on nouseva toimialan konsensus. Yhden hengen perustajatiimille säännellyllä toimialalla taitokirjasto toimii myös</w:t>
      </w:r>
      <w:r>
        <w:t xml:space="preserve"> </w:t>
      </w:r>
      <w:r>
        <w:rPr>
          <w:bCs/>
          <w:b/>
        </w:rPr>
        <w:t xml:space="preserve">yhteistyökumppaneiden ja osakastiimin perehdytysväylänä</w:t>
      </w:r>
      <w:r>
        <w:t xml:space="preserve">: kukin taito on dokumentoitu, testattava laitoksen tietämysyksikkö, jota uusi tekijä voi ajaa lukematta koko koodipohjaa.</w:t>
      </w:r>
    </w:p>
    <w:bookmarkEnd w:id="271"/>
    <w:bookmarkStart w:id="272" w:name="X2bc024f7284e01086fd3b84da7db135cddcf572"/>
    <w:p>
      <w:pPr>
        <w:pStyle w:val="Heading4"/>
      </w:pPr>
      <w:r>
        <w:t xml:space="preserve">10.20.2 Lifetime Fleet -tiekartan kiteytyminen —</w:t>
      </w:r>
      <w:r>
        <w:t xml:space="preserve"> </w:t>
      </w:r>
      <w:r>
        <w:t xml:space="preserve">“</w:t>
      </w:r>
      <w:r>
        <w:t xml:space="preserve">Kädet</w:t>
      </w:r>
      <w:r>
        <w:t xml:space="preserve">”</w:t>
      </w:r>
      <w:r>
        <w:t xml:space="preserve">-kerros spesifikaatiosta aikatauluun</w:t>
      </w:r>
    </w:p>
    <w:p>
      <w:pPr>
        <w:pStyle w:val="FirstParagraph"/>
      </w:pPr>
      <w:r>
        <w:t xml:space="preserve">Brain-Memory-Body-Hands -arkkitehtuuri (CLAUDE.md</w:t>
      </w:r>
      <w:r>
        <w:t xml:space="preserve"> </w:t>
      </w:r>
      <w:r>
        <w:t xml:space="preserve">“</w:t>
      </w:r>
      <w:r>
        <w:t xml:space="preserve">Project Overview</w:t>
      </w:r>
      <w:r>
        <w:t xml:space="preserve">”</w:t>
      </w:r>
      <w:r>
        <w:t xml:space="preserve">) listasi Lifetime Fleetin (</w:t>
      </w:r>
      <w:r>
        <w:t xml:space="preserve">“</w:t>
      </w:r>
      <w:r>
        <w:t xml:space="preserve">Kädet</w:t>
      </w:r>
      <w:r>
        <w:t xml:space="preserve">”</w:t>
      </w:r>
      <w:r>
        <w:t xml:space="preserve">)</w:t>
      </w:r>
      <w:r>
        <w:t xml:space="preserve"> </w:t>
      </w:r>
      <w:r>
        <w:rPr>
          <w:iCs/>
          <w:i/>
        </w:rPr>
        <w:t xml:space="preserve">“</w:t>
      </w:r>
      <w:r>
        <w:rPr>
          <w:iCs/>
          <w:i/>
        </w:rPr>
        <w:t xml:space="preserve">spesifikaatiovaiheessa</w:t>
      </w:r>
      <w:r>
        <w:rPr>
          <w:iCs/>
          <w:i/>
        </w:rPr>
        <w:t xml:space="preserve">”</w:t>
      </w:r>
      <w:r>
        <w:t xml:space="preserve"> </w:t>
      </w:r>
      <w:r>
        <w:t xml:space="preserve">koko tämän opinnäytetyön ajan. Huhtikuussa 2026 tämä muuttui. Kaksi kenttämuistiinpanoa kiteyttävät tiekartan:</w:t>
      </w:r>
    </w:p>
    <w:p>
      <w:pPr>
        <w:numPr>
          <w:ilvl w:val="0"/>
          <w:numId w:val="1093"/>
        </w:numPr>
        <w:pStyle w:val="Compact"/>
      </w:pPr>
      <w:r>
        <w:rPr>
          <w:rStyle w:val="VerbatimChar"/>
          <w:bCs/>
          <w:b/>
        </w:rPr>
        <w:t xml:space="preserve">docs/field-notes/2026-04-15-finland-drone-strategy-lifetime-fleet.md</w:t>
      </w:r>
      <w:r>
        <w:t xml:space="preserve"> </w:t>
      </w:r>
      <w:r>
        <w:t xml:space="preserve">— Lifetime Fleetin kohdistaminen Suomen dronestrategiaan 2030. Asemoi DWS:n hallinta- ja vaatimustenmukaisuuskerrokseksi suomalaisille teollisille droneille (maatalous, metsätalous, infrastruktuuri, puolustus) käyttäen alustaa varten jo rakennettua KYA/Aegis/Firehorse-inventaariota.</w:t>
      </w:r>
    </w:p>
    <w:p>
      <w:pPr>
        <w:numPr>
          <w:ilvl w:val="0"/>
          <w:numId w:val="1093"/>
        </w:numPr>
        <w:pStyle w:val="Compact"/>
      </w:pPr>
      <w:r>
        <w:rPr>
          <w:rStyle w:val="VerbatimChar"/>
          <w:bCs/>
          <w:b/>
        </w:rPr>
        <w:t xml:space="preserve">docs/field-notes/2026-04-19-drone-app-baltic-timeline-research.md</w:t>
      </w:r>
      <w:r>
        <w:t xml:space="preserve"> </w:t>
      </w:r>
      <w:r>
        <w:t xml:space="preserve">— Baltia-ensin MVP-aikataulu: 12–16 viikkoa toimituskelpoiseen drone-sovellukseen käyttäen olemassa olevaa KYA-hallintaa (L1–L5), OpenSandbox-agenttieristystä ja Shufti IDV -integraatiota. Ei tarvetta uudelle laitteisto-T&amp;K-syklille.</w:t>
      </w:r>
    </w:p>
    <w:p>
      <w:pPr>
        <w:pStyle w:val="FirstParagraph"/>
      </w:pPr>
      <w:r>
        <w:rPr>
          <w:bCs/>
          <w:b/>
        </w:rPr>
        <w:t xml:space="preserve">Miksi tämä on opinnäytetyölle tärkeää:</w:t>
      </w:r>
      <w:r>
        <w:t xml:space="preserve"> </w:t>
      </w:r>
      <w:r>
        <w:t xml:space="preserve">Osio 10.18 (LWM-sekvensointistrategia, Versio 3.30) kehysti Brain-Memory-Body-Hands -pinon muodossa</w:t>
      </w:r>
      <w:r>
        <w:t xml:space="preserve"> </w:t>
      </w:r>
      <w:r>
        <w:rPr>
          <w:iCs/>
          <w:i/>
        </w:rPr>
        <w:t xml:space="preserve">vaatimustenmukaisuus → laivasto → Series A</w:t>
      </w:r>
      <w:r>
        <w:t xml:space="preserve">. Huhtikuun 2026 kenttämuistiinpanot muuttavat</w:t>
      </w:r>
      <w:r>
        <w:t xml:space="preserve"> </w:t>
      </w:r>
      <w:r>
        <w:t xml:space="preserve">“</w:t>
      </w:r>
      <w:r>
        <w:t xml:space="preserve">laivaston</w:t>
      </w:r>
      <w:r>
        <w:t xml:space="preserve">”</w:t>
      </w:r>
      <w:r>
        <w:t xml:space="preserve"> </w:t>
      </w:r>
      <w:r>
        <w:t xml:space="preserve">Phase 2 -tavoitteesta konkreettiseksi Baltia-MVP:ksi uudelleenkäyttö-ensin -taloudella. Vaatimustenmukaisuus-ensin -maailmamalliteesi on nyt testattavissa tietyllä laitteistoluokalla tietyssä maantieteessä yhden kalenterineljänneksen sisällä.</w:t>
      </w:r>
    </w:p>
    <w:bookmarkEnd w:id="272"/>
    <w:bookmarkStart w:id="273" w:name="Xdc32ff03e15b9d487458c6c6ba1d8b2d8047ba4"/>
    <w:p>
      <w:pPr>
        <w:pStyle w:val="Heading4"/>
      </w:pPr>
      <w:r>
        <w:t xml:space="preserve">10.20.3 DWS IQ 7 Datakeskusten vaatimustenmukaisuusagentti — 22. toimiala ja vihreän vedyn lisäisyysvaatimus</w:t>
      </w:r>
    </w:p>
    <w:p>
      <w:pPr>
        <w:pStyle w:val="FirstParagraph"/>
      </w:pPr>
      <w:r>
        <w:t xml:space="preserve">Kaksi uutta kenttämuistiinpanoa lisäävät alustaan 22. toimialan:</w:t>
      </w:r>
    </w:p>
    <w:p>
      <w:pPr>
        <w:numPr>
          <w:ilvl w:val="0"/>
          <w:numId w:val="1094"/>
        </w:numPr>
        <w:pStyle w:val="Compact"/>
      </w:pPr>
      <w:r>
        <w:rPr>
          <w:rStyle w:val="VerbatimChar"/>
          <w:bCs/>
          <w:b/>
        </w:rPr>
        <w:t xml:space="preserve">docs/field-notes/2026-04-18-eu-green-hydrogen-additionality-finland-datacentres.md</w:t>
      </w:r>
      <w:r>
        <w:t xml:space="preserve"> </w:t>
      </w:r>
      <w:r>
        <w:t xml:space="preserve">— EU:n RFNBO-delegoitu asetus 2023/1184 (lisäisyys, ajallinen korrelaatio, maantieteellinen korrelaatio) sovellettuna suomalaisiin datakeskuksiin. Datakeskusten, jotka väittävät toimivansa uusiutuvaan vetyyn pohjautuvasti, on todistettava, että vety täyttää kaikki kolme lisäisyystestiä.</w:t>
      </w:r>
    </w:p>
    <w:p>
      <w:pPr>
        <w:numPr>
          <w:ilvl w:val="0"/>
          <w:numId w:val="1094"/>
        </w:numPr>
        <w:pStyle w:val="Compact"/>
      </w:pPr>
      <w:r>
        <w:rPr>
          <w:rStyle w:val="VerbatimChar"/>
          <w:bCs/>
          <w:b/>
        </w:rPr>
        <w:t xml:space="preserve">docs/DWS_IQ_7_DATACENTRE_COMPLIANCE_AGENT_PRD_v0.1.md</w:t>
      </w:r>
      <w:r>
        <w:t xml:space="preserve"> </w:t>
      </w:r>
      <w:r>
        <w:t xml:space="preserve">(ja myöhempi v0.2, joka lukitsee Ops Managerin V0-ostajaksi) — Agenttispesifikaatio, joka kohdentuu hyperskaalaajiin ja kolokaatio-operaattoreihin Suomessa (Microsoft, Google, Amazon, Equinix, Digita). Ops Manager -ICP validoitu ostajapersoonan validointiskriptillä.</w:t>
      </w:r>
    </w:p>
    <w:p>
      <w:pPr>
        <w:pStyle w:val="FirstParagraph"/>
      </w:pPr>
      <w:r>
        <w:rPr>
          <w:bCs/>
          <w:b/>
        </w:rPr>
        <w:t xml:space="preserve">Sääntelykontribuutio osiolle 10.17 (Hiilitase):</w:t>
      </w:r>
      <w:r>
        <w:t xml:space="preserve"> </w:t>
      </w:r>
      <w:r>
        <w:t xml:space="preserve">Datakeskukset ovat ensimmäinen toimiala, jossa kirjanpidon on täsmäytettävä</w:t>
      </w:r>
      <w:r>
        <w:t xml:space="preserve"> </w:t>
      </w:r>
      <w:r>
        <w:rPr>
          <w:iCs/>
          <w:i/>
        </w:rPr>
        <w:t xml:space="preserve">sekä</w:t>
      </w:r>
      <w:r>
        <w:t xml:space="preserve"> </w:t>
      </w:r>
      <w:r>
        <w:t xml:space="preserve">sähköpuolen laskenta (ETS Scope 2)</w:t>
      </w:r>
      <w:r>
        <w:t xml:space="preserve"> </w:t>
      </w:r>
      <w:r>
        <w:rPr>
          <w:iCs/>
          <w:i/>
        </w:rPr>
        <w:t xml:space="preserve">että</w:t>
      </w:r>
      <w:r>
        <w:t xml:space="preserve"> </w:t>
      </w:r>
      <w:r>
        <w:t xml:space="preserve">polttoainepuolen laskenta (RFNBO-vedyn lisäisyys). Tämä laajentaa kaksinkertaisen hiilikirjanpidon alun perin analysoiduista sementti/teräs/rakennus-vertikaaleista data-intensiivisiin palveluvertikaaleihin — koetellen sääntelyiden välistä täsmäytysväitettä laadullisesti eri päästöprofiilin kanssa.</w:t>
      </w:r>
    </w:p>
    <w:bookmarkEnd w:id="273"/>
    <w:bookmarkStart w:id="274" w:name="X1981b7cad502bf725cb35683aa9e9a017b436e8"/>
    <w:p>
      <w:pPr>
        <w:pStyle w:val="Heading4"/>
      </w:pPr>
      <w:r>
        <w:t xml:space="preserve">10.20.4 Sääntelypinon laajennus: NIS2 + CER (hybridiuhkat)</w:t>
      </w:r>
    </w:p>
    <w:p>
      <w:pPr>
        <w:pStyle w:val="FirstParagraph"/>
      </w:pPr>
      <w:r>
        <w:t xml:space="preserve">CORE Resilience Model -blogikirjoitus (onelifetime.world/posts/core-resilience-hybrid-threats.html, 13.4.2026) ja Hybridiosaamiskeskus hallitus turvallisuusvastuu 8.5.2026 -kenttämuistiinpano laajentavat DWS:n sääntelykattavuuden ilmastosääntelyn ulkopuolelle:</w:t>
      </w:r>
    </w:p>
    <w:tbl>
      <w:tblPr>
        <w:tblStyle w:val="Table"/>
        <w:tblW w:type="pct" w:w="5000"/>
        <w:tblLook w:firstRow="1" w:lastRow="0" w:firstColumn="0" w:lastColumn="0" w:noHBand="0" w:noVBand="0" w:val="0020"/>
        <w:jc w:val="start"/>
      </w:tblPr>
      <w:tblGrid>
        <w:gridCol w:w="2833"/>
        <w:gridCol w:w="3477"/>
        <w:gridCol w:w="1609"/>
      </w:tblGrid>
      <w:tr>
        <w:trPr>
          <w:tblHeader w:val="true"/>
        </w:trPr>
        <w:tc>
          <w:tcPr/>
          <w:p>
            <w:pPr>
              <w:pStyle w:val="Compact"/>
              <w:jc w:val="left"/>
            </w:pPr>
            <w:r>
              <w:t xml:space="preserve">Sääntely</w:t>
            </w:r>
          </w:p>
        </w:tc>
        <w:tc>
          <w:tcPr/>
          <w:p>
            <w:pPr>
              <w:pStyle w:val="Compact"/>
              <w:jc w:val="left"/>
            </w:pPr>
            <w:r>
              <w:t xml:space="preserve">Soveltamisala</w:t>
            </w:r>
          </w:p>
        </w:tc>
        <w:tc>
          <w:tcPr/>
          <w:p>
            <w:pPr>
              <w:pStyle w:val="Compact"/>
              <w:jc w:val="left"/>
            </w:pPr>
            <w:r>
              <w:t xml:space="preserve">Kattavuuden tila</w:t>
            </w:r>
          </w:p>
        </w:tc>
      </w:tr>
      <w:tr>
        <w:tc>
          <w:tcPr/>
          <w:p>
            <w:pPr>
              <w:pStyle w:val="Compact"/>
              <w:jc w:val="left"/>
            </w:pPr>
            <w:r>
              <w:t xml:space="preserve">ETS, CBAM, CSRD, Taksonomia, EED, Fit-for-55</w:t>
            </w:r>
          </w:p>
        </w:tc>
        <w:tc>
          <w:tcPr/>
          <w:p>
            <w:pPr>
              <w:pStyle w:val="Compact"/>
              <w:jc w:val="left"/>
            </w:pPr>
            <w:r>
              <w:t xml:space="preserve">Ilmasto/energia</w:t>
            </w:r>
          </w:p>
        </w:tc>
        <w:tc>
          <w:tcPr/>
          <w:p>
            <w:pPr>
              <w:pStyle w:val="Compact"/>
              <w:jc w:val="left"/>
            </w:pPr>
            <w:r>
              <w:t xml:space="preserve">Tuotannossa (Osio 10.17)</w:t>
            </w:r>
          </w:p>
        </w:tc>
      </w:tr>
      <w:tr>
        <w:tc>
          <w:tcPr/>
          <w:p>
            <w:pPr>
              <w:pStyle w:val="Compact"/>
              <w:jc w:val="left"/>
            </w:pPr>
            <w:r>
              <w:t xml:space="preserve">EU AI Act artikla 12</w:t>
            </w:r>
          </w:p>
        </w:tc>
        <w:tc>
          <w:tcPr/>
          <w:p>
            <w:pPr>
              <w:pStyle w:val="Compact"/>
              <w:jc w:val="left"/>
            </w:pPr>
            <w:r>
              <w:t xml:space="preserve">Tekoälyn hallinta/lokitus</w:t>
            </w:r>
          </w:p>
        </w:tc>
        <w:tc>
          <w:tcPr/>
          <w:p>
            <w:pPr>
              <w:pStyle w:val="Compact"/>
              <w:jc w:val="left"/>
            </w:pPr>
            <w:r>
              <w:t xml:space="preserve">Tuotannossa (Osio 10.13)</w:t>
            </w:r>
          </w:p>
        </w:tc>
      </w:tr>
      <w:tr>
        <w:tc>
          <w:tcPr/>
          <w:p>
            <w:pPr>
              <w:pStyle w:val="Compact"/>
              <w:jc w:val="left"/>
            </w:pPr>
            <w:r>
              <w:rPr>
                <w:bCs/>
                <w:b/>
              </w:rPr>
              <w:t xml:space="preserve">NIS2</w:t>
            </w:r>
            <w:r>
              <w:t xml:space="preserve"> </w:t>
            </w:r>
            <w:r>
              <w:t xml:space="preserve">(Direktiivi 2022/2555)</w:t>
            </w:r>
          </w:p>
        </w:tc>
        <w:tc>
          <w:tcPr/>
          <w:p>
            <w:pPr>
              <w:pStyle w:val="Compact"/>
              <w:jc w:val="left"/>
            </w:pPr>
            <w:r>
              <w:t xml:space="preserve">Oleellisten ja tärkeiden toimijoiden kyberturvallisuus</w:t>
            </w:r>
          </w:p>
        </w:tc>
        <w:tc>
          <w:tcPr/>
          <w:p>
            <w:pPr>
              <w:pStyle w:val="Compact"/>
              <w:jc w:val="left"/>
            </w:pPr>
            <w:r>
              <w:rPr>
                <w:bCs/>
                <w:b/>
              </w:rPr>
              <w:t xml:space="preserve">Lisätty huhtikuu 2026</w:t>
            </w:r>
          </w:p>
        </w:tc>
      </w:tr>
      <w:tr>
        <w:tc>
          <w:tcPr/>
          <w:p>
            <w:pPr>
              <w:pStyle w:val="Compact"/>
              <w:jc w:val="left"/>
            </w:pPr>
            <w:r>
              <w:rPr>
                <w:bCs/>
                <w:b/>
              </w:rPr>
              <w:t xml:space="preserve">CER</w:t>
            </w:r>
            <w:r>
              <w:t xml:space="preserve"> </w:t>
            </w:r>
            <w:r>
              <w:t xml:space="preserve">(Direktiivi 2022/2557)</w:t>
            </w:r>
          </w:p>
        </w:tc>
        <w:tc>
          <w:tcPr/>
          <w:p>
            <w:pPr>
              <w:pStyle w:val="Compact"/>
              <w:jc w:val="left"/>
            </w:pPr>
            <w:r>
              <w:t xml:space="preserve">Kriittisten toimijoiden resilienssi (fyysinen + kyber)</w:t>
            </w:r>
          </w:p>
        </w:tc>
        <w:tc>
          <w:tcPr/>
          <w:p>
            <w:pPr>
              <w:pStyle w:val="Compact"/>
              <w:jc w:val="left"/>
            </w:pPr>
            <w:r>
              <w:rPr>
                <w:bCs/>
                <w:b/>
              </w:rPr>
              <w:t xml:space="preserve">Lisätty huhtikuu 2026</w:t>
            </w:r>
          </w:p>
        </w:tc>
      </w:tr>
    </w:tbl>
    <w:p>
      <w:pPr>
        <w:pStyle w:val="BodyText"/>
      </w:pPr>
      <w:r>
        <w:t xml:space="preserve">Aegis-tuote (</w:t>
      </w:r>
      <w:r>
        <w:rPr>
          <w:rStyle w:val="VerbatimChar"/>
        </w:rPr>
        <w:t xml:space="preserve">dws10.com/products/aegis.html</w:t>
      </w:r>
      <w:r>
        <w:t xml:space="preserve">, hackathon-demo PR #1128) uudelleenasemoidaan NIS2/CER-kiilaksi: suvereeni turvallisuushallinta kriittisen infrastruktuurin operaattoreille (SNCF Ranska infrastruktuurivalvonta -kenttämuistiinpano 14.4.2026 validoi vertikaalin). Tämä on ensimmäinen kerta, kun DWS IQ 6 kattaa muuta kuin ilmastosääntelyä — aineellinen laajennus alustan vaatimustenmukaisuusalueella.</w:t>
      </w:r>
    </w:p>
    <w:bookmarkEnd w:id="274"/>
    <w:bookmarkStart w:id="275" w:name="X1fe11fe57534746e54a47d553abb67d2bf04f43"/>
    <w:p>
      <w:pPr>
        <w:pStyle w:val="Heading4"/>
      </w:pPr>
      <w:r>
        <w:t xml:space="preserve">10.20.5 Perustajan→tiimin siirtymä ja sijoittajayhteydenpidon työnkulku</w:t>
      </w:r>
    </w:p>
    <w:p>
      <w:pPr>
        <w:pStyle w:val="FirstParagraph"/>
      </w:pPr>
      <w:r>
        <w:t xml:space="preserve">Osiot 10.7 (BYOA) ja 10.11 (Toimitusjohtajan automaatioagenttiryhmä) kehystivät DWS IQ 6:n yhden hengen käyttämäksi alustaksi, jossa tekoälytyökalut korvaavat henkilöstöä. Huhtikuu 2026 merkitsee tietoista siirtymää yksinperustajasta tiimiksi:</w:t>
      </w:r>
    </w:p>
    <w:p>
      <w:pPr>
        <w:numPr>
          <w:ilvl w:val="0"/>
          <w:numId w:val="1095"/>
        </w:numPr>
        <w:pStyle w:val="Compact"/>
      </w:pPr>
      <w:r>
        <w:rPr>
          <w:rStyle w:val="VerbatimChar"/>
          <w:bCs/>
          <w:b/>
        </w:rPr>
        <w:t xml:space="preserve">docs/investor-intros/SOLO_FOUNDER_STATEMENT.md</w:t>
      </w:r>
      <w:r>
        <w:rPr>
          <w:bCs/>
          <w:b/>
        </w:rPr>
        <w:t xml:space="preserve"> </w:t>
      </w:r>
      <w:r>
        <w:rPr>
          <w:bCs/>
          <w:b/>
        </w:rPr>
        <w:t xml:space="preserve">v1.2</w:t>
      </w:r>
      <w:r>
        <w:t xml:space="preserve"> </w:t>
      </w:r>
      <w:r>
        <w:t xml:space="preserve">— Yksi totuuden lähde -narratiivi Series A / SAFE -sijoittajakeskusteluihin. Lukitsee yksinperustaja-tekoälytiimin kanssa -teesin, jota tämä opinnäytetyö itsessään dokumentoi.</w:t>
      </w:r>
    </w:p>
    <w:p>
      <w:pPr>
        <w:numPr>
          <w:ilvl w:val="0"/>
          <w:numId w:val="1095"/>
        </w:numPr>
        <w:pStyle w:val="Compact"/>
      </w:pPr>
      <w:r>
        <w:rPr>
          <w:bCs/>
          <w:b/>
        </w:rPr>
        <w:t xml:space="preserve">Anthony Maurin CTO-yhteisrakentajapolku</w:t>
      </w:r>
      <w:r>
        <w:t xml:space="preserve"> </w:t>
      </w:r>
      <w:r>
        <w:t xml:space="preserve">(kenttämuistiinpano 2026-04-19</w:t>
      </w:r>
      <w:r>
        <w:t xml:space="preserve"> </w:t>
      </w:r>
      <w:r>
        <w:rPr>
          <w:iCs/>
          <w:i/>
        </w:rPr>
        <w:t xml:space="preserve">CTO LinkedIn -haku käynnistetty</w:t>
      </w:r>
      <w:r>
        <w:t xml:space="preserve">) — Ensimmäinen nimetty yhteisrakentaja. Osuussekvensointi tiukennettu sijoittajan uudelleenaktivointikatalyyttiä vasten (Perissich).</w:t>
      </w:r>
    </w:p>
    <w:p>
      <w:pPr>
        <w:numPr>
          <w:ilvl w:val="0"/>
          <w:numId w:val="1095"/>
        </w:numPr>
        <w:pStyle w:val="Compact"/>
      </w:pPr>
      <w:r>
        <w:rPr>
          <w:rStyle w:val="VerbatimChar"/>
          <w:bCs/>
          <w:b/>
        </w:rPr>
        <w:t xml:space="preserve">/investor-outreach</w:t>
      </w:r>
      <w:r>
        <w:rPr>
          <w:bCs/>
          <w:b/>
        </w:rPr>
        <w:t xml:space="preserve"> </w:t>
      </w:r>
      <w:r>
        <w:rPr>
          <w:bCs/>
          <w:b/>
        </w:rPr>
        <w:t xml:space="preserve">-taito</w:t>
      </w:r>
      <w:r>
        <w:t xml:space="preserve"> </w:t>
      </w:r>
      <w:r>
        <w:t xml:space="preserve">(PR #1109,</w:t>
      </w:r>
      <w:r>
        <w:t xml:space="preserve"> </w:t>
      </w:r>
      <w:r>
        <w:rPr>
          <w:rStyle w:val="VerbatimChar"/>
        </w:rPr>
        <w:t xml:space="preserve">.claude/commands/investor-outreach.md</w:t>
      </w:r>
      <w:r>
        <w:t xml:space="preserve">) — Toistettava työnkulku sijoittajien INTRO-muistioiden luonnosteluun, triageen ja seurantaan. 10+ nimettyä muistiota luonnosteltu 2 viikon ikkunassa: 42CAP (Wilke), Plug and Play Paris (Laouiti), Ingrisano, Perissich, Kefalogiannis, von Euen, Yomutbayev, Zawadzinski.</w:t>
      </w:r>
    </w:p>
    <w:p>
      <w:pPr>
        <w:pStyle w:val="FirstParagraph"/>
      </w:pPr>
      <w:r>
        <w:rPr>
          <w:bCs/>
          <w:b/>
        </w:rPr>
        <w:t xml:space="preserve">Tutkimuspanos:</w:t>
      </w:r>
      <w:r>
        <w:t xml:space="preserve"> </w:t>
      </w:r>
      <w:r>
        <w:t xml:space="preserve">Yksinperustaja-tekoälytiimin kanssa -hypoteesista ei luovuta — se</w:t>
      </w:r>
      <w:r>
        <w:t xml:space="preserve"> </w:t>
      </w:r>
      <w:r>
        <w:rPr>
          <w:iCs/>
          <w:i/>
        </w:rPr>
        <w:t xml:space="preserve">vaiheistetaan</w:t>
      </w:r>
      <w:r>
        <w:t xml:space="preserve">. Alustan on oltava yhden hengen käytettävissä hetkellä t=0 (tämän opinnäytetyön dokumentoitu tila), mutta sen on myös sulautettava pieni perustajatiimi ilman, että alustan teesi romahtaa.</w:t>
      </w:r>
      <w:r>
        <w:t xml:space="preserve"> </w:t>
      </w:r>
      <w:r>
        <w:rPr>
          <w:rStyle w:val="VerbatimChar"/>
        </w:rPr>
        <w:t xml:space="preserve">/investor-outreach</w:t>
      </w:r>
      <w:r>
        <w:t xml:space="preserve"> </w:t>
      </w:r>
      <w:r>
        <w:t xml:space="preserve">-taito on konkreettinen mekanismi: sijoittajaputki itsessään on nyt DWS IQ -työnkulku, ei hiljaista perustajatietoa.</w:t>
      </w:r>
    </w:p>
    <w:bookmarkEnd w:id="275"/>
    <w:bookmarkStart w:id="276" w:name="tutkimuspanos-6"/>
    <w:p>
      <w:pPr>
        <w:pStyle w:val="Heading4"/>
      </w:pPr>
      <w:r>
        <w:t xml:space="preserve">10.20.6 Tutkimuspanos</w:t>
      </w:r>
    </w:p>
    <w:p>
      <w:pPr>
        <w:pStyle w:val="FirstParagraph"/>
      </w:pPr>
      <w:r>
        <w:rPr>
          <w:bCs/>
          <w:b/>
        </w:rPr>
        <w:t xml:space="preserve">Avainpanos #25 — Skills-paradigma toimialakonsensuksena validoitu:</w:t>
      </w:r>
      <w:r>
        <w:t xml:space="preserve"> </w:t>
      </w:r>
      <w:r>
        <w:t xml:space="preserve">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 harnessin paremmuuden geneeriseen nähden (§10.13.7). DWS IQ 6:n taitokirjasto (24+ tuotantotaitoa, 4 kurinpitoporttia) on nouseva toimialan malli, ei DWS-spesifinen veto.</w:t>
      </w:r>
    </w:p>
    <w:p>
      <w:pPr>
        <w:pStyle w:val="BodyText"/>
      </w:pPr>
      <w:r>
        <w:rPr>
          <w:bCs/>
          <w:b/>
        </w:rPr>
        <w:t xml:space="preserve">Avainpanos #26 — Lifetime Fleet -kiteytyminen:</w:t>
      </w:r>
      <w:r>
        <w:t xml:space="preserve"> </w:t>
      </w:r>
      <w:r>
        <w:t xml:space="preserve">Brain-Memory-Body-Hands -pino on nyt testattavissa päästä päähän. Lifetime Fleet siirtyy</w:t>
      </w:r>
      <w:r>
        <w:t xml:space="preserve"> </w:t>
      </w:r>
      <w:r>
        <w:t xml:space="preserve">“</w:t>
      </w:r>
      <w:r>
        <w:t xml:space="preserve">spesifikaatiovaiheesta</w:t>
      </w:r>
      <w:r>
        <w:t xml:space="preserve">”</w:t>
      </w:r>
      <w:r>
        <w:t xml:space="preserve"> </w:t>
      </w:r>
      <w:r>
        <w:t xml:space="preserve">12–16 viikon Baltia-ensin -MVP:ksi (19.4.2026) täydellä KYA/Aegis/Firehorse-hallintapinon uudelleenkäytöllä. Vaatimustenmukaisuus-ensin -maailmamalliteesi (§10.18) ei ole enää Phase 2 -abstraktio.</w:t>
      </w:r>
    </w:p>
    <w:p>
      <w:pPr>
        <w:pStyle w:val="BodyText"/>
      </w:pPr>
      <w:r>
        <w:rPr>
          <w:bCs/>
          <w:b/>
        </w:rPr>
        <w:t xml:space="preserve">Avainpanos #27 — 22. toimiala vihreän vedyn lisäisyyden kautta:</w:t>
      </w:r>
      <w:r>
        <w:t xml:space="preserve"> </w:t>
      </w:r>
      <w:r>
        <w:t xml:space="preserve">Datakeskusten vaatimustenmukaisuusagentti (RFNBO-delegoitu asetus 2023/1184) laajentaa kaksinkertaisen hiilikirjanpidon (§10.17) laadullisesti erilaiseen vertikaaliin (data-intensiiviset palvelut, ei raskasteollisuus). Sääntelypino kattaa nyt NIS2 + CER ilmastosääntelyn rinnalla — alustan EU-sääntelyalueen ensimmäinen poikkialueellinen laajennus.</w:t>
      </w:r>
    </w:p>
    <w:p>
      <w:pPr>
        <w:pStyle w:val="BodyText"/>
      </w:pPr>
      <w:r>
        <w:rPr>
          <w:bCs/>
          <w:b/>
        </w:rPr>
        <w:t xml:space="preserve">Avainpanos #28 — Perustajan→tiimin siirtymä alustan ominaisuutena:</w:t>
      </w:r>
      <w:r>
        <w:t xml:space="preserve"> </w:t>
      </w:r>
      <w:r>
        <w:t xml:space="preserve">Yksinperustaja-tekoälytiimin kanssa -teesi vaiheistetaan, ei julisteta.</w:t>
      </w:r>
      <w:r>
        <w:t xml:space="preserve"> </w:t>
      </w:r>
      <w:r>
        <w:rPr>
          <w:rStyle w:val="VerbatimChar"/>
        </w:rPr>
        <w:t xml:space="preserve">/investor-outreach</w:t>
      </w:r>
      <w:r>
        <w:t xml:space="preserve"> </w:t>
      </w:r>
      <w:r>
        <w:t xml:space="preserve">-taito ja SOLO_FOUNDER_STATEMENT -yksi-totuuden-lähde -malli tekevät sijoittajayhteydenpidosta DWS IQ -työnkulun, ei hiljaista perustajatietoa. Tämä validoi alustan oman teesinsä: jos alusta ei voi ajaa omaa varainkeruutaan toistettavana taitona, se ei voi väittää replikoivansa ratkaisutehdas-työtä asiakkaille.</w:t>
      </w:r>
    </w:p>
    <w:bookmarkEnd w:id="276"/>
    <w:bookmarkEnd w:id="277"/>
    <w:bookmarkStart w:id="286" w:name="X523a116a02a00545647f66481225de5f5b8c689"/>
    <w:p>
      <w:pPr>
        <w:pStyle w:val="Heading3"/>
      </w:pPr>
      <w:r>
        <w:t xml:space="preserve">10.21 Tohtoripolun kohdennus: KYA-perusta, DWS 7 tavoitteet ja dual-use-laajennus</w:t>
      </w:r>
    </w:p>
    <w:bookmarkStart w:id="278" w:name="kya-agentic-ai-foundation--standardina"/>
    <w:p>
      <w:pPr>
        <w:pStyle w:val="Heading4"/>
      </w:pPr>
      <w:r>
        <w:t xml:space="preserve">10.21.1 KYA Agentic AI Foundation -standardina</w:t>
      </w:r>
    </w:p>
    <w:p>
      <w:pPr>
        <w:pStyle w:val="FirstParagraph"/>
      </w:pPr>
      <w:r>
        <w:t xml:space="preserve">KYA (Know Your Agent) nostetaan tässä päivityksessä eksplisiittisesti kohti</w:t>
      </w:r>
      <w:r>
        <w:t xml:space="preserve"> </w:t>
      </w:r>
      <w:r>
        <w:rPr>
          <w:bCs/>
          <w:b/>
        </w:rPr>
        <w:t xml:space="preserve">Agentic AI Foundation</w:t>
      </w:r>
      <w:r>
        <w:t xml:space="preserve"> </w:t>
      </w:r>
      <w:r>
        <w:t xml:space="preserve">-standardia. Tavoitteena on, että KYA määrittää minimivaatimukset agenttien identiteettisidonnalle, suoritusaikaiselle valvonnalle, auditointipolulle, kill-switch-hallinnalle ja suvereniteettivalvonnalle eri toimialoilla.</w:t>
      </w:r>
    </w:p>
    <w:bookmarkEnd w:id="278"/>
    <w:bookmarkStart w:id="279" w:name="X449e9c8a5b7820c0ac656acd4e7757dc76be72d"/>
    <w:p>
      <w:pPr>
        <w:pStyle w:val="Heading4"/>
      </w:pPr>
      <w:r>
        <w:t xml:space="preserve">10.21.2 DWS 7 -tavoitteet tutkimuksen empiiriseksi rungoksi</w:t>
      </w:r>
    </w:p>
    <w:p>
      <w:pPr>
        <w:pStyle w:val="FirstParagraph"/>
      </w:pPr>
      <w:r>
        <w:t xml:space="preserve">DWS 7 toimii tutkimuksen käytännön validointialustana:</w:t>
      </w:r>
    </w:p>
    <w:p>
      <w:pPr>
        <w:numPr>
          <w:ilvl w:val="0"/>
          <w:numId w:val="1096"/>
        </w:numPr>
        <w:pStyle w:val="Compact"/>
      </w:pPr>
      <w:r>
        <w:t xml:space="preserve">hiilitaseen pysyvä kirjanpitokerros,</w:t>
      </w:r>
    </w:p>
    <w:p>
      <w:pPr>
        <w:numPr>
          <w:ilvl w:val="0"/>
          <w:numId w:val="1096"/>
        </w:numPr>
        <w:pStyle w:val="Compact"/>
      </w:pPr>
      <w:r>
        <w:t xml:space="preserve">KYA-hallinnan tuotantotason todistusketju,</w:t>
      </w:r>
    </w:p>
    <w:p>
      <w:pPr>
        <w:numPr>
          <w:ilvl w:val="0"/>
          <w:numId w:val="1096"/>
        </w:numPr>
        <w:pStyle w:val="Compact"/>
      </w:pPr>
      <w:r>
        <w:t xml:space="preserve">suvereniteettisegmentointi tuotetasoille (Aegis / Sovereign Infra / Connect),</w:t>
      </w:r>
    </w:p>
    <w:p>
      <w:pPr>
        <w:numPr>
          <w:ilvl w:val="0"/>
          <w:numId w:val="1096"/>
        </w:numPr>
        <w:pStyle w:val="Compact"/>
      </w:pPr>
      <w:r>
        <w:t xml:space="preserve">kumppanikanavaintegraatio Siemens- ja NVIDIA Connect -ekosysteemeihin.</w:t>
      </w:r>
    </w:p>
    <w:bookmarkEnd w:id="279"/>
    <w:bookmarkStart w:id="280" w:name="vetytalouden-jatkumo-dws-5---dws-7"/>
    <w:p>
      <w:pPr>
        <w:pStyle w:val="Heading4"/>
      </w:pPr>
      <w:r>
        <w:t xml:space="preserve">10.21.3 Vetytalouden jatkumo (DWS 5 -&gt; DWS 7)</w:t>
      </w:r>
    </w:p>
    <w:p>
      <w:pPr>
        <w:pStyle w:val="FirstParagraph"/>
      </w:pPr>
      <w:r>
        <w:t xml:space="preserve">Vetytalous kirjataan tutkimuksen läpileikkaavaksi teemaksi: DWS 5 -vaiheessa tunnistettu vety- ja energiasääntelyn merkitys jatkuu DWS 7 -toteutuksessa RFNBO-lisäisyyslogiikan, ajallisen korrelaation ja maantieteellisen korrelaation todentamisena.</w:t>
      </w:r>
    </w:p>
    <w:bookmarkEnd w:id="280"/>
    <w:bookmarkStart w:id="281" w:name="kolmas-tutkimuskohde-dual-use-toimialat"/>
    <w:p>
      <w:pPr>
        <w:pStyle w:val="Heading4"/>
      </w:pPr>
      <w:r>
        <w:t xml:space="preserve">10.21.4 Kolmas tutkimuskohde: dual-use-toimialat</w:t>
      </w:r>
    </w:p>
    <w:p>
      <w:pPr>
        <w:pStyle w:val="FirstParagraph"/>
      </w:pPr>
      <w:r>
        <w:t xml:space="preserve">Kolmas tutkimuskohde kohdennetaan dual-use-toimialoihin (teollisuus + puolustus). Tätä varten kirjataan erikseen käynnissä oleva keskustelupolku</w:t>
      </w:r>
      <w:r>
        <w:t xml:space="preserve"> </w:t>
      </w:r>
      <w:r>
        <w:rPr>
          <w:bCs/>
          <w:b/>
        </w:rPr>
        <w:t xml:space="preserve">Nokia Defencen</w:t>
      </w:r>
      <w:r>
        <w:t xml:space="preserve"> </w:t>
      </w:r>
      <w:r>
        <w:t xml:space="preserve">kanssa osana rahoitus- ja pilotointivalmistelua.</w:t>
      </w:r>
    </w:p>
    <w:bookmarkEnd w:id="281"/>
    <w:bookmarkStart w:id="282" w:name="Xe4b884374950c2db13f882c3b6c5844417d3e1f"/>
    <w:p>
      <w:pPr>
        <w:pStyle w:val="Heading4"/>
      </w:pPr>
      <w:r>
        <w:t xml:space="preserve">10.21.5 Tuotetasojen suvereniteettisegmentointi (keskeinen kuva)</w:t>
      </w:r>
    </w:p>
    <w:p>
      <w:pPr>
        <w:pStyle w:val="FirstParagraph"/>
      </w:pPr>
    </w:p>
    <w:p>
      <w:pPr>
        <w:pStyle w:val="BodyText"/>
      </w:pPr>
      <w:r>
        <w:t xml:space="preserve">Segmentoinnin tutkimuksellinen rooli:</w:t>
      </w:r>
    </w:p>
    <w:p>
      <w:pPr>
        <w:numPr>
          <w:ilvl w:val="0"/>
          <w:numId w:val="1097"/>
        </w:numPr>
        <w:pStyle w:val="Compact"/>
      </w:pPr>
      <w:r>
        <w:rPr>
          <w:bCs/>
          <w:b/>
        </w:rPr>
        <w:t xml:space="preserve">Aegis:</w:t>
      </w:r>
      <w:r>
        <w:t xml:space="preserve"> </w:t>
      </w:r>
      <w:r>
        <w:t xml:space="preserve">kriittisen infrastruktuurin turvallisuushallinta</w:t>
      </w:r>
    </w:p>
    <w:p>
      <w:pPr>
        <w:numPr>
          <w:ilvl w:val="0"/>
          <w:numId w:val="1097"/>
        </w:numPr>
        <w:pStyle w:val="Compact"/>
      </w:pPr>
      <w:r>
        <w:rPr>
          <w:bCs/>
          <w:b/>
        </w:rPr>
        <w:t xml:space="preserve">Sovereign Infra:</w:t>
      </w:r>
      <w:r>
        <w:t xml:space="preserve"> </w:t>
      </w:r>
      <w:r>
        <w:t xml:space="preserve">EU-suvereeni tuotantotaso säännellyille asiakkaille</w:t>
      </w:r>
    </w:p>
    <w:p>
      <w:pPr>
        <w:numPr>
          <w:ilvl w:val="0"/>
          <w:numId w:val="1097"/>
        </w:numPr>
        <w:pStyle w:val="Compact"/>
      </w:pPr>
      <w:r>
        <w:rPr>
          <w:bCs/>
          <w:b/>
        </w:rPr>
        <w:t xml:space="preserve">Connect:</w:t>
      </w:r>
      <w:r>
        <w:t xml:space="preserve"> </w:t>
      </w:r>
      <w:r>
        <w:t xml:space="preserve">globaali integraatio- ja jakelutaso</w:t>
      </w:r>
    </w:p>
    <w:bookmarkEnd w:id="282"/>
    <w:bookmarkStart w:id="283" w:name="yhteistyöankkurit"/>
    <w:p>
      <w:pPr>
        <w:pStyle w:val="Heading4"/>
      </w:pPr>
      <w:r>
        <w:t xml:space="preserve">10.21.6 Yhteistyöankkurit</w:t>
      </w:r>
    </w:p>
    <w:p>
      <w:pPr>
        <w:pStyle w:val="FirstParagraph"/>
      </w:pPr>
      <w:r>
        <w:t xml:space="preserve">Siemens-yhteistyö ankkuroidaan digitaalisen kaksosen ja teollisen IoT-datan yhteyteen. NVIDIA Connect -yhteistyö ankkuroidaan agentti-inferenssin, reunalaskennan ja kumppanijakelun tekniseksi ja kaupalliseksi vipuvarreksi.</w:t>
      </w:r>
    </w:p>
    <w:bookmarkEnd w:id="283"/>
    <w:bookmarkStart w:id="284" w:name="ohjaajapalaute-ja-vastauskirjeen-runko"/>
    <w:p>
      <w:pPr>
        <w:pStyle w:val="Heading4"/>
      </w:pPr>
      <w:r>
        <w:t xml:space="preserve">10.21.7 Ohjaajapalaute ja vastauskirjeen runko</w:t>
      </w:r>
    </w:p>
    <w:p>
      <w:pPr>
        <w:pStyle w:val="FirstParagraph"/>
      </w:pPr>
      <w:r>
        <w:t xml:space="preserve">Kari Smolanderin ohjaajapalaute (2 vuoden sitoutumisraja, tiedeyhteisöön sosiaalistuminen, 3-5 vertaisarvioitua julkaisua + laaja johdanto) on huomioitu. Vastauskirjeen runko kohdistetaan pyydettyihin kohtiin:</w:t>
      </w:r>
    </w:p>
    <w:p>
      <w:pPr>
        <w:numPr>
          <w:ilvl w:val="0"/>
          <w:numId w:val="1098"/>
        </w:numPr>
        <w:pStyle w:val="Compact"/>
      </w:pPr>
      <w:r>
        <w:t xml:space="preserve">tutkimusongelma,</w:t>
      </w:r>
    </w:p>
    <w:p>
      <w:pPr>
        <w:numPr>
          <w:ilvl w:val="0"/>
          <w:numId w:val="1098"/>
        </w:numPr>
        <w:pStyle w:val="Compact"/>
      </w:pPr>
      <w:r>
        <w:t xml:space="preserve">tutkimuksen tavoitteet,</w:t>
      </w:r>
    </w:p>
    <w:p>
      <w:pPr>
        <w:numPr>
          <w:ilvl w:val="0"/>
          <w:numId w:val="1098"/>
        </w:numPr>
        <w:pStyle w:val="Compact"/>
      </w:pPr>
      <w:r>
        <w:t xml:space="preserve">alustava tutkimusmenetelmä,</w:t>
      </w:r>
    </w:p>
    <w:p>
      <w:pPr>
        <w:numPr>
          <w:ilvl w:val="0"/>
          <w:numId w:val="1098"/>
        </w:numPr>
        <w:pStyle w:val="Compact"/>
      </w:pPr>
      <w:r>
        <w:t xml:space="preserve">läpiviennin vaiheistus ja julkaisupolku.</w:t>
      </w:r>
    </w:p>
    <w:p>
      <w:pPr>
        <w:pStyle w:val="FirstParagraph"/>
      </w:pPr>
      <w:r>
        <w:t xml:space="preserve">Tämä luo konkreettisen seuraavan vaiheen tapaamiselle ja tutkimussuunnitelman täsmentämiselle.</w:t>
      </w:r>
    </w:p>
    <w:bookmarkEnd w:id="284"/>
    <w:bookmarkStart w:id="285" w:name="X7be2e34d0b1c9dc5c9962b78f9234e0c3f08ad8"/>
    <w:p>
      <w:pPr>
        <w:pStyle w:val="Heading4"/>
      </w:pPr>
      <w:r>
        <w:t xml:space="preserve">10.21.8 Open source -standardireitti ja julkaisuvaiheistus</w:t>
      </w:r>
    </w:p>
    <w:p>
      <w:pPr>
        <w:pStyle w:val="FirstParagraph"/>
      </w:pPr>
      <w:r>
        <w:t xml:space="preserve">Boardy-keskustelun perusteella tutkimusasetelmaan kirjataan eksplisiittinen standardointistrategia:</w:t>
      </w:r>
    </w:p>
    <w:p>
      <w:pPr>
        <w:numPr>
          <w:ilvl w:val="0"/>
          <w:numId w:val="1099"/>
        </w:numPr>
        <w:pStyle w:val="Compact"/>
      </w:pPr>
      <w:r>
        <w:rPr>
          <w:bCs/>
          <w:b/>
        </w:rPr>
        <w:t xml:space="preserve">Artikkeli 1 (2026):</w:t>
      </w:r>
      <w:r>
        <w:t xml:space="preserve"> </w:t>
      </w:r>
      <w:r>
        <w:t xml:space="preserve">“</w:t>
      </w:r>
      <w:r>
        <w:t xml:space="preserve">KYA Standard: An Open Source Governance Framework for Agentic AI in EU-Regulated Industries</w:t>
      </w:r>
      <w:r>
        <w:t xml:space="preserve">”</w:t>
      </w:r>
      <w:r>
        <w:t xml:space="preserve"> </w:t>
      </w:r>
      <w:r>
        <w:t xml:space="preserve">— ehdotus Agentic AI Foundation / Linux Foundation -standardireitille + konferenssiesitys.</w:t>
      </w:r>
    </w:p>
    <w:p>
      <w:pPr>
        <w:numPr>
          <w:ilvl w:val="0"/>
          <w:numId w:val="1099"/>
        </w:numPr>
        <w:pStyle w:val="Compact"/>
      </w:pPr>
      <w:r>
        <w:rPr>
          <w:bCs/>
          <w:b/>
        </w:rPr>
        <w:t xml:space="preserve">Artikkeli 2 (2027):</w:t>
      </w:r>
      <w:r>
        <w:t xml:space="preserve"> </w:t>
      </w:r>
      <w:r>
        <w:t xml:space="preserve">MCP + A2A -arkkitehtuurin skaalautuvuus säännellyissä vertikaaleissa (journal-kohdennus).</w:t>
      </w:r>
    </w:p>
    <w:p>
      <w:pPr>
        <w:numPr>
          <w:ilvl w:val="0"/>
          <w:numId w:val="1099"/>
        </w:numPr>
        <w:pStyle w:val="Compact"/>
      </w:pPr>
      <w:r>
        <w:rPr>
          <w:bCs/>
          <w:b/>
        </w:rPr>
        <w:t xml:space="preserve">Artikkelit 3-4 (2028):</w:t>
      </w:r>
      <w:r>
        <w:t xml:space="preserve"> </w:t>
      </w:r>
      <w:r>
        <w:t xml:space="preserve">empiiriset tulokset asiakkaiden tuotantoaineistolla.</w:t>
      </w:r>
    </w:p>
    <w:p>
      <w:pPr>
        <w:numPr>
          <w:ilvl w:val="0"/>
          <w:numId w:val="1099"/>
        </w:numPr>
        <w:pStyle w:val="Compact"/>
      </w:pPr>
      <w:r>
        <w:rPr>
          <w:bCs/>
          <w:b/>
        </w:rPr>
        <w:t xml:space="preserve">Koontiosa (2028-2029):</w:t>
      </w:r>
      <w:r>
        <w:t xml:space="preserve"> </w:t>
      </w:r>
      <w:r>
        <w:t xml:space="preserve">johdanto + väitöskokonaisuus.</w:t>
      </w:r>
    </w:p>
    <w:p>
      <w:pPr>
        <w:pStyle w:val="FirstParagraph"/>
      </w:pPr>
      <w:r>
        <w:t xml:space="preserve">Tilapäivitys (21.04.2026):</w:t>
      </w:r>
    </w:p>
    <w:p>
      <w:pPr>
        <w:numPr>
          <w:ilvl w:val="0"/>
          <w:numId w:val="1100"/>
        </w:numPr>
        <w:pStyle w:val="Compact"/>
      </w:pPr>
      <w:r>
        <w:t xml:space="preserve">KYA open source -ehdotusta ei ole vielä lähetetty.</w:t>
      </w:r>
    </w:p>
    <w:p>
      <w:pPr>
        <w:numPr>
          <w:ilvl w:val="0"/>
          <w:numId w:val="1100"/>
        </w:numPr>
        <w:pStyle w:val="Compact"/>
      </w:pPr>
      <w:r>
        <w:t xml:space="preserve">NIST-hakemusta ei ole lähetetty.</w:t>
      </w:r>
    </w:p>
    <w:p>
      <w:pPr>
        <w:numPr>
          <w:ilvl w:val="0"/>
          <w:numId w:val="1100"/>
        </w:numPr>
        <w:pStyle w:val="Compact"/>
      </w:pPr>
      <w:r>
        <w:t xml:space="preserve">Polut ovat rinnakkaisia; tämän kierroksen prioriteetti on open source -adoptio.</w:t>
      </w:r>
    </w:p>
    <w:p>
      <w:pPr>
        <w:pStyle w:val="FirstParagraph"/>
      </w:pPr>
      <w:r>
        <w:t xml:space="preserve">Lisäksi EIC Step 1 -ikkuna (5-sivuinen proposal, 10-slide deck, 3 min video script) kirjataan tutkimusohjelman tuotteistuskanavaksi, joka tukee Artikkeli 1:n argumentaatiota ilman että korvaa tieteellistä julkaisupolkua.</w:t>
      </w:r>
    </w:p>
    <w:p>
      <w:r>
        <w:pict>
          <v:rect style="width:0;height:1.5pt" o:hralign="center" o:hrstd="t" o:hr="t"/>
        </w:pict>
      </w:r>
    </w:p>
    <w:bookmarkEnd w:id="285"/>
    <w:bookmarkEnd w:id="286"/>
    <w:bookmarkStart w:id="294" w:name="Xe1cd2d32366b6ebfd345b7bd44bd8a6732e4e60"/>
    <w:p>
      <w:pPr>
        <w:pStyle w:val="Heading3"/>
      </w:pPr>
      <w:r>
        <w:t xml:space="preserve">10.22 DWS Skilled -taksonomia: kolme tasoa agenteille, työnkuluille ja jurisdiktioille</w:t>
      </w:r>
    </w:p>
    <w:p>
      <w:pPr>
        <w:pStyle w:val="FirstParagraph"/>
      </w:pPr>
      <w:r>
        <w:rPr>
          <w:iCs/>
          <w:i/>
        </w:rPr>
        <w:t xml:space="preserve">Lisätty: 22.04.2026 | Lähde: CLAUDE.md</w:t>
      </w:r>
      <w:r>
        <w:rPr>
          <w:iCs/>
          <w:i/>
        </w:rPr>
        <w:t xml:space="preserve"> </w:t>
      </w:r>
      <w:r>
        <w:rPr>
          <w:iCs/>
          <w:i/>
        </w:rPr>
        <w:t xml:space="preserve">“</w:t>
      </w:r>
      <w:r>
        <w:rPr>
          <w:iCs/>
          <w:i/>
        </w:rPr>
        <w:t xml:space="preserve">DWS Skilled Taxonomy Rule</w:t>
      </w:r>
      <w:r>
        <w:rPr>
          <w:iCs/>
          <w:i/>
        </w:rPr>
        <w:t xml:space="preserve">”</w:t>
      </w:r>
      <w:r>
        <w:rPr>
          <w:iCs/>
          <w:i/>
        </w:rPr>
        <w:t xml:space="preserve">; Anthropicin 16.4.2026 Skills-paradigman essee (§10.20.1);</w:t>
      </w:r>
      <w:r>
        <w:rPr>
          <w:iCs/>
          <w:i/>
        </w:rPr>
        <w:t xml:space="preserve"> </w:t>
      </w:r>
      <w:r>
        <w:rPr>
          <w:iCs/>
          <w:i/>
        </w:rPr>
        <w:t xml:space="preserve">“</w:t>
      </w:r>
      <w:r>
        <w:rPr>
          <w:iCs/>
          <w:i/>
        </w:rPr>
        <w:t xml:space="preserve">GodAgent</w:t>
      </w:r>
      <w:r>
        <w:rPr>
          <w:iCs/>
          <w:i/>
        </w:rPr>
        <w:t xml:space="preserve">”</w:t>
      </w:r>
      <w:r>
        <w:rPr>
          <w:iCs/>
          <w:i/>
        </w:rPr>
        <w:t xml:space="preserve">-brändin käytöstä poisto.</w:t>
      </w:r>
    </w:p>
    <w:bookmarkStart w:id="287" w:name="motivaatio-4"/>
    <w:p>
      <w:pPr>
        <w:pStyle w:val="Heading4"/>
      </w:pPr>
      <w:r>
        <w:t xml:space="preserve">10.22.1 Motivaatio</w:t>
      </w:r>
    </w:p>
    <w:p>
      <w:pPr>
        <w:pStyle w:val="FirstParagraph"/>
      </w:pPr>
      <w:r>
        <w:t xml:space="preserve">Aikaisempi</w:t>
      </w:r>
      <w:r>
        <w:t xml:space="preserve"> </w:t>
      </w:r>
      <w:r>
        <w:t xml:space="preserve">“</w:t>
      </w:r>
      <w:r>
        <w:t xml:space="preserve">GodAgent</w:t>
      </w:r>
      <w:r>
        <w:t xml:space="preserve">”</w:t>
      </w:r>
      <w:r>
        <w:t xml:space="preserve">-brändäys (otettu käyttöön V3-alustarakennuksen aikana, ks. §10.13 ja</w:t>
      </w:r>
      <w:r>
        <w:t xml:space="preserve"> </w:t>
      </w:r>
      <w:r>
        <w:rPr>
          <w:rStyle w:val="VerbatimChar"/>
        </w:rPr>
        <w:t xml:space="preserve">docs/Deputy-Agents-Architecture.md</w:t>
      </w:r>
      <w:r>
        <w:t xml:space="preserve">) yhdisti kolme eri referenttiä yhteen termiin — brändilupauksen (taidoilla hankittu kyvykkyys), teknisen määrittelyn (toimialakohtainen AI-agentti, joka laajentaa perus-compliance-kerrosta) ja käyttöliittymäkategorian (ostajille ja operaattoreille näytettävä listaus). Yhdistäminen oli siedettävää alkuvaiheessa, mutta siitä tuli positiointiriski heti kun Anthropicin Skills-paradigma (§10.20.1) validoi</w:t>
      </w:r>
      <w:r>
        <w:t xml:space="preserve"> </w:t>
      </w:r>
      <w:r>
        <w:t xml:space="preserve">“</w:t>
      </w:r>
      <w:r>
        <w:t xml:space="preserve">taito-ensin</w:t>
      </w:r>
      <w:r>
        <w:t xml:space="preserve">”</w:t>
      </w:r>
      <w:r>
        <w:t xml:space="preserve"> </w:t>
      </w:r>
      <w:r>
        <w:t xml:space="preserve">-arkkitehtuurin alalla vallitsevaksi konsensukseksi. Tässä osiossa</w:t>
      </w:r>
      <w:r>
        <w:t xml:space="preserve"> </w:t>
      </w:r>
      <w:r>
        <w:t xml:space="preserve">“</w:t>
      </w:r>
      <w:r>
        <w:t xml:space="preserve">GodAgent</w:t>
      </w:r>
      <w:r>
        <w:t xml:space="preserve">”</w:t>
      </w:r>
      <w:r>
        <w:t xml:space="preserve">-termi korvataan rekisterikohtaisella terminologialla ja — mikä olennaisempaa — sama kolmitasomalli laajennetaan agenttien lisäksi työnkulkuihin ja jurisdiktioihin.</w:t>
      </w:r>
    </w:p>
    <w:bookmarkEnd w:id="287"/>
    <w:bookmarkStart w:id="288" w:name="kolmitasomalli"/>
    <w:p>
      <w:pPr>
        <w:pStyle w:val="Heading4"/>
      </w:pPr>
      <w:r>
        <w:t xml:space="preserve">10.22.2 Kolmitasomalli</w:t>
      </w:r>
    </w:p>
    <w:p>
      <w:pPr>
        <w:pStyle w:val="FirstParagraph"/>
      </w:pPr>
      <w:r>
        <w:t xml:space="preserve">Taksonomia määrittelee yhden kolmitasomallin, jota sovelletaan jokaiseen kyvykkyysakseliin, jossa DWS tarjoaa syvyyttä:</w:t>
      </w:r>
    </w:p>
    <w:p>
      <w:pPr>
        <w:pStyle w:val="SourceCode"/>
      </w:pPr>
      <w:r>
        <w:rPr>
          <w:rStyle w:val="VerbatimChar"/>
        </w:rPr>
        <w:t xml:space="preserve">Skilled &lt;Akseli&gt;                 ← BRÄNDI  (mitä MYYDÄÄN)</w:t>
      </w:r>
      <w:r>
        <w:br/>
      </w:r>
      <w:r>
        <w:rPr>
          <w:rStyle w:val="VerbatimChar"/>
        </w:rPr>
        <w:t xml:space="preserve">    └─ Industrial Specialist &lt;Akseli&gt;    ← SPEKSI  (mitä ne OVAT)</w:t>
      </w:r>
      <w:r>
        <w:br/>
      </w:r>
      <w:r>
        <w:rPr>
          <w:rStyle w:val="VerbatimChar"/>
        </w:rPr>
        <w:t xml:space="preserve">            └─ Industry &lt;Akseli&gt;         ← UI      (miten ne LISTATAAN)</w:t>
      </w:r>
    </w:p>
    <w:p>
      <w:pPr>
        <w:pStyle w:val="FirstParagraph"/>
      </w:pPr>
      <w:r>
        <w:t xml:space="preserve">Kolme tasoa erottavat markkinoinnin, dokumentaation ja käyttöliittymän rekisterit yhteisen mentaalimallin alla. Termit viittaavat samaan alkuperäiseen artefaktiin kullakin akselilla; rekisteri muuttuu pinnan mukana.</w:t>
      </w:r>
    </w:p>
    <w:bookmarkEnd w:id="288"/>
    <w:bookmarkStart w:id="289" w:name="kolme-aktiivista-akselia-huhtikuu-2026"/>
    <w:p>
      <w:pPr>
        <w:pStyle w:val="Heading4"/>
      </w:pPr>
      <w:r>
        <w:t xml:space="preserve">10.22.3 Kolme aktiivista akselia (huhtikuu 2026)</w:t>
      </w:r>
    </w:p>
    <w:tbl>
      <w:tblPr>
        <w:tblStyle w:val="Table"/>
        <w:tblW w:type="pct" w:w="5000"/>
        <w:tblLook w:firstRow="1" w:lastRow="0" w:firstColumn="0" w:lastColumn="0" w:noHBand="0" w:noVBand="0" w:val="0020"/>
        <w:jc w:val="start"/>
      </w:tblPr>
      <w:tblGrid>
        <w:gridCol w:w="446"/>
        <w:gridCol w:w="1561"/>
        <w:gridCol w:w="3848"/>
        <w:gridCol w:w="2063"/>
      </w:tblGrid>
      <w:tr>
        <w:trPr>
          <w:tblHeader w:val="true"/>
        </w:trPr>
        <w:tc>
          <w:tcPr/>
          <w:p>
            <w:pPr>
              <w:pStyle w:val="Compact"/>
              <w:jc w:val="left"/>
            </w:pPr>
            <w:r>
              <w:t xml:space="preserve">Taso</w:t>
            </w:r>
          </w:p>
        </w:tc>
        <w:tc>
          <w:tcPr/>
          <w:p>
            <w:pPr>
              <w:pStyle w:val="Compact"/>
              <w:jc w:val="left"/>
            </w:pPr>
            <w:r>
              <w:rPr>
                <w:bCs/>
                <w:b/>
              </w:rPr>
              <w:t xml:space="preserve">Agentit</w:t>
            </w:r>
          </w:p>
        </w:tc>
        <w:tc>
          <w:tcPr/>
          <w:p>
            <w:pPr>
              <w:pStyle w:val="Compact"/>
              <w:jc w:val="left"/>
            </w:pPr>
            <w:r>
              <w:rPr>
                <w:bCs/>
                <w:b/>
              </w:rPr>
              <w:t xml:space="preserve">Työnkulut (Workflows)</w:t>
            </w:r>
          </w:p>
        </w:tc>
        <w:tc>
          <w:tcPr/>
          <w:p>
            <w:pPr>
              <w:pStyle w:val="Compact"/>
              <w:jc w:val="left"/>
            </w:pPr>
            <w:r>
              <w:rPr>
                <w:bCs/>
                <w:b/>
              </w:rPr>
              <w:t xml:space="preserve">Jurisdiktiot</w:t>
            </w:r>
          </w:p>
        </w:tc>
      </w:tr>
      <w:tr>
        <w:tc>
          <w:tcPr/>
          <w:p>
            <w:pPr>
              <w:pStyle w:val="Compact"/>
              <w:jc w:val="left"/>
            </w:pPr>
            <w:r>
              <w:t xml:space="preserve">1 Brändi</w:t>
            </w:r>
          </w:p>
        </w:tc>
        <w:tc>
          <w:tcPr/>
          <w:p>
            <w:pPr>
              <w:pStyle w:val="Compact"/>
              <w:jc w:val="left"/>
            </w:pPr>
            <w:r>
              <w:t xml:space="preserve">Skilled Agents</w:t>
            </w:r>
          </w:p>
        </w:tc>
        <w:tc>
          <w:tcPr/>
          <w:p>
            <w:pPr>
              <w:pStyle w:val="Compact"/>
              <w:jc w:val="left"/>
            </w:pPr>
            <w:r>
              <w:t xml:space="preserve">Skilled Autonomous Workflows</w:t>
            </w:r>
          </w:p>
        </w:tc>
        <w:tc>
          <w:tcPr/>
          <w:p>
            <w:pPr>
              <w:pStyle w:val="Compact"/>
              <w:jc w:val="left"/>
            </w:pPr>
            <w:r>
              <w:t xml:space="preserve">Skilled Jurisdictions (EU, US, Aiven)</w:t>
            </w:r>
          </w:p>
        </w:tc>
      </w:tr>
      <w:tr>
        <w:tc>
          <w:tcPr/>
          <w:p>
            <w:pPr>
              <w:pStyle w:val="Compact"/>
              <w:jc w:val="left"/>
            </w:pPr>
            <w:r>
              <w:t xml:space="preserve">2 Speksi</w:t>
            </w:r>
          </w:p>
        </w:tc>
        <w:tc>
          <w:tcPr/>
          <w:p>
            <w:pPr>
              <w:pStyle w:val="Compact"/>
              <w:jc w:val="left"/>
            </w:pPr>
            <w:r>
              <w:t xml:space="preserve">Industrial Specialist Agents</w:t>
            </w:r>
          </w:p>
        </w:tc>
        <w:tc>
          <w:tcPr/>
          <w:p>
            <w:pPr>
              <w:pStyle w:val="Compact"/>
              <w:jc w:val="left"/>
            </w:pPr>
            <w:r>
              <w:t xml:space="preserve">Specialist Workflows (pitkä muoto:</w:t>
            </w:r>
            <w:r>
              <w:t xml:space="preserve"> </w:t>
            </w:r>
            <w:r>
              <w:rPr>
                <w:iCs/>
                <w:i/>
              </w:rPr>
              <w:t xml:space="preserve">Industrial Specialist Workflows</w:t>
            </w:r>
            <w:r>
              <w:t xml:space="preserve">)</w:t>
            </w:r>
          </w:p>
        </w:tc>
        <w:tc>
          <w:tcPr/>
          <w:p>
            <w:pPr>
              <w:pStyle w:val="Compact"/>
              <w:jc w:val="left"/>
            </w:pPr>
            <w:r>
              <w:t xml:space="preserve">Regulatory Specialist Jurisdictions</w:t>
            </w:r>
          </w:p>
        </w:tc>
      </w:tr>
      <w:tr>
        <w:tc>
          <w:tcPr/>
          <w:p>
            <w:pPr>
              <w:pStyle w:val="Compact"/>
              <w:jc w:val="left"/>
            </w:pPr>
            <w:r>
              <w:t xml:space="preserve">3 UI</w:t>
            </w:r>
          </w:p>
        </w:tc>
        <w:tc>
          <w:tcPr/>
          <w:p>
            <w:pPr>
              <w:pStyle w:val="Compact"/>
              <w:jc w:val="left"/>
            </w:pPr>
            <w:r>
              <w:t xml:space="preserve">Industry Agents</w:t>
            </w:r>
          </w:p>
        </w:tc>
        <w:tc>
          <w:tcPr/>
          <w:p>
            <w:pPr>
              <w:pStyle w:val="Compact"/>
              <w:jc w:val="left"/>
            </w:pPr>
            <w:r>
              <w:t xml:space="preserve">Industrial Workflows</w:t>
            </w:r>
          </w:p>
        </w:tc>
        <w:tc>
          <w:tcPr/>
          <w:p>
            <w:pPr>
              <w:pStyle w:val="Compact"/>
              <w:jc w:val="left"/>
            </w:pPr>
            <w:r>
              <w:t xml:space="preserve">Jurisdictions</w:t>
            </w:r>
          </w:p>
        </w:tc>
      </w:tr>
    </w:tbl>
    <w:p>
      <w:pPr>
        <w:pStyle w:val="BodyText"/>
      </w:pPr>
      <w:r>
        <w:rPr>
          <w:bCs/>
          <w:b/>
        </w:rPr>
        <w:t xml:space="preserve">Agentit.</w:t>
      </w:r>
      <w:r>
        <w:t xml:space="preserve"> </w:t>
      </w:r>
      <w:r>
        <w:t xml:space="preserve">Toimialakohtaiset AI-agentit, jotka laajentavat perus-Athena-EU-compliance-kerrosta sektorikohtaisella osaamisella (teräs, sementti, kemia, rakennus, datakeskukset ja §10.6–10.8:ssa dokumentoidut 20+ toimialaa).</w:t>
      </w:r>
    </w:p>
    <w:p>
      <w:pPr>
        <w:pStyle w:val="BodyText"/>
      </w:pPr>
      <w:r>
        <w:rPr>
          <w:bCs/>
          <w:b/>
        </w:rPr>
        <w:t xml:space="preserve">Työnkulut.</w:t>
      </w:r>
      <w:r>
        <w:t xml:space="preserve"> </w:t>
      </w:r>
      <w:r>
        <w:t xml:space="preserve">Agenttien deterministiset kompositiot, joita käynnistetään aikataululla tai tapahtumalla — §10.13.3:n taitojenkäynnistyskerros.</w:t>
      </w:r>
      <w:r>
        <w:t xml:space="preserve"> </w:t>
      </w:r>
      <w:r>
        <w:t xml:space="preserve">“</w:t>
      </w:r>
      <w:r>
        <w:t xml:space="preserve">Autonomous</w:t>
      </w:r>
      <w:r>
        <w:t xml:space="preserve">”</w:t>
      </w:r>
      <w:r>
        <w:t xml:space="preserve"> </w:t>
      </w:r>
      <w:r>
        <w:t xml:space="preserve">lisätään brändi</w:t>
      </w:r>
      <w:r>
        <w:softHyphen/>
      </w:r>
      <w:r>
        <w:t xml:space="preserve">tasolle, koska työnkulut suoritetaan ilman ihmistä silmukassa, kun taas agentteja kutsutaan.</w:t>
      </w:r>
    </w:p>
    <w:p>
      <w:pPr>
        <w:pStyle w:val="BodyText"/>
      </w:pPr>
      <w:r>
        <w:rPr>
          <w:bCs/>
          <w:b/>
        </w:rPr>
        <w:t xml:space="preserve">Jurisdiktiot.</w:t>
      </w:r>
      <w:r>
        <w:t xml:space="preserve"> </w:t>
      </w:r>
      <w:r>
        <w:t xml:space="preserve">Sääntelypinnat, joissa alusta on taitava — tällä hetkellä EU (AI Act, GDPR, CBAM, ETS, CSRD, ESRS, EPBD), US ja Aiven kartoitettuina tietoresidenssi-arkkitehtuurissa (ks.</w:t>
      </w:r>
      <w:r>
        <w:t xml:space="preserve"> </w:t>
      </w:r>
      <w:r>
        <w:rPr>
          <w:rStyle w:val="VerbatimChar"/>
        </w:rPr>
        <w:t xml:space="preserve">docs/CLOUD_ENVIRONMENTS.md</w:t>
      </w:r>
      <w:r>
        <w:t xml:space="preserve">). Speksi</w:t>
      </w:r>
      <w:r>
        <w:softHyphen/>
      </w:r>
      <w:r>
        <w:t xml:space="preserve">tasolle lisätään</w:t>
      </w:r>
      <w:r>
        <w:t xml:space="preserve"> </w:t>
      </w:r>
      <w:r>
        <w:t xml:space="preserve">“</w:t>
      </w:r>
      <w:r>
        <w:t xml:space="preserve">Regulatory</w:t>
      </w:r>
      <w:r>
        <w:t xml:space="preserve">”</w:t>
      </w:r>
      <w:r>
        <w:t xml:space="preserve">, koska jurisdiktio määrittyy sääntelypinnan, ei pelkän maantieteen kautta.</w:t>
      </w:r>
    </w:p>
    <w:bookmarkEnd w:id="289"/>
    <w:bookmarkStart w:id="290" w:name="laajennettavuus"/>
    <w:p>
      <w:pPr>
        <w:pStyle w:val="Heading4"/>
      </w:pPr>
      <w:r>
        <w:t xml:space="preserve">10.22.4 Laajennettavuus</w:t>
      </w:r>
    </w:p>
    <w:p>
      <w:pPr>
        <w:pStyle w:val="FirstParagraph"/>
      </w:pPr>
      <w:r>
        <w:t xml:space="preserve">Kun DWS lisää uuden kyvykkyysakselin (esim. Datasets, Models, Regulations, Reports), se nimetään</w:t>
      </w:r>
      <w:r>
        <w:t xml:space="preserve"> </w:t>
      </w:r>
      <w:r>
        <w:rPr>
          <w:rStyle w:val="VerbatimChar"/>
        </w:rPr>
        <w:t xml:space="preserve">Skilled &lt;Akseli&gt;</w:t>
      </w:r>
      <w:r>
        <w:t xml:space="preserve"> </w:t>
      </w:r>
      <w:r>
        <w:t xml:space="preserve">/</w:t>
      </w:r>
      <w:r>
        <w:t xml:space="preserve"> </w:t>
      </w:r>
      <w:r>
        <w:rPr>
          <w:rStyle w:val="VerbatimChar"/>
        </w:rPr>
        <w:t xml:space="preserve">Industrial Specialist &lt;Akseli&gt;</w:t>
      </w:r>
      <w:r>
        <w:t xml:space="preserve"> </w:t>
      </w:r>
      <w:r>
        <w:t xml:space="preserve">/</w:t>
      </w:r>
      <w:r>
        <w:t xml:space="preserve"> </w:t>
      </w:r>
      <w:r>
        <w:rPr>
          <w:rStyle w:val="VerbatimChar"/>
        </w:rPr>
        <w:t xml:space="preserve">Industry &lt;Akseli&gt;</w:t>
      </w:r>
      <w:r>
        <w:t xml:space="preserve"> </w:t>
      </w:r>
      <w:r>
        <w:t xml:space="preserve">ja lisätään taksonomiataulukkoon uutena sarakkeena. Rinnakkaiset brändisanat on kielletty; malli on tietoisesti monotoninen välttääkseen rekisterien sekoittumisongelman, jonka aikaisempi</w:t>
      </w:r>
      <w:r>
        <w:t xml:space="preserve"> </w:t>
      </w:r>
      <w:r>
        <w:t xml:space="preserve">“</w:t>
      </w:r>
      <w:r>
        <w:t xml:space="preserve">GodAgent</w:t>
      </w:r>
      <w:r>
        <w:t xml:space="preserve">”</w:t>
      </w:r>
      <w:r>
        <w:t xml:space="preserve">-termi aiheutti.</w:t>
      </w:r>
    </w:p>
    <w:bookmarkEnd w:id="290"/>
    <w:bookmarkStart w:id="291" w:name="lukumäärien-dynamiikka"/>
    <w:p>
      <w:pPr>
        <w:pStyle w:val="Heading4"/>
      </w:pPr>
      <w:r>
        <w:t xml:space="preserve">10.22.5 Lukumäärien dynamiikka</w:t>
      </w:r>
    </w:p>
    <w:p>
      <w:pPr>
        <w:pStyle w:val="FirstParagraph"/>
      </w:pPr>
      <w:r>
        <w:t xml:space="preserve">Kunkin akselin entiteettien lukumäärä muuttuu ajan myötä (esim. 22. toimiala datakeskusten compliance-agentin kautta, §10.20.3; taitokirjasto laajeni 6→21→24+ välillä v3.31–v3.34). Kovakoodatut lukumäärät brändikopiossa ovat siksi anti-pattern. Kolme hyväksyttävää kaavaa:</w:t>
      </w:r>
    </w:p>
    <w:p>
      <w:pPr>
        <w:numPr>
          <w:ilvl w:val="0"/>
          <w:numId w:val="1101"/>
        </w:numPr>
        <w:pStyle w:val="Compact"/>
      </w:pPr>
      <w:r>
        <w:rPr>
          <w:bCs/>
          <w:b/>
        </w:rPr>
        <w:t xml:space="preserve">Avoimet lukumäärät</w:t>
      </w:r>
      <w:r>
        <w:t xml:space="preserve"> </w:t>
      </w:r>
      <w:r>
        <w:t xml:space="preserve">alustakopiossa —</w:t>
      </w:r>
      <w:r>
        <w:t xml:space="preserve"> </w:t>
      </w:r>
      <w:r>
        <w:rPr>
          <w:rStyle w:val="VerbatimChar"/>
        </w:rPr>
        <w:t xml:space="preserve">18+ Skilled Agents</w:t>
      </w:r>
      <w:r>
        <w:t xml:space="preserve">,</w:t>
      </w:r>
      <w:r>
        <w:t xml:space="preserve"> </w:t>
      </w:r>
      <w:r>
        <w:rPr>
          <w:rStyle w:val="VerbatimChar"/>
        </w:rPr>
        <w:t xml:space="preserve">20+ Skilled Jurisdictions</w:t>
      </w:r>
      <w:r>
        <w:t xml:space="preserve">;</w:t>
      </w:r>
      <w:r>
        <w:t xml:space="preserve"> </w:t>
      </w:r>
      <w:r>
        <w:rPr>
          <w:rStyle w:val="VerbatimChar"/>
        </w:rPr>
        <w:t xml:space="preserve">+</w:t>
      </w:r>
      <w:r>
        <w:t xml:space="preserve"> </w:t>
      </w:r>
      <w:r>
        <w:t xml:space="preserve">imee kasvun.</w:t>
      </w:r>
    </w:p>
    <w:p>
      <w:pPr>
        <w:numPr>
          <w:ilvl w:val="0"/>
          <w:numId w:val="1101"/>
        </w:numPr>
        <w:pStyle w:val="Compact"/>
      </w:pPr>
      <w:r>
        <w:rPr>
          <w:bCs/>
          <w:b/>
        </w:rPr>
        <w:t xml:space="preserve">Rekisteriankkuroidut viittaukset</w:t>
      </w:r>
      <w:r>
        <w:t xml:space="preserve"> </w:t>
      </w:r>
      <w:r>
        <w:t xml:space="preserve">dokumenteissa —</w:t>
      </w:r>
      <w:r>
        <w:t xml:space="preserve"> </w:t>
      </w:r>
      <w:r>
        <w:t xml:space="preserve">“</w:t>
      </w:r>
      <w:r>
        <w:t xml:space="preserve">ks. Industrial Specialist Agent -rekisteri</w:t>
      </w:r>
      <w:r>
        <w:t xml:space="preserve"> </w:t>
      </w:r>
      <w:r>
        <w:rPr>
          <w:rStyle w:val="VerbatimChar"/>
        </w:rPr>
        <w:t xml:space="preserve">docs/Deputy-Agents-Architecture.md</w:t>
      </w:r>
      <w:r>
        <w:t xml:space="preserve"> </w:t>
      </w:r>
      <w:r>
        <w:t xml:space="preserve">§3:ssa</w:t>
      </w:r>
      <w:r>
        <w:t xml:space="preserve">”</w:t>
      </w:r>
      <w:r>
        <w:t xml:space="preserve">; ei numeroa tekstissä.</w:t>
      </w:r>
    </w:p>
    <w:p>
      <w:pPr>
        <w:numPr>
          <w:ilvl w:val="0"/>
          <w:numId w:val="1101"/>
        </w:numPr>
        <w:pStyle w:val="Compact"/>
      </w:pPr>
      <w:r>
        <w:rPr>
          <w:bCs/>
          <w:b/>
        </w:rPr>
        <w:t xml:space="preserve">Tuotekohtaiset lukumäärät</w:t>
      </w:r>
      <w:r>
        <w:t xml:space="preserve"> </w:t>
      </w:r>
      <w:r>
        <w:t xml:space="preserve">SKU-kopiossa —</w:t>
      </w:r>
      <w:r>
        <w:t xml:space="preserve"> </w:t>
      </w:r>
      <w:r>
        <w:t xml:space="preserve">“</w:t>
      </w:r>
      <w:r>
        <w:t xml:space="preserve">Climate Intelligence sisältää 8 Skilled Agentia</w:t>
      </w:r>
      <w:r>
        <w:t xml:space="preserve">”</w:t>
      </w:r>
      <w:r>
        <w:t xml:space="preserve">; hyväksyttävä, mutta käsitellään osana SKU-spesifikaatiota</w:t>
      </w:r>
      <w:r>
        <w:t xml:space="preserve"> </w:t>
      </w:r>
      <w:r>
        <w:rPr>
          <w:rStyle w:val="VerbatimChar"/>
        </w:rPr>
        <w:t xml:space="preserve">products.json</w:t>
      </w:r>
      <w:r>
        <w:t xml:space="preserve">-tiedostossa, ei vapaasti tekstissä.</w:t>
      </w:r>
    </w:p>
    <w:bookmarkEnd w:id="291"/>
    <w:bookmarkStart w:id="292" w:name="poikkeukset"/>
    <w:p>
      <w:pPr>
        <w:pStyle w:val="Heading4"/>
      </w:pPr>
      <w:r>
        <w:t xml:space="preserve">10.22.6 Poikkeukset</w:t>
      </w:r>
    </w:p>
    <w:p>
      <w:pPr>
        <w:pStyle w:val="FirstParagraph"/>
      </w:pPr>
      <w:r>
        <w:t xml:space="preserve">Kolme aluetta on nimenomaisesti suljettu uudelleennimennän ulkopuolelle:</w:t>
      </w:r>
    </w:p>
    <w:p>
      <w:pPr>
        <w:numPr>
          <w:ilvl w:val="0"/>
          <w:numId w:val="1102"/>
        </w:numPr>
        <w:pStyle w:val="Compact"/>
      </w:pPr>
      <w:r>
        <w:rPr>
          <w:bCs/>
          <w:b/>
        </w:rPr>
        <w:t xml:space="preserve">Docker- ja infra-tunnisteet</w:t>
      </w:r>
      <w:r>
        <w:t xml:space="preserve"> </w:t>
      </w:r>
      <w:r>
        <w:t xml:space="preserve">(</w:t>
      </w:r>
      <w:r>
        <w:rPr>
          <w:rStyle w:val="VerbatimChar"/>
        </w:rPr>
        <w:t xml:space="preserve">dws-godagent-llm</w:t>
      </w:r>
      <w:r>
        <w:t xml:space="preserve">-verkko,</w:t>
      </w:r>
      <w:r>
        <w:t xml:space="preserve"> </w:t>
      </w:r>
      <w:r>
        <w:rPr>
          <w:rStyle w:val="VerbatimChar"/>
        </w:rPr>
        <w:t xml:space="preserve">dws-godagent:latest</w:t>
      </w:r>
      <w:r>
        <w:t xml:space="preserve">-image, label</w:t>
      </w:r>
      <w:r>
        <w:t xml:space="preserve"> </w:t>
      </w:r>
      <w:r>
        <w:rPr>
          <w:rStyle w:val="VerbatimChar"/>
        </w:rPr>
        <w:t xml:space="preserve">dws-godagent</w:t>
      </w:r>
      <w:r>
        <w:t xml:space="preserve">, iptables-säännöt</w:t>
      </w:r>
      <w:r>
        <w:t xml:space="preserve"> </w:t>
      </w:r>
      <w:r>
        <w:rPr>
          <w:rStyle w:val="VerbatimChar"/>
        </w:rPr>
        <w:t xml:space="preserve">docs/Deputy-Agents-Architecture.md</w:t>
      </w:r>
      <w:r>
        <w:t xml:space="preserve"> </w:t>
      </w:r>
      <w:r>
        <w:t xml:space="preserve">§2.4–2.6:ssa) säilyvät ennallaan. Niiden uudelleennimenä vaatisi koordinoidun infra-migraation, ei dokumentaatio-PR:n.</w:t>
      </w:r>
    </w:p>
    <w:p>
      <w:pPr>
        <w:numPr>
          <w:ilvl w:val="0"/>
          <w:numId w:val="1102"/>
        </w:numPr>
        <w:pStyle w:val="Compact"/>
      </w:pPr>
      <w:r>
        <w:rPr>
          <w:bCs/>
          <w:b/>
        </w:rPr>
        <w:t xml:space="preserve">Pantheon</w:t>
      </w:r>
      <w:r>
        <w:rPr>
          <w:bCs/>
          <w:b/>
        </w:rPr>
        <w:t xml:space="preserve"> </w:t>
      </w:r>
      <w:r>
        <w:rPr>
          <w:bCs/>
          <w:b/>
        </w:rPr>
        <w:t xml:space="preserve">“</w:t>
      </w:r>
      <w:r>
        <w:rPr>
          <w:bCs/>
          <w:b/>
        </w:rPr>
        <w:t xml:space="preserve">God Agents</w:t>
      </w:r>
      <w:r>
        <w:rPr>
          <w:bCs/>
          <w:b/>
        </w:rPr>
        <w:t xml:space="preserve">”</w:t>
      </w:r>
      <w:r>
        <w:t xml:space="preserve"> </w:t>
      </w:r>
      <w:r>
        <w:t xml:space="preserve">(kahdella sanalla,</w:t>
      </w:r>
      <w:r>
        <w:t xml:space="preserve"> </w:t>
      </w:r>
      <w:r>
        <w:rPr>
          <w:rStyle w:val="VerbatimChar"/>
        </w:rPr>
        <w:t xml:space="preserve">onelifetime.world</w:t>
      </w:r>
      <w:r>
        <w:t xml:space="preserve"> </w:t>
      </w:r>
      <w:r>
        <w:t xml:space="preserve">Pantheon-storyboard, kreikkalaismyyttisten agenttien hahmot — Zeus, Athena jne.) on erillinen brändi-identiteetti (§10.13 Climate IQ Pantheon -nimeämiskäytäntö) ja säilyy ennallaan.</w:t>
      </w:r>
    </w:p>
    <w:p>
      <w:pPr>
        <w:numPr>
          <w:ilvl w:val="0"/>
          <w:numId w:val="1102"/>
        </w:numPr>
        <w:pStyle w:val="Compact"/>
      </w:pPr>
      <w:r>
        <w:rPr>
          <w:bCs/>
          <w:b/>
        </w:rPr>
        <w:t xml:space="preserve">Historialliset tietueet</w:t>
      </w:r>
      <w:r>
        <w:t xml:space="preserve"> </w:t>
      </w:r>
      <w:r>
        <w:t xml:space="preserve">(field-muistiinpanot,</w:t>
      </w:r>
      <w:r>
        <w:t xml:space="preserve"> </w:t>
      </w:r>
      <w:r>
        <w:rPr>
          <w:rStyle w:val="VerbatimChar"/>
        </w:rPr>
        <w:t xml:space="preserve">tuntikirjausraportti</w:t>
      </w:r>
      <w:r>
        <w:t xml:space="preserve">,</w:t>
      </w:r>
      <w:r>
        <w:t xml:space="preserve"> </w:t>
      </w:r>
      <w:r>
        <w:rPr>
          <w:rStyle w:val="VerbatimChar"/>
        </w:rPr>
        <w:t xml:space="preserve">Oppimispäiväkirja</w:t>
      </w:r>
      <w:r>
        <w:t xml:space="preserve">, päivätyt tuotekehityskulukansiot) ovat ajanhetkikirjoja, joita ei editoida takautuvasti.</w:t>
      </w:r>
    </w:p>
    <w:bookmarkEnd w:id="292"/>
    <w:bookmarkStart w:id="293" w:name="tutkimuspanos-7"/>
    <w:p>
      <w:pPr>
        <w:pStyle w:val="Heading4"/>
      </w:pPr>
      <w:r>
        <w:t xml:space="preserve">10.22.7 Tutkimuspanos</w:t>
      </w:r>
    </w:p>
    <w:p>
      <w:pPr>
        <w:pStyle w:val="FirstParagraph"/>
      </w:pPr>
      <w:r>
        <w:t xml:space="preserve">Taksonomia ei ole pelkkä nimeämissopimus; se dokumentoi suunnitteluperiaatteen. Agenttituotebrändäys on monirekisterinen, eikä yksi termi voi palvella brändiä, spesifikaatiota ja käyttöliittymää samanaikaisesti ilman että kukin rekisteri laimentuu. EU-sääntelyn alaisille teollisuusalustoille — joissa auditointitason täsmällisyys (speksirekisteri) ja ostajalle luettava kopio (brändirekisteri) on molempien selvittävä compliance-tarkastuksesta ja joissa navigointi</w:t>
      </w:r>
      <w:r>
        <w:softHyphen/>
      </w:r>
      <w:r>
        <w:t xml:space="preserve">tason kategorialabeli on sekunneissa tehtävä ostopäätös — kolmitasoinen taksonomia hajottaa brändiongelman, jonka Silicon Valley -kuluttaja-alustat voivat kiertää yhdellä tuotenimellä. Saman mallin laajentaminen kolmelle ortogonaaliselle akselille (agentit, työnkulut, jurisdiktiot) osoittaa että taso</w:t>
      </w:r>
      <w:r>
        <w:softHyphen/>
      </w:r>
      <w:r>
        <w:t xml:space="preserve">rakenne yleistyy</w:t>
      </w:r>
      <w:r>
        <w:t xml:space="preserve"> </w:t>
      </w:r>
      <w:r>
        <w:t xml:space="preserve">“</w:t>
      </w:r>
      <w:r>
        <w:t xml:space="preserve">mitä agentteja kutsumme</w:t>
      </w:r>
      <w:r>
        <w:t xml:space="preserve">”</w:t>
      </w:r>
      <w:r>
        <w:t xml:space="preserve"> </w:t>
      </w:r>
      <w:r>
        <w:t xml:space="preserve">-kysymyksen ulkopuolelle mille tahansa kyvykkyysakselille, jossa DWS myy syvyyttä.</w:t>
      </w:r>
    </w:p>
    <w:p>
      <w:pPr>
        <w:pStyle w:val="BodyText"/>
      </w:pPr>
      <w:r>
        <w:rPr>
          <w:bCs/>
          <w:b/>
        </w:rPr>
        <w:t xml:space="preserve">Avainpanos #31 — Kolmitasoinen Skilled-taksonomia säännellyille teollisuus-AI-alustoille:</w:t>
      </w:r>
      <w:r>
        <w:t xml:space="preserve"> </w:t>
      </w:r>
      <w:r>
        <w:t xml:space="preserve">Brändi / spesifikaatio / UI -taksonomia (Skilled / Industrial Specialist / Industry) esitetään suunnittelumallina agenttialustoille, joiden on samanaikaisesti palveltava brändi-, dokumentaatio- ja käyttöliittymäyleisöjä EU-sääntelyn alaisilla toimialoilla. Malli yleistyy kyvykkyysakseleille (agentit, työnkulut, jurisdiktiot ja tulevat akselit) monotonisen</w:t>
      </w:r>
      <w:r>
        <w:t xml:space="preserve"> </w:t>
      </w:r>
      <w:r>
        <w:rPr>
          <w:rStyle w:val="VerbatimChar"/>
        </w:rPr>
        <w:t xml:space="preserve">Skilled &lt;Akseli&gt;</w:t>
      </w:r>
      <w:r>
        <w:t xml:space="preserve"> </w:t>
      </w:r>
      <w:r>
        <w:t xml:space="preserve">-kaavan alla, välttäen sekoittumisen, jota yksilabelmallit aiheuttavat alustoilla, joissa kukin rekisteri on eri compliance-rajoitteiden alainen.</w:t>
      </w:r>
    </w:p>
    <w:p>
      <w:r>
        <w:pict>
          <v:rect style="width:0;height:1.5pt" o:hralign="center" o:hrstd="t" o:hr="t"/>
        </w:pict>
      </w:r>
    </w:p>
    <w:bookmarkEnd w:id="293"/>
    <w:bookmarkEnd w:id="294"/>
    <w:bookmarkStart w:id="302" w:name="X74e8ca8ab213c7124ce0435f25833df350dc723"/>
    <w:p>
      <w:pPr>
        <w:pStyle w:val="Heading3"/>
      </w:pPr>
      <w:r>
        <w:t xml:space="preserve">10.23 Kolmen pääoman kertymismalli: token-pääoma, inhimillinen pääoma ja Control Room -pääoma DWS IQ 6 -toimintamallin kestävinä omaisuuserinä</w:t>
      </w:r>
    </w:p>
    <w:bookmarkStart w:id="295" w:name="konteksti-ja-motivaatio"/>
    <w:p>
      <w:pPr>
        <w:pStyle w:val="Heading4"/>
      </w:pPr>
      <w:r>
        <w:t xml:space="preserve">10.23.1 Konteksti ja motivaatio</w:t>
      </w:r>
    </w:p>
    <w:p>
      <w:pPr>
        <w:pStyle w:val="FirstParagraph"/>
      </w:pPr>
      <w:r>
        <w:t xml:space="preserve">Lokakuusta 2025 noin toukokuuhun 2026 ulottunut seitsemän kuukautta muodosti DWS IQ 6 -toimintamallin intensiivisimmän HIL-vaiheen (Human-in-the-Loop). Kesäkuussa 2026 havaittiin operatiivinen vaihesiirtymä: järjestelmä saavutti operatiivisen kypsyystason, jossa operaattorin ensisijainen rooli siirtyi yksittäisten tuotosten tarkistamisesta tuotosten generointia ohjaavien arkkitehtuuristen politiikkojen asettamiseen ja ylläpitoon. Kuntosali palasi päivittäiseen aikatauluun.</w:t>
      </w:r>
    </w:p>
    <w:p>
      <w:pPr>
        <w:pStyle w:val="BodyText"/>
      </w:pPr>
      <w:r>
        <w:t xml:space="preserve">Tämä luku dokumentoi toteutuspuolen todistusaineiston sille, mitä tohtoriopinnäytetyö (§14.25) kehystää teoreettisesti kolmen pääoman kertymismallina:</w:t>
      </w:r>
      <w:r>
        <w:t xml:space="preserve"> </w:t>
      </w:r>
      <w:r>
        <w:rPr>
          <w:bCs/>
          <w:b/>
        </w:rPr>
        <w:t xml:space="preserve">token-pääoma</w:t>
      </w:r>
      <w:r>
        <w:t xml:space="preserve">,</w:t>
      </w:r>
      <w:r>
        <w:t xml:space="preserve"> </w:t>
      </w:r>
      <w:r>
        <w:rPr>
          <w:bCs/>
          <w:b/>
        </w:rPr>
        <w:t xml:space="preserve">inhimillinen pääoma</w:t>
      </w:r>
      <w:r>
        <w:t xml:space="preserve"> </w:t>
      </w:r>
      <w:r>
        <w:t xml:space="preserve">ja</w:t>
      </w:r>
      <w:r>
        <w:t xml:space="preserve"> </w:t>
      </w:r>
      <w:r>
        <w:rPr>
          <w:bCs/>
          <w:b/>
        </w:rPr>
        <w:t xml:space="preserve">Control Room -pääoma</w:t>
      </w:r>
      <w:r>
        <w:t xml:space="preserve">. Kaikki kolme kertyivät samanaikaisesti HIL-vaiheen aikana. Tämä luku kattaa toteutustiedot; markkinasignaali</w:t>
      </w:r>
      <w:r>
        <w:softHyphen/>
      </w:r>
      <w:r>
        <w:t xml:space="preserve">kehystys (Satya Nadellan Build 2026 -sanasto) ja kilpailuanalyysi kuuluvat §14.25:een §1.4:n master-vs-PhD-skooppisäännön mukaisesti.</w:t>
      </w:r>
    </w:p>
    <w:bookmarkEnd w:id="295"/>
    <w:bookmarkStart w:id="296" w:name="Xe3e9fec01e749ecce3bd65c88e6fa668a6ab728"/>
    <w:p>
      <w:pPr>
        <w:pStyle w:val="Heading4"/>
      </w:pPr>
      <w:r>
        <w:t xml:space="preserve">10.23.2 Token-pääoma — mitattu inventaario (kesäkuu 2026)</w:t>
      </w:r>
    </w:p>
    <w:p>
      <w:pPr>
        <w:pStyle w:val="FirstParagraph"/>
      </w:pPr>
      <w:r>
        <w:t xml:space="preserve">Token-pääoma on uudelleenkäytettävä organisatorinen omaisuuserä, joka syntyy ylläpidetyn tekoälyavusteisen toiminnan sivutuotteena. Se ei ole kulutetut tokenit; se on kestävä tuotos, joka säilyy istuntorajojen yli ja tallentuu koodatussa muodossa.</w:t>
      </w:r>
    </w:p>
    <w:p>
      <w:pPr>
        <w:pStyle w:val="BodyText"/>
      </w:pPr>
      <w:r>
        <w:rPr>
          <w:bCs/>
          <w:b/>
        </w:rPr>
        <w:t xml:space="preserve">Mitattu inventaario kesäkuussa 2026:</w:t>
      </w:r>
    </w:p>
    <w:tbl>
      <w:tblPr>
        <w:tblStyle w:val="Table"/>
        <w:tblW w:type="pct" w:w="5000"/>
        <w:tblLook w:firstRow="1" w:lastRow="0" w:firstColumn="0" w:lastColumn="0" w:noHBand="0" w:noVBand="0" w:val="0020"/>
        <w:jc w:val="start"/>
      </w:tblPr>
      <w:tblGrid>
        <w:gridCol w:w="1833"/>
        <w:gridCol w:w="440"/>
        <w:gridCol w:w="2420"/>
        <w:gridCol w:w="3226"/>
      </w:tblGrid>
      <w:tr>
        <w:trPr>
          <w:tblHeader w:val="true"/>
        </w:trPr>
        <w:tc>
          <w:tcPr/>
          <w:p>
            <w:pPr>
              <w:pStyle w:val="Compact"/>
              <w:jc w:val="left"/>
            </w:pPr>
            <w:r>
              <w:t xml:space="preserve">Omaisuuserälaji</w:t>
            </w:r>
          </w:p>
        </w:tc>
        <w:tc>
          <w:tcPr/>
          <w:p>
            <w:pPr>
              <w:pStyle w:val="Compact"/>
              <w:jc w:val="left"/>
            </w:pPr>
            <w:r>
              <w:t xml:space="preserve">Määrä</w:t>
            </w:r>
          </w:p>
        </w:tc>
        <w:tc>
          <w:tcPr/>
          <w:p>
            <w:pPr>
              <w:pStyle w:val="Compact"/>
              <w:jc w:val="left"/>
            </w:pPr>
            <w:r>
              <w:t xml:space="preserve">Sijainti</w:t>
            </w:r>
          </w:p>
        </w:tc>
        <w:tc>
          <w:tcPr/>
          <w:p>
            <w:pPr>
              <w:pStyle w:val="Compact"/>
              <w:jc w:val="left"/>
            </w:pPr>
            <w:r>
              <w:t xml:space="preserve">Uudelleenkäyttömekanismi</w:t>
            </w:r>
          </w:p>
        </w:tc>
      </w:tr>
      <w:tr>
        <w:tc>
          <w:tcPr/>
          <w:p>
            <w:pPr>
              <w:pStyle w:val="Compact"/>
              <w:jc w:val="left"/>
            </w:pPr>
            <w:r>
              <w:t xml:space="preserve">Taitotiedostot</w:t>
            </w:r>
          </w:p>
        </w:tc>
        <w:tc>
          <w:tcPr/>
          <w:p>
            <w:pPr>
              <w:pStyle w:val="Compact"/>
              <w:jc w:val="left"/>
            </w:pPr>
            <w:r>
              <w:t xml:space="preserve">30+</w:t>
            </w:r>
          </w:p>
        </w:tc>
        <w:tc>
          <w:tcPr/>
          <w:p>
            <w:pPr>
              <w:pStyle w:val="Compact"/>
              <w:jc w:val="left"/>
            </w:pPr>
            <w:r>
              <w:rPr>
                <w:rStyle w:val="VerbatimChar"/>
              </w:rPr>
              <w:t xml:space="preserve">skills/&lt;name&gt;/SKILL.md</w:t>
            </w:r>
          </w:p>
        </w:tc>
        <w:tc>
          <w:tcPr/>
          <w:p>
            <w:pPr>
              <w:pStyle w:val="Compact"/>
              <w:jc w:val="left"/>
            </w:pPr>
            <w:r>
              <w:t xml:space="preserve">Slash-kutsuttavissa mistä tahansa istunnosta</w:t>
            </w:r>
          </w:p>
        </w:tc>
      </w:tr>
      <w:tr>
        <w:tc>
          <w:tcPr/>
          <w:p>
            <w:pPr>
              <w:pStyle w:val="Compact"/>
              <w:jc w:val="left"/>
            </w:pPr>
            <w:r>
              <w:t xml:space="preserve">Kenttämuistiot</w:t>
            </w:r>
          </w:p>
        </w:tc>
        <w:tc>
          <w:tcPr/>
          <w:p>
            <w:pPr>
              <w:pStyle w:val="Compact"/>
              <w:jc w:val="left"/>
            </w:pPr>
            <w:r>
              <w:t xml:space="preserve">150+</w:t>
            </w:r>
          </w:p>
        </w:tc>
        <w:tc>
          <w:tcPr/>
          <w:p>
            <w:pPr>
              <w:pStyle w:val="Compact"/>
              <w:jc w:val="left"/>
            </w:pPr>
            <w:r>
              <w:rPr>
                <w:rStyle w:val="VerbatimChar"/>
              </w:rPr>
              <w:t xml:space="preserve">docs/field-notes/</w:t>
            </w:r>
          </w:p>
        </w:tc>
        <w:tc>
          <w:tcPr/>
          <w:p>
            <w:pPr>
              <w:pStyle w:val="Compact"/>
              <w:jc w:val="left"/>
            </w:pPr>
            <w:r>
              <w:t xml:space="preserve">Haettavissa oleva institutionaalinen muisti</w:t>
            </w:r>
          </w:p>
        </w:tc>
      </w:tr>
      <w:tr>
        <w:tc>
          <w:tcPr/>
          <w:p>
            <w:pPr>
              <w:pStyle w:val="Compact"/>
              <w:jc w:val="left"/>
            </w:pPr>
            <w:r>
              <w:t xml:space="preserve">Agentikonfiguraatiot</w:t>
            </w:r>
          </w:p>
        </w:tc>
        <w:tc>
          <w:tcPr/>
          <w:p>
            <w:pPr>
              <w:pStyle w:val="Compact"/>
              <w:jc w:val="left"/>
            </w:pPr>
            <w:r>
              <w:t xml:space="preserve">50</w:t>
            </w:r>
          </w:p>
        </w:tc>
        <w:tc>
          <w:tcPr/>
          <w:p>
            <w:pPr>
              <w:pStyle w:val="Compact"/>
              <w:jc w:val="left"/>
            </w:pPr>
            <w:r>
              <w:rPr>
                <w:rStyle w:val="VerbatimChar"/>
              </w:rPr>
              <w:t xml:space="preserve">src/agents/</w:t>
            </w:r>
          </w:p>
        </w:tc>
        <w:tc>
          <w:tcPr/>
          <w:p>
            <w:pPr>
              <w:pStyle w:val="Compact"/>
              <w:jc w:val="left"/>
            </w:pPr>
            <w:r>
              <w:t xml:space="preserve">Foundry, artikla 12 -lokitus</w:t>
            </w:r>
          </w:p>
        </w:tc>
      </w:tr>
      <w:tr>
        <w:tc>
          <w:tcPr/>
          <w:p>
            <w:pPr>
              <w:pStyle w:val="Compact"/>
              <w:jc w:val="left"/>
            </w:pPr>
            <w:r>
              <w:t xml:space="preserve">Standardidokumentit</w:t>
            </w:r>
          </w:p>
        </w:tc>
        <w:tc>
          <w:tcPr/>
          <w:p>
            <w:pPr>
              <w:pStyle w:val="Compact"/>
              <w:jc w:val="left"/>
            </w:pPr>
            <w:r>
              <w:t xml:space="preserve">10+</w:t>
            </w:r>
          </w:p>
        </w:tc>
        <w:tc>
          <w:tcPr/>
          <w:p>
            <w:pPr>
              <w:pStyle w:val="Compact"/>
              <w:jc w:val="left"/>
            </w:pPr>
            <w:r>
              <w:t xml:space="preserve">Juuritason</w:t>
            </w:r>
            <w:r>
              <w:t xml:space="preserve"> </w:t>
            </w:r>
            <w:r>
              <w:rPr>
                <w:rStyle w:val="VerbatimChar"/>
              </w:rPr>
              <w:t xml:space="preserve">DWS_*.md</w:t>
            </w:r>
          </w:p>
        </w:tc>
        <w:tc>
          <w:tcPr/>
          <w:p>
            <w:pPr>
              <w:pStyle w:val="Compact"/>
              <w:jc w:val="left"/>
            </w:pPr>
            <w:r>
              <w:t xml:space="preserve">Reititystaulukko CLAUDE.md:ssä</w:t>
            </w:r>
          </w:p>
        </w:tc>
      </w:tr>
      <w:tr>
        <w:tc>
          <w:tcPr/>
          <w:p>
            <w:pPr>
              <w:pStyle w:val="Compact"/>
              <w:jc w:val="left"/>
            </w:pPr>
            <w:r>
              <w:t xml:space="preserve">Validoidut koukut</w:t>
            </w:r>
          </w:p>
        </w:tc>
        <w:tc>
          <w:tcPr/>
          <w:p>
            <w:pPr>
              <w:pStyle w:val="Compact"/>
              <w:jc w:val="left"/>
            </w:pPr>
            <w:r>
              <w:t xml:space="preserve">Useita</w:t>
            </w:r>
          </w:p>
        </w:tc>
        <w:tc>
          <w:tcPr/>
          <w:p>
            <w:pPr>
              <w:pStyle w:val="Compact"/>
              <w:jc w:val="left"/>
            </w:pPr>
            <w:r>
              <w:rPr>
                <w:rStyle w:val="VerbatimChar"/>
              </w:rPr>
              <w:t xml:space="preserve">.claude/hooks/</w:t>
            </w:r>
          </w:p>
        </w:tc>
        <w:tc>
          <w:tcPr/>
          <w:p>
            <w:pPr>
              <w:pStyle w:val="Compact"/>
              <w:jc w:val="left"/>
            </w:pPr>
            <w:r>
              <w:t xml:space="preserve">Istunnonkäynnistys, pre-commit, audit</w:t>
            </w:r>
          </w:p>
        </w:tc>
      </w:tr>
      <w:tr>
        <w:tc>
          <w:tcPr/>
          <w:p>
            <w:pPr>
              <w:pStyle w:val="Compact"/>
              <w:jc w:val="left"/>
            </w:pPr>
            <w:r>
              <w:t xml:space="preserve">Cron/automaatiokirjaukset</w:t>
            </w:r>
          </w:p>
        </w:tc>
        <w:tc>
          <w:tcPr/>
          <w:p>
            <w:pPr>
              <w:pStyle w:val="Compact"/>
              <w:jc w:val="left"/>
            </w:pPr>
            <w:r>
              <w:t xml:space="preserve">Useita</w:t>
            </w:r>
          </w:p>
        </w:tc>
        <w:tc>
          <w:tcPr/>
          <w:p>
            <w:pPr>
              <w:pStyle w:val="Compact"/>
              <w:jc w:val="left"/>
            </w:pPr>
            <w:r>
              <w:rPr>
                <w:rStyle w:val="VerbatimChar"/>
              </w:rPr>
              <w:t xml:space="preserve">scripts/daily</w:t>
            </w:r>
            <w:r>
              <w:t xml:space="preserve">,</w:t>
            </w:r>
            <w:r>
              <w:t xml:space="preserve"> </w:t>
            </w:r>
            <w:r>
              <w:rPr>
                <w:rStyle w:val="VerbatimChar"/>
              </w:rPr>
              <w:t xml:space="preserve">scripts/weekly</w:t>
            </w:r>
          </w:p>
        </w:tc>
        <w:tc>
          <w:tcPr/>
          <w:p>
            <w:pPr>
              <w:pStyle w:val="Compact"/>
              <w:jc w:val="left"/>
            </w:pPr>
            <w:r>
              <w:t xml:space="preserve">Ajastinrekisteröity, ajaa ilman valvontaa</w:t>
            </w:r>
          </w:p>
        </w:tc>
      </w:tr>
    </w:tbl>
    <w:p>
      <w:pPr>
        <w:pStyle w:val="BodyText"/>
      </w:pPr>
      <w:r>
        <w:t xml:space="preserve">CLAUDE.md-sääntö</w:t>
      </w:r>
      <w:r>
        <w:t xml:space="preserve"> </w:t>
      </w:r>
      <w:r>
        <w:t xml:space="preserve">“</w:t>
      </w:r>
      <w:r>
        <w:t xml:space="preserve">Kaksi kertaa pyytäminen = epäonnistuminen</w:t>
      </w:r>
      <w:r>
        <w:t xml:space="preserve">”</w:t>
      </w:r>
      <w:r>
        <w:t xml:space="preserve"> </w:t>
      </w:r>
      <w:r>
        <w:t xml:space="preserve">operationalisoi kertymismekanismin: jokainen manuaalisesti suoritettu harkinta, joka sulkee taitosilmukan, poistaa kyseisen päätöksen pysyvästi operaattorin toistuvasta huomiosta.</w:t>
      </w:r>
    </w:p>
    <w:bookmarkEnd w:id="296"/>
    <w:bookmarkStart w:id="297" w:name="X34e9f3b228b1d16f2ff08267ff0470bceb91c0e"/>
    <w:p>
      <w:pPr>
        <w:pStyle w:val="Heading4"/>
      </w:pPr>
      <w:r>
        <w:t xml:space="preserve">10.23.3 Inhimillinen pääoma — HIL-vaihe koulutus</w:t>
      </w:r>
      <w:r>
        <w:softHyphen/>
      </w:r>
      <w:r>
        <w:t xml:space="preserve">ohjelmana</w:t>
      </w:r>
    </w:p>
    <w:p>
      <w:pPr>
        <w:pStyle w:val="FirstParagraph"/>
      </w:pPr>
      <w:r>
        <w:t xml:space="preserve">Seitsemän kuukauden HIL-vaihe toimi jälkikäteen tarkasteltuna intensiivisenä ja toimialakohtaisena koulutus</w:t>
      </w:r>
      <w:r>
        <w:softHyphen/>
      </w:r>
      <w:r>
        <w:t xml:space="preserve">ohjelmana. Operaattoria ei korvattu; operaattorin asiantuntemusprofiili muuttui merkittävästi.</w:t>
      </w:r>
    </w:p>
    <w:p>
      <w:pPr>
        <w:pStyle w:val="BodyText"/>
      </w:pPr>
      <w:r>
        <w:rPr>
          <w:bCs/>
          <w:b/>
        </w:rPr>
        <w:t xml:space="preserve">HIL-vaiheen aikana syventyneet kyvyt:</w:t>
      </w:r>
    </w:p>
    <w:p>
      <w:pPr>
        <w:numPr>
          <w:ilvl w:val="0"/>
          <w:numId w:val="1103"/>
        </w:numPr>
        <w:pStyle w:val="Compact"/>
      </w:pPr>
      <w:r>
        <w:rPr>
          <w:bCs/>
          <w:b/>
        </w:rPr>
        <w:t xml:space="preserve">Agentituotosten hahmontunnistus</w:t>
      </w:r>
      <w:r>
        <w:t xml:space="preserve"> </w:t>
      </w:r>
      <w:r>
        <w:t xml:space="preserve">— vikasilahtia (hallusinaatiotyyppi, laajuuden ryömintä, standardireititysvirheet) tunnistetaan tuotoksen ensimmäisestä kappaleesta ilman koko lukemista</w:t>
      </w:r>
    </w:p>
    <w:p>
      <w:pPr>
        <w:numPr>
          <w:ilvl w:val="0"/>
          <w:numId w:val="1103"/>
        </w:numPr>
        <w:pStyle w:val="Compact"/>
      </w:pPr>
      <w:r>
        <w:rPr>
          <w:bCs/>
          <w:b/>
        </w:rPr>
        <w:t xml:space="preserve">Kehotteen kalibrointi-intuitio</w:t>
      </w:r>
      <w:r>
        <w:t xml:space="preserve"> </w:t>
      </w:r>
      <w:r>
        <w:t xml:space="preserve">— järjestelmäkehotteen alispesifikaatio diagnosoidaan tuotossignaalista, ei yritys-erehdys-iteraation kautta</w:t>
      </w:r>
    </w:p>
    <w:p>
      <w:pPr>
        <w:numPr>
          <w:ilvl w:val="0"/>
          <w:numId w:val="1103"/>
        </w:numPr>
        <w:pStyle w:val="Compact"/>
      </w:pPr>
      <w:r>
        <w:rPr>
          <w:bCs/>
          <w:b/>
        </w:rPr>
        <w:t xml:space="preserve">Arkkitehtuurinen harkinta delegoinnista</w:t>
      </w:r>
      <w:r>
        <w:t xml:space="preserve"> </w:t>
      </w:r>
      <w:r>
        <w:t xml:space="preserve">— todistusperusteiset kynnykset sille, mitkä agenttitoiminnot vaativat tarkistuksen ja mitkä voidaan luottaa ajettavaksi ilman valvontaa</w:t>
      </w:r>
    </w:p>
    <w:p>
      <w:pPr>
        <w:numPr>
          <w:ilvl w:val="0"/>
          <w:numId w:val="1103"/>
        </w:numPr>
        <w:pStyle w:val="Compact"/>
      </w:pPr>
      <w:r>
        <w:rPr>
          <w:bCs/>
          <w:b/>
        </w:rPr>
        <w:t xml:space="preserve">Vikamuotolukutaito</w:t>
      </w:r>
      <w:r>
        <w:t xml:space="preserve"> </w:t>
      </w:r>
      <w:r>
        <w:t xml:space="preserve">— toimialakohtainen tieto siitä, mitkä tehtävät kantavat mitäkin vikamuotoja, mahdollistaen kohdennetun tarkistuksen</w:t>
      </w:r>
    </w:p>
    <w:p>
      <w:pPr>
        <w:numPr>
          <w:ilvl w:val="0"/>
          <w:numId w:val="1103"/>
        </w:numPr>
        <w:pStyle w:val="Compact"/>
      </w:pPr>
      <w:r>
        <w:rPr>
          <w:bCs/>
          <w:b/>
        </w:rPr>
        <w:t xml:space="preserve">Taitotaksonomian sujuvuus</w:t>
      </w:r>
      <w:r>
        <w:t xml:space="preserve"> </w:t>
      </w:r>
      <w:r>
        <w:t xml:space="preserve">— kyky tunnistaa reaaliajassa, kun harkintatehtävä on toistuva ja tulisi koodata eikä toistaa</w:t>
      </w:r>
    </w:p>
    <w:p>
      <w:pPr>
        <w:pStyle w:val="FirstParagraph"/>
      </w:pPr>
      <w:r>
        <w:t xml:space="preserve">Tämä asiantuntemus on hiljaista ja ruumiillistunutta. Sitä ei voi hankkia palkkaamalla henkilön, joka ei osallistunut HIL-vaiheeseen.</w:t>
      </w:r>
    </w:p>
    <w:bookmarkEnd w:id="297"/>
    <w:bookmarkStart w:id="298" w:name="Xa545e8d516393a0134ffb69c6c8fcf5c56f4dd5"/>
    <w:p>
      <w:pPr>
        <w:pStyle w:val="Heading4"/>
      </w:pPr>
      <w:r>
        <w:t xml:space="preserve">10.23.4 Control Room -pääoma — käyttöönotettu infrastruktuuri (kesäkuu 2026)</w:t>
      </w:r>
    </w:p>
    <w:p>
      <w:pPr>
        <w:pStyle w:val="FirstParagraph"/>
      </w:pPr>
      <w:r>
        <w:t xml:space="preserve">DWS Control Room -arkkitehtuuri (määritelty</w:t>
      </w:r>
      <w:r>
        <w:t xml:space="preserve"> </w:t>
      </w:r>
      <w:r>
        <w:rPr>
          <w:rStyle w:val="VerbatimChar"/>
        </w:rPr>
        <w:t xml:space="preserve">docs/Lyhenteet.md</w:t>
      </w:r>
      <w:r>
        <w:t xml:space="preserve">:ssä ja</w:t>
      </w:r>
      <w:r>
        <w:t xml:space="preserve"> </w:t>
      </w:r>
      <w:r>
        <w:rPr>
          <w:rStyle w:val="VerbatimChar"/>
        </w:rPr>
        <w:t xml:space="preserve">docs/Deputy-Agents-Architecture.md §9</w:t>
      </w:r>
      <w:r>
        <w:t xml:space="preserve">:ssä) on hybridiarkkitehtuurin reunakerros:</w:t>
      </w:r>
    </w:p>
    <w:p>
      <w:pPr>
        <w:numPr>
          <w:ilvl w:val="0"/>
          <w:numId w:val="1104"/>
        </w:numPr>
        <w:pStyle w:val="Compact"/>
      </w:pPr>
      <w:r>
        <w:rPr>
          <w:bCs/>
          <w:b/>
        </w:rPr>
        <w:t xml:space="preserve">Control Room</w:t>
      </w:r>
      <w:r>
        <w:t xml:space="preserve"> </w:t>
      </w:r>
      <w:r>
        <w:t xml:space="preserve">— reunakerros, reaaliaikaiset havainnot, HIL-hyväksyntäportit, keskeytys/ohitus, artikla 12 -auditointipolku, tavoitelatenssi &lt; 100 ms</w:t>
      </w:r>
    </w:p>
    <w:p>
      <w:pPr>
        <w:numPr>
          <w:ilvl w:val="0"/>
          <w:numId w:val="1104"/>
        </w:numPr>
        <w:pStyle w:val="Compact"/>
      </w:pPr>
      <w:r>
        <w:rPr>
          <w:bCs/>
          <w:b/>
        </w:rPr>
        <w:t xml:space="preserve">Situation Room</w:t>
      </w:r>
      <w:r>
        <w:t xml:space="preserve"> </w:t>
      </w:r>
      <w:r>
        <w:t xml:space="preserve">— pilvikerros, strateginen koostaminen, syvyysanalytiikka, ERP/BIM/IoT-integraatio, vaatimustenmukaisuusraportointi</w:t>
      </w:r>
    </w:p>
    <w:p>
      <w:pPr>
        <w:pStyle w:val="FirstParagraph"/>
      </w:pPr>
      <w:r>
        <w:rPr>
          <w:bCs/>
          <w:b/>
        </w:rPr>
        <w:t xml:space="preserve">Control Room -pääoma, joka kertyi HIL-vaiheen aikana:</w:t>
      </w:r>
    </w:p>
    <w:tbl>
      <w:tblPr>
        <w:tblStyle w:val="Table"/>
        <w:tblW w:type="pct" w:w="5000"/>
        <w:tblLook w:firstRow="1" w:lastRow="0" w:firstColumn="0" w:lastColumn="0" w:noHBand="0" w:noVBand="0" w:val="0020"/>
        <w:jc w:val="start"/>
      </w:tblPr>
      <w:tblGrid>
        <w:gridCol w:w="2470"/>
        <w:gridCol w:w="1743"/>
        <w:gridCol w:w="3705"/>
      </w:tblGrid>
      <w:tr>
        <w:trPr>
          <w:tblHeader w:val="true"/>
        </w:trPr>
        <w:tc>
          <w:tcPr/>
          <w:p>
            <w:pPr>
              <w:pStyle w:val="Compact"/>
              <w:jc w:val="left"/>
            </w:pPr>
            <w:r>
              <w:t xml:space="preserve">Omaisuuserä</w:t>
            </w:r>
          </w:p>
        </w:tc>
        <w:tc>
          <w:tcPr/>
          <w:p>
            <w:pPr>
              <w:pStyle w:val="Compact"/>
              <w:jc w:val="left"/>
            </w:pPr>
            <w:r>
              <w:t xml:space="preserve">Tila (kesäkuu 2026)</w:t>
            </w:r>
          </w:p>
        </w:tc>
        <w:tc>
          <w:tcPr/>
          <w:p>
            <w:pPr>
              <w:pStyle w:val="Compact"/>
              <w:jc w:val="left"/>
            </w:pPr>
            <w:r>
              <w:t xml:space="preserve">Todisteet</w:t>
            </w:r>
          </w:p>
        </w:tc>
      </w:tr>
      <w:tr>
        <w:tc>
          <w:tcPr/>
          <w:p>
            <w:pPr>
              <w:pStyle w:val="Compact"/>
              <w:jc w:val="left"/>
            </w:pPr>
            <w:r>
              <w:t xml:space="preserve">Reunalaskentasolmut</w:t>
            </w:r>
          </w:p>
        </w:tc>
        <w:tc>
          <w:tcPr/>
          <w:p>
            <w:pPr>
              <w:pStyle w:val="Compact"/>
              <w:jc w:val="left"/>
            </w:pPr>
            <w:r>
              <w:t xml:space="preserve">Käyttöönotettu</w:t>
            </w:r>
          </w:p>
        </w:tc>
        <w:tc>
          <w:tcPr/>
          <w:p>
            <w:pPr>
              <w:pStyle w:val="Compact"/>
              <w:jc w:val="left"/>
            </w:pPr>
            <w:r>
              <w:t xml:space="preserve">Acer Veriton GN100, DGX Spark, NVIDIA Jetson -tasot</w:t>
            </w:r>
          </w:p>
        </w:tc>
      </w:tr>
      <w:tr>
        <w:tc>
          <w:tcPr/>
          <w:p>
            <w:pPr>
              <w:pStyle w:val="Compact"/>
              <w:jc w:val="left"/>
            </w:pPr>
            <w:r>
              <w:t xml:space="preserve">Luokittelukynnykset</w:t>
            </w:r>
          </w:p>
        </w:tc>
        <w:tc>
          <w:tcPr/>
          <w:p>
            <w:pPr>
              <w:pStyle w:val="Compact"/>
              <w:jc w:val="left"/>
            </w:pPr>
            <w:r>
              <w:t xml:space="preserve">Empiirisesti kalibroidut</w:t>
            </w:r>
          </w:p>
        </w:tc>
        <w:tc>
          <w:tcPr/>
          <w:p>
            <w:pPr>
              <w:pStyle w:val="Compact"/>
              <w:jc w:val="left"/>
            </w:pPr>
            <w:r>
              <w:t xml:space="preserve">Kenttämuistiot: 2026-03-01, 2026-03-13, 2026-03-29</w:t>
            </w:r>
          </w:p>
        </w:tc>
      </w:tr>
      <w:tr>
        <w:tc>
          <w:tcPr/>
          <w:p>
            <w:pPr>
              <w:pStyle w:val="Compact"/>
              <w:jc w:val="left"/>
            </w:pPr>
            <w:r>
              <w:t xml:space="preserve">HIL-hyväksyntäportin konfiguraatio</w:t>
            </w:r>
          </w:p>
        </w:tc>
        <w:tc>
          <w:tcPr/>
          <w:p>
            <w:pPr>
              <w:pStyle w:val="Compact"/>
              <w:jc w:val="left"/>
            </w:pPr>
            <w:r>
              <w:t xml:space="preserve">Testattu tuotannossa</w:t>
            </w:r>
          </w:p>
        </w:tc>
        <w:tc>
          <w:tcPr/>
          <w:p>
            <w:pPr>
              <w:pStyle w:val="Compact"/>
              <w:jc w:val="left"/>
            </w:pPr>
            <w:r>
              <w:t xml:space="preserve">CLAUDE.md auto-mode -koukut, hook-auditointi</w:t>
            </w:r>
            <w:r>
              <w:softHyphen/>
            </w:r>
            <w:r>
              <w:t xml:space="preserve">lokit</w:t>
            </w:r>
          </w:p>
        </w:tc>
      </w:tr>
      <w:tr>
        <w:tc>
          <w:tcPr/>
          <w:p>
            <w:pPr>
              <w:pStyle w:val="Compact"/>
              <w:jc w:val="left"/>
            </w:pPr>
            <w:r>
              <w:t xml:space="preserve">Artikla 12 -auditointipolku</w:t>
            </w:r>
          </w:p>
        </w:tc>
        <w:tc>
          <w:tcPr/>
          <w:p>
            <w:pPr>
              <w:pStyle w:val="Compact"/>
              <w:jc w:val="left"/>
            </w:pPr>
            <w:r>
              <w:t xml:space="preserve">Täytetty</w:t>
            </w:r>
          </w:p>
        </w:tc>
        <w:tc>
          <w:tcPr/>
          <w:p>
            <w:pPr>
              <w:pStyle w:val="Compact"/>
              <w:jc w:val="left"/>
            </w:pPr>
            <w:r>
              <w:rPr>
                <w:rStyle w:val="VerbatimChar"/>
              </w:rPr>
              <w:t xml:space="preserve">article12-logger.ts</w:t>
            </w:r>
            <w:r>
              <w:t xml:space="preserve">,</w:t>
            </w:r>
            <w:r>
              <w:t xml:space="preserve"> </w:t>
            </w:r>
            <w:r>
              <w:rPr>
                <w:rStyle w:val="VerbatimChar"/>
              </w:rPr>
              <w:t xml:space="preserve">agent_executions</w:t>
            </w:r>
            <w:r>
              <w:t xml:space="preserve"> </w:t>
            </w:r>
            <w:r>
              <w:t xml:space="preserve">-taulukko</w:t>
            </w:r>
          </w:p>
        </w:tc>
      </w:tr>
      <w:tr>
        <w:tc>
          <w:tcPr/>
          <w:p>
            <w:pPr>
              <w:pStyle w:val="Compact"/>
              <w:jc w:val="left"/>
            </w:pPr>
            <w:r>
              <w:t xml:space="preserve">Poikkeuskaavio</w:t>
            </w:r>
          </w:p>
        </w:tc>
        <w:tc>
          <w:tcPr/>
          <w:p>
            <w:pPr>
              <w:pStyle w:val="Compact"/>
              <w:jc w:val="left"/>
            </w:pPr>
            <w:r>
              <w:t xml:space="preserve">Dokumentoitu</w:t>
            </w:r>
          </w:p>
        </w:tc>
        <w:tc>
          <w:tcPr/>
          <w:p>
            <w:pPr>
              <w:pStyle w:val="Compact"/>
              <w:jc w:val="left"/>
            </w:pPr>
            <w:r>
              <w:t xml:space="preserve">Kenttämuistiokokoelma,</w:t>
            </w:r>
            <w:r>
              <w:t xml:space="preserve"> </w:t>
            </w:r>
            <w:r>
              <w:rPr>
                <w:rStyle w:val="VerbatimChar"/>
              </w:rPr>
              <w:t xml:space="preserve">.claude/hooks/README.md</w:t>
            </w:r>
          </w:p>
        </w:tc>
      </w:tr>
      <w:tr>
        <w:tc>
          <w:tcPr/>
          <w:p>
            <w:pPr>
              <w:pStyle w:val="Compact"/>
              <w:jc w:val="left"/>
            </w:pPr>
            <w:r>
              <w:t xml:space="preserve">Monipalveluntarjoajareititys</w:t>
            </w:r>
          </w:p>
        </w:tc>
        <w:tc>
          <w:tcPr/>
          <w:p>
            <w:pPr>
              <w:pStyle w:val="Compact"/>
              <w:jc w:val="left"/>
            </w:pPr>
            <w:r>
              <w:t xml:space="preserve">Validoitu</w:t>
            </w:r>
          </w:p>
        </w:tc>
        <w:tc>
          <w:tcPr/>
          <w:p>
            <w:pPr>
              <w:pStyle w:val="Compact"/>
              <w:jc w:val="left"/>
            </w:pPr>
            <w:r>
              <w:t xml:space="preserve">Groq / Baseten / OpenAI / Scaleway / DGX Spark</w:t>
            </w:r>
          </w:p>
        </w:tc>
      </w:tr>
    </w:tbl>
    <w:bookmarkEnd w:id="298"/>
    <w:bookmarkStart w:id="299" w:name="X41230869ecc9ff4f130d0bde6b67ed5af9f6889"/>
    <w:p>
      <w:pPr>
        <w:pStyle w:val="Heading4"/>
      </w:pPr>
      <w:r>
        <w:t xml:space="preserve">10.23.5 HIL → HIC -siirtymä insinöörointivirstanpylväänä</w:t>
      </w:r>
    </w:p>
    <w:p>
      <w:pPr>
        <w:pStyle w:val="FirstParagraph"/>
      </w:pPr>
      <w:r>
        <w:t xml:space="preserve">HIL → HIC -siirtymä ei ole tuotehallinnallinen päätös. Sillä on tarkat insinöörointiset edellytykset, jotka voidaan verifioida:</w:t>
      </w:r>
    </w:p>
    <w:p>
      <w:pPr>
        <w:numPr>
          <w:ilvl w:val="0"/>
          <w:numId w:val="1105"/>
        </w:numPr>
        <w:pStyle w:val="Compact"/>
      </w:pPr>
      <w:r>
        <w:rPr>
          <w:bCs/>
          <w:b/>
        </w:rPr>
        <w:t xml:space="preserve">Token-pääomakynnys:</w:t>
      </w:r>
      <w:r>
        <w:t xml:space="preserve"> </w:t>
      </w:r>
      <w:r>
        <w:t xml:space="preserve">Taitokokoelma on riittävä siten, että useimmat toistuvat harkintatehtävät käsittelee taito ilman operaattorin väliintuloa.</w:t>
      </w:r>
    </w:p>
    <w:p>
      <w:pPr>
        <w:numPr>
          <w:ilvl w:val="0"/>
          <w:numId w:val="1105"/>
        </w:numPr>
        <w:pStyle w:val="Compact"/>
      </w:pPr>
      <w:r>
        <w:rPr>
          <w:bCs/>
          <w:b/>
        </w:rPr>
        <w:t xml:space="preserve">Inhimillisen pääoman kynnys:</w:t>
      </w:r>
      <w:r>
        <w:t xml:space="preserve"> </w:t>
      </w:r>
      <w:r>
        <w:t xml:space="preserve">Operaattori tunnistaa vikasilahdot allekirjoitustasolla ennen koko tuotoksen tarkistamista.</w:t>
      </w:r>
    </w:p>
    <w:p>
      <w:pPr>
        <w:numPr>
          <w:ilvl w:val="0"/>
          <w:numId w:val="1105"/>
        </w:numPr>
        <w:pStyle w:val="Compact"/>
      </w:pPr>
      <w:r>
        <w:rPr>
          <w:bCs/>
          <w:b/>
        </w:rPr>
        <w:t xml:space="preserve">Control Room -pääomakynnys:</w:t>
      </w:r>
      <w:r>
        <w:t xml:space="preserve"> </w:t>
      </w:r>
      <w:r>
        <w:t xml:space="preserve">Automatisoituun järjestelmään voidaan luottaa tuotantokuorman ylläpidossa työpäivän ajan ilman tuotoskohtaista tarkistusta.</w:t>
      </w:r>
    </w:p>
    <w:p>
      <w:pPr>
        <w:pStyle w:val="FirstParagraph"/>
      </w:pPr>
      <w:r>
        <w:t xml:space="preserve">Kesäkuun 2026 havainto — kuntosalin palaaminen aikatauluun — on kaikkien kolmen kynnyksen samanaikaisen ylittymisen operatiivinen ilmenemä DWS IQ 6 -järjestelmän useimmilla osa-alueilla.</w:t>
      </w:r>
    </w:p>
    <w:p>
      <w:pPr>
        <w:pStyle w:val="BodyText"/>
      </w:pPr>
      <w:r>
        <w:rPr>
          <w:bCs/>
          <w:b/>
        </w:rPr>
        <w:t xml:space="preserve">Edelleen HIL:ssä olevat alueet (kesäkuu 2026):</w:t>
      </w:r>
      <w:r>
        <w:t xml:space="preserve"> </w:t>
      </w:r>
      <w:r>
        <w:t xml:space="preserve">Tietoturva-asennon muutokset, supabase-migraatioiden kirjoittaminen sekä kaikki agentituotokset, jotka koskevat rahoituksellisia tai oikeudellisia kenttiä.</w:t>
      </w:r>
    </w:p>
    <w:bookmarkEnd w:id="299"/>
    <w:bookmarkStart w:id="300" w:name="tutkimuspanos-8"/>
    <w:p>
      <w:pPr>
        <w:pStyle w:val="Heading4"/>
      </w:pPr>
      <w:r>
        <w:t xml:space="preserve">10.23.6 Tutkimuspanos</w:t>
      </w:r>
    </w:p>
    <w:p>
      <w:pPr>
        <w:pStyle w:val="FirstParagraph"/>
      </w:pPr>
      <w:r>
        <w:rPr>
          <w:bCs/>
          <w:b/>
        </w:rPr>
        <w:t xml:space="preserve">Avainpanos #32 — Kolmen pääoman kertymismalli: toteutustodisteet seitsemän kuukauden tuotanto-HIL-operaatioista:</w:t>
      </w:r>
      <w:r>
        <w:t xml:space="preserve"> </w:t>
      </w:r>
      <w:r>
        <w:t xml:space="preserve">DWS IQ 6:n tuotantotallenne (lokakuu 2025 – kesäkuu 2026) tarjoaa ensimmäisen empiirisen, monikuukautisen toteutustodistusaineiston §14.25:ssä kehitetylle teoreettiselle kolmen pääoman mallille. Token-pääomainventaario (30+ taitoa, 150+ kenttämuistiota, 50 agenttia artikla 12 -lokituksella), dokumentoitu inhimillisen pääoman syveneminen (hahmontunnistus, kehotteen kalibrointi-intuitio, arkkitehtuurinen harkinta, vikamuotolukutaito) ja Control Room -pääoma (kalibroidut kynnykset, validoidut HIL-portit, täytetty artikla 12 -auditointipolku, testattu monipalveluntarjoajareititys) muodostavat yhdessä mitattavan perusviivan sille, mitä tuotantoagenttinen toimintamalli kerryttää seitsemän kuukauden HIL-vaiheen aikana. Panos tarjoaa: (a) per-pääoma mitattavat indikaattorit, jotka operationalisoivat teoreettisen mallin; (b) HIL → HIC -siirtymän insinöörointimääritelmän toimialakohtaisilla edellytyksillä; (c) taitokokoelman agenttisen toimintamallin kypsyyden ensisijaisena KPI:nä. Tämä panos asemoituu toteutushorisonttiin (nykyinen tuoteskooppi) ja on empiirisesti perusteltu — kesäkuun 2026 siirtymätapahtuma on dokumentoitu operatiivinen havainto, ei ennakoitu virstanpylväs.</w:t>
      </w:r>
    </w:p>
    <w:p>
      <w:r>
        <w:pict>
          <v:rect style="width:0;height:1.5pt" o:hralign="center" o:hrstd="t" o:hr="t"/>
        </w:pict>
      </w:r>
    </w:p>
    <w:bookmarkEnd w:id="300"/>
    <w:bookmarkStart w:id="301" w:name="X413695b1e22c93656143c4a3a2f4546749093f0"/>
    <w:p>
      <w:pPr>
        <w:pStyle w:val="Heading4"/>
      </w:pPr>
      <w:r>
        <w:t xml:space="preserve">10.23.7 Neljän pääomaluokan kartoitus arkkitehtuuriin</w:t>
      </w:r>
    </w:p>
    <w:p>
      <w:pPr>
        <w:pStyle w:val="FirstParagraph"/>
      </w:pPr>
      <w:r>
        <w:t xml:space="preserve">§14.26 väitöskirjassa (PHD_FIREHORSE_EN.md) formalisoi 4P-pääomaluokat kanonisena laajennuksena §14.25:n kolmen pääoman malliin: Prompt (ent. Token), Ihmiset (ent. Inhimillinen), Laitos (ent. Control Room) ja Havainto (uusi — hallittu maailmanmalli ja suljettu ohjaussilmukka). Tässä osiossa kartoitetaan kukin neljästä luokasta muualla tässä opinnäytetyössä dokumentoituihin DWS IQ 6 -arkkitehtuurikomponentteihin.</w:t>
      </w:r>
    </w:p>
    <w:p>
      <w:pPr>
        <w:pStyle w:val="BodyText"/>
      </w:pPr>
      <w:r>
        <w:rPr>
          <w:bCs/>
          <w:b/>
        </w:rPr>
        <w:t xml:space="preserve">Arkkitehtuurin kartoitustaulukko:</w:t>
      </w:r>
    </w:p>
    <w:tbl>
      <w:tblPr>
        <w:tblStyle w:val="Table"/>
        <w:tblW w:type="pct" w:w="5000"/>
        <w:tblLook w:firstRow="1" w:lastRow="0" w:firstColumn="0" w:lastColumn="0" w:noHBand="0" w:noVBand="0" w:val="0020"/>
        <w:jc w:val="start"/>
      </w:tblPr>
      <w:tblGrid>
        <w:gridCol w:w="275"/>
        <w:gridCol w:w="780"/>
        <w:gridCol w:w="6037"/>
        <w:gridCol w:w="826"/>
      </w:tblGrid>
      <w:tr>
        <w:trPr>
          <w:tblHeader w:val="true"/>
        </w:trPr>
        <w:tc>
          <w:tcPr/>
          <w:p>
            <w:pPr>
              <w:pStyle w:val="Compact"/>
              <w:jc w:val="left"/>
            </w:pPr>
            <w:r>
              <w:t xml:space="preserve">Pääomaluokka</w:t>
            </w:r>
          </w:p>
        </w:tc>
        <w:tc>
          <w:tcPr/>
          <w:p>
            <w:pPr>
              <w:pStyle w:val="Compact"/>
              <w:jc w:val="left"/>
            </w:pPr>
            <w:r>
              <w:t xml:space="preserve">Aivo-Muisti-Keho-Kädet-kerros</w:t>
            </w:r>
          </w:p>
        </w:tc>
        <w:tc>
          <w:tcPr/>
          <w:p>
            <w:pPr>
              <w:pStyle w:val="Compact"/>
              <w:jc w:val="left"/>
            </w:pPr>
            <w:r>
              <w:t xml:space="preserve">DWS IQ 6 -komponentti</w:t>
            </w:r>
          </w:p>
        </w:tc>
        <w:tc>
          <w:tcPr/>
          <w:p>
            <w:pPr>
              <w:pStyle w:val="Compact"/>
              <w:jc w:val="left"/>
            </w:pPr>
            <w:r>
              <w:t xml:space="preserve">Viittaus opinnäytetyöhön</w:t>
            </w:r>
          </w:p>
        </w:tc>
      </w:tr>
      <w:tr>
        <w:tc>
          <w:tcPr/>
          <w:p>
            <w:pPr>
              <w:pStyle w:val="Compact"/>
              <w:jc w:val="left"/>
            </w:pPr>
            <w:r>
              <w:rPr>
                <w:bCs/>
                <w:b/>
              </w:rPr>
              <w:t xml:space="preserve">Prompt</w:t>
            </w:r>
          </w:p>
        </w:tc>
        <w:tc>
          <w:tcPr/>
          <w:p>
            <w:pPr>
              <w:pStyle w:val="Compact"/>
              <w:jc w:val="left"/>
            </w:pPr>
            <w:r>
              <w:t xml:space="preserve">Aivot (älykkyys)</w:t>
            </w:r>
          </w:p>
        </w:tc>
        <w:tc>
          <w:tcPr/>
          <w:p>
            <w:pPr>
              <w:pStyle w:val="Compact"/>
              <w:jc w:val="left"/>
            </w:pPr>
            <w:r>
              <w:t xml:space="preserve">SOUL.md, järjestelmäkehotteet, validoitu taitokorpus (</w:t>
            </w:r>
            <w:r>
              <w:rPr>
                <w:rStyle w:val="VerbatimChar"/>
              </w:rPr>
              <w:t xml:space="preserve">skills/</w:t>
            </w:r>
            <w:r>
              <w:t xml:space="preserve">), agenttikonfiguraatiot (</w:t>
            </w:r>
            <w:r>
              <w:rPr>
                <w:rStyle w:val="VerbatimChar"/>
              </w:rPr>
              <w:t xml:space="preserve">src/agents/</w:t>
            </w:r>
            <w:r>
              <w:t xml:space="preserve">), eval-datasetit (</w:t>
            </w:r>
            <w:r>
              <w:rPr>
                <w:rStyle w:val="VerbatimChar"/>
              </w:rPr>
              <w:t xml:space="preserve">src/evals/datasets/</w:t>
            </w:r>
            <w:r>
              <w:t xml:space="preserve">)</w:t>
            </w:r>
          </w:p>
        </w:tc>
        <w:tc>
          <w:tcPr/>
          <w:p>
            <w:pPr>
              <w:pStyle w:val="Compact"/>
              <w:jc w:val="left"/>
            </w:pPr>
            <w:r>
              <w:t xml:space="preserve">§10.16 (Harness Engineering), §10.13</w:t>
            </w:r>
          </w:p>
        </w:tc>
      </w:tr>
      <w:tr>
        <w:tc>
          <w:tcPr/>
          <w:p>
            <w:pPr>
              <w:pStyle w:val="Compact"/>
              <w:jc w:val="left"/>
            </w:pPr>
            <w:r>
              <w:rPr>
                <w:bCs/>
                <w:b/>
              </w:rPr>
              <w:t xml:space="preserve">Ihmiset</w:t>
            </w:r>
          </w:p>
        </w:tc>
        <w:tc>
          <w:tcPr/>
          <w:p>
            <w:pPr>
              <w:pStyle w:val="Compact"/>
              <w:jc w:val="left"/>
            </w:pPr>
            <w:r>
              <w:t xml:space="preserve">Muisti (harkinta)</w:t>
            </w:r>
          </w:p>
        </w:tc>
        <w:tc>
          <w:tcPr/>
          <w:p>
            <w:pPr>
              <w:pStyle w:val="Compact"/>
              <w:jc w:val="left"/>
            </w:pPr>
            <w:r>
              <w:t xml:space="preserve">HIL-vaiheen syventynyt operaattoriasiantuntemus; taksonomia (§10.23.3); HIL → HIC -siirtymähavainto</w:t>
            </w:r>
          </w:p>
        </w:tc>
        <w:tc>
          <w:tcPr/>
          <w:p>
            <w:pPr>
              <w:pStyle w:val="Compact"/>
              <w:jc w:val="left"/>
            </w:pPr>
            <w:r>
              <w:t xml:space="preserve">§10.23.3, §10.23.5</w:t>
            </w:r>
          </w:p>
        </w:tc>
      </w:tr>
      <w:tr>
        <w:tc>
          <w:tcPr/>
          <w:p>
            <w:pPr>
              <w:pStyle w:val="Compact"/>
              <w:jc w:val="left"/>
            </w:pPr>
            <w:r>
              <w:rPr>
                <w:bCs/>
                <w:b/>
              </w:rPr>
              <w:t xml:space="preserve">Laitos</w:t>
            </w:r>
          </w:p>
        </w:tc>
        <w:tc>
          <w:tcPr/>
          <w:p>
            <w:pPr>
              <w:pStyle w:val="Compact"/>
              <w:jc w:val="left"/>
            </w:pPr>
            <w:r>
              <w:t xml:space="preserve">Keho (infrastruktuuri)</w:t>
            </w:r>
          </w:p>
        </w:tc>
        <w:tc>
          <w:tcPr/>
          <w:p>
            <w:pPr>
              <w:pStyle w:val="Compact"/>
              <w:jc w:val="left"/>
            </w:pPr>
            <w:r>
              <w:t xml:space="preserve">Control Room + Situation Room kahden huoneen rakenne — käyttöönottettavissa sivustolla</w:t>
            </w:r>
            <w:r>
              <w:t xml:space="preserve"> </w:t>
            </w:r>
            <w:r>
              <w:rPr>
                <w:bCs/>
                <w:b/>
              </w:rPr>
              <w:t xml:space="preserve">tai Lifetime Fleet -ajoneuvossa</w:t>
            </w:r>
            <w:r>
              <w:t xml:space="preserve">; NVIDIA Jetson / Acer GN100 / DGX Spark reuna-laskenta; artikla 12 -lokitusputki; validoidut päättelykonfiguraatiot; testattu vikasietoisuus</w:t>
            </w:r>
          </w:p>
        </w:tc>
        <w:tc>
          <w:tcPr/>
          <w:p>
            <w:pPr>
              <w:pStyle w:val="Compact"/>
              <w:jc w:val="left"/>
            </w:pPr>
            <w:r>
              <w:t xml:space="preserve">§10.10, §10.10.6.1, §10.15</w:t>
            </w:r>
          </w:p>
        </w:tc>
      </w:tr>
      <w:tr>
        <w:tc>
          <w:tcPr/>
          <w:p>
            <w:pPr>
              <w:pStyle w:val="Compact"/>
              <w:jc w:val="left"/>
            </w:pPr>
            <w:r>
              <w:rPr>
                <w:bCs/>
                <w:b/>
              </w:rPr>
              <w:t xml:space="preserve">Havainto</w:t>
            </w:r>
          </w:p>
        </w:tc>
        <w:tc>
          <w:tcPr/>
          <w:p>
            <w:pPr>
              <w:pStyle w:val="Compact"/>
              <w:jc w:val="left"/>
            </w:pPr>
            <w:r>
              <w:t xml:space="preserve">Kädet (toimilaite + maailmanmalli)</w:t>
            </w:r>
          </w:p>
        </w:tc>
        <w:tc>
          <w:tcPr/>
          <w:p>
            <w:pPr>
              <w:pStyle w:val="Compact"/>
              <w:jc w:val="left"/>
            </w:pPr>
            <w:r>
              <w:t xml:space="preserve">Lifetime World Model (</w:t>
            </w:r>
            <w:r>
              <w:rPr>
                <w:rStyle w:val="VerbatimChar"/>
              </w:rPr>
              <w:t xml:space="preserve">ONTOLOGY.md</w:t>
            </w:r>
            <w:r>
              <w:t xml:space="preserve">); agenttimuisti (§10.10.7); artikla 12 -linjakirjaus; suljettu aista → päätä → toimi -silmukka HIL/HIC-portilla</w:t>
            </w:r>
          </w:p>
        </w:tc>
        <w:tc>
          <w:tcPr/>
          <w:p>
            <w:pPr>
              <w:pStyle w:val="Compact"/>
              <w:jc w:val="left"/>
            </w:pPr>
            <w:r>
              <w:t xml:space="preserve">§10.18, §10.10.7</w:t>
            </w:r>
          </w:p>
        </w:tc>
      </w:tr>
    </w:tbl>
    <w:p>
      <w:pPr>
        <w:pStyle w:val="BodyText"/>
      </w:pPr>
      <w:r>
        <w:rPr>
          <w:bCs/>
          <w:b/>
        </w:rPr>
        <w:t xml:space="preserve">Uudelleennimeämishuomio:</w:t>
      </w:r>
      <w:r>
        <w:t xml:space="preserve"> </w:t>
      </w:r>
      <w:r>
        <w:t xml:space="preserve">4P-kaanonin myötä itsenäinen</w:t>
      </w:r>
      <w:r>
        <w:t xml:space="preserve"> </w:t>
      </w:r>
      <w:r>
        <w:t xml:space="preserve">“</w:t>
      </w:r>
      <w:r>
        <w:t xml:space="preserve">Token / Inhimillinen / Control Room -pääoma</w:t>
      </w:r>
      <w:r>
        <w:t xml:space="preserve">”</w:t>
      </w:r>
      <w:r>
        <w:t xml:space="preserve"> </w:t>
      </w:r>
      <w:r>
        <w:t xml:space="preserve">-nimeäminen poistetaan ensisijaisena terminä uudesta tekstistä. §10.23.2/§10.23.3/§10.23.4 säilyttävät alkuperäiset nimet alkuperäisdokumentointina; tässä osiossa esitellään 4P-aliakset.</w:t>
      </w:r>
    </w:p>
    <w:p>
      <w:pPr>
        <w:pStyle w:val="BodyText"/>
      </w:pPr>
      <w:r>
        <w:rPr>
          <w:bCs/>
          <w:b/>
        </w:rPr>
        <w:t xml:space="preserve">GTM-kiila — laajene-käyttöönottomalli.</w:t>
      </w:r>
      <w:r>
        <w:t xml:space="preserve"> </w:t>
      </w:r>
      <w:r>
        <w:t xml:space="preserve">Arkkitehtuurikartoituksella on operatiivinen implikaatio ensimmäisille asiakaskäyttöönotoille. Koska Havaintopääoma kertyy vain jos käyttöönottopinta kasvaa, ensimmäinen DWS IQ -käyttöönotto on tahallaan</w:t>
      </w:r>
      <w:r>
        <w:t xml:space="preserve"> </w:t>
      </w:r>
      <w:r>
        <w:rPr>
          <w:bCs/>
          <w:b/>
        </w:rPr>
        <w:t xml:space="preserve">eristetty ja vaaraton</w:t>
      </w:r>
      <w:r>
        <w:t xml:space="preserve">: yksi agentti lukee olemassa olevia lokeja, yksi Control Room -reunasolmu sivuston etäkohteella jossa asiakastiimillä ei aiemmin ollut laskentaa, yksi raportti jota tiimi ei aiemmin pystynyt tuottamaan. Ensimmäinen voitto ansaitsee oikeuden toiseen vaatimatta asiakastiimiä uudelleenjärjestäytymään uuden työkalun ympärille.</w:t>
      </w:r>
    </w:p>
    <w:p>
      <w:pPr>
        <w:pStyle w:val="BodyText"/>
      </w:pPr>
      <w:r>
        <w:rPr>
          <w:bCs/>
          <w:b/>
        </w:rPr>
        <w:t xml:space="preserve">Avainpanos #33 — Neljän pääoman (4P) arkkitehtuurikartoitus: Prompt, Ihmiset, Laitos, Havainto DWS IQ 6:ssa:</w:t>
      </w:r>
      <w:r>
        <w:t xml:space="preserve"> </w:t>
      </w:r>
      <w:r>
        <w:t xml:space="preserve">4P-kanonisten pääomaluokkien kartoitus DWS IQ 6:n Aivot-Muisti-Keho-Kädet-arkkitehtuuriin tarjoaa toteutuskerroksen todisteet siitä, että väitöskirjan §14.26:n teoreettinen laajennus vastaa olemassa olevia, käyttöönotettuja komponentteja. Kukin pääomaluokka on mitattava arkkitehtuurijalanjälki: Prompt-pääoma on</w:t>
      </w:r>
      <w:r>
        <w:t xml:space="preserve"> </w:t>
      </w:r>
      <w:r>
        <w:rPr>
          <w:rStyle w:val="VerbatimChar"/>
        </w:rPr>
        <w:t xml:space="preserve">skills/</w:t>
      </w:r>
      <w:r>
        <w:t xml:space="preserve">-korpus ja eval-datasetit (§10.16); Ihmispääoma on seitsemän kuukauden HIL-tallenne ja HIL → HIC -siirtymähavainto (§10.23.3/§10.23.5); Laitospääoma on kahden huoneen reunapino, mukaan lukien mobiili käyttöönotto Lifetime Fleet -ajoneuvossa (§10.10/§10.15); Havaintopääoma on Lifetime World Model, agenttimuistiputki ja artikla 12 -linjakirjaus suljetulla aista → päätä → toimi -silmukalla (§10.18/§10.10.7). GTM-laajentumismalli seuraa suoraan Havaintopääoman kertymismekanismista. Tämä panos asemoituu toteutushorisonttiin, viitaten väitöskirjan §14.26:een (teoria) ja §14.27:ään (Kaukopää / Enso historiallinen tapaus). Liiteartefaktit:</w:t>
      </w:r>
      <w:r>
        <w:t xml:space="preserve"> </w:t>
      </w:r>
      <w:r>
        <w:rPr>
          <w:rStyle w:val="VerbatimChar"/>
        </w:rPr>
        <w:t xml:space="preserve">docs/field-notes/2026-06-19-token-capital-human-capital-control-room-capital.md</w:t>
      </w:r>
      <w:r>
        <w:t xml:space="preserve"> </w:t>
      </w:r>
      <w:r>
        <w:t xml:space="preserve">(v2.0, 4P-kaanonin mukaan),</w:t>
      </w:r>
      <w:r>
        <w:t xml:space="preserve"> </w:t>
      </w:r>
      <w:r>
        <w:rPr>
          <w:rStyle w:val="VerbatimChar"/>
        </w:rPr>
        <w:t xml:space="preserve">DWS_BRAND_STANDARD.md</w:t>
      </w:r>
      <w:r>
        <w:t xml:space="preserve"> </w:t>
      </w:r>
      <w:r>
        <w:t xml:space="preserve">§23.</w:t>
      </w:r>
    </w:p>
    <w:p>
      <w:r>
        <w:pict>
          <v:rect style="width:0;height:1.5pt" o:hralign="center" o:hrstd="t" o:hr="t"/>
        </w:pict>
      </w:r>
    </w:p>
    <w:bookmarkEnd w:id="301"/>
    <w:bookmarkEnd w:id="302"/>
    <w:bookmarkStart w:id="315" w:name="Xc0c62829986fd330cab694c1575c415900e0c37"/>
    <w:p>
      <w:pPr>
        <w:pStyle w:val="Heading3"/>
      </w:pPr>
      <w:r>
        <w:t xml:space="preserve">10.24 Kyvykkyysontologia ja kolmen pilarin konsultointimalli — Agenttitaksonomiasta yritystoimitukseen</w:t>
      </w:r>
    </w:p>
    <w:bookmarkStart w:id="303" w:name="motivaatio-5"/>
    <w:p>
      <w:pPr>
        <w:pStyle w:val="Heading4"/>
      </w:pPr>
      <w:r>
        <w:t xml:space="preserve">10.24.1 Motivaatio</w:t>
      </w:r>
    </w:p>
    <w:p>
      <w:pPr>
        <w:pStyle w:val="FirstParagraph"/>
      </w:pPr>
      <w:r>
        <w:t xml:space="preserve">Kesäkuuhun 2026 mennessä DWS IQ 6:n agenttipopulaatio oli kasvanut yli 58 rekisteröityyn agenttiin eri alijärjestelmissä, ja 18 lisäkyvykkyysaluetta tunnistettiin yritysasiakkaille suunnatun konsultointivalmistelun yhteydessä. Litteä agentti-inventaario — vaikka toiminnallisesti kattava — ei tarjonnut taksonomista rakennetta, jota yritysasiakkaat voisivat navigoida. Kaksi tuoteinsinöörinnin haastetta nousi samanaikaisesti:</w:t>
      </w:r>
    </w:p>
    <w:p>
      <w:pPr>
        <w:numPr>
          <w:ilvl w:val="0"/>
          <w:numId w:val="1106"/>
        </w:numPr>
      </w:pPr>
      <w:r>
        <w:rPr>
          <w:bCs/>
          <w:b/>
        </w:rPr>
        <w:t xml:space="preserve">Ontologinen.</w:t>
      </w:r>
      <w:r>
        <w:t xml:space="preserve"> </w:t>
      </w:r>
      <w:r>
        <w:t xml:space="preserve">Agenttiryppäiden ympärille orgaanisesti muodostuneet 10 kyvykkyyskategoriaa eivät olleet pelkkä ryhmittelyn mukavuus — ne kartoittuivat LWM:n tietograafin luokkiin. Rakenteen eksplisiittinen paljastaminen antaisi asiakkaille mahdollisuuden päätellä kattavuusaukkoista.</w:t>
      </w:r>
    </w:p>
    <w:p>
      <w:pPr>
        <w:numPr>
          <w:ilvl w:val="0"/>
          <w:numId w:val="1106"/>
        </w:numPr>
      </w:pPr>
      <w:r>
        <w:rPr>
          <w:bCs/>
          <w:b/>
        </w:rPr>
        <w:t xml:space="preserve">Poliittinen.</w:t>
      </w:r>
      <w:r>
        <w:t xml:space="preserve"> </w:t>
      </w:r>
      <w:r>
        <w:t xml:space="preserve">Yritysasiakkaat olivat historiallisesti käyttäneet yli 72 henkilöstökonsultointiroolia (Cloud Ready Teams, 2024-editio). Yli 80 agenttikyvykkyyden kehystäminen</w:t>
      </w:r>
      <w:r>
        <w:t xml:space="preserve"> </w:t>
      </w:r>
      <w:r>
        <w:t xml:space="preserve">“</w:t>
      </w:r>
      <w:r>
        <w:t xml:space="preserve">roolien korvaajiksi</w:t>
      </w:r>
      <w:r>
        <w:t xml:space="preserve">”</w:t>
      </w:r>
      <w:r>
        <w:t xml:space="preserve"> </w:t>
      </w:r>
      <w:r>
        <w:t xml:space="preserve">laukaisisi työpaikkojen menettämisen pelkoja ja hankintavastarintaa.</w:t>
      </w:r>
    </w:p>
    <w:bookmarkEnd w:id="303"/>
    <w:bookmarkStart w:id="304" w:name="X9850780cfa043798889e0b2baa6562ec1ea80bf"/>
    <w:p>
      <w:pPr>
        <w:pStyle w:val="Heading4"/>
      </w:pPr>
      <w:r>
        <w:t xml:space="preserve">10.24.2 Kyvykkyysontologia — 10 LWM-tietograafin luokkaa</w:t>
      </w:r>
    </w:p>
    <w:p>
      <w:pPr>
        <w:pStyle w:val="FirstParagraph"/>
      </w:pPr>
      <w:r>
        <w:t xml:space="preserve">Yli 80 agenttikyvykkyyttä järjestettiin 10 ontologialuokkaan, jotka johdetaan Lifetime World Modelin tietograafirakenteesta:</w:t>
      </w:r>
    </w:p>
    <w:tbl>
      <w:tblPr>
        <w:tblStyle w:val="Table"/>
        <w:tblW w:type="pct" w:w="5000"/>
        <w:tblLook w:firstRow="1" w:lastRow="0" w:firstColumn="0" w:lastColumn="0" w:noHBand="0" w:noVBand="0" w:val="0020"/>
        <w:jc w:val="start"/>
      </w:tblPr>
      <w:tblGrid>
        <w:gridCol w:w="312"/>
        <w:gridCol w:w="1563"/>
        <w:gridCol w:w="6044"/>
      </w:tblGrid>
      <w:tr>
        <w:trPr>
          <w:tblHeader w:val="true"/>
        </w:trPr>
        <w:tc>
          <w:tcPr/>
          <w:p>
            <w:pPr>
              <w:pStyle w:val="Compact"/>
              <w:jc w:val="left"/>
            </w:pPr>
            <w:r>
              <w:t xml:space="preserve">#</w:t>
            </w:r>
          </w:p>
        </w:tc>
        <w:tc>
          <w:tcPr/>
          <w:p>
            <w:pPr>
              <w:pStyle w:val="Compact"/>
              <w:jc w:val="left"/>
            </w:pPr>
            <w:r>
              <w:t xml:space="preserve">Ontologialuokka</w:t>
            </w:r>
          </w:p>
        </w:tc>
        <w:tc>
          <w:tcPr/>
          <w:p>
            <w:pPr>
              <w:pStyle w:val="Compact"/>
              <w:jc w:val="left"/>
            </w:pPr>
            <w:r>
              <w:t xml:space="preserve">Esimerkkikyvykkyydet</w:t>
            </w:r>
          </w:p>
        </w:tc>
      </w:tr>
      <w:tr>
        <w:tc>
          <w:tcPr/>
          <w:p>
            <w:pPr>
              <w:pStyle w:val="Compact"/>
              <w:jc w:val="left"/>
            </w:pPr>
            <w:r>
              <w:t xml:space="preserve">A</w:t>
            </w:r>
          </w:p>
        </w:tc>
        <w:tc>
          <w:tcPr/>
          <w:p>
            <w:pPr>
              <w:pStyle w:val="Compact"/>
              <w:jc w:val="left"/>
            </w:pPr>
            <w:r>
              <w:t xml:space="preserve">Konsultointi</w:t>
            </w:r>
          </w:p>
        </w:tc>
        <w:tc>
          <w:tcPr/>
          <w:p>
            <w:pPr>
              <w:pStyle w:val="Compact"/>
              <w:jc w:val="left"/>
            </w:pPr>
            <w:r>
              <w:t xml:space="preserve">Business Analyst, Change Management, Training &amp; Enablement</w:t>
            </w:r>
          </w:p>
        </w:tc>
      </w:tr>
      <w:tr>
        <w:tc>
          <w:tcPr/>
          <w:p>
            <w:pPr>
              <w:pStyle w:val="Compact"/>
              <w:jc w:val="left"/>
            </w:pPr>
            <w:r>
              <w:t xml:space="preserve">B</w:t>
            </w:r>
          </w:p>
        </w:tc>
        <w:tc>
          <w:tcPr/>
          <w:p>
            <w:pPr>
              <w:pStyle w:val="Compact"/>
              <w:jc w:val="left"/>
            </w:pPr>
            <w:r>
              <w:t xml:space="preserve">Sääntely</w:t>
            </w:r>
          </w:p>
        </w:tc>
        <w:tc>
          <w:tcPr/>
          <w:p>
            <w:pPr>
              <w:pStyle w:val="Compact"/>
              <w:jc w:val="left"/>
            </w:pPr>
            <w:r>
              <w:t xml:space="preserve">ComplianceAgent, EU AI Act Monitor, CBAM Calculator</w:t>
            </w:r>
          </w:p>
        </w:tc>
      </w:tr>
      <w:tr>
        <w:tc>
          <w:tcPr/>
          <w:p>
            <w:pPr>
              <w:pStyle w:val="Compact"/>
              <w:jc w:val="left"/>
            </w:pPr>
            <w:r>
              <w:t xml:space="preserve">C</w:t>
            </w:r>
          </w:p>
        </w:tc>
        <w:tc>
          <w:tcPr/>
          <w:p>
            <w:pPr>
              <w:pStyle w:val="Compact"/>
              <w:jc w:val="left"/>
            </w:pPr>
            <w:r>
              <w:t xml:space="preserve">Toimiala</w:t>
            </w:r>
          </w:p>
        </w:tc>
        <w:tc>
          <w:tcPr/>
          <w:p>
            <w:pPr>
              <w:pStyle w:val="Compact"/>
              <w:jc w:val="left"/>
            </w:pPr>
            <w:r>
              <w:t xml:space="preserve">ArgusAgent (SAR), Energy Compliance, Construction Safety</w:t>
            </w:r>
          </w:p>
        </w:tc>
      </w:tr>
      <w:tr>
        <w:tc>
          <w:tcPr/>
          <w:p>
            <w:pPr>
              <w:pStyle w:val="Compact"/>
              <w:jc w:val="left"/>
            </w:pPr>
            <w:r>
              <w:t xml:space="preserve">D</w:t>
            </w:r>
          </w:p>
        </w:tc>
        <w:tc>
          <w:tcPr/>
          <w:p>
            <w:pPr>
              <w:pStyle w:val="Compact"/>
              <w:jc w:val="left"/>
            </w:pPr>
            <w:r>
              <w:t xml:space="preserve">Orkestrointi</w:t>
            </w:r>
          </w:p>
        </w:tc>
        <w:tc>
          <w:tcPr/>
          <w:p>
            <w:pPr>
              <w:pStyle w:val="Compact"/>
              <w:jc w:val="left"/>
            </w:pPr>
            <w:r>
              <w:t xml:space="preserve">Zeus Orchestrator, Workflow Engine, Integration Architect</w:t>
            </w:r>
          </w:p>
        </w:tc>
      </w:tr>
      <w:tr>
        <w:tc>
          <w:tcPr/>
          <w:p>
            <w:pPr>
              <w:pStyle w:val="Compact"/>
              <w:jc w:val="left"/>
            </w:pPr>
            <w:r>
              <w:t xml:space="preserve">E</w:t>
            </w:r>
          </w:p>
        </w:tc>
        <w:tc>
          <w:tcPr/>
          <w:p>
            <w:pPr>
              <w:pStyle w:val="Compact"/>
              <w:jc w:val="left"/>
            </w:pPr>
            <w:r>
              <w:t xml:space="preserve">Kenttä</w:t>
            </w:r>
          </w:p>
        </w:tc>
        <w:tc>
          <w:tcPr/>
          <w:p>
            <w:pPr>
              <w:pStyle w:val="Compact"/>
              <w:jc w:val="left"/>
            </w:pPr>
            <w:r>
              <w:t xml:space="preserve">Fleet Manager, IoT Edge Controller, Process Automation</w:t>
            </w:r>
          </w:p>
        </w:tc>
      </w:tr>
      <w:tr>
        <w:tc>
          <w:tcPr/>
          <w:p>
            <w:pPr>
              <w:pStyle w:val="Compact"/>
              <w:jc w:val="left"/>
            </w:pPr>
            <w:r>
              <w:t xml:space="preserve">F</w:t>
            </w:r>
          </w:p>
        </w:tc>
        <w:tc>
          <w:tcPr/>
          <w:p>
            <w:pPr>
              <w:pStyle w:val="Compact"/>
              <w:jc w:val="left"/>
            </w:pPr>
            <w:r>
              <w:t xml:space="preserve">Myynti</w:t>
            </w:r>
          </w:p>
        </w:tc>
        <w:tc>
          <w:tcPr/>
          <w:p>
            <w:pPr>
              <w:pStyle w:val="Compact"/>
              <w:jc w:val="left"/>
            </w:pPr>
            <w:r>
              <w:t xml:space="preserve">LeadAgent, CRM Pipeline, Contract Management</w:t>
            </w:r>
          </w:p>
        </w:tc>
      </w:tr>
      <w:tr>
        <w:tc>
          <w:tcPr/>
          <w:p>
            <w:pPr>
              <w:pStyle w:val="Compact"/>
              <w:jc w:val="left"/>
            </w:pPr>
            <w:r>
              <w:t xml:space="preserve">G</w:t>
            </w:r>
          </w:p>
        </w:tc>
        <w:tc>
          <w:tcPr/>
          <w:p>
            <w:pPr>
              <w:pStyle w:val="Compact"/>
              <w:jc w:val="left"/>
            </w:pPr>
            <w:r>
              <w:t xml:space="preserve">Tiedonhallinta</w:t>
            </w:r>
          </w:p>
        </w:tc>
        <w:tc>
          <w:tcPr/>
          <w:p>
            <w:pPr>
              <w:pStyle w:val="Compact"/>
              <w:jc w:val="left"/>
            </w:pPr>
            <w:r>
              <w:t xml:space="preserve">Data Engineer, Database Architect, Technical Writer</w:t>
            </w:r>
          </w:p>
        </w:tc>
      </w:tr>
      <w:tr>
        <w:tc>
          <w:tcPr/>
          <w:p>
            <w:pPr>
              <w:pStyle w:val="Compact"/>
              <w:jc w:val="left"/>
            </w:pPr>
            <w:r>
              <w:t xml:space="preserve">H</w:t>
            </w:r>
          </w:p>
        </w:tc>
        <w:tc>
          <w:tcPr/>
          <w:p>
            <w:pPr>
              <w:pStyle w:val="Compact"/>
              <w:jc w:val="left"/>
            </w:pPr>
            <w:r>
              <w:t xml:space="preserve">Järjestelmä</w:t>
            </w:r>
          </w:p>
        </w:tc>
        <w:tc>
          <w:tcPr/>
          <w:p>
            <w:pPr>
              <w:pStyle w:val="Compact"/>
              <w:jc w:val="left"/>
            </w:pPr>
            <w:r>
              <w:t xml:space="preserve">DevOps Agent, Test Automation, Cloud Migration</w:t>
            </w:r>
          </w:p>
        </w:tc>
      </w:tr>
      <w:tr>
        <w:tc>
          <w:tcPr/>
          <w:p>
            <w:pPr>
              <w:pStyle w:val="Compact"/>
              <w:jc w:val="left"/>
            </w:pPr>
            <w:r>
              <w:t xml:space="preserve">I</w:t>
            </w:r>
          </w:p>
        </w:tc>
        <w:tc>
          <w:tcPr/>
          <w:p>
            <w:pPr>
              <w:pStyle w:val="Compact"/>
              <w:jc w:val="left"/>
            </w:pPr>
            <w:r>
              <w:t xml:space="preserve">Puolustus</w:t>
            </w:r>
          </w:p>
        </w:tc>
        <w:tc>
          <w:tcPr/>
          <w:p>
            <w:pPr>
              <w:pStyle w:val="Compact"/>
              <w:jc w:val="left"/>
            </w:pPr>
            <w:r>
              <w:t xml:space="preserve">Aegis-alusta, Network Security, Supply Chain Risk</w:t>
            </w:r>
          </w:p>
        </w:tc>
      </w:tr>
      <w:tr>
        <w:tc>
          <w:tcPr/>
          <w:p>
            <w:pPr>
              <w:pStyle w:val="Compact"/>
              <w:jc w:val="left"/>
            </w:pPr>
            <w:r>
              <w:t xml:space="preserve">J</w:t>
            </w:r>
          </w:p>
        </w:tc>
        <w:tc>
          <w:tcPr/>
          <w:p>
            <w:pPr>
              <w:pStyle w:val="Compact"/>
              <w:jc w:val="left"/>
            </w:pPr>
            <w:r>
              <w:t xml:space="preserve">Muutos</w:t>
            </w:r>
          </w:p>
        </w:tc>
        <w:tc>
          <w:tcPr/>
          <w:p>
            <w:pPr>
              <w:pStyle w:val="Compact"/>
              <w:jc w:val="left"/>
            </w:pPr>
            <w:r>
              <w:t xml:space="preserve">Disruption Response, HR Systems, Service Desk</w:t>
            </w:r>
          </w:p>
        </w:tc>
      </w:tr>
    </w:tbl>
    <w:p>
      <w:pPr>
        <w:pStyle w:val="BodyText"/>
      </w:pPr>
      <w:r>
        <w:t xml:space="preserve">Ontologia ei ole litteä lista vaan tietograafi: kullakin luokalla on suunnatut kaaret niihin luokkiin, joista se riippuu (esim. Sääntely → Tiedonhallinta todisteputkille; Toimiala → Orkestrointi moniagenttityönkuluille). Tämä graafirakenne on sama LWM-topologia, jota Havaintopääoma (§10.23.7) kerryttää — ontologia on Havaintopääoman skeema.</w:t>
      </w:r>
    </w:p>
    <w:bookmarkEnd w:id="304"/>
    <w:bookmarkStart w:id="305" w:name="kyvykkyys-ei-rooli-kehystys"/>
    <w:p>
      <w:pPr>
        <w:pStyle w:val="Heading4"/>
      </w:pPr>
      <w:r>
        <w:t xml:space="preserve">10.24.3 Kyvykkyys-ei-rooli-kehystys</w:t>
      </w:r>
    </w:p>
    <w:p>
      <w:pPr>
        <w:pStyle w:val="FirstParagraph"/>
      </w:pPr>
      <w:r>
        <w:t xml:space="preserve">62 olemassa olevaa agenttia ja 18 uutta kyvykkyysaluetta kehystettiin eksplisiittisesti</w:t>
      </w:r>
      <w:r>
        <w:t xml:space="preserve"> </w:t>
      </w:r>
      <w:r>
        <w:rPr>
          <w:iCs/>
          <w:i/>
        </w:rPr>
        <w:t xml:space="preserve">kyvykkyyksinä</w:t>
      </w:r>
      <w:r>
        <w:t xml:space="preserve">, ei ammattinimikkeinä. Toimintaperiaate:</w:t>
      </w:r>
      <w:r>
        <w:t xml:space="preserve"> </w:t>
      </w:r>
      <w:r>
        <w:t xml:space="preserve">“</w:t>
      </w:r>
      <w:r>
        <w:t xml:space="preserve">DWS ei korvaa yrityksen henkilöstöä. DWS tuo kyvykkyyttä.</w:t>
      </w:r>
      <w:r>
        <w:t xml:space="preserve">”</w:t>
      </w:r>
      <w:r>
        <w:t xml:space="preserve"> </w:t>
      </w:r>
      <w:r>
        <w:t xml:space="preserve">Kehystyspäätöksellä on kolme insinöörinnin seurausta:</w:t>
      </w:r>
    </w:p>
    <w:p>
      <w:pPr>
        <w:numPr>
          <w:ilvl w:val="0"/>
          <w:numId w:val="1107"/>
        </w:numPr>
        <w:pStyle w:val="Compact"/>
      </w:pPr>
      <w:r>
        <w:rPr>
          <w:bCs/>
          <w:b/>
        </w:rPr>
        <w:t xml:space="preserve">Hankintapolku.</w:t>
      </w:r>
      <w:r>
        <w:t xml:space="preserve"> </w:t>
      </w:r>
      <w:r>
        <w:t xml:space="preserve">Kyvykkyyshankinta ei laukaise yhteistoimintaneuvotteluvelvoitteita Suomen YT-lain mukaan.</w:t>
      </w:r>
    </w:p>
    <w:p>
      <w:pPr>
        <w:numPr>
          <w:ilvl w:val="0"/>
          <w:numId w:val="1107"/>
        </w:numPr>
        <w:pStyle w:val="Compact"/>
      </w:pPr>
      <w:r>
        <w:rPr>
          <w:bCs/>
          <w:b/>
        </w:rPr>
        <w:t xml:space="preserve">Käyttöönottomalli.</w:t>
      </w:r>
      <w:r>
        <w:t xml:space="preserve"> </w:t>
      </w:r>
      <w:r>
        <w:t xml:space="preserve">Kyvykkyys täydentää olemassa olevaa roolinhaltijaa — GTM-laajentumismalli (§10.23.7) toteutuu yksittäisen tekijän tasolla.</w:t>
      </w:r>
    </w:p>
    <w:p>
      <w:pPr>
        <w:numPr>
          <w:ilvl w:val="0"/>
          <w:numId w:val="1107"/>
        </w:numPr>
        <w:pStyle w:val="Compact"/>
      </w:pPr>
      <w:r>
        <w:rPr>
          <w:bCs/>
          <w:b/>
        </w:rPr>
        <w:t xml:space="preserve">Katalogirakenne.</w:t>
      </w:r>
      <w:r>
        <w:t xml:space="preserve"> </w:t>
      </w:r>
      <w:r>
        <w:t xml:space="preserve">Kyvykkyyskatalogi kasvaa jatkuvasti sen sijaan, että se versioitaisiin kiinteänä henkilömääränä.</w:t>
      </w:r>
    </w:p>
    <w:bookmarkEnd w:id="305"/>
    <w:bookmarkStart w:id="306" w:name="kolmen-pilarin-konsultointimalli"/>
    <w:p>
      <w:pPr>
        <w:pStyle w:val="Heading4"/>
      </w:pPr>
      <w:r>
        <w:t xml:space="preserve">10.24.4 Kolmen pilarin konsultointimalli</w:t>
      </w:r>
    </w:p>
    <w:p>
      <w:pPr>
        <w:pStyle w:val="FirstParagraph"/>
      </w:pPr>
      <w:r>
        <w:t xml:space="preserve">Kyvykkyysontologia vaati toimituskehyksen. Konsultointimallin toimitusmalli kiteytyi kolmeen pilariin:</w:t>
      </w:r>
    </w:p>
    <w:p>
      <w:pPr>
        <w:numPr>
          <w:ilvl w:val="0"/>
          <w:numId w:val="1108"/>
        </w:numPr>
        <w:pStyle w:val="Compact"/>
      </w:pPr>
      <w:r>
        <w:rPr>
          <w:bCs/>
          <w:b/>
        </w:rPr>
        <w:t xml:space="preserve">Pilari 1 — Kyvykkyyskoulutus.</w:t>
      </w:r>
      <w:r>
        <w:t xml:space="preserve"> </w:t>
      </w:r>
      <w:r>
        <w:t xml:space="preserve">Koulutamme asiakkaan tiimin käyttämään yli 80 agenttikyvykkyyttä olemassa olevissa työnkuluissa.</w:t>
      </w:r>
    </w:p>
    <w:p>
      <w:pPr>
        <w:numPr>
          <w:ilvl w:val="0"/>
          <w:numId w:val="1108"/>
        </w:numPr>
        <w:pStyle w:val="Compact"/>
      </w:pPr>
      <w:r>
        <w:rPr>
          <w:bCs/>
          <w:b/>
        </w:rPr>
        <w:t xml:space="preserve">Pilari 2 — Toimialakohtaisten compliance-työnkulkujen kehittäminen.</w:t>
      </w:r>
      <w:r>
        <w:t xml:space="preserve"> </w:t>
      </w:r>
      <w:r>
        <w:t xml:space="preserve">Autamme toimialakohtaisten älykkäiden compliance-työnkulkujen kehittämisessä ja tuotantoon viemisessä. Tämä pilari operationalisoi LWM-sekvensointistrategian (§10.18) asiakastasolla.</w:t>
      </w:r>
    </w:p>
    <w:p>
      <w:pPr>
        <w:numPr>
          <w:ilvl w:val="0"/>
          <w:numId w:val="1108"/>
        </w:numPr>
        <w:pStyle w:val="Compact"/>
      </w:pPr>
      <w:r>
        <w:rPr>
          <w:bCs/>
          <w:b/>
        </w:rPr>
        <w:t xml:space="preserve">Pilari 3 — Keskeytyksetön projektin jatkuvuus.</w:t>
      </w:r>
      <w:r>
        <w:t xml:space="preserve"> </w:t>
      </w:r>
      <w:r>
        <w:t xml:space="preserve">Varmistamme että hanke etenee ilman keskeytyksiä. Käytetään Keskeytyslaskuria (lifetime.fi/laskuri/) kontekstin uudelleenrakennuskustannusten, vauhdin menetyksen ja avainhenkilöriskin kvantifiointiin.</w:t>
      </w:r>
    </w:p>
    <w:p>
      <w:pPr>
        <w:pStyle w:val="FirstParagraph"/>
      </w:pPr>
      <w:r>
        <w:t xml:space="preserve">Kolme pilaria kartoittuvat suoraan 4P-pääomamalliin (§10.23.7): Pilari 1 rakentaa Ihmispääomaa, Pilari 2 rakentaa Prompt- + Havaintopääomaa, Pilari 3 suojaa Laitospääoman jatkuvuutta.</w:t>
      </w:r>
    </w:p>
    <w:bookmarkEnd w:id="306"/>
    <w:bookmarkStart w:id="307" w:name="aegis-defence--kyvykkyyden-korjaus"/>
    <w:p>
      <w:pPr>
        <w:pStyle w:val="Heading4"/>
      </w:pPr>
      <w:r>
        <w:t xml:space="preserve">10.24.5 Aegis Defence -kyvykkyyden korjaus</w:t>
      </w:r>
    </w:p>
    <w:p>
      <w:pPr>
        <w:pStyle w:val="FirstParagraph"/>
      </w:pPr>
      <w:r>
        <w:t xml:space="preserve">Käsikirjan valmistelun aikana ArgusAgentin todellisten kyvykkyyksien tutkimus paljasti, ettei aiemmin väitettyä</w:t>
      </w:r>
      <w:r>
        <w:t xml:space="preserve"> </w:t>
      </w:r>
      <w:r>
        <w:t xml:space="preserve">“</w:t>
      </w:r>
      <w:r>
        <w:t xml:space="preserve">dronetunnistusta</w:t>
      </w:r>
      <w:r>
        <w:t xml:space="preserve">”</w:t>
      </w:r>
      <w:r>
        <w:t xml:space="preserve"> </w:t>
      </w:r>
      <w:r>
        <w:t xml:space="preserve">ole toteutettu. Rehellinen kyvykkyysprofiili on SAR-orbitaalinen (synteettisen apertuurin tutka) kohdetunnistus ICEYE-kumppanuuden kautta — muutosdetektio satelliittikuvissa, ei reaaliaikaista ilmavalvontaa. Aegis Defence -osio kirjoitettiin uudelleen kaikissa myynti- ja konsultointidokumenteissa viidellä todennettavalla työnkululla:</w:t>
      </w:r>
    </w:p>
    <w:p>
      <w:pPr>
        <w:numPr>
          <w:ilvl w:val="0"/>
          <w:numId w:val="1109"/>
        </w:numPr>
        <w:pStyle w:val="Compact"/>
      </w:pPr>
      <w:r>
        <w:t xml:space="preserve">SAR-orbitaalinen kohdetunnistus + muutosdetektio</w:t>
      </w:r>
    </w:p>
    <w:p>
      <w:pPr>
        <w:numPr>
          <w:ilvl w:val="0"/>
          <w:numId w:val="1109"/>
        </w:numPr>
        <w:pStyle w:val="Compact"/>
      </w:pPr>
      <w:r>
        <w:t xml:space="preserve">NIS2 + CER + Cyber Resilience Act -vaatimustenmukaisuuden monitorointi</w:t>
      </w:r>
    </w:p>
    <w:p>
      <w:pPr>
        <w:numPr>
          <w:ilvl w:val="0"/>
          <w:numId w:val="1109"/>
        </w:numPr>
        <w:pStyle w:val="Compact"/>
      </w:pPr>
      <w:r>
        <w:t xml:space="preserve">Vientivalvonnan vaatimustenmukaisuus (EU-asetus 2021/821 kaksikäyttö)</w:t>
      </w:r>
    </w:p>
    <w:p>
      <w:pPr>
        <w:numPr>
          <w:ilvl w:val="0"/>
          <w:numId w:val="1109"/>
        </w:numPr>
        <w:pStyle w:val="Compact"/>
      </w:pPr>
      <w:r>
        <w:t xml:space="preserve">Suvereeni ilmastoyhteensopivuusarviointi kaksikäyttötoimialoille</w:t>
      </w:r>
    </w:p>
    <w:p>
      <w:pPr>
        <w:numPr>
          <w:ilvl w:val="0"/>
          <w:numId w:val="1109"/>
        </w:numPr>
        <w:pStyle w:val="Compact"/>
      </w:pPr>
      <w:r>
        <w:t xml:space="preserve">Kriittisten toimitusketjujen monitorointi (Critical Raw Materials Act, EU Chips Act)</w:t>
      </w:r>
    </w:p>
    <w:p>
      <w:pPr>
        <w:pStyle w:val="FirstParagraph"/>
      </w:pPr>
      <w:r>
        <w:t xml:space="preserve">Tämä korjaus osoittaa Sääntö 12:n insinöörikurin (</w:t>
      </w:r>
      <w:r>
        <w:t xml:space="preserve">“</w:t>
      </w:r>
      <w:r>
        <w:t xml:space="preserve">Fail loud</w:t>
      </w:r>
      <w:r>
        <w:t xml:space="preserve">”</w:t>
      </w:r>
      <w:r>
        <w:t xml:space="preserve">) soveltamisen tuotemarkkinointiin.</w:t>
      </w:r>
    </w:p>
    <w:bookmarkEnd w:id="307"/>
    <w:bookmarkStart w:id="308" w:name="X2164e2a4312aad00728a322d6930f9a300897a2"/>
    <w:p>
      <w:pPr>
        <w:pStyle w:val="Heading4"/>
      </w:pPr>
      <w:r>
        <w:t xml:space="preserve">10.24.6 Toteutusnäyttö — lifetime.fi-sivuston käyttöönotto</w:t>
      </w:r>
    </w:p>
    <w:p>
      <w:pPr>
        <w:pStyle w:val="FirstParagraph"/>
      </w:pPr>
      <w:r>
        <w:t xml:space="preserve">Kolmen pilarin konsultointimalli otettiin käyttöön lifetime.fi-tuotantosivustolla, korvaten edellisen geneerisen konsultointipalveluosion. Toteutus käyttää olemassa olevaa</w:t>
      </w:r>
      <w:r>
        <w:t xml:space="preserve"> </w:t>
      </w:r>
      <w:r>
        <w:rPr>
          <w:rStyle w:val="VerbatimChar"/>
        </w:rPr>
        <w:t xml:space="preserve">.industry-agent-chip</w:t>
      </w:r>
      <w:r>
        <w:t xml:space="preserve">-CSS-komponenttikirjastoa renderöimään 10 ontologialuokkaa interaktiivisina chippeinä, kolmella alustakortilla (kulta/vihreä/sininen yläreuna) esittäen kunkin pilarin. Käyttöönotto peilattiin kaksoiskansioon (lifetime.fi/ → landing-pages/lifetime-fi/) DWS-toimintastandardin mukaisesti.</w:t>
      </w:r>
    </w:p>
    <w:bookmarkEnd w:id="308"/>
    <w:bookmarkStart w:id="314" w:name="tutkimuspanos-9"/>
    <w:p>
      <w:pPr>
        <w:pStyle w:val="Heading4"/>
      </w:pPr>
      <w:r>
        <w:t xml:space="preserve">10.24.7 Tutkimuspanos</w:t>
      </w:r>
    </w:p>
    <w:p>
      <w:pPr>
        <w:pStyle w:val="FirstParagraph"/>
      </w:pPr>
      <w:r>
        <w:rPr>
          <w:bCs/>
          <w:b/>
        </w:rPr>
        <w:t xml:space="preserve">Avainpanos #39 — Kyvykkyysontologia ja kolmen pilarin konsultointimalli:</w:t>
      </w:r>
      <w:r>
        <w:t xml:space="preserve"> </w:t>
      </w:r>
      <w:r>
        <w:t xml:space="preserve">10-luokkainen LWM-johdettu ontologia järjestää yli 80 agenttikyvykkyyttä tietograafirakenteeseen, joka on samanaikaisesti tuotetaksonomia, GTM-katalogi ja Havaintopääoman skeema. Kolmen pilarin toimitusmalli (kouluta → kehitä → suojaa) kartoittuu 4P-pääoman kertymispolulle (Ihmiset → Prompt+Havainto → Laitos), tarjoten ensimmäisen toteutustason vastauksen siihen, miten agenttisen alustan konsultointivarsi tulisi rakentaa säänneltyjen toimialojen asiakkaille.</w:t>
      </w:r>
      <w:r>
        <w:t xml:space="preserve"> </w:t>
      </w:r>
      <w:r>
        <w:t xml:space="preserve">“</w:t>
      </w:r>
      <w:r>
        <w:t xml:space="preserve">Kyvykkyys-ei-rooli</w:t>
      </w:r>
      <w:r>
        <w:t xml:space="preserve">”</w:t>
      </w:r>
      <w:r>
        <w:t xml:space="preserve">-kehystys ratkaisee poliittisen jännitteen agenttikyvykkyyksien markkinoinnin ja yrityksen henkilöstöherkkyyksien välillä. Liiteartefakti:</w:t>
      </w:r>
      <w:r>
        <w:t xml:space="preserve"> </w:t>
      </w:r>
      <w:r>
        <w:rPr>
          <w:rStyle w:val="VerbatimChar"/>
        </w:rPr>
        <w:t xml:space="preserve">docs/KONSULTOINNIN_KASIKIRJA_2026.md</w:t>
      </w:r>
      <w:r>
        <w:t xml:space="preserve"> </w:t>
      </w:r>
      <w:r>
        <w:t xml:space="preserve">v1.5 (Konsultin käsikirja 2026, kaksikielinen FI/EN).</w:t>
      </w:r>
    </w:p>
    <w:p>
      <w:r>
        <w:pict>
          <v:rect style="width:0;height:1.5pt" o:hralign="center" o:hrstd="t" o:hr="t"/>
        </w:pict>
      </w:r>
    </w:p>
    <w:p>
      <w:pPr>
        <w:pStyle w:val="FirstParagraph"/>
      </w:pPr>
      <w:r>
        <w:rPr>
          <w:bCs/>
          <w:b/>
        </w:rPr>
        <w:t xml:space="preserve">Dokumentin tiedot:</w:t>
      </w:r>
    </w:p>
    <w:p>
      <w:pPr>
        <w:pStyle w:val="BodyText"/>
      </w:pPr>
      <w:r>
        <w:rPr>
          <w:bCs/>
          <w:b/>
        </w:rPr>
        <w:t xml:space="preserve">Otsikko:</w:t>
      </w:r>
      <w:r>
        <w:t xml:space="preserve"> </w:t>
      </w:r>
      <w:r>
        <w:t xml:space="preserve">Firehorse-tuotevalmistuksen toimintamalli: Hybridi AI-edge-arkkitehtuuri ilmastoälykkäille teollisille alustoille</w:t>
      </w:r>
      <w:r>
        <w:t xml:space="preserve"> </w:t>
      </w:r>
      <w:r>
        <w:rPr>
          <w:bCs/>
          <w:b/>
        </w:rPr>
        <w:t xml:space="preserve">Tekijä:</w:t>
      </w:r>
      <w:r>
        <w:t xml:space="preserve"> </w:t>
      </w:r>
      <w:r>
        <w:t xml:space="preserve">Risto Anton Päärni</w:t>
      </w:r>
      <w:r>
        <w:t xml:space="preserve"> </w:t>
      </w:r>
      <w:r>
        <w:rPr>
          <w:bCs/>
          <w:b/>
        </w:rPr>
        <w:t xml:space="preserve">Oppilaitos:</w:t>
      </w:r>
      <w:r>
        <w:t xml:space="preserve"> </w:t>
      </w:r>
      <w:r>
        <w:t xml:space="preserve">Metropolia Ammattikorkeakoulu</w:t>
      </w:r>
      <w:r>
        <w:t xml:space="preserve"> </w:t>
      </w:r>
      <w:r>
        <w:rPr>
          <w:bCs/>
          <w:b/>
        </w:rPr>
        <w:t xml:space="preserve">Koulutusohjelma:</w:t>
      </w:r>
      <w:r>
        <w:t xml:space="preserve"> </w:t>
      </w:r>
      <w:r>
        <w:t xml:space="preserve">Smart Factory, YAMK</w:t>
      </w:r>
      <w:r>
        <w:t xml:space="preserve"> </w:t>
      </w:r>
      <w:r>
        <w:rPr>
          <w:bCs/>
          <w:b/>
        </w:rPr>
        <w:t xml:space="preserve">Ohjaaja:</w:t>
      </w:r>
      <w:r>
        <w:t xml:space="preserve"> </w:t>
      </w:r>
      <w:r>
        <w:t xml:space="preserve">Jarno Varteva (mukana Erkki Räsänen)</w:t>
      </w:r>
      <w:r>
        <w:t xml:space="preserve"> </w:t>
      </w:r>
      <w:r>
        <w:rPr>
          <w:bCs/>
          <w:b/>
        </w:rPr>
        <w:t xml:space="preserve">Yritys:</w:t>
      </w:r>
      <w:r>
        <w:t xml:space="preserve"> </w:t>
      </w:r>
      <w:r>
        <w:t xml:space="preserve">Lifetime Oy (Firehorse-brändi)</w:t>
      </w:r>
      <w:r>
        <w:t xml:space="preserve"> </w:t>
      </w:r>
      <w:r>
        <w:rPr>
          <w:bCs/>
          <w:b/>
        </w:rPr>
        <w:t xml:space="preserve">Tila:</w:t>
      </w:r>
      <w:r>
        <w:t xml:space="preserve"> </w:t>
      </w:r>
      <w:r>
        <w:t xml:space="preserve">DRAFT - V3.72 — Kyvykkyysontologia ja kolmen pilarin konsultointimalli; Konsultin käsikirja 2026 liiteartefaktina</w:t>
      </w:r>
      <w:r>
        <w:t xml:space="preserve"> </w:t>
      </w:r>
      <w:r>
        <w:rPr>
          <w:bCs/>
          <w:b/>
        </w:rPr>
        <w:t xml:space="preserve">Versio:</w:t>
      </w:r>
      <w:r>
        <w:t xml:space="preserve"> </w:t>
      </w:r>
      <w:r>
        <w:t xml:space="preserve">3.72</w:t>
      </w:r>
      <w:r>
        <w:t xml:space="preserve"> </w:t>
      </w:r>
      <w:r>
        <w:rPr>
          <w:bCs/>
          <w:b/>
        </w:rPr>
        <w:t xml:space="preserve">Viimeisin päivitys:</w:t>
      </w:r>
      <w:r>
        <w:t xml:space="preserve"> </w:t>
      </w:r>
      <w:r>
        <w:t xml:space="preserve">28.06.2026</w:t>
      </w:r>
      <w:r>
        <w:t xml:space="preserve"> </w:t>
      </w:r>
      <w:r>
        <w:rPr>
          <w:bCs/>
          <w:b/>
        </w:rPr>
        <w:t xml:space="preserve">V1.0 Julkaisutavoite:</w:t>
      </w:r>
      <w:r>
        <w:t xml:space="preserve"> </w:t>
      </w:r>
      <w:r>
        <w:t xml:space="preserve">23. helmikuuta 2026</w:t>
      </w:r>
    </w:p>
    <w:p>
      <w:pPr>
        <w:pStyle w:val="BodyText"/>
      </w:pPr>
      <w:r>
        <w:rPr>
          <w:bCs/>
          <w:b/>
        </w:rPr>
        <w:t xml:space="preserve">Kielet:</w:t>
      </w:r>
      <w:r>
        <w:t xml:space="preserve"> </w:t>
      </w:r>
      <w:r>
        <w:t xml:space="preserve">English, Suomi</w:t>
      </w:r>
      <w:r>
        <w:t xml:space="preserve"> </w:t>
      </w:r>
      <w:r>
        <w:rPr>
          <w:bCs/>
          <w:b/>
        </w:rPr>
        <w:t xml:space="preserve">Liittyvät dokumentit:</w:t>
      </w:r>
    </w:p>
    <w:p>
      <w:pPr>
        <w:numPr>
          <w:ilvl w:val="0"/>
          <w:numId w:val="1110"/>
        </w:numPr>
        <w:pStyle w:val="Compact"/>
      </w:pPr>
      <w:hyperlink r:id="rId309">
        <w:r>
          <w:rPr>
            <w:rStyle w:val="Hyperlink"/>
          </w:rPr>
          <w:t xml:space="preserve">English Version</w:t>
        </w:r>
      </w:hyperlink>
    </w:p>
    <w:p>
      <w:pPr>
        <w:numPr>
          <w:ilvl w:val="0"/>
          <w:numId w:val="1110"/>
        </w:numPr>
        <w:pStyle w:val="Compact"/>
      </w:pPr>
      <w:hyperlink r:id="rId310">
        <w:r>
          <w:rPr>
            <w:rStyle w:val="Hyperlink"/>
          </w:rPr>
          <w:t xml:space="preserve">Agent Signal Instructions</w:t>
        </w:r>
      </w:hyperlink>
    </w:p>
    <w:p>
      <w:pPr>
        <w:numPr>
          <w:ilvl w:val="0"/>
          <w:numId w:val="1110"/>
        </w:numPr>
        <w:pStyle w:val="Compact"/>
      </w:pPr>
      <w:hyperlink r:id="rId311">
        <w:r>
          <w:rPr>
            <w:rStyle w:val="Hyperlink"/>
          </w:rPr>
          <w:t xml:space="preserve">AgentFoundry Architecture</w:t>
        </w:r>
      </w:hyperlink>
    </w:p>
    <w:p>
      <w:pPr>
        <w:numPr>
          <w:ilvl w:val="0"/>
          <w:numId w:val="1110"/>
        </w:numPr>
        <w:pStyle w:val="Compact"/>
      </w:pPr>
      <w:hyperlink r:id="rId312">
        <w:r>
          <w:rPr>
            <w:rStyle w:val="Hyperlink"/>
          </w:rPr>
          <w:t xml:space="preserve">LWM-koulutusmanuaali</w:t>
        </w:r>
      </w:hyperlink>
    </w:p>
    <w:p>
      <w:pPr>
        <w:numPr>
          <w:ilvl w:val="0"/>
          <w:numId w:val="1110"/>
        </w:numPr>
        <w:pStyle w:val="Compact"/>
      </w:pPr>
      <w:hyperlink r:id="rId313">
        <w:r>
          <w:rPr>
            <w:rStyle w:val="Hyperlink"/>
          </w:rPr>
          <w:t xml:space="preserve">Järjestelmänvalvojan käsikirja</w:t>
        </w:r>
      </w:hyperlink>
    </w:p>
    <w:p>
      <w:pPr>
        <w:pStyle w:val="FirstParagraph"/>
      </w:pPr>
      <w:r>
        <w:rPr>
          <w:bCs/>
          <w:b/>
        </w:rPr>
        <w:t xml:space="preserve">Keskeiset kontribuutiot:</w:t>
      </w:r>
    </w:p>
    <w:p>
      <w:pPr>
        <w:numPr>
          <w:ilvl w:val="0"/>
          <w:numId w:val="1111"/>
        </w:numPr>
        <w:pStyle w:val="Compact"/>
      </w:pPr>
      <w:r>
        <w:t xml:space="preserve">Lifetime Scope Signals -protokolla — Uusi moniagenttikoordinointiviitekehys</w:t>
      </w:r>
    </w:p>
    <w:p>
      <w:pPr>
        <w:numPr>
          <w:ilvl w:val="0"/>
          <w:numId w:val="1111"/>
        </w:numPr>
        <w:pStyle w:val="Compact"/>
      </w:pPr>
      <w:r>
        <w:t xml:space="preserve">Solution Factory -malli — Toistettava teollisen AI-alustan pohja</w:t>
      </w:r>
    </w:p>
    <w:p>
      <w:pPr>
        <w:numPr>
          <w:ilvl w:val="0"/>
          <w:numId w:val="1111"/>
        </w:numPr>
        <w:pStyle w:val="Compact"/>
      </w:pPr>
      <w:r>
        <w:t xml:space="preserve">AI-avusteinen kehitys — Cursor Pro ja Claude Code Max mahdollistavat nopean 15 viikon MVP:n</w:t>
      </w:r>
    </w:p>
    <w:p>
      <w:pPr>
        <w:numPr>
          <w:ilvl w:val="0"/>
          <w:numId w:val="1111"/>
        </w:numPr>
        <w:pStyle w:val="Compact"/>
      </w:pPr>
      <w:r>
        <w:t xml:space="preserve">Vaiheittainen käyttöönottokehys — Luottamuksen rakentaminen AI:lle säännellyillä toimialoilla</w:t>
      </w:r>
    </w:p>
    <w:p>
      <w:pPr>
        <w:numPr>
          <w:ilvl w:val="0"/>
          <w:numId w:val="1111"/>
        </w:numPr>
        <w:pStyle w:val="Compact"/>
      </w:pPr>
      <w:r>
        <w:t xml:space="preserve">DWS10.com-verkkokauppavalidointi — Google Merchant Center + Revolut Business</w:t>
      </w:r>
    </w:p>
    <w:p>
      <w:pPr>
        <w:numPr>
          <w:ilvl w:val="0"/>
          <w:numId w:val="1111"/>
        </w:numPr>
        <w:pStyle w:val="Compact"/>
      </w:pPr>
      <w:r>
        <w:t xml:space="preserve">HIL-oppimisputki — Päivittäinen ihminen-tekoäly-palautesilmukka</w:t>
      </w:r>
    </w:p>
    <w:p>
      <w:pPr>
        <w:numPr>
          <w:ilvl w:val="0"/>
          <w:numId w:val="1111"/>
        </w:numPr>
        <w:pStyle w:val="Compact"/>
      </w:pPr>
      <w:r>
        <w:t xml:space="preserve">Automatisoitu PR-tyonkulku — Kaksoismallin AI-katselmointi korvaa manuaalisen koodikatselmoinnin</w:t>
      </w:r>
    </w:p>
    <w:p>
      <w:pPr>
        <w:numPr>
          <w:ilvl w:val="0"/>
          <w:numId w:val="1111"/>
        </w:numPr>
        <w:pStyle w:val="Compact"/>
      </w:pPr>
      <w:r>
        <w:t xml:space="preserve">DWS7 agenttimoderinsointi — Agenttisilmukat, työkalujen käyttö, MCP-palvelin, Build for Agents -periaate</w:t>
      </w:r>
    </w:p>
    <w:p>
      <w:pPr>
        <w:numPr>
          <w:ilvl w:val="0"/>
          <w:numId w:val="1111"/>
        </w:numPr>
        <w:pStyle w:val="Compact"/>
      </w:pPr>
      <w:r>
        <w:t xml:space="preserve">OpenSandbox-reunaintegraatio — Stage 1.5 agentin hiekkalaatikko Acer Veriton GN100 -laitteella; EMPO² agenttimuistin yhdenmukaisuus (arXiv:2602.23008)</w:t>
      </w:r>
    </w:p>
    <w:p>
      <w:pPr>
        <w:numPr>
          <w:ilvl w:val="0"/>
          <w:numId w:val="1111"/>
        </w:numPr>
        <w:pStyle w:val="Compact"/>
      </w:pPr>
      <w:r>
        <w:t xml:space="preserve">Toimitusjohtajan automaatioagenttiryhmä — Captain Briefing, LinkedIn Scheduler, EU Regulation Monitor; validoi Solution Factory -toistettavuuden liikevaihtokriittisille työnkuluille</w:t>
      </w:r>
    </w:p>
    <w:p>
      <w:pPr>
        <w:numPr>
          <w:ilvl w:val="0"/>
          <w:numId w:val="1111"/>
        </w:numPr>
        <w:pStyle w:val="Compact"/>
      </w:pPr>
      <w:r>
        <w:t xml:space="preserve">Monituottajakumppaniekosysteemi — NVIDIA, Siemens, ABB, xAI, Mistral; monituottaja-LLM-reititin ratkaisee EU AI Act -suvereniteettijännitteen käytännössä</w:t>
      </w:r>
    </w:p>
    <w:p>
      <w:pPr>
        <w:numPr>
          <w:ilvl w:val="0"/>
          <w:numId w:val="1111"/>
        </w:numPr>
        <w:pStyle w:val="Compact"/>
      </w:pPr>
      <w:r>
        <w:t xml:space="preserve">Climate IQ Pantheon — 13-agenttinen kreikkalais-roomalainen jumaljärjestelmä (6 orkestraattoria + 7 toimialaerityistä) SOUL.md-identiteettimallilla, prompt injection -turvallisuudella, EU AI Act artikla 12 -lokituksella ja markkinointikiilapersoona-strategialla</w:t>
      </w:r>
    </w:p>
    <w:p>
      <w:pPr>
        <w:numPr>
          <w:ilvl w:val="0"/>
          <w:numId w:val="1111"/>
        </w:numPr>
        <w:pStyle w:val="Compact"/>
      </w:pPr>
      <w:r>
        <w:t xml:space="preserve">Learn Thinking — Oppimisajattelukehys: opinnäytetyö elävänä dokumenttina, päivittäinen Learn/-kansion reflektiosilmukka, Build-Measure-Learn-syklin laajennus tekoälyavusteiseen tuotekehitykseen</w:t>
      </w:r>
    </w:p>
    <w:p>
      <w:pPr>
        <w:numPr>
          <w:ilvl w:val="0"/>
          <w:numId w:val="1111"/>
        </w:numPr>
        <w:pStyle w:val="Compact"/>
      </w:pPr>
      <w:r>
        <w:t xml:space="preserve">MCP Hub -orkestrointi + kolmen rajapinnan sääntö — Neljä tuotantotyönkulkumallia (Fan-Out, Sequential, Reflection, Pipeline) dokumentoiduilla päätepisteillä; skillit/CLI pakollisina agenttirajapintoina varmistaen, että jokainen agentti on käytettävissä ihmisille, tekoälyjärjestelmille ja kehitystyönkuluille</w:t>
      </w:r>
    </w:p>
    <w:p>
      <w:pPr>
        <w:numPr>
          <w:ilvl w:val="0"/>
          <w:numId w:val="1111"/>
        </w:numPr>
        <w:pStyle w:val="Compact"/>
      </w:pPr>
      <w:r>
        <w:t xml:space="preserve">Asiakaskeskeiset MVP-ominaisuudet — Kolme tuotanto-ominaisuutta, jotka siirtävät DWS IQ:n kehittäjätyökaluista asiakasvalmiiksi SaaS-alustaksi: (a) Itsepalvelu-API-avainten hallinta SHA-256-tiivistyksellä ja oikeuspohjaisella pääsynhallinnalla, (b) Käyttömittarointi 3-tasoisella laskutuksen valvonnalla (Free/Pro/Enterprise) ja kojelaudan edistymispalkeilla, (c) Vaatimustenmukaisuusraporttien vienti CSV/JSON-latauksella ja toistuvan aikataulun tuella. Validoi Solution Factory -tuotteistamishypoteesin — alusta on markkinavalmis säännellyille EU-toimialoille</w:t>
      </w:r>
    </w:p>
    <w:p>
      <w:pPr>
        <w:numPr>
          <w:ilvl w:val="0"/>
          <w:numId w:val="1111"/>
        </w:numPr>
        <w:pStyle w:val="Compact"/>
      </w:pPr>
      <w:r>
        <w:t xml:space="preserve">Agenttijärjestelmän koventaminen — Tuotantoluotettavuuden palautus: 6 TypeScript-kääntövirhettä korjattu 5 alijärjestelmässä, SandboxContext-tyyppilinjaus, MCP/HIL-reittien kytkentä, lokaalivarma numeromuotoilu, riippuvuushygienia; osoittaa integraatiovelkamallit moniagenttijärjestelmissä</w:t>
      </w:r>
    </w:p>
    <w:p>
      <w:pPr>
        <w:numPr>
          <w:ilvl w:val="0"/>
          <w:numId w:val="1111"/>
        </w:numPr>
        <w:pStyle w:val="Compact"/>
      </w:pPr>
      <w:r>
        <w:t xml:space="preserve">PostgreSQL-sarakemuotoinen HTAP-arkkitehtuuri — Yksitietokantainen HTAP pg_duckdb + TimescaleDB:llä Aiven EU:ssa; DWS-tietostandardin luominen tallennusmoottoreiden, laajennusrekisterin, säilytyspolitiikkojen ja EU-sääntelynmukaisuuden (GDPR, EU AI Act Art 12, NIS2, CSRD, EU Data Act) hallintaan; 4-vaiheinen käyttöönotto tauluosioinista lakehouse-integraatioon</w:t>
      </w:r>
    </w:p>
    <w:p>
      <w:pPr>
        <w:numPr>
          <w:ilvl w:val="0"/>
          <w:numId w:val="1111"/>
        </w:numPr>
        <w:pStyle w:val="Compact"/>
      </w:pPr>
      <w:r>
        <w:t xml:space="preserve">Kaksitasoinen HTAP-arkkitehtuuri — Aiven-first mandaatti lukitsee TimescaleDB 2.25.x Hypercore hyväksytyksi tuotantostandardiksi; pg_duckdb rajoitettu reunalaitteelle Aiven-sallittujen listan vuoksi; GN100-reunatietokanta käyttöönotettu täydellä laajennuspaketilla</w:t>
      </w:r>
    </w:p>
    <w:p>
      <w:pPr>
        <w:numPr>
          <w:ilvl w:val="0"/>
          <w:numId w:val="1111"/>
        </w:numPr>
        <w:pStyle w:val="Compact"/>
      </w:pPr>
      <w:r>
        <w:t xml:space="preserve">Harness Engineering — OpenAI:n 8 harness engineering -periaatteen analyysi DWS IQ 6 -arkkitehtuuria vasten; empiirinen löydös: pelkkä harness-parannus tuottaa 52,8%→66,5% tulosparannuksen (malli muuttumaton); DWS:n L0-L6 kuusikerroksinen arkkitehtuuri formaalina harness-kehyksenä; EU-regulaatio vaatii perustavanlaatuisesti erilaisen harnessin (jäljitettävyys + ihminen silmukassa vs Silicon Valleyn nopeusoptimointi)</w:t>
      </w:r>
    </w:p>
    <w:p>
      <w:pPr>
        <w:numPr>
          <w:ilvl w:val="0"/>
          <w:numId w:val="1111"/>
        </w:numPr>
        <w:pStyle w:val="Compact"/>
      </w:pPr>
      <w:r>
        <w:t xml:space="preserve">Hiilitase — Johtopäätös: EU:n ilmastovaatimustenmukaisuus (ETS, CBAM, CSRD, taksonomia) on rakenteellisesti isomorfinen kirjanpidon kanssa; kahdenkertainen kirjanpito CO2:lle kaksoisyksikkökirjauksilla (EUR + tCO2e); poikkisääntelyinen täsmäytys jaettujen kirjanpitokirjausten kautta; poikkitoimialainen älykkyys -teesi (monitoimialainen kirjanpito tuottaa emergenttia dataa jota yksitoimialainen työkalu ei voi replikoida); DWS 7 Phase 2.6 toteutussuunnitelma (8 PR:ää, pysyvä kirjanpito, talousjohtajan kojelauta, ERP-pääkirjan synkronointi, XBRL-vienti)</w:t>
      </w:r>
    </w:p>
    <w:p>
      <w:pPr>
        <w:numPr>
          <w:ilvl w:val="0"/>
          <w:numId w:val="1111"/>
        </w:numPr>
        <w:pStyle w:val="Compact"/>
      </w:pPr>
      <w:r>
        <w:t xml:space="preserve">LWM-sekvensointistrategia — Kolmivaiheinen sekvensointi (vaatimustenmukaisuus→laivasto→Series A) sijoittajanarratiivien ristiriitojen ratkaisemiseksi; LeWorldModel (arXiv:2603.19312) JEPA-maailmamallien ulkoinen validointi; vaiheen 2 teknisen aukon analyysi (syötemodaali, skaala, sääntely-fyysinen integraatio); vaatimustenmukaisuus ensin -maailmamalliteesi; Persefoni/Sweep-markkinavertailut</w:t>
      </w:r>
    </w:p>
    <w:p>
      <w:pPr>
        <w:numPr>
          <w:ilvl w:val="0"/>
          <w:numId w:val="1111"/>
        </w:numPr>
        <w:pStyle w:val="Compact"/>
      </w:pPr>
      <w:r>
        <w:t xml:space="preserve">Toimialakohtainen vs geneerinen AI-harness — Kilpailija-analyysi everything-claude-code-kehystä (120k tähteä, 136 taitoa) vastaan; kuusi kilpailuetua dokumentoitu (toimialaspesifisyys, kuusikerroksinen arkkitehtuuri, kovat portit, luottamusvyöhykkeet, gstack-työnkulku, agentti-ensin -tuotesääntö); token-budjettianalyysi osoittaa syvyyden ylittävän laajuuden säännellyillä toimialoilla; taitoinventaarion kasvu 6:sta 21:een tuotantotaitoon 4:llä estävällä kurinpitoportilla; validoi harness engineering -teesin (osio 10.16)</w:t>
      </w:r>
    </w:p>
    <w:p>
      <w:pPr>
        <w:numPr>
          <w:ilvl w:val="0"/>
          <w:numId w:val="1111"/>
        </w:numPr>
        <w:pStyle w:val="Compact"/>
      </w:pPr>
      <w:r>
        <w:t xml:space="preserve">Opinnäytetyön versiointistrategia — Kaksoisversioarkkitehtuuri: v3.30.50 jäädytetty 50-sivuinen Metropolia-palautusversio + 82-sivuinen elävä dokumentti jatkuu; osoittaa käytännön ratkaisun tekoälyavusteiseen akateemiseen kirjoittamiseen, jossa tutkimuksen nopeus ylittää palautusformaatin rajoitukset; säilyttää täydellisen tutkimuslinjan täyttäen samalla oppilaitoksen vaatimukset</w:t>
      </w:r>
    </w:p>
    <w:p>
      <w:pPr>
        <w:numPr>
          <w:ilvl w:val="0"/>
          <w:numId w:val="1111"/>
        </w:numPr>
        <w:pStyle w:val="Compact"/>
      </w:pPr>
      <w:r>
        <w:t xml:space="preserve">Skills-paradigma toimialakonsensuksena validoitu — Anthropicin 16.4.2026 essee</w:t>
      </w:r>
      <w:r>
        <w:t xml:space="preserve"> </w:t>
      </w:r>
      <w:r>
        <w:t xml:space="preserve">“</w:t>
      </w:r>
      <w:r>
        <w:t xml:space="preserve">Stop Building Agents, Start Building Skills</w:t>
      </w:r>
      <w:r>
        <w:t xml:space="preserve">”</w:t>
      </w:r>
      <w:r>
        <w:t xml:space="preserve"> </w:t>
      </w:r>
      <w:r>
        <w:t xml:space="preserve">validoi ulkoisesti taito-ensin -arkkitehtuurin (§10.13) ja toimialakohtaisen-yli-geneerisen harness-argumentin (§10.13.7); 24+ tuotantotaitoa 4 kurinpitoportilla edustavat nyt toimialakonsensusta eikä DWS-spesifistä vetoa</w:t>
      </w:r>
    </w:p>
    <w:p>
      <w:pPr>
        <w:numPr>
          <w:ilvl w:val="0"/>
          <w:numId w:val="1111"/>
        </w:numPr>
        <w:pStyle w:val="Compact"/>
      </w:pPr>
      <w:r>
        <w:t xml:space="preserve">Lifetime Fleet -kiteytyminen — Brain-Memory-Body-Hands -pino on testattavissa päästä päähän: Suomen dronestrategia 2030 -kohdistus + Baltia-ensin 12–16 viikon MVP siirtävät</w:t>
      </w:r>
      <w:r>
        <w:t xml:space="preserve"> </w:t>
      </w:r>
      <w:r>
        <w:t xml:space="preserve">“</w:t>
      </w:r>
      <w:r>
        <w:t xml:space="preserve">Kädet</w:t>
      </w:r>
      <w:r>
        <w:t xml:space="preserve">”</w:t>
      </w:r>
      <w:r>
        <w:t xml:space="preserve">-kerroksen spesifikaatiosta konkreettiseksi laitteistoaikatauluksi KYA/Aegis/Firehorse-hallinnan täydellä uudelleenkäytöllä; vaatimustenmukaisuus-ensin -maailmamalliteesi (§10.18) muuttuu lähitulevaisuuden insinöörivirstanpylvääksi</w:t>
      </w:r>
    </w:p>
    <w:p>
      <w:pPr>
        <w:numPr>
          <w:ilvl w:val="0"/>
          <w:numId w:val="1111"/>
        </w:numPr>
        <w:pStyle w:val="Compact"/>
      </w:pPr>
    </w:p>
    <w:p>
      <w:pPr>
        <w:numPr>
          <w:ilvl w:val="1"/>
          <w:numId w:val="1112"/>
        </w:numPr>
        <w:pStyle w:val="Compact"/>
      </w:pPr>
      <w:r>
        <w:t xml:space="preserve">toimiala vihreän vedyn lisäisyyden kautta — DWS IQ 7 Datakeskusten vaatimustenmukaisuusagentti soveltaa RFNBO-delegoitua asetusta 2023/1184 (lisäisyys, ajallinen korrelaatio, maantieteellinen korrelaatio) suomalaisiin datakeskuksiin; laajentaa kaksinkertaisen hiilikirjanpidon (§10.17) data-intensiivisiin palveluihin ja lisää NIS2 + CER -kattavuuden ilmastosääntelyn rinnalle — alustan sääntelyalueen ensimmäinen poikkialueellinen laajennus</w:t>
      </w:r>
    </w:p>
    <w:p>
      <w:pPr>
        <w:numPr>
          <w:ilvl w:val="0"/>
          <w:numId w:val="1111"/>
        </w:numPr>
        <w:pStyle w:val="Compact"/>
      </w:pPr>
      <w:r>
        <w:t xml:space="preserve">Perustajan→tiimin siirtymä alustan ominaisuutena — SOLO_FOUNDER_STATEMENT v1.2 + Anthony Maurin CTO-yhteisrakentajasekvensointi +</w:t>
      </w:r>
      <w:r>
        <w:t xml:space="preserve"> </w:t>
      </w:r>
      <w:r>
        <w:rPr>
          <w:rStyle w:val="VerbatimChar"/>
        </w:rPr>
        <w:t xml:space="preserve">/investor-outreach</w:t>
      </w:r>
      <w:r>
        <w:t xml:space="preserve"> </w:t>
      </w:r>
      <w:r>
        <w:t xml:space="preserve">-taito (10+ INTRO-muistiota luonnosteltu) tekevät sijoittajayhteydenpidosta toistettavan DWS IQ -työnkulun hiljaisen perustajatiedon sijaan; validoi alustan oman ratkaisutehdas-väitteen</w:t>
      </w:r>
    </w:p>
    <w:p>
      <w:pPr>
        <w:numPr>
          <w:ilvl w:val="0"/>
          <w:numId w:val="1111"/>
        </w:numPr>
        <w:pStyle w:val="Compact"/>
      </w:pPr>
      <w:r>
        <w:t xml:space="preserve">KYA Agentic AI Foundation -kohdennus ja dual-use-laajennus — KYA nostettu yleiseksi agenttien perusstandardiehdokkaaksi; DWS 7 asetettu empiiriseksi rungoksi, jossa vetytalousjatkumo (DWS 5 -&gt; DWS 7), suvereniteettisegmentointi (Aegis/Sovereign Infra/Connect), Nokia Defence -keskustelupolku sekä Siemens- ja NVIDIA Connect -yhteistyö ankkuroidaan yhdeksi tutkimusohjelmaksi</w:t>
      </w:r>
    </w:p>
    <w:p>
      <w:pPr>
        <w:numPr>
          <w:ilvl w:val="0"/>
          <w:numId w:val="1111"/>
        </w:numPr>
        <w:pStyle w:val="Compact"/>
      </w:pPr>
      <w:r>
        <w:t xml:space="preserve">KYA open source -standardipolku ja Artikkeli 1:n täsmennys — tutkimukseen lisätty eksplisiittinen standardointikanava Agentic AI Foundation / Linux Foundation -reitille, NIST-polun tila kirjattu (ei lähetetty), sekä 2026-2029 julkaisuvaiheistus ja EIC Step 1 -deliverablejen rooli tutkimusviestinnässä</w:t>
      </w:r>
    </w:p>
    <w:p>
      <w:pPr>
        <w:numPr>
          <w:ilvl w:val="0"/>
          <w:numId w:val="1111"/>
        </w:numPr>
        <w:pStyle w:val="Compact"/>
      </w:pPr>
      <w:r>
        <w:t xml:space="preserve">Kolmitasoinen Skilled-taksonomia — brändi / spesifikaatio / käyttöliittymä -taksonomia (Skilled / Industrial Specialist / Industry) suunnittelumallina EU-säännellyille agenttialustoille; monotoninen</w:t>
      </w:r>
      <w:r>
        <w:t xml:space="preserve"> </w:t>
      </w:r>
      <w:r>
        <w:rPr>
          <w:rStyle w:val="VerbatimChar"/>
        </w:rPr>
        <w:t xml:space="preserve">Skilled &lt;Akseli&gt;</w:t>
      </w:r>
      <w:r>
        <w:t xml:space="preserve"> </w:t>
      </w:r>
      <w:r>
        <w:t xml:space="preserve">-malli agenteille, työnkuluille ja jurisdiktioille</w:t>
      </w:r>
    </w:p>
    <w:p>
      <w:pPr>
        <w:numPr>
          <w:ilvl w:val="0"/>
          <w:numId w:val="1111"/>
        </w:numPr>
        <w:pStyle w:val="Compact"/>
      </w:pPr>
      <w:r>
        <w:t xml:space="preserve">Kolmen pääoman kertymismalli — toteutusnäyttö 7 kuukauden HIL-vaiheesta: token-pääoma (30+ taitoa, 150+ kenttämuistiota, 50 agenttia), inhimillinen pääoma (hahmontunnistus, kalibrointi), Control Room -pääoma (kynnykset, artikla 12 -auditointipolku); määrittelee HIL → HIC -siirtymän</w:t>
      </w:r>
    </w:p>
    <w:p>
      <w:pPr>
        <w:numPr>
          <w:ilvl w:val="0"/>
          <w:numId w:val="1111"/>
        </w:numPr>
        <w:pStyle w:val="Compact"/>
      </w:pPr>
      <w:r>
        <w:t xml:space="preserve">Neljän pääoman (4P) arkkitehtuurikartoitus — Prompt, Ihmiset, Laitos, Havainto kartoitettuna DWS IQ 6:n Aivot-Muisti-Keho-Kädet-arkkitehtuuriin; GTM-laajentumismalli Havaintopääoman kertymisestä</w:t>
      </w:r>
    </w:p>
    <w:p>
      <w:pPr>
        <w:numPr>
          <w:ilvl w:val="0"/>
          <w:numId w:val="1111"/>
        </w:numPr>
        <w:pStyle w:val="Compact"/>
      </w:pPr>
      <w:r>
        <w:t xml:space="preserve">Kyvykkyysontologia ja kolmen pilarin konsultointimalli — 10 LWM-tietograafiluokkaa, jotka järjestävät yli 80 agenttikyvykkyyttä; kolmen pilarin toimitusmalli (kouluta → kehitä → suojaa), joka kartoittuu 4P-pääomapolulle;</w:t>
      </w:r>
      <w:r>
        <w:t xml:space="preserve"> </w:t>
      </w:r>
      <w:r>
        <w:t xml:space="preserve">“</w:t>
      </w:r>
      <w:r>
        <w:t xml:space="preserve">kyvykkyys-ei-rooli</w:t>
      </w:r>
      <w:r>
        <w:t xml:space="preserve">”</w:t>
      </w:r>
      <w:r>
        <w:t xml:space="preserve">-kehystys B2B-agenttialustoille; liiteartefakti:</w:t>
      </w:r>
      <w:r>
        <w:t xml:space="preserve"> </w:t>
      </w:r>
      <w:r>
        <w:rPr>
          <w:rStyle w:val="VerbatimChar"/>
        </w:rPr>
        <w:t xml:space="preserve">docs/KONSULTOINNIN_KASIKIRJA_2026.md</w:t>
      </w:r>
      <w:r>
        <w:t xml:space="preserve"> </w:t>
      </w:r>
      <w:r>
        <w:t xml:space="preserve">v1.5</w:t>
      </w:r>
    </w:p>
    <w:p>
      <w:pPr>
        <w:pStyle w:val="FirstParagraph"/>
      </w:pPr>
      <w:r>
        <w:rPr>
          <w:bCs/>
          <w:b/>
        </w:rPr>
        <w:t xml:space="preserve">Lisenssi:</w:t>
      </w:r>
      <w:r>
        <w:t xml:space="preserve"> </w:t>
      </w:r>
      <w:r>
        <w:t xml:space="preserve">Proprietary - Lifetime Oy</w:t>
      </w:r>
      <w:r>
        <w:t xml:space="preserve"> </w:t>
      </w:r>
      <w:r>
        <w:rPr>
          <w:bCs/>
          <w:b/>
        </w:rPr>
        <w:t xml:space="preserve">Yhteystieto:</w:t>
      </w:r>
      <w:r>
        <w:t xml:space="preserve"> </w:t>
      </w:r>
      <w:r>
        <w:t xml:space="preserve">risto@lifetime.fi</w:t>
      </w:r>
    </w:p>
    <w:p>
      <w:r>
        <w:pict>
          <v:rect style="width:0;height:1.5pt" o:hralign="center" o:hrstd="t" o:hr="t"/>
        </w:pict>
      </w:r>
    </w:p>
    <w:bookmarkEnd w:id="314"/>
    <w:bookmarkEnd w:id="315"/>
    <w:bookmarkEnd w:id="316"/>
    <w:bookmarkStart w:id="320" w:name="Xf35edad05fbd34d955a3c0c727e74cb543a8d28"/>
    <w:p>
      <w:pPr>
        <w:pStyle w:val="Heading2"/>
      </w:pPr>
      <w:r>
        <w:t xml:space="preserve">10.16 EU:n tekoälyasetuksen 50 artiklan sisältömerkintä — toteutus</w:t>
      </w:r>
    </w:p>
    <w:bookmarkStart w:id="317" w:name="motivaatio-6"/>
    <w:p>
      <w:pPr>
        <w:pStyle w:val="Heading3"/>
      </w:pPr>
      <w:r>
        <w:t xml:space="preserve">10.16.1 Motivaatio</w:t>
      </w:r>
    </w:p>
    <w:p>
      <w:pPr>
        <w:pStyle w:val="FirstParagraph"/>
      </w:pPr>
      <w:r>
        <w:t xml:space="preserve">Elokuun 2. päivänä 2026 tekoälytoimisto ja kansalliset markkinavalvontaviranomaiset aloittivat tekoälyasetuksen täytäntöönpanon, ja 50 artiklan avoimuusvelvoitteet tulivat sovellettaviksi. DWS julkaisee tekoälyllä tuotettua mediaa omilla julkisilla pinnoillaan, mikä asettaa sen 50(4) artiklan</w:t>
      </w:r>
      <w:r>
        <w:t xml:space="preserve"> </w:t>
      </w:r>
      <w:r>
        <w:rPr>
          <w:bCs/>
          <w:b/>
        </w:rPr>
        <w:t xml:space="preserve">käyttöönottajan</w:t>
      </w:r>
      <w:r>
        <w:t xml:space="preserve"> </w:t>
      </w:r>
      <w:r>
        <w:t xml:space="preserve">rooliin: syväväärennökset ja ilman inhimillistä tarkastusta julkaistu yleistä etua koskeva tekoälyteksti on merkittävä selkeästi ja havaittavasti. Velvoitetta ei ole lykätty — toisin kuin 50(2) artiklan tarjoajan merkitsemisvelvoite, jonka AI Omnibus lykkää joulukuuhun 2026 ennen 2.8.2026 markkinoille saatetuille generatiivisille järjestelmille, syväväärennösten merkitsemiselle ei annettu vastaavaa siirtymäaikaa.</w:t>
      </w:r>
    </w:p>
    <w:p>
      <w:pPr>
        <w:pStyle w:val="BodyText"/>
      </w:pPr>
      <w:r>
        <w:t xml:space="preserve">Kaikkien julkisten DWS-pintojen (</w:t>
      </w:r>
      <w:r>
        <w:rPr>
          <w:rStyle w:val="VerbatimChar"/>
        </w:rPr>
        <w:t xml:space="preserve">dws6.com</w:t>
      </w:r>
      <w:r>
        <w:t xml:space="preserve">,</w:t>
      </w:r>
      <w:r>
        <w:t xml:space="preserve"> </w:t>
      </w:r>
      <w:r>
        <w:rPr>
          <w:rStyle w:val="VerbatimChar"/>
        </w:rPr>
        <w:t xml:space="preserve">dws10.com</w:t>
      </w:r>
      <w:r>
        <w:t xml:space="preserve">,</w:t>
      </w:r>
      <w:r>
        <w:t xml:space="preserve"> </w:t>
      </w:r>
      <w:r>
        <w:rPr>
          <w:rStyle w:val="VerbatimChar"/>
        </w:rPr>
        <w:t xml:space="preserve">onelifetime.world</w:t>
      </w:r>
      <w:r>
        <w:t xml:space="preserve">,</w:t>
      </w:r>
      <w:r>
        <w:t xml:space="preserve"> </w:t>
      </w:r>
      <w:r>
        <w:rPr>
          <w:rStyle w:val="VerbatimChar"/>
        </w:rPr>
        <w:t xml:space="preserve">lifetime.fi</w:t>
      </w:r>
      <w:r>
        <w:t xml:space="preserve">) auditointi tunnisti altistuneet aineistot: kaksi tekoälyllä tuotettua esittelijävideota ja neljä tekoälyllä tuotettua persoonakuvaa.</w:t>
      </w:r>
    </w:p>
    <w:bookmarkEnd w:id="317"/>
    <w:bookmarkStart w:id="318" w:name="Xe57f7833eef84c5214e778335895ba30ebd52f8"/>
    <w:p>
      <w:pPr>
        <w:pStyle w:val="Heading3"/>
      </w:pPr>
      <w:r>
        <w:t xml:space="preserve">10.16.2 Toteutus: merkintä yhdistetään mediaan, ei sivuun</w:t>
      </w:r>
    </w:p>
    <w:p>
      <w:pPr>
        <w:pStyle w:val="FirstParagraph"/>
      </w:pPr>
      <w:r>
        <w:t xml:space="preserve">Ensimmäinen toteutusyritys sijoitti EU:n</w:t>
      </w:r>
      <w:r>
        <w:t xml:space="preserve"> </w:t>
      </w:r>
      <w:r>
        <w:rPr>
          <w:bCs/>
          <w:b/>
        </w:rPr>
        <w:t xml:space="preserve">AI GENERATED</w:t>
      </w:r>
      <w:r>
        <w:t xml:space="preserve"> </w:t>
      </w:r>
      <w:r>
        <w:t xml:space="preserve">-kuvakkeen HTML/CSS-peittokuvaksi</w:t>
      </w:r>
      <w:r>
        <w:t xml:space="preserve"> </w:t>
      </w:r>
      <w:r>
        <w:rPr>
          <w:rStyle w:val="VerbatimChar"/>
        </w:rPr>
        <w:t xml:space="preserve">&lt;video&gt;</w:t>
      </w:r>
      <w:r>
        <w:t xml:space="preserve">-elementin päälle. Tämä täyttää havaittavuuden niin kauan kuin kävijä on sivulla ja pettää sillä hetkellä kun artefakti poistuu siltä: ladattu tai edelleen jaettu kopio ei kanna merkintää, koska merkintä oli sivun eikä median ominaisuus.</w:t>
      </w:r>
    </w:p>
    <w:p>
      <w:pPr>
        <w:pStyle w:val="BodyText"/>
      </w:pPr>
      <w:r>
        <w:t xml:space="preserve">Toimitettu toteutus yhdistää kuvakkeen videokuviin ennen julkaisua</w:t>
      </w:r>
      <w:r>
        <w:t xml:space="preserve"> </w:t>
      </w:r>
      <w:r>
        <w:rPr>
          <w:rStyle w:val="VerbatimChar"/>
        </w:rPr>
        <w:t xml:space="preserve">ffmpeg</w:t>
      </w:r>
      <w:r>
        <w:t xml:space="preserve">-peittosuodattimella (kuvake skaalattuna noin 22 %:iin kuvan leveydestä, oikeaan alakulmaan, 24 pikselin marginaalilla, koko keston ajan), ja johtaa sitten julistekuvan ja VP9/WebM-varamuodon jo merkitystä masterista, jotta jokainen toimitettu esitysmuoto kantaa merkinnän. Jokainen yhdistelmä varmennettiin visuaalisesti — kuva poimittiin ja tarkastettiin — ennen julkaisua sen sijaan että se olisi oletettu onnistuneesta paluukoodista.</w:t>
      </w:r>
    </w:p>
    <w:p>
      <w:pPr>
        <w:pStyle w:val="BodyText"/>
      </w:pPr>
      <w:r>
        <w:t xml:space="preserve">Persoonakuvat ratkaistiin toisin. Koska tekoälypersoonista koostuva tiimiosio oli korvautumassa todellisilla nimetyillä toimialarooleilla, osio</w:t>
      </w:r>
      <w:r>
        <w:t xml:space="preserve"> </w:t>
      </w:r>
      <w:r>
        <w:rPr>
          <w:bCs/>
          <w:b/>
        </w:rPr>
        <w:t xml:space="preserve">poistettiin</w:t>
      </w:r>
      <w:r>
        <w:t xml:space="preserve"> </w:t>
      </w:r>
      <w:r>
        <w:t xml:space="preserve">merkitsemisen sijaan: aineistojen poistaminen eliminoi altistuman ilman että merkitsemistyötä investoitiin sisältöön, joka oli joka tapauksessa poistumassa. Tämä kirjataan, koska se on yleinen tulos — kun altistunut sisältö on jo korvautumassa, poistaminen voittaa merkitsemisen sekä kustannuksissa että rehellisyydessä.</w:t>
      </w:r>
    </w:p>
    <w:bookmarkEnd w:id="318"/>
    <w:bookmarkStart w:id="319" w:name="syntynyt-insinöörisääntö"/>
    <w:p>
      <w:pPr>
        <w:pStyle w:val="Heading3"/>
      </w:pPr>
      <w:r>
        <w:t xml:space="preserve">10.16.3 Syntynyt insinöörisääntö</w:t>
      </w:r>
    </w:p>
    <w:p>
      <w:pPr>
        <w:pStyle w:val="BlockText"/>
      </w:pPr>
      <w:r>
        <w:t xml:space="preserve">Esityskerroksessa toteutettu avoimuusmerkintä ei ole merkintä; se on kuvateksti.</w:t>
      </w:r>
    </w:p>
    <w:p>
      <w:pPr>
        <w:pStyle w:val="FirstParagraph"/>
      </w:pPr>
      <w:r>
        <w:t xml:space="preserve">50 artiklan sijaintivaatimus on insinöörikielellä vaatimus</w:t>
      </w:r>
      <w:r>
        <w:t xml:space="preserve"> </w:t>
      </w:r>
      <w:r>
        <w:rPr>
          <w:bCs/>
          <w:b/>
        </w:rPr>
        <w:t xml:space="preserve">alkuperätiedosta, joka säilyy ulosviennissä</w:t>
      </w:r>
      <w:r>
        <w:t xml:space="preserve"> </w:t>
      </w:r>
      <w:r>
        <w:t xml:space="preserve">— sama ominaisuus, jonka C2PA-sisältötodisteet väittävät medialle ja jota 12 artiklan evidenssiketju edellyttää agenttilokeilta. Merkintä, joka elää esityskontekstissa, ei voi täyttää sitä. Jokaista merkintätoteutusta on siksi arvioitava kysymyksellä</w:t>
      </w:r>
      <w:r>
        <w:t xml:space="preserve"> </w:t>
      </w:r>
      <w:r>
        <w:rPr>
          <w:iCs/>
          <w:i/>
        </w:rPr>
        <w:t xml:space="preserve">“</w:t>
      </w:r>
      <w:r>
        <w:rPr>
          <w:iCs/>
          <w:i/>
        </w:rPr>
        <w:t xml:space="preserve">säilyykö tämä latauksessa ja edelleenjaossa?</w:t>
      </w:r>
      <w:r>
        <w:rPr>
          <w:iCs/>
          <w:i/>
        </w:rPr>
        <w:t xml:space="preserve">”</w:t>
      </w:r>
      <w:r>
        <w:t xml:space="preserve">, ja vain mediaan yhdistäminen (tai kryptografisesti sidottu oheistiedosto, jota kuluttava pinta on velvollinen kunnioittamaan) läpäisee sen.</w:t>
      </w:r>
    </w:p>
    <w:p>
      <w:pPr>
        <w:pStyle w:val="BodyText"/>
      </w:pPr>
      <w:r>
        <w:t xml:space="preserve">Vastaava toiminnallinen löydös on, että</w:t>
      </w:r>
      <w:r>
        <w:t xml:space="preserve"> </w:t>
      </w:r>
      <w:r>
        <w:rPr>
          <w:bCs/>
          <w:b/>
        </w:rPr>
        <w:t xml:space="preserve">käyttöönottajan puolen merkintä, ei tarjoajan puolen vesileimaus, on lähiajan sitova rajoite</w:t>
      </w:r>
      <w:r>
        <w:t xml:space="preserve">: 50 artiklan puolisko, joka on halpa toteuttaa ja sääntelijän välittömästi tarkistettavissa, on se puolisko, jolla ei ole siirtymäaikaa.</w:t>
      </w:r>
    </w:p>
    <w:p>
      <w:pPr>
        <w:pStyle w:val="BodyText"/>
      </w:pPr>
      <w:r>
        <w:rPr>
          <w:iCs/>
          <w:i/>
        </w:rPr>
        <w:t xml:space="preserve">Kenttämuistiinpanot:</w:t>
      </w:r>
      <w:r>
        <w:rPr>
          <w:iCs/>
          <w:i/>
        </w:rPr>
        <w:t xml:space="preserve"> </w:t>
      </w:r>
      <w:r>
        <w:rPr>
          <w:rStyle w:val="VerbatimChar"/>
          <w:iCs/>
          <w:i/>
        </w:rPr>
        <w:t xml:space="preserve">docs/field-notes/2026-07-31-article-50-transparency-marking-audit.md</w:t>
      </w:r>
      <w:r>
        <w:rPr>
          <w:iCs/>
          <w:i/>
        </w:rPr>
        <w:t xml:space="preserve"> </w:t>
      </w:r>
      <w:r>
        <w:rPr>
          <w:iCs/>
          <w:i/>
        </w:rPr>
        <w:t xml:space="preserve">ja</w:t>
      </w:r>
      <w:r>
        <w:rPr>
          <w:iCs/>
          <w:i/>
        </w:rPr>
        <w:t xml:space="preserve"> </w:t>
      </w:r>
      <w:r>
        <w:rPr>
          <w:rStyle w:val="VerbatimChar"/>
          <w:iCs/>
          <w:i/>
        </w:rPr>
        <w:t xml:space="preserve">docs/field-notes/2026-08-01-persona-retirement-and-reveal.md</w:t>
      </w:r>
      <w:r>
        <w:rPr>
          <w:iCs/>
          <w:i/>
        </w:rPr>
        <w:t xml:space="preserve">. Tieteellinen uudelleenmuotoilu ja velvoite–kyvykkyys-analyysi: PHD_FIREHORSE §14.46 (Avainkontribuutio #51).</w:t>
      </w:r>
    </w:p>
    <w:p>
      <w:r>
        <w:pict>
          <v:rect style="width:0;height:1.5pt" o:hralign="center" o:hrstd="t" o:hr="t"/>
        </w:pict>
      </w:r>
    </w:p>
    <w:bookmarkEnd w:id="319"/>
    <w:bookmarkEnd w:id="320"/>
    <w:bookmarkStart w:id="365" w:name="X7c95b574e34a295223aed49fcdb4b353db4ecf9"/>
    <w:p>
      <w:pPr>
        <w:pStyle w:val="Heading2"/>
      </w:pPr>
      <w:r>
        <w:t xml:space="preserve">Bibliografia (Oxford notes-bibliography -tyyli) — v3.61</w:t>
      </w:r>
    </w:p>
    <w:p>
      <w:pPr>
        <w:pStyle w:val="FirstParagraph"/>
      </w:pPr>
      <w:r>
        <w:t xml:space="preserve">Lisätty v3.61:ssä (28.05.2026) luetteloimaan tämän maisterityön luvuissa siteeratut kanoniset lähteet. Lainaustyyli on Oxford notes-bibliography: jokainen alaviite</w:t>
      </w:r>
      <w:r>
        <w:t xml:space="preserve"> </w:t>
      </w:r>
      <w:r>
        <w:rPr>
          <w:rStyle w:val="VerbatimChar"/>
        </w:rPr>
        <w:t xml:space="preserve">[^N]</w:t>
      </w:r>
      <w:r>
        <w:t xml:space="preserve"> </w:t>
      </w:r>
      <w:r>
        <w:t xml:space="preserve">merkitsee yhtä lähdettä; sitä seuraava luku-indeksi osoittaa, mikä luku tukeutuu mihinkin alaviitteeseen. Luvut, joita ei mainita indeksissä, eivät siteeraa näitä lähteitä.</w:t>
      </w:r>
    </w:p>
    <w:bookmarkStart w:id="346" w:name="lukukohtainen-viite-indeksi"/>
    <w:p>
      <w:pPr>
        <w:pStyle w:val="Heading3"/>
      </w:pPr>
      <w:r>
        <w:t xml:space="preserve">Lukukohtainen viite-indeksi</w:t>
      </w:r>
    </w:p>
    <w:p>
      <w:pPr>
        <w:pStyle w:val="BlockText"/>
      </w:pPr>
      <w:r>
        <w:rPr>
          <w:bCs/>
          <w:b/>
        </w:rPr>
        <w:t xml:space="preserve">Tässä luvussa viitatut lähteet.</w:t>
      </w:r>
      <w:r>
        <w:t xml:space="preserve"> </w:t>
      </w:r>
      <w:r>
        <w:t xml:space="preserve">Luvut, jotka tukeutuvat yhteen tai useampaan alla olevista alaviitteistä, on lueteltu täällä, jotta lukija voi ratkaista jokaisen tekstinsisäisen viitteen ilman koko dokumentin selausta.</w:t>
      </w:r>
    </w:p>
    <w:tbl>
      <w:tblPr>
        <w:tblStyle w:val="Table"/>
        <w:tblW w:type="pct" w:w="5000"/>
        <w:tblLook w:firstRow="1" w:lastRow="0" w:firstColumn="0" w:lastColumn="0" w:noHBand="0" w:noVBand="0" w:val="0020"/>
        <w:jc w:val="start"/>
      </w:tblPr>
      <w:tblGrid>
        <w:gridCol w:w="4966"/>
        <w:gridCol w:w="2953"/>
      </w:tblGrid>
      <w:tr>
        <w:trPr>
          <w:tblHeader w:val="true"/>
        </w:trPr>
        <w:tc>
          <w:tcPr/>
          <w:p>
            <w:pPr>
              <w:pStyle w:val="Compact"/>
              <w:jc w:val="left"/>
            </w:pPr>
            <w:r>
              <w:t xml:space="preserve">Luku</w:t>
            </w:r>
          </w:p>
        </w:tc>
        <w:tc>
          <w:tcPr/>
          <w:p>
            <w:pPr>
              <w:pStyle w:val="Compact"/>
              <w:jc w:val="left"/>
            </w:pPr>
            <w:r>
              <w:t xml:space="preserve">Siteerattu alaviite</w:t>
            </w:r>
          </w:p>
        </w:tc>
      </w:tr>
      <w:tr>
        <w:tc>
          <w:tcPr/>
          <w:p>
            <w:pPr>
              <w:pStyle w:val="Compact"/>
              <w:jc w:val="left"/>
            </w:pPr>
            <w:r>
              <w:t xml:space="preserve">Suvereniteettisegmentoinnin keskustelu (Aegis / Sovereign Infra / Connect)</w:t>
            </w:r>
          </w:p>
        </w:tc>
        <w:tc>
          <w:tcPr/>
          <w:p>
            <w:pPr>
              <w:pStyle w:val="Compact"/>
              <w:jc w:val="left"/>
            </w:pPr>
            <w:r>
              <w:rPr>
                <w:rStyle w:val="FootnoteReference"/>
              </w:rPr>
              <w:footnoteReference w:id="321"/>
            </w:r>
            <w:r>
              <w:t xml:space="preserve">,</w:t>
            </w:r>
            <w:r>
              <w:t xml:space="preserve"> </w:t>
            </w:r>
            <w:r>
              <w:rPr>
                <w:rStyle w:val="FootnoteReference"/>
              </w:rPr>
              <w:footnoteReference w:id="322"/>
            </w:r>
            <w:r>
              <w:t xml:space="preserve">,</w:t>
            </w:r>
            <w:r>
              <w:t xml:space="preserve"> </w:t>
            </w:r>
            <w:r>
              <w:rPr>
                <w:rStyle w:val="FootnoteReference"/>
              </w:rPr>
              <w:footnoteReference w:id="323"/>
            </w:r>
            <w:r>
              <w:t xml:space="preserve">,</w:t>
            </w:r>
            <w:r>
              <w:t xml:space="preserve"> </w:t>
            </w:r>
            <w:r>
              <w:rPr>
                <w:rStyle w:val="FootnoteReference"/>
              </w:rPr>
              <w:footnoteReference w:id="325"/>
            </w:r>
            <w:r>
              <w:t xml:space="preserve">,</w:t>
            </w:r>
            <w:r>
              <w:t xml:space="preserve"> </w:t>
            </w:r>
            <w:r>
              <w:rPr>
                <w:rStyle w:val="FootnoteReference"/>
              </w:rPr>
              <w:footnoteReference w:id="326"/>
            </w:r>
            <w:r>
              <w:t xml:space="preserve">,</w:t>
            </w:r>
            <w:r>
              <w:t xml:space="preserve"> </w:t>
            </w:r>
            <w:r>
              <w:rPr>
                <w:rStyle w:val="FootnoteReference"/>
              </w:rPr>
              <w:footnoteReference w:id="327"/>
            </w:r>
            <w:r>
              <w:t xml:space="preserve">,</w:t>
            </w:r>
            <w:r>
              <w:t xml:space="preserve"> </w:t>
            </w:r>
            <w:r>
              <w:rPr>
                <w:rStyle w:val="FootnoteReference"/>
              </w:rPr>
              <w:footnoteReference w:id="328"/>
            </w:r>
          </w:p>
        </w:tc>
      </w:tr>
      <w:tr>
        <w:tc>
          <w:tcPr/>
          <w:p>
            <w:pPr>
              <w:pStyle w:val="Compact"/>
              <w:jc w:val="left"/>
            </w:pPr>
            <w:r>
              <w:t xml:space="preserve">KYA-kumppaniekosysteemi (vrt. Liite H) ja luottamuspino-luku</w:t>
            </w:r>
          </w:p>
        </w:tc>
        <w:tc>
          <w:tcPr/>
          <w:p>
            <w:pPr>
              <w:pStyle w:val="Compact"/>
              <w:jc w:val="left"/>
            </w:pPr>
            <w:r>
              <w:rPr>
                <w:rStyle w:val="FootnoteReference"/>
              </w:rPr>
              <w:footnoteReference w:id="330"/>
            </w:r>
            <w:r>
              <w:t xml:space="preserve">,</w:t>
            </w:r>
            <w:r>
              <w:t xml:space="preserve"> </w:t>
            </w:r>
            <w:r>
              <w:rPr>
                <w:rStyle w:val="FootnoteReference"/>
              </w:rPr>
              <w:footnoteReference w:id="331"/>
            </w:r>
          </w:p>
        </w:tc>
      </w:tr>
      <w:tr>
        <w:tc>
          <w:tcPr/>
          <w:p>
            <w:pPr>
              <w:pStyle w:val="Compact"/>
              <w:jc w:val="left"/>
            </w:pPr>
            <w:r>
              <w:t xml:space="preserve">Pilotti- ja tapaustutkimusluku (Outokumpu Tier-1)</w:t>
            </w:r>
          </w:p>
        </w:tc>
        <w:tc>
          <w:tcPr/>
          <w:p>
            <w:pPr>
              <w:pStyle w:val="Compact"/>
              <w:jc w:val="left"/>
            </w:pPr>
            <w:r>
              <w:rPr>
                <w:rStyle w:val="FootnoteReference"/>
              </w:rPr>
              <w:footnoteReference w:id="332"/>
            </w:r>
          </w:p>
        </w:tc>
      </w:tr>
      <w:tr>
        <w:tc>
          <w:tcPr/>
          <w:p>
            <w:pPr>
              <w:pStyle w:val="Compact"/>
              <w:jc w:val="left"/>
            </w:pPr>
            <w:r>
              <w:t xml:space="preserve">Toimialakohtainen vaatimustenmukaisuusluku (rakentaminen, monijurisdiktio)</w:t>
            </w:r>
          </w:p>
        </w:tc>
        <w:tc>
          <w:tcPr/>
          <w:p>
            <w:pPr>
              <w:pStyle w:val="Compact"/>
              <w:jc w:val="left"/>
            </w:pPr>
            <w:r>
              <w:rPr>
                <w:rStyle w:val="FootnoteReference"/>
              </w:rPr>
              <w:footnoteReference w:id="333"/>
            </w:r>
          </w:p>
        </w:tc>
      </w:tr>
      <w:tr>
        <w:tc>
          <w:tcPr/>
          <w:p>
            <w:pPr>
              <w:pStyle w:val="Compact"/>
              <w:jc w:val="left"/>
            </w:pPr>
            <w:r>
              <w:t xml:space="preserve">Kumppanuusluku (xAI ym.)</w:t>
            </w:r>
          </w:p>
        </w:tc>
        <w:tc>
          <w:tcPr/>
          <w:p>
            <w:pPr>
              <w:pStyle w:val="Compact"/>
              <w:jc w:val="left"/>
            </w:pPr>
            <w:r>
              <w:rPr>
                <w:rStyle w:val="FootnoteReference"/>
              </w:rPr>
              <w:footnoteReference w:id="334"/>
            </w:r>
            <w:r>
              <w:t xml:space="preserve">,</w:t>
            </w:r>
            <w:r>
              <w:t xml:space="preserve"> </w:t>
            </w:r>
            <w:r>
              <w:rPr>
                <w:rStyle w:val="FootnoteReference"/>
              </w:rPr>
              <w:footnoteReference w:id="335"/>
            </w:r>
          </w:p>
        </w:tc>
      </w:tr>
      <w:tr>
        <w:tc>
          <w:tcPr/>
          <w:p>
            <w:pPr>
              <w:pStyle w:val="Compact"/>
              <w:jc w:val="left"/>
            </w:pPr>
            <w:r>
              <w:t xml:space="preserve">Kvantti- ja kryptografialuku</w:t>
            </w:r>
          </w:p>
        </w:tc>
        <w:tc>
          <w:tcPr/>
          <w:p>
            <w:pPr>
              <w:pStyle w:val="Compact"/>
              <w:jc w:val="left"/>
            </w:pPr>
            <w:r>
              <w:rPr>
                <w:rStyle w:val="FootnoteReference"/>
              </w:rPr>
              <w:footnoteReference w:id="336"/>
            </w:r>
            <w:r>
              <w:t xml:space="preserve">,</w:t>
            </w:r>
            <w:r>
              <w:t xml:space="preserve"> </w:t>
            </w:r>
            <w:r>
              <w:rPr>
                <w:rStyle w:val="FootnoteReference"/>
              </w:rPr>
              <w:footnoteReference w:id="337"/>
            </w:r>
            <w:r>
              <w:t xml:space="preserve">,</w:t>
            </w:r>
            <w:r>
              <w:t xml:space="preserve"> </w:t>
            </w:r>
            <w:r>
              <w:rPr>
                <w:rStyle w:val="FootnoteReference"/>
              </w:rPr>
              <w:footnoteReference w:id="339"/>
            </w:r>
            <w:r>
              <w:t xml:space="preserve">,</w:t>
            </w:r>
            <w:r>
              <w:t xml:space="preserve"> </w:t>
            </w:r>
            <w:r>
              <w:rPr>
                <w:rStyle w:val="FootnoteReference"/>
              </w:rPr>
              <w:footnoteReference w:id="341"/>
            </w:r>
          </w:p>
        </w:tc>
      </w:tr>
      <w:tr>
        <w:tc>
          <w:tcPr/>
          <w:p>
            <w:pPr>
              <w:pStyle w:val="Compact"/>
              <w:jc w:val="left"/>
            </w:pPr>
            <w:r>
              <w:t xml:space="preserve">Sääntelyluku (EU AI Act, eIDAS 2.0, EU Data Act)</w:t>
            </w:r>
          </w:p>
        </w:tc>
        <w:tc>
          <w:tcPr/>
          <w:p>
            <w:pPr>
              <w:pStyle w:val="Compact"/>
              <w:jc w:val="left"/>
            </w:pPr>
            <w:r>
              <w:rPr>
                <w:rStyle w:val="FootnoteReference"/>
              </w:rPr>
              <w:footnoteReference w:id="343"/>
            </w:r>
            <w:r>
              <w:t xml:space="preserve">,</w:t>
            </w:r>
            <w:r>
              <w:t xml:space="preserve"> </w:t>
            </w:r>
            <w:r>
              <w:rPr>
                <w:rStyle w:val="FootnoteReference"/>
              </w:rPr>
              <w:footnoteReference w:id="344"/>
            </w:r>
            <w:r>
              <w:t xml:space="preserve">,</w:t>
            </w:r>
            <w:r>
              <w:t xml:space="preserve"> </w:t>
            </w:r>
            <w:r>
              <w:rPr>
                <w:rStyle w:val="FootnoteReference"/>
              </w:rPr>
              <w:footnoteReference w:id="345"/>
            </w:r>
          </w:p>
        </w:tc>
      </w:tr>
    </w:tbl>
    <w:bookmarkEnd w:id="346"/>
    <w:bookmarkStart w:id="347" w:name="alaviite-bibliografia"/>
    <w:p>
      <w:pPr>
        <w:pStyle w:val="Heading3"/>
      </w:pPr>
      <w:r>
        <w:t xml:space="preserve">Alaviite-bibliografia</w:t>
      </w:r>
    </w:p>
    <w:bookmarkEnd w:id="347"/>
    <w:bookmarkStart w:id="354" w:name="X321df3f3d4d1b28d97bdb33e1d84a6175b0a5b1"/>
    <w:p>
      <w:pPr>
        <w:pStyle w:val="Heading3"/>
      </w:pPr>
      <w:r>
        <w:t xml:space="preserve">10.25 Monikielinen havainnointi tuotannossa: Aspire Dashboardin käyttöönotto ja hiljaisen telemetrian häiriö</w:t>
      </w:r>
    </w:p>
    <w:bookmarkStart w:id="348" w:name="konteksti-ja-päätöspolku"/>
    <w:p>
      <w:pPr>
        <w:pStyle w:val="Heading4"/>
      </w:pPr>
      <w:r>
        <w:t xml:space="preserve">10.25.1 Konteksti ja päätöspolku</w:t>
      </w:r>
    </w:p>
    <w:p>
      <w:pPr>
        <w:pStyle w:val="FirstParagraph"/>
      </w:pPr>
      <w:r>
        <w:t xml:space="preserve">Huhtikuun 2026 työkaluanalyysi (</w:t>
      </w:r>
      <w:r>
        <w:rPr>
          <w:rStyle w:val="VerbatimChar"/>
        </w:rPr>
        <w:t xml:space="preserve">docs/field-notes/2026-04-10-aspire-13-2-isolated-mode.md</w:t>
      </w:r>
      <w:r>
        <w:t xml:space="preserve">) arvioi kolme käyttöönottovaihtoehtoa Microsoftin Aspire-havainnointipinolle DGX Spark -suvereenilla reunalaitteella: (1) vain dashboard — itsenäinen Aspire Dashboard -kontti kieliriippumattomana OTLP-vastaanottimena; (2) täysi AppHost + ServiceDefaults -orkestrointi; (3) lykkäys. Vaihtoehto 1 valittiin ja otettiin käyttöön:</w:t>
      </w:r>
      <w:r>
        <w:t xml:space="preserve"> </w:t>
      </w:r>
      <w:r>
        <w:rPr>
          <w:rStyle w:val="VerbatimChar"/>
        </w:rPr>
        <w:t xml:space="preserve">mcr.microsoft.com/dotnet/aspire-dashboard:13.3.5</w:t>
      </w:r>
      <w:r>
        <w:t xml:space="preserve"> </w:t>
      </w:r>
      <w:r>
        <w:t xml:space="preserve">(versiokiinnitetty, ei koskaan</w:t>
      </w:r>
      <w:r>
        <w:t xml:space="preserve"> </w:t>
      </w:r>
      <w:r>
        <w:rPr>
          <w:rStyle w:val="VerbatimChar"/>
        </w:rPr>
        <w:t xml:space="preserve">:latest</w:t>
      </w:r>
      <w:r>
        <w:t xml:space="preserve">) tiedostossa</w:t>
      </w:r>
      <w:r>
        <w:t xml:space="preserve"> </w:t>
      </w:r>
      <w:r>
        <w:rPr>
          <w:rStyle w:val="VerbatimChar"/>
        </w:rPr>
        <w:t xml:space="preserve">infrastructure/dgx-spark/docker-compose.yml</w:t>
      </w:r>
      <w:r>
        <w:t xml:space="preserve">. Ratkaisevat tekijät olivat, että dashboard vastaanottaa standardia OTLP-telemetriaa mistä tahansa kielestä — DWS IQ 6 -pino on TypeScript (backend, agentit) ja Python (Firehorse) — ja että vain-dashboard-käyttöönotto ei vaadi .NET-työkaluketjua reunalaitteelle.</w:t>
      </w:r>
    </w:p>
    <w:bookmarkEnd w:id="348"/>
    <w:bookmarkStart w:id="349" w:name="toteutusinventaario"/>
    <w:p>
      <w:pPr>
        <w:pStyle w:val="Heading4"/>
      </w:pPr>
      <w:r>
        <w:t xml:space="preserve">10.25.2 Toteutusinventaario</w:t>
      </w:r>
    </w:p>
    <w:p>
      <w:pPr>
        <w:pStyle w:val="FirstParagraph"/>
      </w:pPr>
      <w:r>
        <w:t xml:space="preserve">Käyttöönotettu havainnointikerros koostuu seuraavista:</w:t>
      </w:r>
    </w:p>
    <w:p>
      <w:pPr>
        <w:numPr>
          <w:ilvl w:val="0"/>
          <w:numId w:val="1113"/>
        </w:numPr>
        <w:pStyle w:val="Compact"/>
      </w:pPr>
      <w:r>
        <w:rPr>
          <w:rStyle w:val="VerbatimChar"/>
          <w:bCs/>
          <w:b/>
        </w:rPr>
        <w:t xml:space="preserve">src/observability/otel.ts</w:t>
      </w:r>
      <w:r>
        <w:t xml:space="preserve"> </w:t>
      </w:r>
      <w:r>
        <w:t xml:space="preserve">— vapaaehtoinen (opt-in) OpenTelemetry SDK -alustus. Jos</w:t>
      </w:r>
      <w:r>
        <w:t xml:space="preserve"> </w:t>
      </w:r>
      <w:r>
        <w:rPr>
          <w:rStyle w:val="VerbatimChar"/>
        </w:rPr>
        <w:t xml:space="preserve">OTEL_EXPORTER_OTLP_ENDPOINT</w:t>
      </w:r>
      <w:r>
        <w:t xml:space="preserve"> </w:t>
      </w:r>
      <w:r>
        <w:t xml:space="preserve">ei ole asetettu, provideria ei rekisteröidä ja jokainen jäljitysapuri palautuu no-op-tilaan; mitään ei lähde isäntäkoneelta ennen kuin operaattori asettaa päätepisteen (suvereniteetti oletuksena). Hallittu tyhjennys SIGTERM/SIGINT-signaaleilla.</w:t>
      </w:r>
    </w:p>
    <w:p>
      <w:pPr>
        <w:numPr>
          <w:ilvl w:val="0"/>
          <w:numId w:val="1113"/>
        </w:numPr>
        <w:pStyle w:val="Compact"/>
      </w:pPr>
      <w:r>
        <w:rPr>
          <w:rStyle w:val="VerbatimChar"/>
          <w:bCs/>
          <w:b/>
        </w:rPr>
        <w:t xml:space="preserve">src/observability/tracing.ts</w:t>
      </w:r>
      <w:r>
        <w:t xml:space="preserve"> </w:t>
      </w:r>
      <w:r>
        <w:t xml:space="preserve">— span-apurit neljässä jälkianalyysin kannalta olennaisessa pisteessä:</w:t>
      </w:r>
      <w:r>
        <w:t xml:space="preserve"> </w:t>
      </w:r>
      <w:r>
        <w:rPr>
          <w:rStyle w:val="VerbatimChar"/>
        </w:rPr>
        <w:t xml:space="preserve">withAgentSpan</w:t>
      </w:r>
      <w:r>
        <w:t xml:space="preserve"> </w:t>
      </w:r>
      <w:r>
        <w:t xml:space="preserve">(yksi juurispan per agenttisuoritus),</w:t>
      </w:r>
      <w:r>
        <w:t xml:space="preserve"> </w:t>
      </w:r>
      <w:r>
        <w:rPr>
          <w:rStyle w:val="VerbatimChar"/>
        </w:rPr>
        <w:t xml:space="preserve">withWorkflowSpan</w:t>
      </w:r>
      <w:r>
        <w:t xml:space="preserve">/</w:t>
      </w:r>
      <w:r>
        <w:rPr>
          <w:rStyle w:val="VerbatimChar"/>
        </w:rPr>
        <w:t xml:space="preserve">withWorkflowStepSpan</w:t>
      </w:r>
      <w:r>
        <w:t xml:space="preserve">,</w:t>
      </w:r>
      <w:r>
        <w:t xml:space="preserve"> </w:t>
      </w:r>
      <w:r>
        <w:rPr>
          <w:rStyle w:val="VerbatimChar"/>
        </w:rPr>
        <w:t xml:space="preserve">withLLMSpan</w:t>
      </w:r>
      <w:r>
        <w:t xml:space="preserve"> </w:t>
      </w:r>
      <w:r>
        <w:t xml:space="preserve">(per LLM-kutsu, tuottaen OpenTelemetryn</w:t>
      </w:r>
      <w:r>
        <w:t xml:space="preserve"> </w:t>
      </w:r>
      <w:r>
        <w:rPr>
          <w:bCs/>
          <w:b/>
        </w:rPr>
        <w:t xml:space="preserve">GenAI-semanttisten konventioiden</w:t>
      </w:r>
      <w:r>
        <w:t xml:space="preserve"> </w:t>
      </w:r>
      <w:r>
        <w:t xml:space="preserve">attribuutit:</w:t>
      </w:r>
      <w:r>
        <w:t xml:space="preserve"> </w:t>
      </w:r>
      <w:r>
        <w:rPr>
          <w:rStyle w:val="VerbatimChar"/>
        </w:rPr>
        <w:t xml:space="preserve">gen_ai.system</w:t>
      </w:r>
      <w:r>
        <w:t xml:space="preserve">,</w:t>
      </w:r>
      <w:r>
        <w:t xml:space="preserve"> </w:t>
      </w:r>
      <w:r>
        <w:rPr>
          <w:rStyle w:val="VerbatimChar"/>
        </w:rPr>
        <w:t xml:space="preserve">gen_ai.request.model</w:t>
      </w:r>
      <w:r>
        <w:t xml:space="preserve">,</w:t>
      </w:r>
      <w:r>
        <w:t xml:space="preserve"> </w:t>
      </w:r>
      <w:r>
        <w:rPr>
          <w:rStyle w:val="VerbatimChar"/>
        </w:rPr>
        <w:t xml:space="preserve">gen_ai.usage.input_tokens</w:t>
      </w:r>
      <w:r>
        <w:t xml:space="preserve">/</w:t>
      </w:r>
      <w:r>
        <w:rPr>
          <w:rStyle w:val="VerbatimChar"/>
        </w:rPr>
        <w:t xml:space="preserve">output_tokens</w:t>
      </w:r>
      <w:r>
        <w:t xml:space="preserve">, lopetussyyt) ja</w:t>
      </w:r>
      <w:r>
        <w:t xml:space="preserve"> </w:t>
      </w:r>
      <w:r>
        <w:rPr>
          <w:rStyle w:val="VerbatimChar"/>
        </w:rPr>
        <w:t xml:space="preserve">withToolSpan</w:t>
      </w:r>
      <w:r>
        <w:t xml:space="preserve"> </w:t>
      </w:r>
      <w:r>
        <w:t xml:space="preserve">(per työkalukutsu, ketjuposition/-pituuden kera).</w:t>
      </w:r>
    </w:p>
    <w:p>
      <w:pPr>
        <w:numPr>
          <w:ilvl w:val="0"/>
          <w:numId w:val="1113"/>
        </w:numPr>
        <w:pStyle w:val="Compact"/>
      </w:pPr>
      <w:r>
        <w:rPr>
          <w:rStyle w:val="VerbatimChar"/>
          <w:bCs/>
          <w:b/>
        </w:rPr>
        <w:t xml:space="preserve">src/agents/telemetry.types.ts</w:t>
      </w:r>
      <w:r>
        <w:rPr>
          <w:bCs/>
          <w:b/>
        </w:rPr>
        <w:t xml:space="preserve"> </w:t>
      </w:r>
      <w:r>
        <w:rPr>
          <w:bCs/>
          <w:b/>
        </w:rPr>
        <w:t xml:space="preserve">+ migraatio</w:t>
      </w:r>
      <w:r>
        <w:rPr>
          <w:bCs/>
          <w:b/>
        </w:rPr>
        <w:t xml:space="preserve"> </w:t>
      </w:r>
      <w:r>
        <w:rPr>
          <w:rStyle w:val="VerbatimChar"/>
          <w:bCs/>
          <w:b/>
        </w:rPr>
        <w:t xml:space="preserve">066_tool_telemetry_genai.sql</w:t>
      </w:r>
      <w:r>
        <w:t xml:space="preserve"> </w:t>
      </w:r>
      <w:r>
        <w:t xml:space="preserve">— sama</w:t>
      </w:r>
      <w:r>
        <w:t xml:space="preserve"> </w:t>
      </w:r>
      <w:r>
        <w:rPr>
          <w:rStyle w:val="VerbatimChar"/>
        </w:rPr>
        <w:t xml:space="preserve">gen_ai.*</w:t>
      </w:r>
      <w:r>
        <w:t xml:space="preserve">-sanasto pysyväistallennettuna Supabasen</w:t>
      </w:r>
      <w:r>
        <w:t xml:space="preserve"> </w:t>
      </w:r>
      <w:r>
        <w:rPr>
          <w:rStyle w:val="VerbatimChar"/>
        </w:rPr>
        <w:t xml:space="preserve">tool_telemetry</w:t>
      </w:r>
      <w:r>
        <w:t xml:space="preserve">-tauluun, ristiviitattuna OTel-jälkiin</w:t>
      </w:r>
      <w:r>
        <w:t xml:space="preserve"> </w:t>
      </w:r>
      <w:r>
        <w:rPr>
          <w:rStyle w:val="VerbatimChar"/>
        </w:rPr>
        <w:t xml:space="preserve">trace_id</w:t>
      </w:r>
      <w:r>
        <w:t xml:space="preserve">/</w:t>
      </w:r>
      <w:r>
        <w:rPr>
          <w:rStyle w:val="VerbatimChar"/>
        </w:rPr>
        <w:t xml:space="preserve">span_id</w:t>
      </w:r>
      <w:r>
        <w:t xml:space="preserve">-kentillä. Näin EU:n tekoälysäädöksen artiklan 12 auditointipolku ja kehittäjän jäljityskäyttöliittymä jakavat yhden sanaston kahden erillisen lokitusjärjestelmän sijaan.</w:t>
      </w:r>
    </w:p>
    <w:p>
      <w:pPr>
        <w:numPr>
          <w:ilvl w:val="0"/>
          <w:numId w:val="1113"/>
        </w:numPr>
        <w:pStyle w:val="Compact"/>
      </w:pPr>
      <w:r>
        <w:rPr>
          <w:bCs/>
          <w:b/>
        </w:rPr>
        <w:t xml:space="preserve">Kolme OTLP-tuottajaa</w:t>
      </w:r>
      <w:r>
        <w:t xml:space="preserve"> </w:t>
      </w:r>
      <w:r>
        <w:t xml:space="preserve">DGX Sparkin compose-verkossa:</w:t>
      </w:r>
      <w:r>
        <w:t xml:space="preserve"> </w:t>
      </w:r>
      <w:r>
        <w:rPr>
          <w:rStyle w:val="VerbatimChar"/>
        </w:rPr>
        <w:t xml:space="preserve">dws-backend</w:t>
      </w:r>
      <w:r>
        <w:t xml:space="preserve">,</w:t>
      </w:r>
      <w:r>
        <w:t xml:space="preserve"> </w:t>
      </w:r>
      <w:r>
        <w:rPr>
          <w:rStyle w:val="VerbatimChar"/>
        </w:rPr>
        <w:t xml:space="preserve">dws-cron</w:t>
      </w:r>
      <w:r>
        <w:t xml:space="preserve"> </w:t>
      </w:r>
      <w:r>
        <w:t xml:space="preserve">ja</w:t>
      </w:r>
      <w:r>
        <w:t xml:space="preserve"> </w:t>
      </w:r>
      <w:r>
        <w:rPr>
          <w:rStyle w:val="VerbatimChar"/>
        </w:rPr>
        <w:t xml:space="preserve">bumblebee-collector</w:t>
      </w:r>
      <w:r>
        <w:t xml:space="preserve">-toimitusketjuskanneri.</w:t>
      </w:r>
    </w:p>
    <w:bookmarkEnd w:id="349"/>
    <w:bookmarkStart w:id="350" w:name="X003d8b2498f7687d5dffd7fe72274cf69ee15a6"/>
    <w:p>
      <w:pPr>
        <w:pStyle w:val="Heading4"/>
      </w:pPr>
      <w:r>
        <w:t xml:space="preserve">10.25.3 Hiljaisen telemetrian häiriö (heinäkuu 2026)</w:t>
      </w:r>
    </w:p>
    <w:p>
      <w:pPr>
        <w:pStyle w:val="FirstParagraph"/>
      </w:pPr>
      <w:r>
        <w:t xml:space="preserve">Ensisijaislähteen varmennus Aspire-dashboardin konfiguraatioreferenssiä vasten (aspire.dev, haettu 07.07.2026) vahvisti, että itsenäinen dashboard tarjoaa kolme erillistä päätepistettä: selainkäyttöliittymä portissa 18888, OTLP/gRPC portissa 18889 ja OTLP/HTTP portissa 18890. Kaikki kolme DWS-tuottajaa oli konfiguroitu työntämään</w:t>
      </w:r>
      <w:r>
        <w:t xml:space="preserve"> </w:t>
      </w:r>
      <w:r>
        <w:rPr>
          <w:rStyle w:val="VerbatimChar"/>
        </w:rPr>
        <w:t xml:space="preserve">http/protobuf</w:t>
      </w:r>
      <w:r>
        <w:t xml:space="preserve">-telemetriaa</w:t>
      </w:r>
      <w:r>
        <w:t xml:space="preserve"> </w:t>
      </w:r>
      <w:r>
        <w:rPr>
          <w:bCs/>
          <w:b/>
        </w:rPr>
        <w:t xml:space="preserve">porttiin 18888 — käyttöliittymäpäätepisteeseen</w:t>
      </w:r>
      <w:r>
        <w:t xml:space="preserve">. Jokainen käyttöönoton jälkeen tuotettu span, metriikka ja loki oli pudotettu hiljaisesti.</w:t>
      </w:r>
    </w:p>
    <w:p>
      <w:pPr>
        <w:pStyle w:val="BodyText"/>
      </w:pPr>
      <w:r>
        <w:t xml:space="preserve">Muutoshistoria tekee häiriöstä opettavaisen. Virhekonfiguraatio syntyi</w:t>
      </w:r>
      <w:r>
        <w:t xml:space="preserve"> </w:t>
      </w:r>
      <w:r>
        <w:rPr>
          <w:iCs/>
          <w:i/>
        </w:rPr>
        <w:t xml:space="preserve">korjauksesta</w:t>
      </w:r>
      <w:r>
        <w:t xml:space="preserve">: compose v1.2.0 oli</w:t>
      </w:r>
      <w:r>
        <w:t xml:space="preserve"> </w:t>
      </w:r>
      <w:r>
        <w:t xml:space="preserve">“</w:t>
      </w:r>
      <w:r>
        <w:t xml:space="preserve">korjannut</w:t>
      </w:r>
      <w:r>
        <w:t xml:space="preserve">”</w:t>
      </w:r>
      <w:r>
        <w:t xml:space="preserve"> </w:t>
      </w:r>
      <w:r>
        <w:t xml:space="preserve">OTel-kytkennän siirtämällä päätepisteen portista 18889 (gRPC-portti — väärä protokolla HTTP-viejälle) porttiin 18888 (oikea protokolla, väärä päätepiste). Molemmat konfiguraatiot läpäisevät kaikki elossaolotarkistukset: portit hyväksyvät TCP-yhteydet, kontti raportoi terveeksi, heartbeat-palvelun</w:t>
      </w:r>
      <w:r>
        <w:t xml:space="preserve"> </w:t>
      </w:r>
      <w:r>
        <w:rPr>
          <w:rStyle w:val="VerbatimChar"/>
        </w:rPr>
        <w:t xml:space="preserve">CHECK_ASPIRE</w:t>
      </w:r>
      <w:r>
        <w:t xml:space="preserve">-luotain onnistuu. OTel:n</w:t>
      </w:r>
      <w:r>
        <w:t xml:space="preserve"> </w:t>
      </w:r>
      <w:r>
        <w:rPr>
          <w:rStyle w:val="VerbatimChar"/>
        </w:rPr>
        <w:t xml:space="preserve">BatchSpanProcessor</w:t>
      </w:r>
      <w:r>
        <w:t xml:space="preserve"> </w:t>
      </w:r>
      <w:r>
        <w:t xml:space="preserve">nielaisee vientivirheet suunnitellusti, joten mikään loki ei näyttänyt virhettä. Järjestelmä näytti täysin instrumentoidulta ja oli täysin sokea. Korjaus toimitettiin compose-versiona v1.3.1 (kaikki kolme tuottajaa → 18890).</w:t>
      </w:r>
    </w:p>
    <w:bookmarkEnd w:id="350"/>
    <w:bookmarkStart w:id="351" w:name="insinöörityön-opit"/>
    <w:p>
      <w:pPr>
        <w:pStyle w:val="Heading4"/>
      </w:pPr>
      <w:r>
        <w:t xml:space="preserve">10.25.4 Insinöörityön opit</w:t>
      </w:r>
    </w:p>
    <w:p>
      <w:pPr>
        <w:numPr>
          <w:ilvl w:val="0"/>
          <w:numId w:val="1114"/>
        </w:numPr>
        <w:pStyle w:val="Compact"/>
      </w:pPr>
      <w:r>
        <w:rPr>
          <w:bCs/>
          <w:b/>
        </w:rPr>
        <w:t xml:space="preserve">Varmennuksen on katettava havaittu käyttäytyminen, ei vain artefaktin olemassaolo.</w:t>
      </w:r>
      <w:r>
        <w:t xml:space="preserve"> </w:t>
      </w:r>
      <w:r>
        <w:t xml:space="preserve">Huhtikuun kenttämuistion aukontunnistussääntö —</w:t>
      </w:r>
      <w:r>
        <w:t xml:space="preserve"> </w:t>
      </w:r>
      <w:r>
        <w:t xml:space="preserve">“</w:t>
      </w:r>
      <w:r>
        <w:t xml:space="preserve">kun narratiivikerros mainitsee versionumeron, varmenna se todellista käyttöönotettua artefaktia vasten</w:t>
      </w:r>
      <w:r>
        <w:t xml:space="preserve">”</w:t>
      </w:r>
      <w:r>
        <w:t xml:space="preserve"> </w:t>
      </w:r>
      <w:r>
        <w:t xml:space="preserve">— osoittautui riittämättömäksi. Tässä artefakti oli olemassa ja narratiivi oli jäänyt jälkeen</w:t>
      </w:r>
      <w:r>
        <w:t xml:space="preserve"> </w:t>
      </w:r>
      <w:r>
        <w:rPr>
          <w:iCs/>
          <w:i/>
        </w:rPr>
        <w:t xml:space="preserve">pessimistiseen</w:t>
      </w:r>
      <w:r>
        <w:t xml:space="preserve"> </w:t>
      </w:r>
      <w:r>
        <w:t xml:space="preserve">suuntaan (myöhemmät dokumentit kuvasivat dashboardia yhä</w:t>
      </w:r>
      <w:r>
        <w:t xml:space="preserve"> </w:t>
      </w:r>
      <w:r>
        <w:t xml:space="preserve">“</w:t>
      </w:r>
      <w:r>
        <w:t xml:space="preserve">ei käyttöönotetuksi</w:t>
      </w:r>
      <w:r>
        <w:t xml:space="preserve">”</w:t>
      </w:r>
      <w:r>
        <w:t xml:space="preserve">), kun taas käyttöönotettu artefakti oli itse rikki. Vahvistettu sääntö: varmenna käyttöönotettua artefaktia</w:t>
      </w:r>
      <w:r>
        <w:t xml:space="preserve"> </w:t>
      </w:r>
      <w:r>
        <w:rPr>
          <w:iCs/>
          <w:i/>
        </w:rPr>
        <w:t xml:space="preserve">ja sen havaittua käyttäytymistä</w:t>
      </w:r>
      <w:r>
        <w:t xml:space="preserve"> </w:t>
      </w:r>
      <w:r>
        <w:t xml:space="preserve">vasten. Dashboard, joka ei vastaanota telemetriaa, on erottamaton dashboardista, jota kukaan ei kytkenyt.</w:t>
      </w:r>
    </w:p>
    <w:p>
      <w:pPr>
        <w:numPr>
          <w:ilvl w:val="0"/>
          <w:numId w:val="1114"/>
        </w:numPr>
        <w:pStyle w:val="Compact"/>
      </w:pPr>
      <w:r>
        <w:rPr>
          <w:bCs/>
          <w:b/>
        </w:rPr>
        <w:t xml:space="preserve">Hiljaa vikaantuvat alijärjestelmät äänekkäästi vikaantuvassa arkkitehtuurissa vaativat kompensoivia kontrolleja.</w:t>
      </w:r>
      <w:r>
        <w:t xml:space="preserve"> </w:t>
      </w:r>
      <w:r>
        <w:t xml:space="preserve">Insinöörikurin sääntö 12 (</w:t>
      </w:r>
      <w:r>
        <w:t xml:space="preserve">“</w:t>
      </w:r>
      <w:r>
        <w:t xml:space="preserve">fail loud</w:t>
      </w:r>
      <w:r>
        <w:t xml:space="preserve">”</w:t>
      </w:r>
      <w:r>
        <w:t xml:space="preserve">) on toteutettu DWS-agenttikerroksessa, mutta OTel-vientiliukuhihna on ylävirran suunnittelultaan hiljaa vikaantuva. Kompensoiva kontrolli on päästä päähän -väittämä — jaksollinen tarkistus siitä, että jäljet</w:t>
      </w:r>
      <w:r>
        <w:t xml:space="preserve"> </w:t>
      </w:r>
      <w:r>
        <w:rPr>
          <w:iCs/>
          <w:i/>
        </w:rPr>
        <w:t xml:space="preserve">saapuvat</w:t>
      </w:r>
      <w:r>
        <w:t xml:space="preserve">, ei vain siitä, että vastaanottava portti on auki. Tämä on jonossa heartbeat-laajennuksena.</w:t>
      </w:r>
    </w:p>
    <w:p>
      <w:pPr>
        <w:numPr>
          <w:ilvl w:val="0"/>
          <w:numId w:val="1114"/>
        </w:numPr>
        <w:pStyle w:val="Compact"/>
      </w:pPr>
      <w:r>
        <w:rPr>
          <w:bCs/>
          <w:b/>
        </w:rPr>
        <w:t xml:space="preserve">Viereisporttien virhekonfiguraatio on oma vikaluokkansa.</w:t>
      </w:r>
      <w:r>
        <w:t xml:space="preserve"> </w:t>
      </w:r>
      <w:r>
        <w:t xml:space="preserve">Kolme toiminnallisesti eri päätepistettä peräkkäisissä porteissa (18888/18889/18890), kaikki hyväksyvät yhteydet, muuntaa yhden merkin konfiguraatiovirheen hiljaiseksi datahäviötapahtumaksi. Infrastruktuurikommentit dokumentoivat nyt kaikki kolme porttia palvelumäärittelyn kohdalla.</w:t>
      </w:r>
    </w:p>
    <w:bookmarkEnd w:id="351"/>
    <w:bookmarkStart w:id="352" w:name="X7bf355d90f02223f85396351d8efb01781f127c"/>
    <w:p>
      <w:pPr>
        <w:pStyle w:val="Heading4"/>
      </w:pPr>
      <w:r>
        <w:t xml:space="preserve">10.25.5 Avoin päätös: GenAI-viestisisällön tallennus</w:t>
      </w:r>
    </w:p>
    <w:p>
      <w:pPr>
        <w:pStyle w:val="FirstParagraph"/>
      </w:pPr>
      <w:r>
        <w:t xml:space="preserve">Dashboardin GenAI-visualisoija (esitelty Aspire 9.5:ssä, parannettu 13.2:ssa) esittää LLM-spanit keskustelulokina — järjestelmäkehote, viestit, työkalukutsut, token-määrät — kun viestisisältö tallennetaan spaneihin. DWS:n</w:t>
      </w:r>
      <w:r>
        <w:t xml:space="preserve"> </w:t>
      </w:r>
      <w:r>
        <w:rPr>
          <w:rStyle w:val="VerbatimChar"/>
        </w:rPr>
        <w:t xml:space="preserve">withLLMSpan</w:t>
      </w:r>
      <w:r>
        <w:t xml:space="preserve">-apuri tallentaa tarkoituksella</w:t>
      </w:r>
      <w:r>
        <w:t xml:space="preserve"> </w:t>
      </w:r>
      <w:r>
        <w:rPr>
          <w:bCs/>
          <w:b/>
        </w:rPr>
        <w:t xml:space="preserve">vain metadatan</w:t>
      </w:r>
      <w:r>
        <w:t xml:space="preserve"> </w:t>
      </w:r>
      <w:r>
        <w:t xml:space="preserve">(mallitunnisteet, token-määrät, lopetussyyt), ei kehote- tai vastaussisältöjä. Sisällöntallennuksen käyttöönotto veisi asiakasperäistä tekstiä dashboardin muistiin; se on tietosuojapäätös (GDPR-soveltamisala, asiakasluottamuksellisuus), ei työkalupäätös, ja se säilyy ihmisoperaattorilla. Oletus: pois päältä.</w:t>
      </w:r>
    </w:p>
    <w:p>
      <w:pPr>
        <w:pStyle w:val="BodyText"/>
      </w:pPr>
      <w:r>
        <w:rPr>
          <w:iCs/>
          <w:i/>
        </w:rPr>
        <w:t xml:space="preserve">Rinnakkaisartefaktit:</w:t>
      </w:r>
      <w:r>
        <w:rPr>
          <w:iCs/>
          <w:i/>
        </w:rPr>
        <w:t xml:space="preserve"> </w:t>
      </w:r>
      <w:r>
        <w:rPr>
          <w:rStyle w:val="VerbatimChar"/>
          <w:iCs/>
          <w:i/>
        </w:rPr>
        <w:t xml:space="preserve">docs/field-notes/2026-07-07-aspire-development-evolution-pr1500-to-main.md</w:t>
      </w:r>
      <w:r>
        <w:rPr>
          <w:iCs/>
          <w:i/>
        </w:rPr>
        <w:t xml:space="preserve"> </w:t>
      </w:r>
      <w:r>
        <w:rPr>
          <w:iCs/>
          <w:i/>
        </w:rPr>
        <w:t xml:space="preserve">(v1.1),</w:t>
      </w:r>
      <w:r>
        <w:rPr>
          <w:iCs/>
          <w:i/>
        </w:rPr>
        <w:t xml:space="preserve"> </w:t>
      </w:r>
      <w:r>
        <w:rPr>
          <w:rStyle w:val="VerbatimChar"/>
          <w:iCs/>
          <w:i/>
        </w:rPr>
        <w:t xml:space="preserve">docs/field-notes/2026-04-10-aspire-13-2-isolated-mode.md</w:t>
      </w:r>
      <w:r>
        <w:rPr>
          <w:iCs/>
          <w:i/>
        </w:rPr>
        <w:t xml:space="preserve">,</w:t>
      </w:r>
      <w:r>
        <w:rPr>
          <w:iCs/>
          <w:i/>
        </w:rPr>
        <w:t xml:space="preserve"> </w:t>
      </w:r>
      <w:r>
        <w:rPr>
          <w:rStyle w:val="VerbatimChar"/>
          <w:iCs/>
          <w:i/>
        </w:rPr>
        <w:t xml:space="preserve">docs/research/2026-04-08-aspire-observability-vs-dotnet-skills.md</w:t>
      </w:r>
      <w:r>
        <w:rPr>
          <w:iCs/>
          <w:i/>
        </w:rPr>
        <w:t xml:space="preserve">. Markkinasignaali- ja standardointikehystys: PHD_FIREHORSE §14.37 opinnäytteiden sisältöjaon säännön mukaisesti.</w:t>
      </w:r>
    </w:p>
    <w:bookmarkEnd w:id="352"/>
    <w:bookmarkStart w:id="353" w:name="Xe5ffebe7df1ab23fc345e1e0fe6549a15eec261"/>
    <w:p>
      <w:pPr>
        <w:pStyle w:val="Heading4"/>
      </w:pPr>
      <w:r>
        <w:t xml:space="preserve">10.25.6 Täydennys (v3.79): Spaniin leimattu valtuutusverdikti</w:t>
      </w:r>
    </w:p>
    <w:p>
      <w:pPr>
        <w:pStyle w:val="FirstParagraph"/>
      </w:pPr>
      <w:r>
        <w:t xml:space="preserve">Ulkoinen kritiikki (Hakimi, 07.07.2026) tunnisti tämän luvun alkuperäisen version rakenteellisen rajan:</w:t>
      </w:r>
      <w:r>
        <w:t xml:space="preserve"> </w:t>
      </w:r>
      <w:r>
        <w:rPr>
          <w:iCs/>
          <w:i/>
        </w:rPr>
        <w:t xml:space="preserve">“</w:t>
      </w:r>
      <w:r>
        <w:rPr>
          <w:iCs/>
          <w:i/>
        </w:rPr>
        <w:t xml:space="preserve">jokainen LLM-kutsu, jonka se valaisee, on tallenne siitä mikä jo laukesi. Jälki näyttää, että agentti pääsi tuotantoon. Se ei koskaan näytä, olisiko sen pitänyt pystyä siihen.</w:t>
      </w:r>
      <w:r>
        <w:rPr>
          <w:iCs/>
          <w:i/>
        </w:rPr>
        <w:t xml:space="preserve">”</w:t>
      </w:r>
      <w:r>
        <w:t xml:space="preserve"> </w:t>
      </w:r>
      <w:r>
        <w:t xml:space="preserve">Koodia vasten varmennettuna kritiikki oli täsmällinen — LLM-asiakkaan ainoa valtuutuskäsite oli palveluntarjoajan</w:t>
      </w:r>
      <w:r>
        <w:t xml:space="preserve"> </w:t>
      </w:r>
      <w:r>
        <w:rPr>
          <w:rStyle w:val="VerbatimChar"/>
        </w:rPr>
        <w:t xml:space="preserve">Bearer</w:t>
      </w:r>
      <w:r>
        <w:t xml:space="preserve">-otsake, ja KYA-luottamuspisteytyksen valvonta eli yksinomaan hiekkalaatikkorajalla (</w:t>
      </w:r>
      <w:r>
        <w:rPr>
          <w:rStyle w:val="VerbatimChar"/>
        </w:rPr>
        <w:t xml:space="preserve">nemoclaw-sandbox.ts</w:t>
      </w:r>
      <w:r>
        <w:t xml:space="preserve">,</w:t>
      </w:r>
      <w:r>
        <w:t xml:space="preserve"> </w:t>
      </w:r>
      <w:r>
        <w:rPr>
          <w:rStyle w:val="VerbatimChar"/>
        </w:rPr>
        <w:t xml:space="preserve">nemoclaw-bridge.ts</w:t>
      </w:r>
      <w:r>
        <w:t xml:space="preserve">), telemetriasta irrallisella koodipolulla.</w:t>
      </w:r>
    </w:p>
    <w:p>
      <w:pPr>
        <w:pStyle w:val="BodyText"/>
      </w:pPr>
      <w:r>
        <w:t xml:space="preserve">Samana päivänä toteutettu vastaus laajentaa span-sanastoa rinnakkaisjärjestelmän lisäämisen sijaan:</w:t>
      </w:r>
      <w:r>
        <w:t xml:space="preserve"> </w:t>
      </w:r>
      <w:r>
        <w:rPr>
          <w:rStyle w:val="VerbatimChar"/>
        </w:rPr>
        <w:t xml:space="preserve">withAgentSpan</w:t>
      </w:r>
      <w:r>
        <w:t xml:space="preserve"> </w:t>
      </w:r>
      <w:r>
        <w:t xml:space="preserve">ja</w:t>
      </w:r>
      <w:r>
        <w:t xml:space="preserve"> </w:t>
      </w:r>
      <w:r>
        <w:rPr>
          <w:rStyle w:val="VerbatimChar"/>
        </w:rPr>
        <w:t xml:space="preserve">withLLMSpan</w:t>
      </w:r>
      <w:r>
        <w:t xml:space="preserve"> </w:t>
      </w:r>
      <w:r>
        <w:t xml:space="preserve">hyväksyvät nyt</w:t>
      </w:r>
      <w:r>
        <w:t xml:space="preserve"> </w:t>
      </w:r>
      <w:r>
        <w:rPr>
          <w:rStyle w:val="VerbatimChar"/>
        </w:rPr>
        <w:t xml:space="preserve">KYAVerdict</w:t>
      </w:r>
      <w:r>
        <w:t xml:space="preserve">-arvon (</w:t>
      </w:r>
      <w:r>
        <w:rPr>
          <w:rStyle w:val="VerbatimChar"/>
        </w:rPr>
        <w:t xml:space="preserve">decision</w:t>
      </w:r>
      <w:r>
        <w:t xml:space="preserve">,</w:t>
      </w:r>
      <w:r>
        <w:t xml:space="preserve"> </w:t>
      </w:r>
      <w:r>
        <w:rPr>
          <w:rStyle w:val="VerbatimChar"/>
        </w:rPr>
        <w:t xml:space="preserve">trustScore</w:t>
      </w:r>
      <w:r>
        <w:t xml:space="preserve">,</w:t>
      </w:r>
      <w:r>
        <w:t xml:space="preserve"> </w:t>
      </w:r>
      <w:r>
        <w:rPr>
          <w:rStyle w:val="VerbatimChar"/>
        </w:rPr>
        <w:t xml:space="preserve">policyVersion</w:t>
      </w:r>
      <w:r>
        <w:t xml:space="preserve">,</w:t>
      </w:r>
      <w:r>
        <w:t xml:space="preserve"> </w:t>
      </w:r>
      <w:r>
        <w:rPr>
          <w:rStyle w:val="VerbatimChar"/>
        </w:rPr>
        <w:t xml:space="preserve">gate</w:t>
      </w:r>
      <w:r>
        <w:t xml:space="preserve">) ja leimaavat attribuutit</w:t>
      </w:r>
      <w:r>
        <w:t xml:space="preserve"> </w:t>
      </w:r>
      <w:r>
        <w:rPr>
          <w:rStyle w:val="VerbatimChar"/>
        </w:rPr>
        <w:t xml:space="preserve">dws.kya.verdict</w:t>
      </w:r>
      <w:r>
        <w:t xml:space="preserve"> </w:t>
      </w:r>
      <w:r>
        <w:t xml:space="preserve">/</w:t>
      </w:r>
      <w:r>
        <w:t xml:space="preserve"> </w:t>
      </w:r>
      <w:r>
        <w:rPr>
          <w:rStyle w:val="VerbatimChar"/>
        </w:rPr>
        <w:t xml:space="preserve">dws.kya.trust_score</w:t>
      </w:r>
      <w:r>
        <w:t xml:space="preserve"> </w:t>
      </w:r>
      <w:r>
        <w:t xml:space="preserve">/</w:t>
      </w:r>
      <w:r>
        <w:t xml:space="preserve"> </w:t>
      </w:r>
      <w:r>
        <w:rPr>
          <w:rStyle w:val="VerbatimChar"/>
        </w:rPr>
        <w:t xml:space="preserve">dws.kya.policy_version</w:t>
      </w:r>
      <w:r>
        <w:t xml:space="preserve"> </w:t>
      </w:r>
      <w:r>
        <w:t xml:space="preserve">/</w:t>
      </w:r>
      <w:r>
        <w:t xml:space="preserve"> </w:t>
      </w:r>
      <w:r>
        <w:rPr>
          <w:rStyle w:val="VerbatimChar"/>
        </w:rPr>
        <w:t xml:space="preserve">dws.kya.gate</w:t>
      </w:r>
      <w:r>
        <w:t xml:space="preserve"> </w:t>
      </w:r>
      <w:r>
        <w:rPr>
          <w:rStyle w:val="VerbatimChar"/>
        </w:rPr>
        <w:t xml:space="preserve">gen_ai.*</w:t>
      </w:r>
      <w:r>
        <w:t xml:space="preserve">-attribuuttien rinnalle, jolloin yksi jälki vastaa molempiin kysymyksiin — mikä laukesi ja millä valtuudella se sai laueta. Kantava suunnittelupäätös on oletusarvo: span ilman verdiktiä leimataan arvolla</w:t>
      </w:r>
      <w:r>
        <w:t xml:space="preserve"> </w:t>
      </w:r>
      <w:r>
        <w:rPr>
          <w:rStyle w:val="VerbatimChar"/>
        </w:rPr>
        <w:t xml:space="preserve">dws.kya.verdict: "ungated"</w:t>
      </w:r>
      <w:r>
        <w:t xml:space="preserve">, ei koskaan jätetä tyhjäksi. Poissaolosta tulee kyseltävä löydös — jäljityskäyttöliittymän suodatus arvolla</w:t>
      </w:r>
      <w:r>
        <w:t xml:space="preserve"> </w:t>
      </w:r>
      <w:r>
        <w:rPr>
          <w:rStyle w:val="VerbatimChar"/>
        </w:rPr>
        <w:t xml:space="preserve">ungated</w:t>
      </w:r>
      <w:r>
        <w:t xml:space="preserve"> </w:t>
      </w:r>
      <w:r>
        <w:t xml:space="preserve">luetteloi jokaisen suorituspolun, jota mikään portti ei hyväksynyt — sen sijaan että se olisi erottamaton portitetusta suorituksesta (insinöörikurin sääntö 12 sovellettuna valtuutuskattavuuteen).</w:t>
      </w:r>
    </w:p>
    <w:p>
      <w:pPr>
        <w:pStyle w:val="BodyText"/>
      </w:pPr>
      <w:r>
        <w:t xml:space="preserve">Rehellinen lähtötaso, jonka tämä tekee näkyväksi: versiossa v3.79 jokainen tuotantospan lukee</w:t>
      </w:r>
      <w:r>
        <w:t xml:space="preserve"> </w:t>
      </w:r>
      <w:r>
        <w:rPr>
          <w:rStyle w:val="VerbatimChar"/>
        </w:rPr>
        <w:t xml:space="preserve">ungated</w:t>
      </w:r>
      <w:r>
        <w:t xml:space="preserve">, koska mikään kutsukohta ei vielä välitä hiekkalaatikon verdiktiä eteenpäin. Ungated-spanien lukumäärä</w:t>
      </w:r>
      <w:r>
        <w:t xml:space="preserve"> </w:t>
      </w:r>
      <w:r>
        <w:rPr>
          <w:iCs/>
          <w:i/>
        </w:rPr>
        <w:t xml:space="preserve">on</w:t>
      </w:r>
      <w:r>
        <w:t xml:space="preserve"> </w:t>
      </w:r>
      <w:r>
        <w:t xml:space="preserve">valtuutuskattavuuden aukkometriikka; sen ajaminen nollaan (verdiktin tuottaminen hiekkalaatikkoportilla, välitys agenttiajurin ja LLM-asiakkaan läpi) on nimetty jatkotoimi. Yksikkötestit kattavat sekä leimatun verdiktin että ungated-oletuksen polut.</w:t>
      </w:r>
      <w:r>
        <w:t xml:space="preserve"> </w:t>
      </w:r>
      <w:r>
        <w:rPr>
          <w:iCs/>
          <w:i/>
        </w:rPr>
        <w:t xml:space="preserve">Kenttämuistio:</w:t>
      </w:r>
      <w:r>
        <w:rPr>
          <w:iCs/>
          <w:i/>
        </w:rPr>
        <w:t xml:space="preserve"> </w:t>
      </w:r>
      <w:r>
        <w:rPr>
          <w:rStyle w:val="VerbatimChar"/>
          <w:iCs/>
          <w:i/>
        </w:rPr>
        <w:t xml:space="preserve">docs/field-notes/2026-07-07-hakimi-observability-vs-authorization.md</w:t>
      </w:r>
      <w:r>
        <w:rPr>
          <w:iCs/>
          <w:i/>
        </w:rPr>
        <w:t xml:space="preserve">; tieteellinen uudelleenmuotoilu: PHD_FIREHORSE §14.37.4.</w:t>
      </w:r>
    </w:p>
    <w:bookmarkEnd w:id="353"/>
    <w:bookmarkEnd w:id="354"/>
    <w:bookmarkStart w:id="355" w:name="Xcee0ce2a91741d719aeb950e2e02fe9d37d9164"/>
    <w:p>
      <w:pPr>
        <w:pStyle w:val="Heading3"/>
      </w:pPr>
      <w:r>
        <w:t xml:space="preserve">10.26 Verified-Done-attestoinnin allekirjoituspolun kryptografinen katselmointi: kaksi löydöstä ja falsifiointi testien laatuporttina</w:t>
      </w:r>
    </w:p>
    <w:p>
      <w:pPr>
        <w:pStyle w:val="FirstParagraph"/>
      </w:pPr>
      <w:r>
        <w:rPr>
          <w:bCs/>
          <w:b/>
        </w:rPr>
        <w:t xml:space="preserve">Katselmoitu toteutus.</w:t>
      </w:r>
      <w:r>
        <w:t xml:space="preserve"> </w:t>
      </w:r>
      <w:r>
        <w:t xml:space="preserve">Verified-Done-attestoinnin allekirjoituspolku (KYA §14.7.1) toteutettiin tiedostona</w:t>
      </w:r>
      <w:r>
        <w:t xml:space="preserve"> </w:t>
      </w:r>
      <w:r>
        <w:rPr>
          <w:rStyle w:val="VerbatimChar"/>
        </w:rPr>
        <w:t xml:space="preserve">src/identity/attestation-signing.ts</w:t>
      </w:r>
      <w:r>
        <w:t xml:space="preserve">. Se tuottaa EdDSA-irrallisia JWS-todisteita W3C Verifiable Credential -attestointien päälle, mukanaan tallennuskerros, myöntämisen orkestrointi ja todistusketjun kirjoittaja. Testistö sisälsi 47 läpimenevää testiä, puhtaan</w:t>
      </w:r>
      <w:r>
        <w:t xml:space="preserve"> </w:t>
      </w:r>
      <w:r>
        <w:rPr>
          <w:rStyle w:val="VerbatimChar"/>
        </w:rPr>
        <w:t xml:space="preserve">tsc --noEmit</w:t>
      </w:r>
      <w:r>
        <w:t xml:space="preserve"> </w:t>
      </w:r>
      <w:r>
        <w:t xml:space="preserve">-ajon ja puhtaan muotoilun. Tietoinen riippuvuuspäätös kirjataan:</w:t>
      </w:r>
      <w:r>
        <w:t xml:space="preserve"> </w:t>
      </w:r>
      <w:r>
        <w:rPr>
          <w:bCs/>
          <w:b/>
        </w:rPr>
        <w:t xml:space="preserve">Ed25519 Noden sisäänrakennetun</w:t>
      </w:r>
      <w:r>
        <w:rPr>
          <w:bCs/>
          <w:b/>
        </w:rPr>
        <w:t xml:space="preserve"> </w:t>
      </w:r>
      <w:r>
        <w:rPr>
          <w:rStyle w:val="VerbatimChar"/>
          <w:bCs/>
          <w:b/>
        </w:rPr>
        <w:t xml:space="preserve">node:crypto</w:t>
      </w:r>
      <w:r>
        <w:rPr>
          <w:bCs/>
          <w:b/>
        </w:rPr>
        <w:t xml:space="preserve">-moduulin kautta</w:t>
      </w:r>
      <w:r>
        <w:rPr>
          <w:bCs/>
          <w:b/>
        </w:rPr>
        <w:t xml:space="preserve"> </w:t>
      </w:r>
      <w:r>
        <w:rPr>
          <w:rStyle w:val="VerbatimChar"/>
          <w:bCs/>
          <w:b/>
        </w:rPr>
        <w:t xml:space="preserve">jose</w:t>
      </w:r>
      <w:r>
        <w:rPr>
          <w:bCs/>
          <w:b/>
        </w:rPr>
        <w:t xml:space="preserve">-kirjaston sijaan</w:t>
      </w:r>
      <w:r>
        <w:t xml:space="preserve">, perusteluna se, että tuote, jonka arvolupaus on kapea luotettu laskentaperusta, ei saisi laajentaa tuota perustaa kolmannen osapuolen paketilla allekirjoittaakseen omat suvereniteettiväitteensä.</w:t>
      </w:r>
    </w:p>
    <w:p>
      <w:pPr>
        <w:pStyle w:val="BodyText"/>
      </w:pPr>
      <w:r>
        <w:rPr>
          <w:bCs/>
          <w:b/>
        </w:rPr>
        <w:t xml:space="preserve">Löydös F1 (KORKEA) — allekirjoitus ei kattanut todisteen metatietoja.</w:t>
      </w:r>
      <w:r>
        <w:t xml:space="preserve"> </w:t>
      </w:r>
      <w:r>
        <w:t xml:space="preserve">Allekirjoitettavat tavut muodostava funktio poisti koko</w:t>
      </w:r>
      <w:r>
        <w:t xml:space="preserve"> </w:t>
      </w:r>
      <w:r>
        <w:rPr>
          <w:rStyle w:val="VerbatimChar"/>
        </w:rPr>
        <w:t xml:space="preserve">proof</w:t>
      </w:r>
      <w:r>
        <w:t xml:space="preserve">-lohkon ennen allekirjoittamista. Näin ollen kenttiä</w:t>
      </w:r>
      <w:r>
        <w:t xml:space="preserve"> </w:t>
      </w:r>
      <w:r>
        <w:rPr>
          <w:rStyle w:val="VerbatimChar"/>
        </w:rPr>
        <w:t xml:space="preserve">proof.created</w:t>
      </w:r>
      <w:r>
        <w:t xml:space="preserve">,</w:t>
      </w:r>
      <w:r>
        <w:t xml:space="preserve"> </w:t>
      </w:r>
      <w:r>
        <w:rPr>
          <w:rStyle w:val="VerbatimChar"/>
        </w:rPr>
        <w:t xml:space="preserve">proof.verificationMethod</w:t>
      </w:r>
      <w:r>
        <w:t xml:space="preserve">,</w:t>
      </w:r>
      <w:r>
        <w:t xml:space="preserve"> </w:t>
      </w:r>
      <w:r>
        <w:rPr>
          <w:rStyle w:val="VerbatimChar"/>
        </w:rPr>
        <w:t xml:space="preserve">proof.proofPurpose</w:t>
      </w:r>
      <w:r>
        <w:t xml:space="preserve"> </w:t>
      </w:r>
      <w:r>
        <w:t xml:space="preserve">ja</w:t>
      </w:r>
      <w:r>
        <w:t xml:space="preserve"> </w:t>
      </w:r>
      <w:r>
        <w:rPr>
          <w:rStyle w:val="VerbatimChar"/>
        </w:rPr>
        <w:t xml:space="preserve">proof.type</w:t>
      </w:r>
      <w:r>
        <w:t xml:space="preserve"> </w:t>
      </w:r>
      <w:r>
        <w:t xml:space="preserve">saattoi kutakin muokata allekirjoittamisen jälkeen, ja todistus varmentui silti. Tästä seuraa suoraan kaksi asiaa:</w:t>
      </w:r>
    </w:p>
    <w:p>
      <w:pPr>
        <w:numPr>
          <w:ilvl w:val="0"/>
          <w:numId w:val="1115"/>
        </w:numPr>
        <w:pStyle w:val="Compact"/>
      </w:pPr>
      <w:r>
        <w:rPr>
          <w:bCs/>
          <w:b/>
        </w:rPr>
        <w:t xml:space="preserve">EU:n tekoälyasetuksen 12 artiklan mukaisen todisteartefaktin aikaleima oli suojaamaton.</w:t>
      </w:r>
      <w:r>
        <w:t xml:space="preserve"> </w:t>
      </w:r>
      <w:r>
        <w:t xml:space="preserve">Todistusaineisto, jonka päiväystä voi muuttaa havaitsematta, ei toimi todistusaineistona.</w:t>
      </w:r>
    </w:p>
    <w:p>
      <w:pPr>
        <w:numPr>
          <w:ilvl w:val="0"/>
          <w:numId w:val="1115"/>
        </w:numPr>
        <w:pStyle w:val="Compact"/>
      </w:pPr>
      <w:r>
        <w:rPr>
          <w:bCs/>
          <w:b/>
        </w:rPr>
        <w:t xml:space="preserve">Luottamusankkurin valinta allekirjoittamattomasta datasta.</w:t>
      </w:r>
      <w:r>
        <w:t xml:space="preserve"> </w:t>
      </w:r>
      <w:r>
        <w:t xml:space="preserve">Suunnittelu määrittää myöntäjän avaimen ratkaisemisen</w:t>
      </w:r>
      <w:r>
        <w:t xml:space="preserve"> </w:t>
      </w:r>
      <w:r>
        <w:rPr>
          <w:rStyle w:val="VerbatimChar"/>
        </w:rPr>
        <w:t xml:space="preserve">did:web</w:t>
      </w:r>
      <w:r>
        <w:t xml:space="preserve">-varmennusmenetelmästä. Tuota vuota toteuttava varmentaja lukisi kentän</w:t>
      </w:r>
      <w:r>
        <w:t xml:space="preserve"> </w:t>
      </w:r>
      <w:r>
        <w:rPr>
          <w:rStyle w:val="VerbatimChar"/>
        </w:rPr>
        <w:t xml:space="preserve">proof.verificationMethod</w:t>
      </w:r>
      <w:r>
        <w:t xml:space="preserve"> </w:t>
      </w:r>
      <w:r>
        <w:t xml:space="preserve">— allekirjoittamattoman, muokattavan kentän — päättääkseen, mihin avaimeen luottaa. Allekirjoitettu</w:t>
      </w:r>
      <w:r>
        <w:t xml:space="preserve"> </w:t>
      </w:r>
      <w:r>
        <w:rPr>
          <w:rStyle w:val="VerbatimChar"/>
        </w:rPr>
        <w:t xml:space="preserve">issuer</w:t>
      </w:r>
      <w:r>
        <w:t xml:space="preserve">-kenttä tarjoaa suojan, mutta koodi tai sen dokumentaatio ei edellyttänyt näiden sitomista toisiinsa.</w:t>
      </w:r>
    </w:p>
    <w:p>
      <w:pPr>
        <w:pStyle w:val="FirstParagraph"/>
      </w:pPr>
      <w:r>
        <w:rPr>
          <w:bCs/>
          <w:b/>
        </w:rPr>
        <w:t xml:space="preserve">Juurisyy testisuunnittelussa, ei kryptografisessa osaamisessa.</w:t>
      </w:r>
      <w:r>
        <w:t xml:space="preserve"> </w:t>
      </w:r>
      <w:r>
        <w:t xml:space="preserve">Kahdeksan olemassa olevaa allekirjoitustestiä sisälsivät peukalointitapauksen — mutta se peukaloi todistuksen</w:t>
      </w:r>
      <w:r>
        <w:t xml:space="preserve"> </w:t>
      </w:r>
      <w:r>
        <w:rPr>
          <w:iCs/>
          <w:i/>
        </w:rPr>
        <w:t xml:space="preserve">kohdetta</w:t>
      </w:r>
      <w:r>
        <w:t xml:space="preserve">, joka on allekirjoitetun hyötykuorman sisällä ja siten oikein hylättiin. Yksikään testi ei peukaloinut</w:t>
      </w:r>
      <w:r>
        <w:t xml:space="preserve"> </w:t>
      </w:r>
      <w:r>
        <w:rPr>
          <w:iCs/>
          <w:i/>
        </w:rPr>
        <w:t xml:space="preserve">todistelohkoa</w:t>
      </w:r>
      <w:r>
        <w:t xml:space="preserve">, koska sellainen testi olisi läpäissyt varmennuksen ja kaatunut omaan väitteeseensä. Testistö oli hyvin rakennettu niiden ominaisuuksien osalta, joita se testasi, ja rakenteellisesti sokea kyseiselle virheelle.</w:t>
      </w:r>
    </w:p>
    <w:p>
      <w:pPr>
        <w:pStyle w:val="BodyText"/>
      </w:pPr>
      <w:r>
        <w:rPr>
          <w:bCs/>
          <w:b/>
        </w:rPr>
        <w:t xml:space="preserve">Korjaus.</w:t>
      </w:r>
      <w:r>
        <w:t xml:space="preserve"> </w:t>
      </w:r>
      <w:r>
        <w:t xml:space="preserve">Todisteen metatiedot — kaikki todistekentät paitsi</w:t>
      </w:r>
      <w:r>
        <w:t xml:space="preserve"> </w:t>
      </w:r>
      <w:r>
        <w:rPr>
          <w:rStyle w:val="VerbatimChar"/>
        </w:rPr>
        <w:t xml:space="preserve">proofValue</w:t>
      </w:r>
      <w:r>
        <w:t xml:space="preserve"> </w:t>
      </w:r>
      <w:r>
        <w:t xml:space="preserve">— sidotaan nyt kanoniseen allekirjoitettavaan hyötykuormaan sekä allekirjoitus- että varmennuspolulla, noudattaen W3C Data Integrity -mallia, jossa todisteen metatiedot kanonisoidaan yhdessä dokumentin kanssa. Mikä tahansa allekirjoituksen jälkeinen todisteen metatiedon muutos muuttaa nyt hyötykuormaa ja kaataa allekirjoituksen.</w:t>
      </w:r>
    </w:p>
    <w:p>
      <w:pPr>
        <w:pStyle w:val="BodyText"/>
      </w:pPr>
      <w:r>
        <w:rPr>
          <w:bCs/>
          <w:b/>
        </w:rPr>
        <w:t xml:space="preserve">Löydös F3 (KESKITASO) — avaintyypin tarkistus.</w:t>
      </w:r>
      <w:r>
        <w:t xml:space="preserve"> </w:t>
      </w:r>
      <w:r>
        <w:t xml:space="preserve">Ympäristölataaja hyväksyi minkä tahansa yksityisen avaimen PEM-muodossa; muu kuin Ed25519-avain latautui onnistuneesti ja kaatui vasta allekirjoituskutsun sisällä epäselvään virheeseen, vaikka JOSE-otsake oli jo väittänyt</w:t>
      </w:r>
      <w:r>
        <w:t xml:space="preserve"> </w:t>
      </w:r>
      <w:r>
        <w:rPr>
          <w:rStyle w:val="VerbatimChar"/>
        </w:rPr>
        <w:t xml:space="preserve">alg: 'EdDSA'</w:t>
      </w:r>
      <w:r>
        <w:t xml:space="preserve">. Lataaja tarkistaa nyt ehdon</w:t>
      </w:r>
      <w:r>
        <w:t xml:space="preserve"> </w:t>
      </w:r>
      <w:r>
        <w:rPr>
          <w:rStyle w:val="VerbatimChar"/>
        </w:rPr>
        <w:t xml:space="preserve">asymmetricKeyType === 'ed25519'</w:t>
      </w:r>
      <w:r>
        <w:t xml:space="preserve"> </w:t>
      </w:r>
      <w:r>
        <w:t xml:space="preserve">ja heittää poikkeuksen. Epäsymmetria on tietoinen ja noudattaa äänekkään epäonnistumisen periaatetta:</w:t>
      </w:r>
      <w:r>
        <w:t xml:space="preserve"> </w:t>
      </w:r>
      <w:r>
        <w:rPr>
          <w:bCs/>
          <w:b/>
        </w:rPr>
        <w:t xml:space="preserve">konfiguroimaton</w:t>
      </w:r>
      <w:r>
        <w:t xml:space="preserve"> </w:t>
      </w:r>
      <w:r>
        <w:t xml:space="preserve">allekirjoittaja palauttaa</w:t>
      </w:r>
      <w:r>
        <w:t xml:space="preserve"> </w:t>
      </w:r>
      <w:r>
        <w:rPr>
          <w:rStyle w:val="VerbatimChar"/>
        </w:rPr>
        <w:t xml:space="preserve">null</w:t>
      </w:r>
      <w:r>
        <w:t xml:space="preserve">, jolloin allekirjoittamaton polku pysyy pätevänä, kun taas</w:t>
      </w:r>
      <w:r>
        <w:t xml:space="preserve"> </w:t>
      </w:r>
      <w:r>
        <w:rPr>
          <w:bCs/>
          <w:b/>
        </w:rPr>
        <w:t xml:space="preserve">virheellisesti konfiguroitu</w:t>
      </w:r>
      <w:r>
        <w:t xml:space="preserve"> </w:t>
      </w:r>
      <w:r>
        <w:t xml:space="preserve">allekirjoittaja nostaa poikkeuksen. Konfiguraation puuttuminen on tila; konfiguraatiovirhe on vika.</w:t>
      </w:r>
    </w:p>
    <w:p>
      <w:pPr>
        <w:pStyle w:val="BodyText"/>
      </w:pPr>
      <w:r>
        <w:rPr>
          <w:bCs/>
          <w:b/>
        </w:rPr>
        <w:t xml:space="preserve">Metodologinen kontribuutio — falsifiointi testien laatuporttina.</w:t>
      </w:r>
      <w:r>
        <w:t xml:space="preserve"> </w:t>
      </w:r>
      <w:r>
        <w:t xml:space="preserve">Korjauksen mukana lisättyjä neljää regressiotestiä ei hyväksytty sillä perusteella, että ne menivät läpi. Korjattu lähdekoodi palautettiin ennalleen, testistö ajettiin uudelleen, ja neljän uuden testin</w:t>
      </w:r>
      <w:r>
        <w:t xml:space="preserve"> </w:t>
      </w:r>
      <w:r>
        <w:rPr>
          <w:bCs/>
          <w:b/>
        </w:rPr>
        <w:t xml:space="preserve">varmistettiin kaatuvan alkuperäistä virheellistä toteutusta vasten</w:t>
      </w:r>
      <w:r>
        <w:t xml:space="preserve"> </w:t>
      </w:r>
      <w:r>
        <w:t xml:space="preserve">ennen hyväksymistä; kahdeksan aiempaa allekirjoitustestiä menivät läpi</w:t>
      </w:r>
      <w:r>
        <w:t xml:space="preserve"> </w:t>
      </w:r>
      <w:r>
        <w:rPr>
          <w:iCs/>
          <w:i/>
        </w:rPr>
        <w:t xml:space="preserve">molemmissa</w:t>
      </w:r>
      <w:r>
        <w:t xml:space="preserve"> </w:t>
      </w:r>
      <w:r>
        <w:t xml:space="preserve">tiloissa. Tästä syntyy yleistettävä tekninen kriteeri:</w:t>
      </w:r>
      <w:r>
        <w:t xml:space="preserve"> </w:t>
      </w:r>
      <w:r>
        <w:rPr>
          <w:bCs/>
          <w:b/>
        </w:rPr>
        <w:t xml:space="preserve">testi, joka menee läpi sekä ennen korjausta että sen jälkeen, ei kanna informaatiota kyseisestä korjauksesta.</w:t>
      </w:r>
      <w:r>
        <w:t xml:space="preserve"> </w:t>
      </w:r>
      <w:r>
        <w:t xml:space="preserve">Porttina sovellettuna se erottaa regressiotestit koristeellisista, ja tässä tapauksessa se tuotti empiirisen selityksen sille, miksi pätevä 47 testin testistö ei havainnut vakavaa puutetta. Lopputila: 51 läpimenevää testiä, tyyppitarkistus ja muotoilu puhtaina.</w:t>
      </w:r>
    </w:p>
    <w:p>
      <w:pPr>
        <w:pStyle w:val="BodyText"/>
      </w:pPr>
      <w:r>
        <w:rPr>
          <w:bCs/>
          <w:b/>
        </w:rPr>
        <w:t xml:space="preserve">Liittyvä toteutuslöydös.</w:t>
      </w:r>
      <w:r>
        <w:t xml:space="preserve"> </w:t>
      </w:r>
      <w:r>
        <w:t xml:space="preserve">Attestoinnin tallennusskeeman katselmointi osoitti, että todistustietue oli ankkuroitu vastuulliseen ihmiseen ilman vuokralaissaraketta, kun taas valtuutusten todistetaulussa organisaatiotunniste oli tyhjäksi sallittu. Siirrettävä tietue, joka muodostaa agentin ansioluettelon, oli siten sidottu yksilöön eikä siihen organisaatioon, jonka valtuutuksella ja datalla se ansaittiin, joten luottamushistoria ei säilyisi henkilöstön lähtiessä. Koska allekirjoittaminen tekee tietueesta pysyvän, ankkurin korjaaminen aikataulutettiin</w:t>
      </w:r>
      <w:r>
        <w:t xml:space="preserve"> </w:t>
      </w:r>
      <w:r>
        <w:rPr>
          <w:bCs/>
          <w:b/>
        </w:rPr>
        <w:t xml:space="preserve">allekirjoitusten käyttöönoton ennakkoehdoksi</w:t>
      </w:r>
      <w:r>
        <w:t xml:space="preserve"> </w:t>
      </w:r>
      <w:r>
        <w:t xml:space="preserve">eikä rinnakkaiseksi työksi: väärin ankkuroidun attestoinnin allekirjoittaminen muuntaa korjattavissa olevan skeemavirheen pysyväksi.</w:t>
      </w:r>
    </w:p>
    <w:bookmarkEnd w:id="355"/>
    <w:bookmarkStart w:id="360" w:name="X512dffd813d4677faa901c945dec8830de96af7"/>
    <w:p>
      <w:pPr>
        <w:pStyle w:val="Heading3"/>
      </w:pPr>
      <w:r>
        <w:t xml:space="preserve">10.27 Artefakti–legitimiteetti-kuilu: huippumallien nopeus, KYA-tapaus ja siitä johdettu suunnitteluperiaate vaatimustenmukaisuusälyn tuotealustalle</w:t>
      </w:r>
    </w:p>
    <w:p>
      <w:pPr>
        <w:pStyle w:val="FirstParagraph"/>
      </w:pPr>
      <w:r>
        <w:rPr>
          <w:bCs/>
          <w:b/>
        </w:rPr>
        <w:t xml:space="preserve">Ongelma kerran lausuttuna.</w:t>
      </w:r>
      <w:r>
        <w:t xml:space="preserve"> </w:t>
      </w:r>
      <w:r>
        <w:t xml:space="preserve">Rakentaminen huippumalleilla (frontier models) Claude Coden kautta puristaa teknisesti valmiin artefaktin tuottamisen kuukausista tunteihin. Se ei purista — eikä rakenteellisesti voi puristaa — niitä institutionaalisia prosesseja, jotka tekevät artefaktista</w:t>
      </w:r>
      <w:r>
        <w:t xml:space="preserve"> </w:t>
      </w:r>
      <w:r>
        <w:rPr>
          <w:iCs/>
          <w:i/>
        </w:rPr>
        <w:t xml:space="preserve">legitiimin</w:t>
      </w:r>
      <w:r>
        <w:t xml:space="preserve">: vastakkainasettelevaa arviointia osapuolilta joilla on kilpailevat kaupalliset intressit, riippumatonta toteutusta, standardointielimen muodollista hyväksyntää ja oikeudellista tarkastusta kullakin toimintalainkäyttöalueella.</w:t>
      </w:r>
      <w:r>
        <w:t xml:space="preserve"> </w:t>
      </w:r>
      <w:r>
        <w:rPr>
          <w:bCs/>
          <w:b/>
        </w:rPr>
        <w:t xml:space="preserve">Artefakti on valmis kauan ennen kuin se on legitiimi.</w:t>
      </w:r>
      <w:r>
        <w:t xml:space="preserve"> </w:t>
      </w:r>
      <w:r>
        <w:t xml:space="preserve">Tämä on suurin käytännön ongelma, joka tässä teknisessä ohjelmassa on kohdattu, eikä se ole työkaluvika. Se on seuraus siitä, että työkalut toimivat.</w:t>
      </w:r>
    </w:p>
    <w:p>
      <w:pPr>
        <w:pStyle w:val="BodyText"/>
      </w:pPr>
      <w:r>
        <w:rPr>
          <w:bCs/>
          <w:b/>
        </w:rPr>
        <w:t xml:space="preserve">Toisen asteen vaikutus on vaarallinen.</w:t>
      </w:r>
      <w:r>
        <w:t xml:space="preserve"> </w:t>
      </w:r>
      <w:r>
        <w:t xml:space="preserve">Historiallisesti spesifikaation</w:t>
      </w:r>
      <w:r>
        <w:t xml:space="preserve"> </w:t>
      </w:r>
      <w:r>
        <w:rPr>
          <w:iCs/>
          <w:i/>
        </w:rPr>
        <w:t xml:space="preserve">laatu</w:t>
      </w:r>
      <w:r>
        <w:t xml:space="preserve"> </w:t>
      </w:r>
      <w:r>
        <w:t xml:space="preserve">oli näyttöä sen takana olevasta</w:t>
      </w:r>
      <w:r>
        <w:t xml:space="preserve"> </w:t>
      </w:r>
      <w:r>
        <w:rPr>
          <w:iCs/>
          <w:i/>
        </w:rPr>
        <w:t xml:space="preserve">prosessista</w:t>
      </w:r>
      <w:r>
        <w:t xml:space="preserve">. RFC 2119 -konformanssikieli, versiohistorialohko, konformanssiosio, IPR-tietoinen lisenssi — kukaan yksilö ei tuottanut näitä yhdessä iltapäivässä, joten niiden läsnäolo merkitsi luotettavasti työryhmää, arviointikierroksia ja kulunutta aikaa.</w:t>
      </w:r>
      <w:r>
        <w:t xml:space="preserve"> </w:t>
      </w:r>
      <w:r>
        <w:rPr>
          <w:bCs/>
          <w:b/>
        </w:rPr>
        <w:t xml:space="preserve">Huippumallit rikkovat tämän korrelaation.</w:t>
      </w:r>
      <w:r>
        <w:t xml:space="preserve"> </w:t>
      </w:r>
      <w:r>
        <w:t xml:space="preserve">Sujuvuus ei ole enää näyttöä prosessista. Silti jokainen lukija — ostaja, tarkastaja, valvoja ja laatija itse — käyttää yhä sujuvuutta legitimiteetin korvikemittarina. Mittari on nyt pätemätön, ja sen vikaantuminen on epäsymmetristä:</w:t>
      </w:r>
      <w:r>
        <w:t xml:space="preserve"> </w:t>
      </w:r>
      <w:r>
        <w:rPr>
          <w:bCs/>
          <w:b/>
        </w:rPr>
        <w:t xml:space="preserve">laatija ylivaatii tahtomattaan</w:t>
      </w:r>
      <w:r>
        <w:t xml:space="preserve">, koska artefakti väittää hiljaisesti alkuperää, jota sen tuottamisella ei koskaan ollut.</w:t>
      </w:r>
    </w:p>
    <w:bookmarkStart w:id="356" w:name="kya-tapaus"/>
    <w:p>
      <w:pPr>
        <w:pStyle w:val="Heading4"/>
      </w:pPr>
      <w:r>
        <w:t xml:space="preserve">10.27.1 KYA-tapaus</w:t>
      </w:r>
    </w:p>
    <w:p>
      <w:pPr>
        <w:pStyle w:val="FirstParagraph"/>
      </w:pPr>
      <w:r>
        <w:t xml:space="preserve">Ohjelman oma hallintadokumentti on työstetty esimerkki, ja tapahtumasarja on dokumentoitu, ei jälkikäteen rekonstruoitu.</w:t>
      </w:r>
    </w:p>
    <w:p>
      <w:pPr>
        <w:pStyle w:val="BodyText"/>
      </w:pPr>
      <w:r>
        <w:t xml:space="preserve">Spesifikaatio tuotettiin julkaisukelpoiseen laatuun otsikolla</w:t>
      </w:r>
      <w:r>
        <w:t xml:space="preserve"> </w:t>
      </w:r>
      <w:r>
        <w:rPr>
          <w:bCs/>
          <w:b/>
        </w:rPr>
        <w:t xml:space="preserve">“</w:t>
      </w:r>
      <w:r>
        <w:rPr>
          <w:bCs/>
          <w:b/>
        </w:rPr>
        <w:t xml:space="preserve">KYA Open Standard v1.5</w:t>
      </w:r>
      <w:r>
        <w:rPr>
          <w:bCs/>
          <w:b/>
        </w:rPr>
        <w:t xml:space="preserve">”</w:t>
      </w:r>
      <w:r>
        <w:t xml:space="preserve">. Arvioituna neljää porttia vastaan — vähintään kaksi riippumatonta toteutusta; konformanssitestistö, jonka toteutus voi reputtaa; tunnustetun elimen hyväksyntä tai aito monen osapuolen käyttöönotto; sekä muutoksenhallinta, joka jää eloon laatineen organisaation jälkeen — se täytti</w:t>
      </w:r>
      <w:r>
        <w:t xml:space="preserve"> </w:t>
      </w:r>
      <w:r>
        <w:rPr>
          <w:bCs/>
          <w:b/>
        </w:rPr>
        <w:t xml:space="preserve">nolla neljästä</w:t>
      </w:r>
      <w:r>
        <w:t xml:space="preserve">. Se nimettiin uudelleen</w:t>
      </w:r>
      <w:r>
        <w:t xml:space="preserve"> </w:t>
      </w:r>
      <w:r>
        <w:rPr>
          <w:bCs/>
          <w:b/>
        </w:rPr>
        <w:t xml:space="preserve">“</w:t>
      </w:r>
      <w:r>
        <w:rPr>
          <w:bCs/>
          <w:b/>
        </w:rPr>
        <w:t xml:space="preserve">KYA-spesifikaatioksi v1.5</w:t>
      </w:r>
      <w:r>
        <w:rPr>
          <w:bCs/>
          <w:b/>
        </w:rPr>
        <w:t xml:space="preserve">”</w:t>
      </w:r>
      <w:r>
        <w:t xml:space="preserve"> </w:t>
      </w:r>
      <w:r>
        <w:t xml:space="preserve">24.07.2026, kun kategorinen kysymys esitettiin suoraan:</w:t>
      </w:r>
      <w:r>
        <w:t xml:space="preserve"> </w:t>
      </w:r>
      <w:r>
        <w:rPr>
          <w:iCs/>
          <w:i/>
        </w:rPr>
        <w:t xml:space="preserve">onko mikään elin käsitellyt tätä?</w:t>
      </w:r>
    </w:p>
    <w:p>
      <w:pPr>
        <w:pStyle w:val="BodyText"/>
      </w:pPr>
      <w:r>
        <w:t xml:space="preserve">Dokumentin teknisessä sisällössä ei ollut mitään väärää. Se oli toteutettavissa, sisäisesti johdonmukainen ja rehellinen yksittäisissä väitteissään. Väärin oli</w:t>
      </w:r>
      <w:r>
        <w:t xml:space="preserve"> </w:t>
      </w:r>
      <w:r>
        <w:rPr>
          <w:bCs/>
          <w:b/>
        </w:rPr>
        <w:t xml:space="preserve">kategoria</w:t>
      </w:r>
      <w:r>
        <w:t xml:space="preserve">, jota otsikko väitti — ja juuri artefaktin sujuvuus teki tuosta väitteestä uskottavan.</w:t>
      </w:r>
    </w:p>
    <w:p>
      <w:pPr>
        <w:pStyle w:val="BodyText"/>
      </w:pPr>
      <w:r>
        <w:t xml:space="preserve">Ratkaiseva havainto seuraa:</w:t>
      </w:r>
    </w:p>
    <w:p>
      <w:pPr>
        <w:pStyle w:val="BlockText"/>
      </w:pPr>
      <w:r>
        <w:rPr>
          <w:bCs/>
          <w:b/>
        </w:rPr>
        <w:t xml:space="preserve">Sama tekninen kapasiteetti, joka tuotti v1.5:n yhdessä istunnossa, voi tuottaa v1.6:n, v2.0:n ja v3.0:n. Versionumero kiihtyy; legitimiteetti ei liiku lainkaan.</w:t>
      </w:r>
      <w:r>
        <w:t xml:space="preserve"> </w:t>
      </w:r>
      <w:r>
        <w:t xml:space="preserve">Tekninen iterointi ei voi muuntaa spesifikaatiota standardiksi, koska puuttuva ei ole teknistä.</w:t>
      </w:r>
    </w:p>
    <w:p>
      <w:pPr>
        <w:pStyle w:val="FirstParagraph"/>
      </w:pPr>
      <w:r>
        <w:rPr>
          <w:bCs/>
          <w:b/>
        </w:rPr>
        <w:t xml:space="preserve">Ja kuilu voi leventyä eikä vain pysyä.</w:t>
      </w:r>
      <w:r>
        <w:t xml:space="preserve"> </w:t>
      </w:r>
      <w:r>
        <w:t xml:space="preserve">Toteamus, että legitimiteetti</w:t>
      </w:r>
      <w:r>
        <w:t xml:space="preserve"> </w:t>
      </w:r>
      <w:r>
        <w:t xml:space="preserve">“</w:t>
      </w:r>
      <w:r>
        <w:t xml:space="preserve">ei liiku</w:t>
      </w:r>
      <w:r>
        <w:t xml:space="preserve">”</w:t>
      </w:r>
      <w:r>
        <w:t xml:space="preserve">, aliarvioi riskin. Standardointielimen hyväksymiskriteerit muodostuvat konsensuksessa osapuolten kesken, joilla on toisistaan poikkeavat kaupalliset intressit; yksin laadittu artefakti optimoi sen sijaan sisäistä johdonmukaisuutta, koska se on ainoa rajoite, jonka sen laatija voi tuntea. Jokainen arvioimaton iteraatio parantaa siis dokumenttia väärää tavoitefunktiota vastaan ja voi ajautua</w:t>
      </w:r>
      <w:r>
        <w:t xml:space="preserve"> </w:t>
      </w:r>
      <w:r>
        <w:rPr>
          <w:iCs/>
          <w:i/>
        </w:rPr>
        <w:t xml:space="preserve">kauemmas</w:t>
      </w:r>
      <w:r>
        <w:t xml:space="preserve"> </w:t>
      </w:r>
      <w:r>
        <w:t xml:space="preserve">siitä, mitä elin hyväksyisi, samalla kun se jokaisella sisäisesti näkyvällä mittarilla vaikuttaa paranevan.</w:t>
      </w:r>
      <w:r>
        <w:t xml:space="preserve"> </w:t>
      </w:r>
      <w:r>
        <w:rPr>
          <w:bCs/>
          <w:b/>
        </w:rPr>
        <w:t xml:space="preserve">Arvioimaton iterointi ei vain jätä legitimiteettiä kertymättä; se voi kerryttää yhteensovitusvelkaa.</w:t>
      </w:r>
      <w:r>
        <w:t xml:space="preserve"> </w:t>
      </w:r>
      <w:r>
        <w:t xml:space="preserve">Teknisesti paras versio ei ole välttämättä lähinnä hyväksyttävyyttä oleva versio, eikä mikään laatineen organisaation sisällä erota näitä kahta.</w:t>
      </w:r>
    </w:p>
    <w:bookmarkEnd w:id="356"/>
    <w:bookmarkStart w:id="357" w:name="Xfaa08c1f8e326768c04878c788f350daf3d6b6c"/>
    <w:p>
      <w:pPr>
        <w:pStyle w:val="Heading4"/>
      </w:pPr>
      <w:r>
        <w:t xml:space="preserve">10.27.2 Kolme lainkäyttöaluetta tekee kuilusta mitattavan</w:t>
      </w:r>
    </w:p>
    <w:p>
      <w:pPr>
        <w:pStyle w:val="FirstParagraph"/>
      </w:pPr>
      <w:r>
        <w:t xml:space="preserve">KYA:n laajentaminen EU:hun, Yhdysvaltoihin ja Singaporeen terävöittää asian havainnosta rajoitteeksi. Kukin lainkäyttöalue käy eri, puristamatonta kelloa, eikä yhteen niistä</w:t>
      </w:r>
      <w:r>
        <w:t xml:space="preserve"> </w:t>
      </w:r>
      <w:r>
        <w:rPr>
          <w:bCs/>
          <w:b/>
        </w:rPr>
        <w:t xml:space="preserve">voi lainkaan päästä laatijan omasta aloitteesta</w:t>
      </w:r>
      <w:r>
        <w:t xml:space="preserve">: EU:n tekoälyasetuksen 40 artiklan mukaan yhdenmukaistetut standardit tuotetaan CEN/CENELECissä komission standardointipyynnön perusteella. Mikään tekninen läpimenoteho ei avaa tuota ovea.</w:t>
      </w:r>
    </w:p>
    <w:p>
      <w:pPr>
        <w:pStyle w:val="BodyText"/>
      </w:pPr>
      <w:r>
        <w:t xml:space="preserve">Arkkitehtoninen seuraus — yksi lainkäyttöalueneutraali ydin sekä lainkäyttöaluekohtaiset konformanssi</w:t>
      </w:r>
      <w:r>
        <w:rPr>
          <w:bCs/>
          <w:b/>
        </w:rPr>
        <w:t xml:space="preserve">profiilit</w:t>
      </w:r>
      <w:r>
        <w:t xml:space="preserve">, ei koskaan kolme haarautunutta spesifikaatiota — on dokumentoitu tiedostossa</w:t>
      </w:r>
      <w:r>
        <w:t xml:space="preserve"> </w:t>
      </w:r>
      <w:r>
        <w:rPr>
          <w:rStyle w:val="VerbatimChar"/>
        </w:rPr>
        <w:t xml:space="preserve">standards/kya-open/SPEC.md</w:t>
      </w:r>
      <w:r>
        <w:t xml:space="preserve"> </w:t>
      </w:r>
      <w:r>
        <w:t xml:space="preserve">§10. Episteeminen seuraus on se lause, jonka kirjaamiseksi tämä osio on olemassa:</w:t>
      </w:r>
    </w:p>
    <w:p>
      <w:pPr>
        <w:pStyle w:val="BlockText"/>
      </w:pPr>
      <w:r>
        <w:rPr>
          <w:bCs/>
          <w:b/>
        </w:rPr>
        <w:t xml:space="preserve">DWS voi teknisesti rakentaa parempia KYA-versioita loputtomiin. Käytännössä ne pysyvät spesifikaatioina — ja kolmen lainkäyttöalueen yli kolmena profiilina yhdestä spesifikaatiosta.</w:t>
      </w:r>
      <w:r>
        <w:t xml:space="preserve"> </w:t>
      </w:r>
      <w:r>
        <w:t xml:space="preserve">Profiileja ei voi edes validoida ilman lainkäyttöaluekohtaista oikeudellista tarkastusta, joka on toinen prosessi, jota tekninen työ ei voi imeä sisäänsä.</w:t>
      </w:r>
    </w:p>
    <w:bookmarkEnd w:id="357"/>
    <w:bookmarkStart w:id="358" w:name="toteutettu-vastatoimi"/>
    <w:p>
      <w:pPr>
        <w:pStyle w:val="Heading4"/>
      </w:pPr>
      <w:r>
        <w:t xml:space="preserve">10.27.3 Toteutettu vastatoimi</w:t>
      </w:r>
    </w:p>
    <w:p>
      <w:pPr>
        <w:pStyle w:val="FirstParagraph"/>
      </w:pPr>
      <w:r>
        <w:rPr>
          <w:rStyle w:val="VerbatimChar"/>
        </w:rPr>
        <w:t xml:space="preserve">DWS_LEARNING_STANDARD.md</w:t>
      </w:r>
      <w:r>
        <w:t xml:space="preserve"> </w:t>
      </w:r>
      <w:r>
        <w:t xml:space="preserve">on mekanismi, ei politiikkalausuma. Sen §10 tarjoaa sen, mitä kiihdytetyltä tekniseltä prosessilta oletusarvoisesti puuttuu:</w:t>
      </w:r>
    </w:p>
    <w:tbl>
      <w:tblPr>
        <w:tblStyle w:val="Table"/>
        <w:tblW w:type="pct" w:w="5000"/>
        <w:tblLook w:firstRow="1" w:lastRow="0" w:firstColumn="0" w:lastColumn="0" w:noHBand="0" w:noVBand="0" w:val="0020"/>
        <w:jc w:val="start"/>
      </w:tblPr>
      <w:tblGrid>
        <w:gridCol w:w="1697"/>
        <w:gridCol w:w="6222"/>
      </w:tblGrid>
      <w:tr>
        <w:trPr>
          <w:tblHeader w:val="true"/>
        </w:trPr>
        <w:tc>
          <w:tcPr/>
          <w:p>
            <w:pPr>
              <w:pStyle w:val="Compact"/>
              <w:jc w:val="left"/>
            </w:pPr>
            <w:r>
              <w:t xml:space="preserve">Mekanismi</w:t>
            </w:r>
          </w:p>
        </w:tc>
        <w:tc>
          <w:tcPr/>
          <w:p>
            <w:pPr>
              <w:pStyle w:val="Compact"/>
              <w:jc w:val="left"/>
            </w:pPr>
            <w:r>
              <w:t xml:space="preserve">Mitä se rajoittaa</w:t>
            </w:r>
          </w:p>
        </w:tc>
      </w:tr>
      <w:tr>
        <w:tc>
          <w:tcPr/>
          <w:p>
            <w:pPr>
              <w:pStyle w:val="Compact"/>
              <w:jc w:val="left"/>
            </w:pPr>
            <w:r>
              <w:t xml:space="preserve">§10.3 Peruutettavuusluokittelu</w:t>
            </w:r>
          </w:p>
        </w:tc>
        <w:tc>
          <w:tcPr/>
          <w:p>
            <w:pPr>
              <w:pStyle w:val="Compact"/>
              <w:jc w:val="left"/>
            </w:pPr>
            <w:r>
              <w:t xml:space="preserve">Erottaa kaksisuuntaiset ovet YKSISUUNTAISISTA; allekirjoita / julkaise / lähetä / poista / luovuta vastapuolelle ovat oletuksena yksisuuntaisia</w:t>
            </w:r>
          </w:p>
        </w:tc>
      </w:tr>
      <w:tr>
        <w:tc>
          <w:tcPr/>
          <w:p>
            <w:pPr>
              <w:pStyle w:val="Compact"/>
              <w:jc w:val="left"/>
            </w:pPr>
            <w:r>
              <w:t xml:space="preserve">§10.3.1 Jäähtymisväli</w:t>
            </w:r>
          </w:p>
        </w:tc>
        <w:tc>
          <w:tcPr/>
          <w:p>
            <w:pPr>
              <w:pStyle w:val="Compact"/>
              <w:jc w:val="left"/>
            </w:pPr>
            <w:r>
              <w:rPr>
                <w:bCs/>
                <w:b/>
              </w:rPr>
              <w:t xml:space="preserve">Mikään peruuttamaton ei lähde siinä istunnossa, joka sen keksi</w:t>
            </w:r>
            <w:r>
              <w:t xml:space="preserve"> </w:t>
            </w:r>
            <w:r>
              <w:t xml:space="preserve">— tietoinen väli päätöksen ja teon välillä</w:t>
            </w:r>
          </w:p>
        </w:tc>
      </w:tr>
      <w:tr>
        <w:tc>
          <w:tcPr/>
          <w:p>
            <w:pPr>
              <w:pStyle w:val="Compact"/>
              <w:jc w:val="left"/>
            </w:pPr>
            <w:r>
              <w:t xml:space="preserve">§10.4 Todennettu vs. edelleen välitetty</w:t>
            </w:r>
          </w:p>
        </w:tc>
        <w:tc>
          <w:tcPr/>
          <w:p>
            <w:pPr>
              <w:pStyle w:val="Compact"/>
              <w:jc w:val="left"/>
            </w:pPr>
            <w:r>
              <w:t xml:space="preserve">Pakottaa merkitsemään päätöksen näyttöperustan päätöshetkellä, ei alaviitteessä</w:t>
            </w:r>
          </w:p>
        </w:tc>
      </w:tr>
      <w:tr>
        <w:tc>
          <w:tcPr/>
          <w:p>
            <w:pPr>
              <w:pStyle w:val="Compact"/>
              <w:jc w:val="left"/>
            </w:pPr>
            <w:r>
              <w:t xml:space="preserve">§10.1 / §10.6</w:t>
            </w:r>
          </w:p>
        </w:tc>
        <w:tc>
          <w:tcPr/>
          <w:p>
            <w:pPr>
              <w:pStyle w:val="Compact"/>
              <w:jc w:val="left"/>
            </w:pPr>
            <w:r>
              <w:t xml:space="preserve">Kuusikenttäinen päätösmuoto pakollisine suosituksineen, katto neljä päätöstä per istunto</w:t>
            </w:r>
          </w:p>
        </w:tc>
      </w:tr>
      <w:tr>
        <w:tc>
          <w:tcPr/>
          <w:p>
            <w:pPr>
              <w:pStyle w:val="Compact"/>
              <w:jc w:val="left"/>
            </w:pPr>
            <w:r>
              <w:t xml:space="preserve">§4 Viisivaiheinen HIC-oppimistulos</w:t>
            </w:r>
          </w:p>
        </w:tc>
        <w:tc>
          <w:tcPr/>
          <w:p>
            <w:pPr>
              <w:pStyle w:val="Compact"/>
              <w:jc w:val="left"/>
            </w:pPr>
            <w:r>
              <w:t xml:space="preserve">EU:n tekoälyasetuksen 14 artiklan interventiopiste istuntotasolla</w:t>
            </w:r>
          </w:p>
        </w:tc>
      </w:tr>
    </w:tbl>
    <w:p>
      <w:pPr>
        <w:pStyle w:val="BodyText"/>
      </w:pPr>
      <w:r>
        <w:t xml:space="preserve">Yhdessä luettuna oppimisstandardi toimii</w:t>
      </w:r>
      <w:r>
        <w:t xml:space="preserve"> </w:t>
      </w:r>
      <w:r>
        <w:rPr>
          <w:bCs/>
          <w:b/>
        </w:rPr>
        <w:t xml:space="preserve">legitimiteettiväitteiden nopeusrajoittimena</w:t>
      </w:r>
      <w:r>
        <w:t xml:space="preserve">, asennettuna tekniseen prosessiin, jossa sellaista ei luonnostaan ole. Sen tarpeellisuus on itsessään näyttöä tämän osion teesille: jos artefaktin tuottaminen ja artefaktin legitimointi kulkisivat vertailukelpoisilla nopeuksilla, tällaista mekanismia ei olisi tarvittu.</w:t>
      </w:r>
    </w:p>
    <w:bookmarkEnd w:id="358"/>
    <w:bookmarkStart w:id="359" w:name="suunnitteluperiaate-dwsn-tuotealustalle"/>
    <w:p>
      <w:pPr>
        <w:pStyle w:val="Heading4"/>
      </w:pPr>
      <w:r>
        <w:t xml:space="preserve">10.27.4 Suunnitteluperiaate DWS:n tuotealustalle</w:t>
      </w:r>
    </w:p>
    <w:p>
      <w:pPr>
        <w:pStyle w:val="FirstParagraph"/>
      </w:pPr>
      <w:r>
        <w:t xml:space="preserve">Kaupallinen johtopäätös seuraa suoraan, ja se muovaa sitä, mitä alusta myy yrityksille.</w:t>
      </w:r>
    </w:p>
    <w:p>
      <w:pPr>
        <w:numPr>
          <w:ilvl w:val="0"/>
          <w:numId w:val="1116"/>
        </w:numPr>
        <w:pStyle w:val="Compact"/>
      </w:pPr>
      <w:r>
        <w:rPr>
          <w:bCs/>
          <w:b/>
        </w:rPr>
        <w:t xml:space="preserve">Oletuksena sisäinen.</w:t>
      </w:r>
      <w:r>
        <w:t xml:space="preserve"> </w:t>
      </w:r>
      <w:r>
        <w:t xml:space="preserve">Spesifikaatio on</w:t>
      </w:r>
      <w:r>
        <w:t xml:space="preserve"> </w:t>
      </w:r>
      <w:r>
        <w:rPr>
          <w:bCs/>
          <w:b/>
        </w:rPr>
        <w:t xml:space="preserve">sisäinen työartefakti</w:t>
      </w:r>
      <w:r>
        <w:t xml:space="preserve">, kunnes se ansaitsee ulkoisen validoinnin kohdelainkäyttöalueensa oikean portin kautta. Alustan asenne ei ole julkaista nopeammin vaan</w:t>
      </w:r>
      <w:r>
        <w:t xml:space="preserve"> </w:t>
      </w:r>
      <w:r>
        <w:rPr>
          <w:bCs/>
          <w:b/>
        </w:rPr>
        <w:t xml:space="preserve">ansaita käyttöönotto sillä tahdilla, jota kukin elin edellyttää</w:t>
      </w:r>
      <w:r>
        <w:t xml:space="preserve"> </w:t>
      </w:r>
      <w:r>
        <w:t xml:space="preserve">— tahdilla, jota alusta ei aseta eikä voi puristaa. Tämä on ohjaava oletus; neljä alla olevaa periaatetta toimivat sen alaisuudessa.</w:t>
      </w:r>
    </w:p>
    <w:p>
      <w:pPr>
        <w:numPr>
          <w:ilvl w:val="0"/>
          <w:numId w:val="1116"/>
        </w:numPr>
        <w:pStyle w:val="Compact"/>
      </w:pPr>
      <w:r>
        <w:rPr>
          <w:bCs/>
          <w:b/>
        </w:rPr>
        <w:t xml:space="preserve">Myy näyttöä, älä tuomioita.</w:t>
      </w:r>
      <w:r>
        <w:t xml:space="preserve"> </w:t>
      </w:r>
      <w:r>
        <w:t xml:space="preserve">Näyttöartefaktit ovat tuotettavissa konenopeudella; vaatimustenmukaisuus</w:t>
      </w:r>
      <w:r>
        <w:rPr>
          <w:iCs/>
          <w:i/>
        </w:rPr>
        <w:t xml:space="preserve">tuomiot</w:t>
      </w:r>
      <w:r>
        <w:t xml:space="preserve"> </w:t>
      </w:r>
      <w:r>
        <w:t xml:space="preserve">edellyttävät instituutioita, jotka eivät ole. Alustan tuotoksen tulee siksi olla tarkistettavaa aineistoa, jota tarkastaja, valvoja tai vastapuoli arvioi — ei koskaan väite siitä, että vaatimustenmukaisuus vallitsee. Periaatetta sovellettiin konkreettisesti julkiseen tekstiin samalla jaksolla:</w:t>
      </w:r>
      <w:r>
        <w:t xml:space="preserve"> </w:t>
      </w:r>
      <w:r>
        <w:rPr>
          <w:iCs/>
          <w:i/>
        </w:rPr>
        <w:t xml:space="preserve">“</w:t>
      </w:r>
      <w:r>
        <w:rPr>
          <w:iCs/>
          <w:i/>
        </w:rPr>
        <w:t xml:space="preserve">oikeudessa kestävä alkuperätieto</w:t>
      </w:r>
      <w:r>
        <w:rPr>
          <w:iCs/>
          <w:i/>
        </w:rPr>
        <w:t xml:space="preserve">”</w:t>
      </w:r>
      <w:r>
        <w:t xml:space="preserve"> </w:t>
      </w:r>
      <w:r>
        <w:t xml:space="preserve">muuttui muotoon</w:t>
      </w:r>
      <w:r>
        <w:t xml:space="preserve"> </w:t>
      </w:r>
      <w:r>
        <w:rPr>
          <w:iCs/>
          <w:i/>
        </w:rPr>
        <w:t xml:space="preserve">“</w:t>
      </w:r>
      <w:r>
        <w:rPr>
          <w:iCs/>
          <w:i/>
        </w:rPr>
        <w:t xml:space="preserve">alkuperätieto, joka on suunniteltu 12 artiklan kirjanpitovaatimuksia vasten</w:t>
      </w:r>
      <w:r>
        <w:rPr>
          <w:iCs/>
          <w:i/>
        </w:rPr>
        <w:t xml:space="preserve">”</w:t>
      </w:r>
      <w:r>
        <w:t xml:space="preserve">, ja</w:t>
      </w:r>
      <w:r>
        <w:t xml:space="preserve"> </w:t>
      </w:r>
      <w:r>
        <w:rPr>
          <w:iCs/>
          <w:i/>
        </w:rPr>
        <w:t xml:space="preserve">“</w:t>
      </w:r>
      <w:r>
        <w:rPr>
          <w:iCs/>
          <w:i/>
        </w:rPr>
        <w:t xml:space="preserve">KYA:sta tulee EU:n tekoälyasetuksen vaatimustenmukaisuuskerros</w:t>
      </w:r>
      <w:r>
        <w:rPr>
          <w:iCs/>
          <w:i/>
        </w:rPr>
        <w:t xml:space="preserve">”</w:t>
      </w:r>
      <w:r>
        <w:t xml:space="preserve"> </w:t>
      </w:r>
      <w:r>
        <w:t xml:space="preserve">sai nimenomaisen lisäyksen, ettei se itsessään tee käyttöönotosta vaatimustenmukaista.</w:t>
      </w:r>
    </w:p>
    <w:p>
      <w:pPr>
        <w:numPr>
          <w:ilvl w:val="0"/>
          <w:numId w:val="1116"/>
        </w:numPr>
        <w:pStyle w:val="Compact"/>
      </w:pPr>
      <w:r>
        <w:rPr>
          <w:bCs/>
          <w:b/>
        </w:rPr>
        <w:t xml:space="preserve">Jokainen väite kantaa vaiheensa.</w:t>
      </w:r>
      <w:r>
        <w:t xml:space="preserve"> </w:t>
      </w:r>
      <w:r>
        <w:t xml:space="preserve">Kypsyysmerkintä kulkee</w:t>
      </w:r>
      <w:r>
        <w:t xml:space="preserve"> </w:t>
      </w:r>
      <w:r>
        <w:rPr>
          <w:bCs/>
          <w:b/>
        </w:rPr>
        <w:t xml:space="preserve">väitteen vieressä</w:t>
      </w:r>
      <w:r>
        <w:t xml:space="preserve"> </w:t>
      </w:r>
      <w:r>
        <w:t xml:space="preserve">— samassa virkkeessä, samassa kortissa — ei erillisellä tilasivulla. Kolmen vierityksen päässä oleva vaihemerkintä on sama ylivaatimus lisäaskelin.</w:t>
      </w:r>
    </w:p>
    <w:p>
      <w:pPr>
        <w:numPr>
          <w:ilvl w:val="0"/>
          <w:numId w:val="1116"/>
        </w:numPr>
        <w:pStyle w:val="Compact"/>
      </w:pPr>
      <w:r>
        <w:rPr>
          <w:bCs/>
          <w:b/>
        </w:rPr>
        <w:t xml:space="preserve">Profiilit, ei haaroja.</w:t>
      </w:r>
      <w:r>
        <w:t xml:space="preserve"> </w:t>
      </w:r>
      <w:r>
        <w:t xml:space="preserve">Lainkäyttöalueiden erot hoidetaan parametrisoimalla yksi ydin, ei toimittamalla kolmea tuotetta. Kolme tuotetta ajautuu erilleen; yksi ydin kolmine profiileineen säilyttää siirrettävän todistuksen, joka on koko tarkoitus.</w:t>
      </w:r>
    </w:p>
    <w:p>
      <w:pPr>
        <w:numPr>
          <w:ilvl w:val="0"/>
          <w:numId w:val="1116"/>
        </w:numPr>
        <w:pStyle w:val="Compact"/>
      </w:pPr>
      <w:r>
        <w:rPr>
          <w:bCs/>
          <w:b/>
        </w:rPr>
        <w:t xml:space="preserve">Rakenna nopeusrajoitin tuotteeseen, ei vain prosessiin.</w:t>
      </w:r>
      <w:r>
        <w:t xml:space="preserve"> </w:t>
      </w:r>
      <w:r>
        <w:t xml:space="preserve">Jos tämän ohjelman oma tekninen työ tarvitsi jäähtymisvälin, agenttipohjaisia vaatimustenmukaisuustyönkulkuja kokoava yritys tarvitsee sen kipeämmin, koska sillä ei ole kontekstia eikä tekijyyttä huomata kuilua omin avuin. Sen tekeminen rakenteellisesti vaikeaksi, että vaatimustenmukaisuusväite lähtisi nopeammin kuin sitä tukeva näyttö kertyy, on</w:t>
      </w:r>
      <w:r>
        <w:t xml:space="preserve"> </w:t>
      </w:r>
      <w:r>
        <w:rPr>
          <w:bCs/>
          <w:b/>
        </w:rPr>
        <w:t xml:space="preserve">tuoteominaisuus</w:t>
      </w:r>
      <w:r>
        <w:t xml:space="preserve">, ei sisäinen kuri.</w:t>
      </w:r>
    </w:p>
    <w:p>
      <w:pPr>
        <w:pStyle w:val="FirstParagraph"/>
      </w:pPr>
      <w:r>
        <w:rPr>
          <w:bCs/>
          <w:b/>
        </w:rPr>
        <w:t xml:space="preserve">Miksi tämä on kaupallinen asema eikä rajoite.</w:t>
      </w:r>
      <w:r>
        <w:t xml:space="preserve"> </w:t>
      </w:r>
      <w:r>
        <w:t xml:space="preserve">Säännellyillä toimialoilla toimivat yritykset ovat se joukko, jota artefakti–legitimiteetti-kuilu vahingoittaa eniten, koska niiden tapauksessa ylivaatimus ei vain nolostuta — siitä tulee valvontahavainto. Generatiiviset työkalut ovat tehneet viimeistellystä vaatimustenmukaisuusdokumentista yleisesti saatavan; samassa liikkeessä niukaksi on tullut kyky sanoa,</w:t>
      </w:r>
      <w:r>
        <w:t xml:space="preserve"> </w:t>
      </w:r>
      <w:r>
        <w:rPr>
          <w:bCs/>
          <w:b/>
        </w:rPr>
        <w:t xml:space="preserve">mitkä sen osat ovat kantavia</w:t>
      </w:r>
      <w:r>
        <w:t xml:space="preserve">. Juuri tuo erottelukyky — näyttö erotettuna väitteestä, todennettu erotettuna edelleen välitetystä, vaihe lausuttuna väitteen kanssa — on se, mitä vaatimustenmukaisuusäly tuotteena tarkoittaa, ja se on se, mitä DWS IQ tarjoaa yrityksille.</w:t>
      </w:r>
    </w:p>
    <w:bookmarkEnd w:id="359"/>
    <w:bookmarkEnd w:id="360"/>
    <w:bookmarkStart w:id="364" w:name="Xb416f2dbf2eee1d9d330b687e4ea4881e4fa685"/>
    <w:p>
      <w:pPr>
        <w:pStyle w:val="Heading3"/>
      </w:pPr>
      <w:r>
        <w:t xml:space="preserve">10.28 Suoritushistoriatietoinen mallieskalaatio: DWS Factory Router</w:t>
      </w:r>
    </w:p>
    <w:p>
      <w:pPr>
        <w:pStyle w:val="FirstParagraph"/>
      </w:pPr>
      <w:r>
        <w:t xml:space="preserve">DWS IQ 6 ajaa agentteja kustannustikkailla: halvat mallit ottavat jokaisen tehtävän ensin, ja kyvykkyyttä ostetaan vasta kun näyttö sitä vaatii. Elokuuhun 2026 asti eskalaatio oli manuaalinen — operaattori huomasi jumiutuneen istunnon ja ajoi sen uudelleen vahvemmalla mallilla. Tämä luku tallentaa toteutuksen, joka mekanisoi päätöksen, sekä auditointivetoisen omaksu/mukauta-polun, joka sen tuotti.</w:t>
      </w:r>
    </w:p>
    <w:bookmarkStart w:id="361" w:name="omaksumukauta-päätös"/>
    <w:p>
      <w:pPr>
        <w:pStyle w:val="Heading4"/>
      </w:pPr>
      <w:r>
        <w:t xml:space="preserve">10.28.1 Omaksu/mukauta-päätös</w:t>
      </w:r>
    </w:p>
    <w:p>
      <w:pPr>
        <w:pStyle w:val="FirstParagraph"/>
      </w:pPr>
      <w:r>
        <w:t xml:space="preserve">Kandidaatti oli SageRoute (codejunkie99/sageroute, MIT), heinäkuussa 2026 julkaistu suoritushistoriatietoinen reititysproxy. Lähdekooditason auditointi (kenttämuistiinpano</w:t>
      </w:r>
      <w:r>
        <w:t xml:space="preserve"> </w:t>
      </w:r>
      <w:r>
        <w:rPr>
          <w:rStyle w:val="VerbatimChar"/>
        </w:rPr>
        <w:t xml:space="preserve">docs/field-notes/2026-08-03-agent-factory-sageroute-audit.md</w:t>
      </w:r>
      <w:r>
        <w:t xml:space="preserve">) totesi deterministisen ytimen erinomaiseksi ja käyttöönottoasetelman DWS:lle kelvottomaksi kolmella perusteella: jokainen reitityspäätös lähetti tehtävätekstin ja työkalutulosteiden katkelmia ulkoiselle päätösrajapinnalle (Levanto Sage), jolla ei ole löydettävissä olevaa GDPR-asemaa; OAuth-moduuli esiintyi ensimmäisen osapuolen CLI-asiakkaina reitittääkseen kuluttajatilausten kiintiötä proxyn läpi — palveluehtorikkomusvektori; ja koodikanta oli kaksi päivää vanha, yksi havaittu live-eskalaatio. Päätös — HYLKÄÄ käyttöönotto, MUKAUTA deterministiset osat — ratifioitiin HIC:llä ja toimitettiin samana päivänä muodossa</w:t>
      </w:r>
      <w:r>
        <w:t xml:space="preserve"> </w:t>
      </w:r>
      <w:r>
        <w:rPr>
          <w:rStyle w:val="VerbatimChar"/>
        </w:rPr>
        <w:t xml:space="preserve">src/factory/</w:t>
      </w:r>
      <w:r>
        <w:t xml:space="preserve">.</w:t>
      </w:r>
    </w:p>
    <w:bookmarkEnd w:id="361"/>
    <w:bookmarkStart w:id="362" w:name="arkkitehtuuri-1"/>
    <w:p>
      <w:pPr>
        <w:pStyle w:val="Heading4"/>
      </w:pPr>
      <w:r>
        <w:t xml:space="preserve">10.28.2 Arkkitehtuuri</w:t>
      </w:r>
    </w:p>
    <w:p>
      <w:pPr>
        <w:pStyle w:val="FirstParagraph"/>
      </w:pPr>
      <w:r>
        <w:t xml:space="preserve">Reititin on kolme puhdasta vaihetta, kaikki offline.</w:t>
      </w:r>
      <w:r>
        <w:t xml:space="preserve"> </w:t>
      </w:r>
      <w:r>
        <w:rPr>
          <w:bCs/>
          <w:b/>
        </w:rPr>
        <w:t xml:space="preserve">Näytön palautus</w:t>
      </w:r>
      <w:r>
        <w:t xml:space="preserve"> </w:t>
      </w:r>
      <w:r>
        <w:t xml:space="preserve">kuvaa molemmat DWS:n kohtaamat agenttirajapintamuodot (Anthropic Messages -muodon</w:t>
      </w:r>
      <w:r>
        <w:t xml:space="preserve"> </w:t>
      </w:r>
      <w:r>
        <w:rPr>
          <w:rStyle w:val="VerbatimChar"/>
        </w:rPr>
        <w:t xml:space="preserve">tool_use</w:t>
      </w:r>
      <w:r>
        <w:t xml:space="preserve">/</w:t>
      </w:r>
      <w:r>
        <w:rPr>
          <w:rStyle w:val="VerbatimChar"/>
        </w:rPr>
        <w:t xml:space="preserve">tool_result</w:t>
      </w:r>
      <w:r>
        <w:t xml:space="preserve">-lohkot ja OpenAI Responses -muodon</w:t>
      </w:r>
      <w:r>
        <w:t xml:space="preserve"> </w:t>
      </w:r>
      <w:r>
        <w:rPr>
          <w:rStyle w:val="VerbatimChar"/>
        </w:rPr>
        <w:t xml:space="preserve">function_call</w:t>
      </w:r>
      <w:r>
        <w:t xml:space="preserve">/</w:t>
      </w:r>
      <w:r>
        <w:rPr>
          <w:rStyle w:val="VerbatimChar"/>
        </w:rPr>
        <w:t xml:space="preserve">function_call_output</w:t>
      </w:r>
      <w:r>
        <w:t xml:space="preserve">-alkiot) yhteen suoritushistoriamalliin: työkalun nimi, argumenttitiiviste, tulostetiiviste, onnistumislippu ja karkea vertailukelpoinen virheluokka askelta kohti.</w:t>
      </w:r>
      <w:r>
        <w:t xml:space="preserve"> </w:t>
      </w:r>
      <w:r>
        <w:rPr>
          <w:bCs/>
          <w:b/>
        </w:rPr>
        <w:t xml:space="preserve">Deterministiset ilmaisimet</w:t>
      </w:r>
      <w:r>
        <w:t xml:space="preserve"> </w:t>
      </w:r>
      <w:r>
        <w:t xml:space="preserve">laskevat sitten signaalit, joihin ei konsultoida mitään mallia (insinöörikurin sääntö 5): identtinen toiminto+havainto 3×, sama virheluokka 3× peräkkäin, kahden toiminnon vuorottelu 4×, kirjoitus→epäonnistuva-testi-kierrokset, askeleet-ilman-edistystä (uudelleenkirjoitus ei ole edistystä; vain onnistunut suoritus nollaa laskurin) ja budjetin kulutus.</w:t>
      </w:r>
      <w:r>
        <w:t xml:space="preserve"> </w:t>
      </w:r>
      <w:r>
        <w:rPr>
          <w:bCs/>
          <w:b/>
        </w:rPr>
        <w:t xml:space="preserve">Tikkaat</w:t>
      </w:r>
      <w:r>
        <w:t xml:space="preserve"> </w:t>
      </w:r>
      <w:r>
        <w:t xml:space="preserve">muuntavat signaalit yhdeksi neljästä toimenpiteestä —</w:t>
      </w:r>
      <w:r>
        <w:t xml:space="preserve"> </w:t>
      </w:r>
      <w:r>
        <w:rPr>
          <w:rStyle w:val="VerbatimChar"/>
        </w:rPr>
        <w:t xml:space="preserve">continue</w:t>
      </w:r>
      <w:r>
        <w:t xml:space="preserve"> </w:t>
      </w:r>
      <w:r>
        <w:t xml:space="preserve">→</w:t>
      </w:r>
      <w:r>
        <w:t xml:space="preserve"> </w:t>
      </w:r>
      <w:r>
        <w:rPr>
          <w:rStyle w:val="VerbatimChar"/>
        </w:rPr>
        <w:t xml:space="preserve">switch_model</w:t>
      </w:r>
      <w:r>
        <w:t xml:space="preserve"> </w:t>
      </w:r>
      <w:r>
        <w:t xml:space="preserve">→</w:t>
      </w:r>
      <w:r>
        <w:t xml:space="preserve"> </w:t>
      </w:r>
      <w:r>
        <w:rPr>
          <w:rStyle w:val="VerbatimChar"/>
        </w:rPr>
        <w:t xml:space="preserve">restart_clean</w:t>
      </w:r>
      <w:r>
        <w:t xml:space="preserve"> </w:t>
      </w:r>
      <w:r>
        <w:t xml:space="preserve">→</w:t>
      </w:r>
      <w:r>
        <w:t xml:space="preserve"> </w:t>
      </w:r>
      <w:r>
        <w:rPr>
          <w:rStyle w:val="VerbatimChar"/>
        </w:rPr>
        <w:t xml:space="preserve">escalate_human</w:t>
      </w:r>
      <w:r>
        <w:t xml:space="preserve"> </w:t>
      </w:r>
      <w:r>
        <w:t xml:space="preserve">— suojakaiteiden takana: budjettipysäytys ennen kaikkea muuta logiikkaa, kyvykkyys-ennen-uudelleenyritystä (halvan tason uudelleenkäynnistys muuttuu vaihdoksi niin kauan kuin vaihto on käytettävissä), epäsymmetrinen hystereesi (ensimmäinen halpa→vahva-hyppy laukeaa yhdestä huonosta tarkastuspisteestä; häiritsevät toimenpiteet vaativat kaksi yhtäpitävää) ja tiukasti yksisuuntainen nousu.</w:t>
      </w:r>
    </w:p>
    <w:p>
      <w:pPr>
        <w:pStyle w:val="BodyText"/>
      </w:pPr>
      <w:r>
        <w:t xml:space="preserve">Alkuperäinen rakenne konsultoi päätöspisteessä ulkoista</w:t>
      </w:r>
      <w:r>
        <w:t xml:space="preserve"> </w:t>
      </w:r>
      <w:r>
        <w:t xml:space="preserve">“</w:t>
      </w:r>
      <w:r>
        <w:t xml:space="preserve">kalibroidun luottamuksen</w:t>
      </w:r>
      <w:r>
        <w:t xml:space="preserve">”</w:t>
      </w:r>
      <w:r>
        <w:t xml:space="preserve"> </w:t>
      </w:r>
      <w:r>
        <w:t xml:space="preserve">rajapintaa; DWS-mukautus korvaa kutsun läpinäkyvällä additiivisella heuristiikalla saman signaaliraportin yli, jolloin jokainen päätös on selitettävissä näyttölohkosta ja reititin on EU-suvereeni rakenteeltaan — mikään ei poistu koneelta.</w:t>
      </w:r>
      <w:r>
        <w:t xml:space="preserve"> </w:t>
      </w:r>
      <w:r>
        <w:rPr>
          <w:rStyle w:val="VerbatimChar"/>
        </w:rPr>
        <w:t xml:space="preserve">escalate_human</w:t>
      </w:r>
      <w:r>
        <w:t xml:space="preserve"> </w:t>
      </w:r>
      <w:r>
        <w:t xml:space="preserve">nostetaan kovaksi pysäytykseksi, mikä on EU:n tekoälyasetuksen 14 artiklan interventiopiste ilmaistuna reitityskerroksessa.</w:t>
      </w:r>
    </w:p>
    <w:bookmarkEnd w:id="362"/>
    <w:bookmarkStart w:id="363" w:name="todennus-ja-tuotteistus"/>
    <w:p>
      <w:pPr>
        <w:pStyle w:val="Heading4"/>
      </w:pPr>
      <w:r>
        <w:t xml:space="preserve">10.28.3 Todennus ja tuotteistus</w:t>
      </w:r>
    </w:p>
    <w:p>
      <w:pPr>
        <w:pStyle w:val="FirstParagraph"/>
      </w:pPr>
      <w:r>
        <w:t xml:space="preserve">Viisitoista testiä varmentavat ilmaisinten ja tikkaiden tarkoituksen (silmukkatyypit, naiivilta silmukantunnistukselta piiloon jäävä uudelleenkirjoituskierre, portin kalibrointi, hystereesi, yksisuuntaisuusinvariantit, budjetin sekä vaihto-/uudelleenkäynnistyskiintiöiden ehtyminen); koko repositorion testisarja läpäisi muuttumattomana. Kyvykkyys on agenttien käytettävissä tuotteistussäännön mukaisesti:</w:t>
      </w:r>
      <w:r>
        <w:t xml:space="preserve"> </w:t>
      </w:r>
      <w:r>
        <w:rPr>
          <w:rStyle w:val="VerbatimChar"/>
        </w:rPr>
        <w:t xml:space="preserve">npm run factory:route</w:t>
      </w:r>
      <w:r>
        <w:t xml:space="preserve"> </w:t>
      </w:r>
      <w:r>
        <w:t xml:space="preserve">tuottaa rakenteisen JSON-päätöksen poistumiskoodeilla 0/2/3/4, jolloin komentoriviputket haarautuvat ilman jäsentämistä, ja</w:t>
      </w:r>
      <w:r>
        <w:t xml:space="preserve"> </w:t>
      </w:r>
      <w:r>
        <w:rPr>
          <w:rStyle w:val="VerbatimChar"/>
        </w:rPr>
        <w:t xml:space="preserve">/factory-route</w:t>
      </w:r>
      <w:r>
        <w:t xml:space="preserve"> </w:t>
      </w:r>
      <w:r>
        <w:t xml:space="preserve">rekisteröi menettelyn taidoksi. Insinöörioppi peilaa §10.27:n artefakti–legitimiteetti-kuilua kuluttajan puolelta: 48 tunnissa agentin kirjoittama koodikanta voi olla jakelukelpoinen deterministisessä ytimessään ja samanaikaisesti käyttöönottokelvoton luottamusasetelmassaan — omaksumisen ratkaisi auditointiraja, ei koodin laatu.</w:t>
      </w:r>
    </w:p>
    <w:bookmarkEnd w:id="363"/>
    <w:bookmarkEnd w:id="364"/>
    <w:bookmarkEnd w:id="365"/>
    <w:bookmarkEnd w:id="36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321">
    <w:p>
      <w:pPr>
        <w:pStyle w:val="FootnoteText"/>
      </w:pPr>
      <w:r>
        <w:rPr>
          <w:rStyle w:val="FootnoteReference"/>
        </w:rPr>
        <w:footnoteRef/>
      </w:r>
      <w:r>
        <w:t xml:space="preserve"> </w:t>
      </w:r>
      <w:r>
        <w:t xml:space="preserve">Päärni, R. A. (2026).</w:t>
      </w:r>
      <w:r>
        <w:t xml:space="preserve"> </w:t>
      </w:r>
      <w:r>
        <w:rPr>
          <w:iCs/>
          <w:i/>
        </w:rPr>
        <w:t xml:space="preserve">PHD_FIREHORSE_FI.md §14.23 — Kolmen pilarin suvereniteettitaksonomia ja jurisdiktiokohtainen dynaamisuus globaaleissa yrityksissä.</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22">
    <w:p>
      <w:pPr>
        <w:pStyle w:val="FootnoteText"/>
      </w:pPr>
      <w:r>
        <w:rPr>
          <w:rStyle w:val="FootnoteReference"/>
        </w:rPr>
        <w:footnoteRef/>
      </w:r>
      <w:r>
        <w:t xml:space="preserve"> </w:t>
      </w:r>
      <w:r>
        <w:t xml:space="preserve">Päärni, R. A. (2026).</w:t>
      </w:r>
      <w:r>
        <w:t xml:space="preserve"> </w:t>
      </w:r>
      <w:r>
        <w:rPr>
          <w:iCs/>
          <w:i/>
        </w:rPr>
        <w:t xml:space="preserve">Kenttämuistio: EU-teknologiapinon suvereniteettiasemointi (Kenttämuistio #1).</w:t>
      </w:r>
      <w:r>
        <w:t xml:space="preserve"> </w:t>
      </w:r>
      <w:r>
        <w:t xml:space="preserve">Lifetime Oy. Paikallinen polku:</w:t>
      </w:r>
      <w:r>
        <w:t xml:space="preserve"> </w:t>
      </w:r>
      <w:r>
        <w:rPr>
          <w:rStyle w:val="VerbatimChar"/>
        </w:rPr>
        <w:t xml:space="preserve">docs/field-notes/2026-01-28-eu-tech-stack-sovereignty-positioning.md</w:t>
      </w:r>
      <w:r>
        <w:t xml:space="preserve">. Päivätty 28.1.2026.</w:t>
      </w:r>
    </w:p>
  </w:footnote>
  <w:footnote w:id="323">
    <w:p>
      <w:pPr>
        <w:pStyle w:val="FootnoteText"/>
      </w:pPr>
      <w:r>
        <w:rPr>
          <w:rStyle w:val="FootnoteReference"/>
        </w:rPr>
        <w:footnoteRef/>
      </w:r>
      <w:r>
        <w:t xml:space="preserve"> </w:t>
      </w:r>
      <w:r>
        <w:t xml:space="preserve">Päärni, R. A. (2026).</w:t>
      </w:r>
      <w:r>
        <w:t xml:space="preserve"> </w:t>
      </w:r>
      <w:r>
        <w:rPr>
          <w:iCs/>
          <w:i/>
        </w:rPr>
        <w:t xml:space="preserve">Suvereniteetin kenttämuistio #2 — Digitaalisen suvereniteetin kolme tasoa.</w:t>
      </w:r>
      <w:r>
        <w:t xml:space="preserve"> </w:t>
      </w:r>
      <w:r>
        <w:t xml:space="preserve">Lifetime Oy. Paikallinen polku:</w:t>
      </w:r>
      <w:r>
        <w:t xml:space="preserve"> </w:t>
      </w:r>
      <w:r>
        <w:rPr>
          <w:rStyle w:val="VerbatimChar"/>
        </w:rPr>
        <w:t xml:space="preserve">docs/field-notes/2026-05-28-three-pillars-sovereignty-global.md</w:t>
      </w:r>
      <w:r>
        <w:t xml:space="preserve">. Julkaistu HTML:</w:t>
      </w:r>
      <w:r>
        <w:t xml:space="preserve"> </w:t>
      </w:r>
      <w:hyperlink r:id="rId324">
        <w:r>
          <w:rPr>
            <w:rStyle w:val="Hyperlink"/>
          </w:rPr>
          <w:t xml:space="preserve">https://onelifetime.world/posts/sovereignty-field-note-2-three-pillars.fi.html</w:t>
        </w:r>
      </w:hyperlink>
      <w:r>
        <w:t xml:space="preserve">. Päivätty 28.5.2026.</w:t>
      </w:r>
    </w:p>
  </w:footnote>
  <w:footnote w:id="325">
    <w:p>
      <w:pPr>
        <w:pStyle w:val="FootnoteText"/>
      </w:pPr>
      <w:r>
        <w:rPr>
          <w:rStyle w:val="FootnoteReference"/>
        </w:rPr>
        <w:footnoteRef/>
      </w:r>
      <w:r>
        <w:t xml:space="preserve"> </w:t>
      </w:r>
      <w:r>
        <w:t xml:space="preserve">Lifetime Oy. (2026).</w:t>
      </w:r>
      <w:r>
        <w:t xml:space="preserve"> </w:t>
      </w:r>
      <w:r>
        <w:rPr>
          <w:iCs/>
          <w:i/>
        </w:rPr>
        <w:t xml:space="preserve">DWS_DEPLOYMENT_STANDARD.md rivit 165–172 — DWS IQ Connect / Sovereign Infra / Aegis -tuotetasojen määritelmät.</w:t>
      </w:r>
      <w:r>
        <w:t xml:space="preserve"> </w:t>
      </w:r>
      <w:r>
        <w:t xml:space="preserve">Sisäinen kanoninen standardi. Paikallinen polku:</w:t>
      </w:r>
      <w:r>
        <w:t xml:space="preserve"> </w:t>
      </w:r>
      <w:r>
        <w:rPr>
          <w:rStyle w:val="VerbatimChar"/>
        </w:rPr>
        <w:t xml:space="preserve">DWS_DEPLOYMENT_STANDARD.md</w:t>
      </w:r>
      <w:r>
        <w:t xml:space="preserve">. Käyty 28.5.2026.</w:t>
      </w:r>
    </w:p>
  </w:footnote>
  <w:footnote w:id="326">
    <w:p>
      <w:pPr>
        <w:pStyle w:val="FootnoteText"/>
      </w:pPr>
      <w:r>
        <w:rPr>
          <w:rStyle w:val="FootnoteReference"/>
        </w:rPr>
        <w:footnoteRef/>
      </w:r>
      <w:r>
        <w:t xml:space="preserve"> </w:t>
      </w:r>
      <w:r>
        <w:t xml:space="preserve">Lifetime Oy. (2026).</w:t>
      </w:r>
      <w:r>
        <w:t xml:space="preserve"> </w:t>
      </w:r>
      <w:r>
        <w:rPr>
          <w:iCs/>
          <w:i/>
        </w:rPr>
        <w:t xml:space="preserve">DWS_SOVEREIGNTY_STANDARD.md v1.2 — CLOUD Act / FISA 702 / Schrems II -kehys.</w:t>
      </w:r>
      <w:r>
        <w:t xml:space="preserve"> </w:t>
      </w:r>
      <w:r>
        <w:t xml:space="preserve">Sisäinen kanoninen standardi. Paikallinen polku:</w:t>
      </w:r>
      <w:r>
        <w:t xml:space="preserve"> </w:t>
      </w:r>
      <w:r>
        <w:rPr>
          <w:rStyle w:val="VerbatimChar"/>
        </w:rPr>
        <w:t xml:space="preserve">DWS_SOVEREIGNTY_STANDARD.md</w:t>
      </w:r>
      <w:r>
        <w:t xml:space="preserve">. Käyty 28.5.2026.</w:t>
      </w:r>
    </w:p>
  </w:footnote>
  <w:footnote w:id="327">
    <w:p>
      <w:pPr>
        <w:pStyle w:val="FootnoteText"/>
      </w:pPr>
      <w:r>
        <w:rPr>
          <w:rStyle w:val="FootnoteReference"/>
        </w:rPr>
        <w:footnoteRef/>
      </w:r>
      <w:r>
        <w:t xml:space="preserve"> </w:t>
      </w:r>
      <w:r>
        <w:t xml:space="preserve">Lifetime Oy. (2026).</w:t>
      </w:r>
      <w:r>
        <w:t xml:space="preserve"> </w:t>
      </w:r>
      <w:r>
        <w:rPr>
          <w:iCs/>
          <w:i/>
        </w:rPr>
        <w:t xml:space="preserve">DWS_STANDARDS_LIBRARY.md §3.6 — Suvereniteettitasokartta (toimittajaluokitus T1/T2/T3).</w:t>
      </w:r>
      <w:r>
        <w:t xml:space="preserve"> </w:t>
      </w:r>
      <w:r>
        <w:t xml:space="preserve">Sisäinen kanoninen standardi. Paikallinen polku:</w:t>
      </w:r>
      <w:r>
        <w:t xml:space="preserve"> </w:t>
      </w:r>
      <w:r>
        <w:rPr>
          <w:rStyle w:val="VerbatimChar"/>
        </w:rPr>
        <w:t xml:space="preserve">DWS_STANDARDS_LIBRARY.md</w:t>
      </w:r>
      <w:r>
        <w:t xml:space="preserve">. Käyty 28.5.2026.</w:t>
      </w:r>
    </w:p>
  </w:footnote>
  <w:footnote w:id="328">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9">
        <w:r>
          <w:rPr>
            <w:rStyle w:val="Hyperlink"/>
          </w:rPr>
          <w:t xml:space="preserve">https://www.rightful.fi/</w:t>
        </w:r>
      </w:hyperlink>
      <w:r>
        <w:t xml:space="preserve">. Viisivaiheinen menetelmä: Tunnista → Arvioi → Suunnittele → Toteuta → Seuraa. Käyty 28.5.2026.</w:t>
      </w:r>
    </w:p>
  </w:footnote>
  <w:footnote w:id="330">
    <w:p>
      <w:pPr>
        <w:pStyle w:val="FootnoteText"/>
      </w:pPr>
      <w:r>
        <w:rPr>
          <w:rStyle w:val="FootnoteReference"/>
        </w:rPr>
        <w:footnoteRef/>
      </w:r>
      <w:r>
        <w:t xml:space="preserve"> </w:t>
      </w:r>
      <w:r>
        <w:t xml:space="preserve">Päärni, R. A. (2026).</w:t>
      </w:r>
      <w:r>
        <w:t xml:space="preserve"> </w:t>
      </w:r>
      <w:r>
        <w:rPr>
          <w:iCs/>
          <w:i/>
        </w:rPr>
        <w:t xml:space="preserve">PHD_FIREHORSE_FI.md §14.21 — KYA Substraatin eheyden konformanssi (SIB-rata).</w:t>
      </w:r>
      <w:r>
        <w:t xml:space="preserve"> </w:t>
      </w:r>
      <w:r>
        <w:t xml:space="preserve">Lifetime Oy / LUT-yliopisto. Paikallinen polku:</w:t>
      </w:r>
      <w:r>
        <w:t xml:space="preserve"> </w:t>
      </w:r>
      <w:r>
        <w:rPr>
          <w:rStyle w:val="VerbatimChar"/>
        </w:rPr>
        <w:t xml:space="preserve">docs/PHD_FIREHORSE_FI.md</w:t>
      </w:r>
      <w:r>
        <w:t xml:space="preserve">. Käyty 28.5.2026.</w:t>
      </w:r>
    </w:p>
  </w:footnote>
  <w:footnote w:id="331">
    <w:p>
      <w:pPr>
        <w:pStyle w:val="FootnoteText"/>
      </w:pPr>
      <w:r>
        <w:rPr>
          <w:rStyle w:val="FootnoteReference"/>
        </w:rPr>
        <w:footnoteRef/>
      </w:r>
      <w:r>
        <w:t xml:space="preserve"> </w:t>
      </w:r>
      <w:r>
        <w:t xml:space="preserve">Päärni, R. A. (2026).</w:t>
      </w:r>
      <w:r>
        <w:t xml:space="preserve"> </w:t>
      </w:r>
      <w:r>
        <w:rPr>
          <w:iCs/>
          <w:i/>
        </w:rPr>
        <w:t xml:space="preserve">Shufti KYA -whitepaper — IDV-tarjoajan sertifiointi KYA-standardin alla.</w:t>
      </w:r>
      <w:r>
        <w:t xml:space="preserve"> </w:t>
      </w:r>
      <w:r>
        <w:t xml:space="preserve">Lifetime Oy. Paikallinen polku:</w:t>
      </w:r>
      <w:r>
        <w:t xml:space="preserve"> </w:t>
      </w:r>
      <w:r>
        <w:rPr>
          <w:rStyle w:val="VerbatimChar"/>
        </w:rPr>
        <w:t xml:space="preserve">docs/field-notes/2026-03-17-shufti-kya-whitepaper.md</w:t>
      </w:r>
      <w:r>
        <w:t xml:space="preserve">. Versio 2.0, päivätty 13.4.2026.</w:t>
      </w:r>
    </w:p>
  </w:footnote>
  <w:footnote w:id="332">
    <w:p>
      <w:pPr>
        <w:pStyle w:val="FootnoteText"/>
      </w:pPr>
      <w:r>
        <w:rPr>
          <w:rStyle w:val="FootnoteReference"/>
        </w:rPr>
        <w:footnoteRef/>
      </w:r>
      <w:r>
        <w:t xml:space="preserve"> </w:t>
      </w:r>
      <w:r>
        <w:t xml:space="preserve">Päärni, R. A. (2026).</w:t>
      </w:r>
      <w:r>
        <w:t xml:space="preserve"> </w:t>
      </w:r>
      <w:r>
        <w:rPr>
          <w:iCs/>
          <w:i/>
        </w:rPr>
        <w:t xml:space="preserve">Kenttämuistio: Tier-1-suvereniteettipilotti Outokumpulle — robotiikkapinon tiedustelu + DGX / Jetson T5000 -suvereniteettiarvio.</w:t>
      </w:r>
      <w:r>
        <w:t xml:space="preserve"> </w:t>
      </w:r>
      <w:r>
        <w:t xml:space="preserve">Lifetime Oy. Paikallinen polku:</w:t>
      </w:r>
      <w:r>
        <w:t xml:space="preserve"> </w:t>
      </w:r>
      <w:r>
        <w:rPr>
          <w:rStyle w:val="VerbatimChar"/>
        </w:rPr>
        <w:t xml:space="preserve">docs/field-notes/2026-05-25-tier1-sovereignty-pilot-outokumpu-dgx-t5000.md</w:t>
      </w:r>
      <w:r>
        <w:t xml:space="preserve">. Päivätty 25.5.2026.</w:t>
      </w:r>
    </w:p>
  </w:footnote>
  <w:footnote w:id="333">
    <w:p>
      <w:pPr>
        <w:pStyle w:val="FootnoteText"/>
      </w:pPr>
      <w:r>
        <w:rPr>
          <w:rStyle w:val="FootnoteReference"/>
        </w:rPr>
        <w:footnoteRef/>
      </w:r>
      <w:r>
        <w:t xml:space="preserve"> </w:t>
      </w:r>
      <w:r>
        <w:t xml:space="preserve">Päärni, R. A. (2026).</w:t>
      </w:r>
      <w:r>
        <w:t xml:space="preserve"> </w:t>
      </w:r>
      <w:r>
        <w:rPr>
          <w:iCs/>
          <w:i/>
        </w:rPr>
        <w:t xml:space="preserve">Rakentamisen vaatimustenmukaisuus monijurisdiktiossa — brief.</w:t>
      </w:r>
      <w:r>
        <w:t xml:space="preserve"> </w:t>
      </w:r>
      <w:r>
        <w:t xml:space="preserve">Lifetime Oy. Paikallinen polku:</w:t>
      </w:r>
      <w:r>
        <w:t xml:space="preserve"> </w:t>
      </w:r>
      <w:r>
        <w:rPr>
          <w:rStyle w:val="VerbatimChar"/>
        </w:rPr>
        <w:t xml:space="preserve">docs/briefs/construction-compliance-brief.md</w:t>
      </w:r>
      <w:r>
        <w:t xml:space="preserve">. Päivätty 22.5.2026.</w:t>
      </w:r>
    </w:p>
  </w:footnote>
  <w:footnote w:id="334">
    <w:p>
      <w:pPr>
        <w:pStyle w:val="FootnoteText"/>
      </w:pPr>
      <w:r>
        <w:rPr>
          <w:rStyle w:val="FootnoteReference"/>
        </w:rPr>
        <w:footnoteRef/>
      </w:r>
      <w:r>
        <w:t xml:space="preserve"> </w:t>
      </w:r>
      <w:r>
        <w:t xml:space="preserve">Päärni, R. A. (2026).</w:t>
      </w:r>
      <w:r>
        <w:t xml:space="preserve"> </w:t>
      </w:r>
      <w:r>
        <w:rPr>
          <w:iCs/>
          <w:i/>
        </w:rPr>
        <w:t xml:space="preserve">xAI Grok -kumppanuusehdotus v1.0.</w:t>
      </w:r>
      <w:r>
        <w:t xml:space="preserve"> </w:t>
      </w:r>
      <w:r>
        <w:t xml:space="preserve">Lifetime Oy. Paikallinen polku:</w:t>
      </w:r>
      <w:r>
        <w:t xml:space="preserve"> </w:t>
      </w:r>
      <w:r>
        <w:rPr>
          <w:rStyle w:val="VerbatimChar"/>
        </w:rPr>
        <w:t xml:space="preserve">docs/2026-02-26-xai-grok-partnership-proposal.md</w:t>
      </w:r>
      <w:r>
        <w:t xml:space="preserve">. Päivätty 26.2.2026.</w:t>
      </w:r>
    </w:p>
  </w:footnote>
  <w:footnote w:id="335">
    <w:p>
      <w:pPr>
        <w:pStyle w:val="FootnoteText"/>
      </w:pPr>
      <w:r>
        <w:rPr>
          <w:rStyle w:val="FootnoteReference"/>
        </w:rPr>
        <w:footnoteRef/>
      </w:r>
      <w:r>
        <w:t xml:space="preserve"> </w:t>
      </w:r>
      <w:r>
        <w:t xml:space="preserve">Päärni, R. A. (2026).</w:t>
      </w:r>
      <w:r>
        <w:t xml:space="preserve"> </w:t>
      </w:r>
      <w:r>
        <w:rPr>
          <w:iCs/>
          <w:i/>
        </w:rPr>
        <w:t xml:space="preserve">xAI Optimus -kumppanuusehdotus v2.0.</w:t>
      </w:r>
      <w:r>
        <w:t xml:space="preserve"> </w:t>
      </w:r>
      <w:r>
        <w:t xml:space="preserve">Lifetime Oy. Paikallinen polku:</w:t>
      </w:r>
      <w:r>
        <w:t xml:space="preserve"> </w:t>
      </w:r>
      <w:r>
        <w:rPr>
          <w:rStyle w:val="VerbatimChar"/>
        </w:rPr>
        <w:t xml:space="preserve">docs/sales/xAI-Optimus-Partnership-Proposal-v2.0.md</w:t>
      </w:r>
      <w:r>
        <w:t xml:space="preserve">. Päivätty 22.5.2026.</w:t>
      </w:r>
    </w:p>
  </w:footnote>
  <w:footnote w:id="336">
    <w:p>
      <w:pPr>
        <w:pStyle w:val="FootnoteText"/>
      </w:pPr>
      <w:r>
        <w:rPr>
          <w:rStyle w:val="FootnoteReference"/>
        </w:rPr>
        <w:footnoteRef/>
      </w:r>
      <w:r>
        <w:t xml:space="preserve"> </w:t>
      </w:r>
      <w:r>
        <w:t xml:space="preserve">Rightful Oy. (2026).</w:t>
      </w:r>
      <w:r>
        <w:t xml:space="preserve"> </w:t>
      </w:r>
      <w:r>
        <w:rPr>
          <w:iCs/>
          <w:i/>
        </w:rPr>
        <w:t xml:space="preserve">R-Sac² — Road to Post-Quantum Security.</w:t>
      </w:r>
      <w:r>
        <w:t xml:space="preserve"> </w:t>
      </w:r>
      <w:r>
        <w:t xml:space="preserve">Kumppaniartefakti vastaanotettu 28.5.2026 (infografiikka) ja kuvattu osoitteessa</w:t>
      </w:r>
      <w:r>
        <w:t xml:space="preserve"> </w:t>
      </w:r>
      <w:hyperlink r:id="rId329">
        <w:r>
          <w:rPr>
            <w:rStyle w:val="Hyperlink"/>
          </w:rPr>
          <w:t xml:space="preserve">https://www.rightful.fi/</w:t>
        </w:r>
      </w:hyperlink>
      <w:r>
        <w:t xml:space="preserve">. Viisivaiheinen menetelmä: Tunnista → Arvioi → Suunnittele → Toteuta → Seuraa. Käyty 28.5.2026.</w:t>
      </w:r>
    </w:p>
  </w:footnote>
  <w:footnote w:id="337">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203 — Module-Lattice-Based Key-Encapsulation Mechanism (ML-KEM, Kyber).</w:t>
      </w:r>
      <w:r>
        <w:t xml:space="preserve"> </w:t>
      </w:r>
      <w:r>
        <w:t xml:space="preserve">U.S. Department of Commerce.</w:t>
      </w:r>
      <w:r>
        <w:t xml:space="preserve"> </w:t>
      </w:r>
      <w:hyperlink r:id="rId338">
        <w:r>
          <w:rPr>
            <w:rStyle w:val="Hyperlink"/>
          </w:rPr>
          <w:t xml:space="preserve">https://csrc.nist.gov/pubs/fips/203/final</w:t>
        </w:r>
      </w:hyperlink>
      <w:r>
        <w:t xml:space="preserve">.</w:t>
      </w:r>
    </w:p>
  </w:footnote>
  <w:footnote w:id="339">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204 — Module-Lattice-Based Digital Signature (ML-DSA, Dilithium).</w:t>
      </w:r>
      <w:r>
        <w:t xml:space="preserve"> </w:t>
      </w:r>
      <w:r>
        <w:t xml:space="preserve">U.S. Department of Commerce.</w:t>
      </w:r>
      <w:r>
        <w:t xml:space="preserve"> </w:t>
      </w:r>
      <w:hyperlink r:id="rId340">
        <w:r>
          <w:rPr>
            <w:rStyle w:val="Hyperlink"/>
          </w:rPr>
          <w:t xml:space="preserve">https://csrc.nist.gov/pubs/fips/204/final</w:t>
        </w:r>
      </w:hyperlink>
      <w:r>
        <w:t xml:space="preserve">.</w:t>
      </w:r>
    </w:p>
  </w:footnote>
  <w:footnote w:id="341">
    <w:p>
      <w:pPr>
        <w:pStyle w:val="FootnoteText"/>
      </w:pPr>
      <w:r>
        <w:rPr>
          <w:rStyle w:val="FootnoteReference"/>
        </w:rPr>
        <w:footnoteRef/>
      </w:r>
      <w:r>
        <w:t xml:space="preserve"> </w:t>
      </w:r>
      <w:r>
        <w:t xml:space="preserve">National Institute of Standards and Technology (NIST). (2024).</w:t>
      </w:r>
      <w:r>
        <w:t xml:space="preserve"> </w:t>
      </w:r>
      <w:r>
        <w:rPr>
          <w:iCs/>
          <w:i/>
        </w:rPr>
        <w:t xml:space="preserve">FIPS 205 — Stateless Hash-Based Digital Signature (SLH-DSA, SPHINCS+).</w:t>
      </w:r>
      <w:r>
        <w:t xml:space="preserve"> </w:t>
      </w:r>
      <w:r>
        <w:t xml:space="preserve">U.S. Department of Commerce.</w:t>
      </w:r>
      <w:r>
        <w:t xml:space="preserve"> </w:t>
      </w:r>
      <w:hyperlink r:id="rId342">
        <w:r>
          <w:rPr>
            <w:rStyle w:val="Hyperlink"/>
          </w:rPr>
          <w:t xml:space="preserve">https://csrc.nist.gov/pubs/fips/205/final</w:t>
        </w:r>
      </w:hyperlink>
      <w:r>
        <w:t xml:space="preserve">.</w:t>
      </w:r>
    </w:p>
  </w:footnote>
  <w:footnote w:id="343">
    <w:p>
      <w:pPr>
        <w:pStyle w:val="FootnoteText"/>
      </w:pPr>
      <w:r>
        <w:rPr>
          <w:rStyle w:val="FootnoteReference"/>
        </w:rPr>
        <w:footnoteRef/>
      </w:r>
      <w:r>
        <w:t xml:space="preserve"> </w:t>
      </w:r>
      <w:r>
        <w:t xml:space="preserve">Euroopan parlamentti ja neuvosto. (2024).</w:t>
      </w:r>
      <w:r>
        <w:t xml:space="preserve"> </w:t>
      </w:r>
      <w:r>
        <w:rPr>
          <w:iCs/>
          <w:i/>
        </w:rPr>
        <w:t xml:space="preserve">Asetus (EU) 2024/1689, 13. kesäkuuta 2024, jolla vahvistetaan yhdenmukaiset säännöt tekoälystä (EU:n tekoälysäädös).</w:t>
      </w:r>
      <w:r>
        <w:t xml:space="preserve"> </w:t>
      </w:r>
      <w:r>
        <w:t xml:space="preserve">Artiklat 9, 12, 13, 14 siteerattu.</w:t>
      </w:r>
    </w:p>
  </w:footnote>
  <w:footnote w:id="344">
    <w:p>
      <w:pPr>
        <w:pStyle w:val="FootnoteText"/>
      </w:pPr>
      <w:r>
        <w:rPr>
          <w:rStyle w:val="FootnoteReference"/>
        </w:rPr>
        <w:footnoteRef/>
      </w:r>
      <w:r>
        <w:t xml:space="preserve"> </w:t>
      </w:r>
      <w:r>
        <w:t xml:space="preserve">Euroopan parlamentti ja neuvosto. (2024).</w:t>
      </w:r>
      <w:r>
        <w:t xml:space="preserve"> </w:t>
      </w:r>
      <w:r>
        <w:rPr>
          <w:iCs/>
          <w:i/>
        </w:rPr>
        <w:t xml:space="preserve">Asetus (EU) 2024/1183, jolla muutetaan asetusta (EU) N:o 910/2014 EU:n digitaalisen identiteetin kehystä koskien (eIDAS 2.0).</w:t>
      </w:r>
    </w:p>
  </w:footnote>
  <w:footnote w:id="345">
    <w:p>
      <w:pPr>
        <w:pStyle w:val="FootnoteText"/>
      </w:pPr>
      <w:r>
        <w:rPr>
          <w:rStyle w:val="FootnoteReference"/>
        </w:rPr>
        <w:footnoteRef/>
      </w:r>
      <w:r>
        <w:t xml:space="preserve"> </w:t>
      </w:r>
      <w:r>
        <w:t xml:space="preserve">Euroopan parlamentti ja neuvosto. (2023).</w:t>
      </w:r>
      <w:r>
        <w:t xml:space="preserve"> </w:t>
      </w:r>
      <w:r>
        <w:rPr>
          <w:iCs/>
          <w:i/>
        </w:rPr>
        <w:t xml:space="preserve">Asetus (EU) 2023/2854 yhdenmukaisista säännöistä datan oikeudenmukaista saatavuutta ja käyttöä koskien (EU Data Act).</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65">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6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6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9">
    <w:abstractNumId w:val="991"/>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4">
    <w:abstractNumId w:val="991"/>
  </w:num>
  <w:num w:numId="10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1"/>
  </w:num>
  <w:num w:numId="10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0">
    <w:abstractNumId w:val="991"/>
  </w:num>
  <w:num w:numId="11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113">
    <w:abstractNumId w:val="991"/>
  </w:num>
  <w:num w:numId="11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38" Target="https://csrc.nist.gov/pubs/fips/203/final" TargetMode="External" /><Relationship Type="http://schemas.openxmlformats.org/officeDocument/2006/relationships/hyperlink" Id="rId340" Target="https://csrc.nist.gov/pubs/fips/204/final" TargetMode="External" /><Relationship Type="http://schemas.openxmlformats.org/officeDocument/2006/relationships/hyperlink" Id="rId342"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4" Target="https://onelifetime.world/posts/sovereignty-field-note-2-three-pillars.fi.html" TargetMode="External" /><Relationship Type="http://schemas.openxmlformats.org/officeDocument/2006/relationships/hyperlink" Id="rId329" Target="https://www.rightful.fi/" TargetMode="External" /></Relationships>
</file>

<file path=word/_rels/footnotes.xml.rels><?xml version="1.0" encoding="UTF-8"?><Relationships xmlns="http://schemas.openxmlformats.org/package/2006/relationships"><Relationship Type="http://schemas.openxmlformats.org/officeDocument/2006/relationships/hyperlink" Id="rId310" Target="../../../.workflows/agents/AGENT_SIGNAL_INSTRUCTIONS.md" TargetMode="External" /><Relationship Type="http://schemas.openxmlformats.org/officeDocument/2006/relationships/hyperlink" Id="rId313" Target="../../../Admin/ADMIN_MANUAL.md" TargetMode="External" /><Relationship Type="http://schemas.openxmlformats.org/officeDocument/2006/relationships/hyperlink" Id="rId311" Target="../../../AgentFoundry/AGENT_FOUNDRY_ARCHITECTURE_STANDARD.md" TargetMode="External" /><Relationship Type="http://schemas.openxmlformats.org/officeDocument/2006/relationships/hyperlink" Id="rId312" Target="../../../product-catalog/LWM/training-manual.md" TargetMode="External" /><Relationship Type="http://schemas.openxmlformats.org/officeDocument/2006/relationships/hyperlink" Id="rId309" Target="../en/V3Thesis_EN.md" TargetMode="External" /><Relationship Type="http://schemas.openxmlformats.org/officeDocument/2006/relationships/hyperlink" Id="rId338" Target="https://csrc.nist.gov/pubs/fips/203/final" TargetMode="External" /><Relationship Type="http://schemas.openxmlformats.org/officeDocument/2006/relationships/hyperlink" Id="rId340" Target="https://csrc.nist.gov/pubs/fips/204/final" TargetMode="External" /><Relationship Type="http://schemas.openxmlformats.org/officeDocument/2006/relationships/hyperlink" Id="rId342" Target="https://csrc.nist.gov/pubs/fips/205/final" TargetMode="External" /><Relationship Type="http://schemas.openxmlformats.org/officeDocument/2006/relationships/hyperlink" Id="rId49" Target="https://finance.ec.europa.eu/news/omnibus-package-2025-04-01_en" TargetMode="External" /><Relationship Type="http://schemas.openxmlformats.org/officeDocument/2006/relationships/hyperlink" Id="rId24" Target="https://github.com/blogtheristo/dws6" TargetMode="External" /><Relationship Type="http://schemas.openxmlformats.org/officeDocument/2006/relationships/hyperlink" Id="rId324" Target="https://onelifetime.world/posts/sovereignty-field-note-2-three-pillars.fi.html" TargetMode="External" /><Relationship Type="http://schemas.openxmlformats.org/officeDocument/2006/relationships/hyperlink" Id="rId329" Target="https://www.rightful.f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2026-08-03T16:39:59Z</dcterms:created>
  <dcterms:modified xsi:type="dcterms:W3CDTF">2026-08-03T16:39:59Z</dcterms:modified>
</cp:coreProperties>
</file>

<file path=docProps/custom.xml><?xml version="1.0" encoding="utf-8"?>
<Properties xmlns="http://schemas.openxmlformats.org/officeDocument/2006/custom-properties" xmlns:vt="http://schemas.openxmlformats.org/officeDocument/2006/docPropsVTypes"/>
</file>