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2010f00c5514ef46c008dcc0b884024dd4e9fc"/>
    <w:p>
      <w:pPr>
        <w:pStyle w:val="Heading1"/>
      </w:pPr>
      <w:r>
        <w:t xml:space="preserve">Field Note — The Published Thesis Carries the Wrong Title, and Why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Risto Anton Päärni (Founder, CEO · Lifetime Oy) — via Claude Code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Europe &gt; Finland &gt; Espoo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DWS6 — Metropolia YAMK thesis, Theseus deposit</w:t>
      </w:r>
      <w:r>
        <w:t xml:space="preserve"> </w:t>
      </w:r>
      <w:r>
        <w:rPr>
          <w:rStyle w:val="VerbatimChar"/>
        </w:rPr>
        <w:t xml:space="preserve">URN:NBN:fi:amk-2026062725698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for the facts (HIC-confirmed cause; Drive-verified artifact).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for correctability — explicitly left open.</w:t>
      </w:r>
    </w:p>
    <w:bookmarkStart w:id="20" w:name="ontology-tags"/>
    <w:p>
      <w:pPr>
        <w:pStyle w:val="Heading2"/>
      </w:pPr>
      <w:r>
        <w:t xml:space="preserve">Ontology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Geography:</w:t>
      </w:r>
      <w:r>
        <w:t xml:space="preserve"> </w:t>
      </w:r>
      <w:r>
        <w:t xml:space="preserve">Europe &gt; EU &gt; Finland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Education &gt; Higher_Education &gt; Thesis publication; Governance &gt; Records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Metropolia YAMK, Theseus,</w:t>
      </w:r>
      <w:r>
        <w:t xml:space="preserve"> </w:t>
      </w:r>
      <w:r>
        <w:rPr>
          <w:rStyle w:val="VerbatimChar"/>
        </w:rPr>
        <w:t xml:space="preserve">V41_Final_Thesis_FI</w:t>
      </w:r>
      <w:r>
        <w:t xml:space="preserve">,</w:t>
      </w:r>
      <w:r>
        <w:t xml:space="preserve"> </w:t>
      </w:r>
      <w:r>
        <w:rPr>
          <w:rStyle w:val="VerbatimChar"/>
        </w:rPr>
        <w:t xml:space="preserve">V3Thesis_FI</w:t>
      </w:r>
      <w:r>
        <w:t xml:space="preserve">, backlog A9,</w:t>
      </w:r>
      <w:r>
        <w:t xml:space="preserve"> </w:t>
      </w:r>
      <w:r>
        <w:rPr>
          <w:rStyle w:val="VerbatimChar"/>
        </w:rPr>
        <w:t xml:space="preserve">docs/metropolia/master-thesis/arviointi/README.md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Temporal Context:</w:t>
      </w:r>
      <w:r>
        <w:t xml:space="preserve"> </w:t>
      </w:r>
      <w:r>
        <w:t xml:space="preserve">2026-Q2 → 2026-Q3</w:t>
      </w:r>
    </w:p>
    <w:p>
      <w:r>
        <w:pict>
          <v:rect style="width:0;height:1.5pt" o:hralign="center" o:hrstd="t" o:hr="t"/>
        </w:pict>
      </w:r>
    </w:p>
    <w:bookmarkEnd w:id="20"/>
    <w:bookmarkStart w:id="22" w:name="what-is-true"/>
    <w:p>
      <w:pPr>
        <w:pStyle w:val="Heading2"/>
      </w:pPr>
      <w:r>
        <w:t xml:space="preserve">What is true</w:t>
      </w:r>
    </w:p>
    <w:p>
      <w:pPr>
        <w:pStyle w:val="FirstParagraph"/>
      </w:pPr>
      <w:r>
        <w:t xml:space="preserve">The Metropolia YAMK thesis is published, graded</w:t>
      </w:r>
      <w:r>
        <w:t xml:space="preserve"> </w:t>
      </w:r>
      <w:r>
        <w:rPr>
          <w:bCs/>
          <w:b/>
        </w:rPr>
        <w:t xml:space="preserve">5</w:t>
      </w:r>
      <w:r>
        <w:t xml:space="preserve">, and permanently archived at</w:t>
      </w:r>
      <w:r>
        <w:t xml:space="preserve"> </w:t>
      </w:r>
      <w:hyperlink r:id="rId21">
        <w:r>
          <w:rPr>
            <w:rStyle w:val="Hyperlink"/>
          </w:rPr>
          <w:t xml:space="preserve">https://urn.fi/URN:NBN:fi:amk-2026062725698</w:t>
        </w:r>
      </w:hyperlink>
      <w:r>
        <w:t xml:space="preserve"> </w:t>
      </w:r>
      <w:r>
        <w:t xml:space="preserve">(deposit 10.07.2026). Its cover page reads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Omnichannel First -toimintamallin käyttöönotto Lifetime World palveluissa</w:t>
      </w:r>
      <w:r>
        <w:rPr>
          <w:iCs/>
          <w:i/>
        </w:rPr>
        <w:t xml:space="preserve">”</w:t>
      </w:r>
      <w:r>
        <w:t xml:space="preserve">. Its abstract, on the same page range, opens: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thesis examines the Firehorse product manufacturing operating model, a hybrid cloud-edge architecture…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The document contradicts itself on its own front matter.</w:t>
      </w:r>
      <w:r>
        <w:t xml:space="preserve"> </w:t>
      </w:r>
      <w:r>
        <w:t xml:space="preserve">That is not a metadata drift between systems — it is inside the deposited PDF.</w:t>
      </w:r>
    </w:p>
    <w:bookmarkEnd w:id="22"/>
    <w:bookmarkStart w:id="23" w:name="X5044ea10d945d709276c8999f674f7b52cfd82d"/>
    <w:p>
      <w:pPr>
        <w:pStyle w:val="Heading2"/>
      </w:pPr>
      <w:r>
        <w:t xml:space="preserve">Why it happened — the causal chain, HIC-confirmed</w:t>
      </w:r>
    </w:p>
    <w:p>
      <w:pPr>
        <w:pStyle w:val="FirstParagraph"/>
      </w:pPr>
      <w:r>
        <w:t xml:space="preserve">Six confirmations from the HIC over the course of this session assembled the full chain, and each one narrowed it:</w:t>
      </w:r>
    </w:p>
    <w:p>
      <w:pPr>
        <w:numPr>
          <w:ilvl w:val="0"/>
          <w:numId w:val="1003"/>
        </w:numPr>
        <w:pStyle w:val="Compact"/>
      </w:pPr>
      <w:r>
        <w:t xml:space="preserve">The work was</w:t>
      </w:r>
      <w:r>
        <w:t xml:space="preserve"> </w:t>
      </w:r>
      <w:r>
        <w:rPr>
          <w:bCs/>
          <w:b/>
        </w:rPr>
        <w:t xml:space="preserve">registered</w:t>
      </w:r>
      <w:r>
        <w:t xml:space="preserve"> </w:t>
      </w:r>
      <w:r>
        <w:t xml:space="preserve">under an early title. Its content moved on; the title was updated to match.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HIC misread the guidance</w:t>
      </w:r>
      <w:r>
        <w:t xml:space="preserve"> </w:t>
      </w:r>
      <w:r>
        <w:t xml:space="preserve">as requiring the final version to carry the originally registered title.</w:t>
      </w:r>
    </w:p>
    <w:p>
      <w:pPr>
        <w:numPr>
          <w:ilvl w:val="0"/>
          <w:numId w:val="1003"/>
        </w:numPr>
        <w:pStyle w:val="Compact"/>
      </w:pPr>
      <w:r>
        <w:t xml:space="preserve">Acting on that reading, the HIC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corrected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title backwards</w:t>
      </w:r>
      <w:r>
        <w:t xml:space="preserve"> </w:t>
      </w:r>
      <w:r>
        <w:t xml:space="preserve">and submitted that version to the thesis service.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person handling the matter went on holiday.</w:t>
      </w:r>
      <w:r>
        <w:t xml:space="preserve"> </w:t>
      </w:r>
      <w:r>
        <w:t xml:space="preserve">The correction window closed without anyone closing it.</w:t>
      </w:r>
    </w:p>
    <w:p>
      <w:pPr>
        <w:numPr>
          <w:ilvl w:val="0"/>
          <w:numId w:val="1003"/>
        </w:numPr>
        <w:pStyle w:val="Compact"/>
      </w:pPr>
      <w:r>
        <w:t xml:space="preserve">The wrong title therefore reached</w:t>
      </w:r>
      <w:r>
        <w:t xml:space="preserve"> </w:t>
      </w:r>
      <w:r>
        <w:rPr>
          <w:bCs/>
          <w:b/>
        </w:rPr>
        <w:t xml:space="preserve">the assessment (5.6.2026)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Theseus (10.7.2026)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hic virheellisesti tulkitsi ohjeita että työn alkuperäinen nimi tulee olla sen lopullisen version nimi.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hic vei vääräksi korjatun version thesis palveluun eikä virhettä enää korjattu.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asiaa hoitava henkilö jäi lomille eikä virhettä enää korjattu.</w:t>
      </w:r>
      <w:r>
        <w:rPr>
          <w:iCs/>
          <w:i/>
        </w:rPr>
        <w:t xml:space="preserve">”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tiedä voiko sitä enää korjata. virhe tuli arviointiin joka tapauksessa.</w:t>
      </w:r>
      <w:r>
        <w:rPr>
          <w:iCs/>
          <w:i/>
        </w:rPr>
        <w:t xml:space="preserve">”</w:t>
      </w:r>
    </w:p>
    <w:bookmarkEnd w:id="23"/>
    <w:bookmarkStart w:id="24" w:name="the-scope-question-is-now-closed"/>
    <w:p>
      <w:pPr>
        <w:pStyle w:val="Heading2"/>
      </w:pPr>
      <w:r>
        <w:t xml:space="preserve">The scope question is now closed</w:t>
      </w:r>
    </w:p>
    <w:p>
      <w:pPr>
        <w:pStyle w:val="FirstParagraph"/>
      </w:pPr>
      <w:r>
        <w:t xml:space="preserve">Earlier in this session the archived record carried an open question: is the error only in registry metadata, or also on the cover page of the submitted PDF? It mattered, because a metadata fix is light and a re-deposit is heavy.</w:t>
      </w:r>
    </w:p>
    <w:p>
      <w:pPr>
        <w:pStyle w:val="BodyText"/>
      </w:pPr>
      <w:r>
        <w:rPr>
          <w:bCs/>
          <w:b/>
        </w:rPr>
        <w:t xml:space="preserve">Answered by the HIC: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2 versiota ovat identtisiä pl. kansilehdellä oleva nimi.</w:t>
      </w:r>
      <w:r>
        <w:rPr>
          <w:iCs/>
          <w:i/>
        </w:rPr>
        <w:t xml:space="preserve">”</w:t>
      </w:r>
      <w:r>
        <w:t xml:space="preserve"> </w:t>
      </w:r>
      <w:r>
        <w:t xml:space="preserve">The error is on the</w:t>
      </w:r>
      <w:r>
        <w:t xml:space="preserve"> </w:t>
      </w:r>
      <w:r>
        <w:rPr>
          <w:bCs/>
          <w:b/>
        </w:rPr>
        <w:t xml:space="preserve">title page</w:t>
      </w:r>
      <w:r>
        <w:t xml:space="preserve">, not only in registry metadata. There is one work wearing the wrong name — no second thesis, no ambiguity about which work was assessed.</w:t>
      </w:r>
    </w:p>
    <w:p>
      <w:pPr>
        <w:pStyle w:val="BodyText"/>
      </w:pPr>
      <w:r>
        <w:rPr>
          <w:bCs/>
          <w:b/>
        </w:rPr>
        <w:t xml:space="preserve">But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identical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half of that did not survive checking.</w:t>
      </w:r>
      <w:r>
        <w:t xml:space="preserve"> </w:t>
      </w:r>
      <w:r>
        <w:t xml:space="preserve">The two thesis versions in Drive —</w:t>
      </w:r>
      <w:r>
        <w:t xml:space="preserve"> </w:t>
      </w:r>
      <w:r>
        <w:rPr>
          <w:rStyle w:val="VerbatimChar"/>
        </w:rPr>
        <w:t xml:space="preserve">V4_Final_Thesis_FI</w:t>
      </w:r>
      <w:r>
        <w:t xml:space="preserve"> </w:t>
      </w:r>
      <w:r>
        <w:t xml:space="preserve">(correct title) and</w:t>
      </w:r>
      <w:r>
        <w:t xml:space="preserve"> </w:t>
      </w:r>
      <w:r>
        <w:rPr>
          <w:rStyle w:val="VerbatimChar"/>
        </w:rPr>
        <w:t xml:space="preserve">V41_Final_Thesis_FI</w:t>
      </w:r>
      <w:r>
        <w:t xml:space="preserve"> </w:t>
      </w:r>
      <w:r>
        <w:t xml:space="preserve">(wrong title) — differ in fourteen places, several substantive: the TK1–TK4 headings were expanded from labels into full research questions, the recommendations were rewritten and lengthened, a conclusions paragraph was added, §5.8 was restructured from a bullet list into subsections, and two references were added. The HIC may mean a different pair — two exports of</w:t>
      </w:r>
      <w:r>
        <w:t xml:space="preserve"> </w:t>
      </w:r>
      <w:r>
        <w:rPr>
          <w:rStyle w:val="VerbatimChar"/>
        </w:rPr>
        <w:t xml:space="preserve">V41</w:t>
      </w:r>
      <w:r>
        <w:t xml:space="preserve"> </w:t>
      </w:r>
      <w:r>
        <w:t xml:space="preserve">differing only in cover page — which does not exist in Drive.</w:t>
      </w:r>
    </w:p>
    <w:p>
      <w:pPr>
        <w:pStyle w:val="BodyText"/>
      </w:pPr>
      <w:r>
        <w:t xml:space="preserve">The practical consequence is small and worth stating precisely:</w:t>
      </w:r>
      <w:r>
        <w:t xml:space="preserve"> </w:t>
      </w:r>
      <w:r>
        <w:rPr>
          <w:bCs/>
          <w:b/>
        </w:rPr>
        <w:t xml:space="preserve">the correction request must not tell the library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versions are identical.</w:t>
      </w:r>
      <w:r>
        <w:rPr>
          <w:bCs/>
          <w:b/>
        </w:rPr>
        <w:t xml:space="preserve">”</w:t>
      </w:r>
      <w:r>
        <w:t xml:space="preserve"> </w:t>
      </w:r>
      <w:r>
        <w:t xml:space="preserve">It does not need to. A stronger fact replaced it — see below.</w:t>
      </w:r>
    </w:p>
    <w:bookmarkEnd w:id="24"/>
    <w:bookmarkStart w:id="25" w:name="X6f1f59272390190b89c1998afe3aa65e767ab99"/>
    <w:p>
      <w:pPr>
        <w:pStyle w:val="Heading2"/>
      </w:pPr>
      <w:r>
        <w:t xml:space="preserve">The document already contains its own correct title</w:t>
      </w:r>
    </w:p>
    <w:p>
      <w:pPr>
        <w:pStyle w:val="FirstParagraph"/>
      </w:pPr>
      <w:r>
        <w:t xml:space="preserve">Better than the abstract-first-line argument recorded earlier: the</w:t>
      </w:r>
      <w:r>
        <w:t xml:space="preserve"> </w:t>
      </w:r>
      <w:r>
        <w:rPr>
          <w:bCs/>
          <w:b/>
        </w:rPr>
        <w:t xml:space="preserve">Finnish abstract page of the deposited document has the right title in its Otsikko field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Firehorse-tuotevalmistuksen toimintamalli: Hybridi AI-edge-arkkitehtuuri ilmastoälykkäille teollisille alustoille</w:t>
      </w:r>
      <w:r>
        <w:rPr>
          <w:iCs/>
          <w:i/>
        </w:rPr>
        <w:t xml:space="preserve">”</w:t>
      </w:r>
      <w:r>
        <w:t xml:space="preserve"> </w:t>
      </w:r>
      <w:r>
        <w:t xml:space="preserve">— while the cover page and the English abstract’s Title field say</w:t>
      </w:r>
      <w:r>
        <w:t xml:space="preserve"> </w:t>
      </w:r>
      <w:r>
        <w:rPr>
          <w:iCs/>
          <w:i/>
        </w:rPr>
        <w:t xml:space="preserve">Omnichannel First…</w:t>
      </w:r>
    </w:p>
    <w:p>
      <w:pPr>
        <w:pStyle w:val="BodyText"/>
      </w:pPr>
      <w:r>
        <w:t xml:space="preserve">So the correction does not require supplying new text.</w:t>
      </w:r>
      <w:r>
        <w:t xml:space="preserve"> </w:t>
      </w:r>
      <w:r>
        <w:rPr>
          <w:bCs/>
          <w:b/>
        </w:rPr>
        <w:t xml:space="preserve">The correct title is already inside the deposited file</w:t>
      </w:r>
      <w:r>
        <w:t xml:space="preserve">, contradicting its own cover page. That is about as cheap as a correction request gets.</w:t>
      </w:r>
    </w:p>
    <w:bookmarkEnd w:id="25"/>
    <w:bookmarkStart w:id="26" w:name="X658e617a9309276b5e3742c1a9a63605fd8ad83"/>
    <w:p>
      <w:pPr>
        <w:pStyle w:val="Heading2"/>
      </w:pPr>
      <w:r>
        <w:t xml:space="preserve">The finding that outranks the title question</w:t>
      </w:r>
    </w:p>
    <w:p>
      <w:pPr>
        <w:pStyle w:val="FirstParagraph"/>
      </w:pPr>
      <w:r>
        <w:t xml:space="preserve">The HIC then pointed at something no one had checked: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työ joka vietiin theseus on FinalV4 ja FinalV4.1 versiot eli niihin on kirjoitettu tekstiä sisään jotka eivät ole repossa</w:t>
      </w:r>
      <w:r>
        <w:rPr>
          <w:iCs/>
          <w:i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niissä on agentic commerce luku.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Confirmed.</w:t>
      </w:r>
      <w:r>
        <w:t xml:space="preserve"> </w:t>
      </w:r>
      <w:r>
        <w:t xml:space="preserve">The deposited work carries</w:t>
      </w:r>
      <w:r>
        <w:t xml:space="preserve"> </w:t>
      </w:r>
      <w:r>
        <w:rPr>
          <w:bCs/>
          <w:b/>
        </w:rPr>
        <w:t xml:space="preserve">§5.4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DWS IQ: Agentic Commerce -polku</w:t>
      </w:r>
      <w:r>
        <w:rPr>
          <w:bCs/>
          <w:b/>
        </w:rPr>
        <w:t xml:space="preserve">”</w:t>
      </w:r>
      <w:r>
        <w:t xml:space="preserve"> </w:t>
      </w:r>
      <w:r>
        <w:t xml:space="preserve">with seven subsections (GMC · A2A · Aegis · Themis · UCP · AP2/Stripe/Revolut · configuration table), present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V4 and V4.1. Repo searches:</w:t>
      </w:r>
      <w:r>
        <w:t xml:space="preserve"> </w:t>
      </w:r>
      <w:r>
        <w:rPr>
          <w:rStyle w:val="VerbatimChar"/>
        </w:rPr>
        <w:t xml:space="preserve">Agent Passport</w:t>
      </w:r>
      <w:r>
        <w:t xml:space="preserve"> </w:t>
      </w:r>
      <w:r>
        <w:rPr>
          <w:bCs/>
          <w:b/>
        </w:rPr>
        <w:t xml:space="preserve">0 hits anywhere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Agentic Commerce -polku</w:t>
      </w:r>
      <w:r>
        <w:t xml:space="preserve"> </w:t>
      </w:r>
      <w:r>
        <w:rPr>
          <w:bCs/>
          <w:b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Themis antaa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Aegis myöntää</w:t>
      </w:r>
      <w:r>
        <w:t xml:space="preserve"> </w:t>
      </w:r>
      <w:r>
        <w:rPr>
          <w:bCs/>
          <w:b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UCP</w:t>
      </w:r>
      <w:r>
        <w:t xml:space="preserve">/</w:t>
      </w:r>
      <w:r>
        <w:rPr>
          <w:rStyle w:val="VerbatimChar"/>
        </w:rPr>
        <w:t xml:space="preserve">AP2</w:t>
      </w:r>
      <w:r>
        <w:t xml:space="preserve"> </w:t>
      </w:r>
      <w:r>
        <w:t xml:space="preserve">appear only in</w:t>
      </w:r>
      <w:r>
        <w:t xml:space="preserve"> </w:t>
      </w:r>
      <w:r>
        <w:rPr>
          <w:rStyle w:val="VerbatimChar"/>
        </w:rPr>
        <w:t xml:space="preserve">Legal/KYA_*</w:t>
      </w:r>
      <w:r>
        <w:t xml:space="preserve"> </w:t>
      </w:r>
      <w:r>
        <w:t xml:space="preserve">and the KYA spec, never in</w:t>
      </w:r>
      <w:r>
        <w:t xml:space="preserve"> </w:t>
      </w:r>
      <w:r>
        <w:rPr>
          <w:rStyle w:val="VerbatimChar"/>
        </w:rPr>
        <w:t xml:space="preserve">V3Thesis_FI</w:t>
      </w:r>
      <w:r>
        <w:t xml:space="preserve">. The repo’s 18</w:t>
      </w:r>
      <w:r>
        <w:t xml:space="preserve"> </w:t>
      </w:r>
      <w:r>
        <w:rPr>
          <w:rStyle w:val="VerbatimChar"/>
        </w:rPr>
        <w:t xml:space="preserve">Aegis</w:t>
      </w:r>
      <w:r>
        <w:t xml:space="preserve"> </w:t>
      </w:r>
      <w:r>
        <w:t xml:space="preserve">hits are a</w:t>
      </w:r>
      <w:r>
        <w:t xml:space="preserve"> </w:t>
      </w:r>
      <w:r>
        <w:rPr>
          <w:bCs/>
          <w:b/>
        </w:rPr>
        <w:t xml:space="preserve">different referent</w:t>
      </w:r>
      <w:r>
        <w:t xml:space="preserve"> </w:t>
      </w:r>
      <w:r>
        <w:t xml:space="preserve">— the Aegis Defence product, SAR orbital detection.</w:t>
      </w:r>
    </w:p>
    <w:p>
      <w:pPr>
        <w:pStyle w:val="BodyText"/>
      </w:pPr>
      <w:r>
        <w:t xml:space="preserve">Why it matters more than the name: the published chapter describes, in a permanently archived public document, an</w:t>
      </w:r>
      <w:r>
        <w:t xml:space="preserve"> </w:t>
      </w:r>
      <w:r>
        <w:rPr>
          <w:bCs/>
          <w:b/>
        </w:rPr>
        <w:t xml:space="preserve">agent identity and authorisation mechanism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Aegis myöntää agentille digitaalisen Agent Passport -tunnisteen, joka valtuuttaa sen toimimaan käyttäjän puolesta</w:t>
      </w:r>
      <w:r>
        <w:rPr>
          <w:iCs/>
          <w:i/>
        </w:rPr>
        <w:t xml:space="preserve">”</w:t>
      </w:r>
      <w:r>
        <w:t xml:space="preserve">, bound to the user’s Revolut account, with Themis gating the transaction on budget, rules and ethics. That sits close to KYA’s mandate-and-agent-identity territory, and it went public on 10.07.2026</w:t>
      </w:r>
      <w:r>
        <w:t xml:space="preserve"> </w:t>
      </w:r>
      <w:r>
        <w:rPr>
          <w:bCs/>
          <w:b/>
        </w:rPr>
        <w:t xml:space="preserve">without anyone in these sessions having read it.</w:t>
      </w:r>
    </w:p>
    <w:p>
      <w:pPr>
        <w:pStyle w:val="BodyText"/>
      </w:pPr>
      <w:r>
        <w:t xml:space="preserve">This does not overturn A9’s conclusion for the three named mechanisms — none of them appear in the deposited text, so their novelty still stands. It overturns something narrower and more uncomfortable:</w:t>
      </w:r>
      <w:r>
        <w:t xml:space="preserve"> </w:t>
      </w:r>
      <w:r>
        <w:rPr>
          <w:bCs/>
          <w:b/>
        </w:rPr>
        <w:t xml:space="preserve">A9 reasoned about what had been published by searching the repository, and the published document is not a repository document.</w:t>
      </w:r>
      <w:r>
        <w:t xml:space="preserve"> </w:t>
      </w:r>
      <w:r>
        <w:t xml:space="preserve">Any patentability opinion has to be given the deposited file.</w:t>
      </w:r>
    </w:p>
    <w:bookmarkEnd w:id="26"/>
    <w:bookmarkStart w:id="27" w:name="what-i-could-not-do"/>
    <w:p>
      <w:pPr>
        <w:pStyle w:val="Heading2"/>
      </w:pPr>
      <w:r>
        <w:t xml:space="preserve">What I could not do</w:t>
      </w:r>
    </w:p>
    <w:p>
      <w:pPr>
        <w:pStyle w:val="FirstParagraph"/>
      </w:pPr>
      <w:r>
        <w:t xml:space="preserve">The HIC asked me to open the Theseus URL and compare against it.</w:t>
      </w:r>
      <w:r>
        <w:t xml:space="preserve"> </w:t>
      </w:r>
      <w:r>
        <w:rPr>
          <w:bCs/>
          <w:b/>
        </w:rPr>
        <w:t xml:space="preserve">I could not</w:t>
      </w:r>
      <w:r>
        <w:t xml:space="preserve"> </w:t>
      </w:r>
      <w:r>
        <w:t xml:space="preserve">— this environment’s network policy blocks both</w:t>
      </w:r>
      <w:r>
        <w:t xml:space="preserve"> </w:t>
      </w:r>
      <w:r>
        <w:rPr>
          <w:rStyle w:val="VerbatimChar"/>
        </w:rPr>
        <w:t xml:space="preserve">urn.fi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theseus.fi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 tunnel failed, response 403</w:t>
      </w:r>
      <w:r>
        <w:t xml:space="preserve">). Everything above compares the</w:t>
      </w:r>
      <w:r>
        <w:t xml:space="preserve"> </w:t>
      </w:r>
      <w:r>
        <w:rPr>
          <w:bCs/>
          <w:b/>
        </w:rPr>
        <w:t xml:space="preserve">Drive sources</w:t>
      </w:r>
      <w:r>
        <w:t xml:space="preserve"> </w:t>
      </w:r>
      <w:r>
        <w:t xml:space="preserve">and the repository. The published PDF itself remains unverified from here, and checking it is a one-minute job for the HIC.</w:t>
      </w:r>
    </w:p>
    <w:bookmarkEnd w:id="27"/>
    <w:bookmarkStart w:id="28" w:name="what-i-got-wrong-along-the-way"/>
    <w:p>
      <w:pPr>
        <w:pStyle w:val="Heading2"/>
      </w:pPr>
      <w:r>
        <w:t xml:space="preserve">What I got wrong along the way</w:t>
      </w:r>
    </w:p>
    <w:p>
      <w:pPr>
        <w:pStyle w:val="FirstParagraph"/>
      </w:pPr>
      <w:r>
        <w:t xml:space="preserve">Worth recording, because the correction sequence is the interesting part: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First reading:</w:t>
      </w:r>
      <w:r>
        <w:t xml:space="preserve"> </w:t>
      </w:r>
      <w:r>
        <w:t xml:space="preserve">I inferred from the title mismatch that</w:t>
      </w:r>
      <w:r>
        <w:t xml:space="preserve"> </w:t>
      </w:r>
      <w:r>
        <w:rPr>
          <w:rStyle w:val="VerbatimChar"/>
        </w:rPr>
        <w:t xml:space="preserve">V3Thesis_FI</w:t>
      </w:r>
      <w:r>
        <w:t xml:space="preserve"> </w:t>
      </w:r>
      <w:r>
        <w:t xml:space="preserve">and the published work were</w:t>
      </w:r>
      <w:r>
        <w:t xml:space="preserve"> </w:t>
      </w:r>
      <w:r>
        <w:rPr>
          <w:bCs/>
          <w:b/>
        </w:rPr>
        <w:t xml:space="preserve">two different documents</w:t>
      </w:r>
      <w:r>
        <w:t xml:space="preserve">. They are not. The inference was reasonable from the evidence available and wrong.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Second reading:</w:t>
      </w:r>
      <w:r>
        <w:t xml:space="preserve"> </w:t>
      </w:r>
      <w:r>
        <w:t xml:space="preserve">having learned it was one work, I assumed the error originated in</w:t>
      </w:r>
      <w:r>
        <w:t xml:space="preserve"> </w:t>
      </w:r>
      <w:r>
        <w:rPr>
          <w:bCs/>
          <w:b/>
        </w:rPr>
        <w:t xml:space="preserve">process registration</w:t>
      </w:r>
      <w:r>
        <w:t xml:space="preserve"> </w:t>
      </w:r>
      <w:r>
        <w:t xml:space="preserve">— a name inherited from a form nobody revisited. Also wrong. The name was actively changed back, by hand, on a misreading.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Third:</w:t>
      </w:r>
      <w:r>
        <w:t xml:space="preserve"> </w:t>
      </w:r>
      <w:r>
        <w:t xml:space="preserve">having been given the cause, I wrote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identical except the cover page</w:t>
      </w:r>
      <w:r>
        <w:rPr>
          <w:iCs/>
          <w:i/>
        </w:rPr>
        <w:t xml:space="preserve">”</w:t>
      </w:r>
      <w:r>
        <w:t xml:space="preserve"> </w:t>
      </w:r>
      <w:r>
        <w:t xml:space="preserve">into the record and into a send-ready letter</w:t>
      </w:r>
      <w:r>
        <w:t xml:space="preserve"> </w:t>
      </w:r>
      <w:r>
        <w:rPr>
          <w:bCs/>
          <w:b/>
        </w:rPr>
        <w:t xml:space="preserve">without checking it</w:t>
      </w:r>
      <w:r>
        <w:t xml:space="preserve">, because it came from the person who would know. It is not what the two files show. A statement is not verified by being told to you with confidence.</w:t>
      </w:r>
    </w:p>
    <w:p>
      <w:pPr>
        <w:pStyle w:val="FirstParagraph"/>
      </w:pPr>
      <w:r>
        <w:t xml:space="preserve">The first two errors share a shape: I explained an anomaly with an impersonal mechanism when the actual cause was a specific human decision at a specific moment.</w:t>
      </w:r>
      <w:r>
        <w:t xml:space="preserve"> </w:t>
      </w:r>
      <w:r>
        <w:rPr>
          <w:bCs/>
          <w:b/>
        </w:rPr>
        <w:t xml:space="preserve">Institutional artifacts fail through people, not through systems, and a record that names the mechanism instead of the decision cannot support a correction request.</w:t>
      </w:r>
      <w:r>
        <w:t xml:space="preserve"> </w:t>
      </w:r>
      <w:r>
        <w:t xml:space="preserve">The mechanism story has no one to write to. The decision story does.</w:t>
      </w:r>
    </w:p>
    <w:p>
      <w:pPr>
        <w:pStyle w:val="BodyText"/>
      </w:pPr>
      <w:r>
        <w:t xml:space="preserve">The third is the more expensive one, because it was about to leave the building. It went into a letter drafted for an external institution, where a wrong claim would have been mine to withdraw in front of the party I was asking a favour of.</w:t>
      </w:r>
      <w:r>
        <w:t xml:space="preserve"> </w:t>
      </w:r>
      <w:r>
        <w:rPr>
          <w:bCs/>
          <w:b/>
        </w:rPr>
        <w:t xml:space="preserve">The verified/propagated distinction this project keeps writing standards about failed at the one point it was pointed outward.</w:t>
      </w:r>
    </w:p>
    <w:bookmarkEnd w:id="28"/>
    <w:bookmarkStart w:id="29" w:name="what-follows"/>
    <w:p>
      <w:pPr>
        <w:pStyle w:val="Heading2"/>
      </w:pPr>
      <w:r>
        <w:t xml:space="preserve">What follows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A9 (patent window) is unaffected.</w:t>
      </w:r>
      <w:r>
        <w:t xml:space="preserve"> </w:t>
      </w:r>
      <w:r>
        <w:t xml:space="preserve">The controlling fact is the date, not the name: the deposit (10.07.2026) precedes §10.26/§10.27 by fifteen days, so those mechanisms cannot be in the published work under any title. Nothing in the naming question moves that.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Correctability is genuinely open.</w:t>
      </w:r>
      <w:r>
        <w:t xml:space="preserve"> </w:t>
      </w:r>
      <w:r>
        <w:t xml:space="preserve">The route is the Metropolia library, not Theseus (</w:t>
      </w:r>
      <w:r>
        <w:rPr>
          <w:iCs/>
          <w:i/>
        </w:rPr>
        <w:t xml:space="preserve">“</w:t>
      </w:r>
      <w:r>
        <w:rPr>
          <w:iCs/>
          <w:i/>
        </w:rPr>
        <w:t xml:space="preserve">Myös mahdolliset muutokset tehdään siellä.</w:t>
      </w:r>
      <w:r>
        <w:rPr>
          <w:iCs/>
          <w:i/>
        </w:rPr>
        <w:t xml:space="preserve">”</w:t>
      </w:r>
      <w:r>
        <w:t xml:space="preserve">). The question to them is two-part: can the cover page be fixed in the deposited file, and if not, can the record’s title metadata be fixed. The error</w:t>
      </w:r>
      <w:r>
        <w:t xml:space="preserve"> </w:t>
      </w:r>
      <w:r>
        <w:rPr>
          <w:bCs/>
          <w:b/>
        </w:rPr>
        <w:t xml:space="preserve">has already reached the assessment</w:t>
      </w:r>
      <w:r>
        <w:t xml:space="preserve"> </w:t>
      </w:r>
      <w:r>
        <w:t xml:space="preserve">— that part is a fact, not a risk to be managed.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self-contradiction is an asset for the request.</w:t>
      </w:r>
      <w:r>
        <w:t xml:space="preserve"> </w:t>
      </w:r>
      <w:r>
        <w:t xml:space="preserve">A correction that must be argued from external evidence is weak; one that can be shown from page 1 against page 2 of the same file is not. Whoever reviews the request can verify it without leaving the document.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it cannot be fixed,</w:t>
      </w:r>
      <w:r>
        <w:t xml:space="preserve"> </w:t>
      </w:r>
      <w:r>
        <w:t xml:space="preserve">the archived record (</w:t>
      </w:r>
      <w:r>
        <w:rPr>
          <w:rStyle w:val="VerbatimChar"/>
        </w:rPr>
        <w:t xml:space="preserve">docs/metropolia/master-thesis/arviointi/README.md</w:t>
      </w:r>
      <w:r>
        <w:t xml:space="preserve">, v1.1) is the standing explanation — so the LUT application can dispose of the mismatch in one sentence and a link instead of a paragraph of apology.</w:t>
      </w:r>
    </w:p>
    <w:bookmarkEnd w:id="29"/>
    <w:bookmarkStart w:id="30" w:name="rule-this-earns"/>
    <w:p>
      <w:pPr>
        <w:pStyle w:val="Heading2"/>
      </w:pPr>
      <w:r>
        <w:t xml:space="preserve">Rule this earns</w:t>
      </w:r>
    </w:p>
    <w:p>
      <w:pPr>
        <w:pStyle w:val="FirstParagraph"/>
      </w:pPr>
      <w:r>
        <w:rPr>
          <w:bCs/>
          <w:b/>
        </w:rPr>
        <w:t xml:space="preserve">When a public, permanent record is wrong, record the decision that made it wrong — not just the discrepancy.</w:t>
      </w:r>
      <w:r>
        <w:t xml:space="preserve"> </w:t>
      </w:r>
      <w:r>
        <w:t xml:space="preserve">A discrepancy is a fact about two strings. A decision has an owner, a date, a reason, and a moment where a different choice was available. Only the second one is actionable, and only the second one keeps a person from repeating it.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urn.fi/URN:NBN:fi:amk-20260627256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urn.fi/URN:NBN:fi:amk-20260627256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2026-07-25T06:38:41Z</dcterms:created>
  <dcterms:modified xsi:type="dcterms:W3CDTF">2026-07-25T06:38:41Z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