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cdf536d2e77ada2cc4bb6951cad8a1dacb89b4"/>
    <w:p>
      <w:pPr>
        <w:pStyle w:val="Heading1"/>
      </w:pPr>
      <w:r>
        <w:t xml:space="preserve">Field Note — Network-Independent Critical Operation: the Hybrid-War Premise for Aegis</w:t>
      </w:r>
    </w:p>
    <w:p>
      <w:pPr>
        <w:pStyle w:val="FirstParagraph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Field Note — Locked Architectural / Commercial Decision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The operating premise for dual-use manufacturing pilots under hybrid-war conditions, the five requirements it imposes, and the product-doc conflict it exposes. Decision recorded and product overview corrected; tiering and pricing consequences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decided here.</w:t>
      </w:r>
      <w:r>
        <w:t xml:space="preserve"> </w:t>
      </w:r>
      <w:r>
        <w:rPr>
          <w:bCs/>
          <w:b/>
        </w:rPr>
        <w:t xml:space="preserve">Ontology Tags:</w:t>
      </w:r>
      <w:r>
        <w:t xml:space="preserve"> </w:t>
      </w:r>
      <w:r>
        <w:t xml:space="preserve">Geography &gt; EU-27, Finland, Nordics | Sector &gt; Defence &amp; Dual-Use &gt; Critical Manufacturing, Resilience | Regulatory &gt; NIS2, CER Directive, EU AI Act Art. 12 | Entities &gt; DWS IQ Aegis, Control Room, Situation Room, Lifetime Oy | Temporal Context &gt; 2026-Q3, hybrid-threat environment | Confidence &gt; HIGH — this is a stated HIC decision, not an inference</w:t>
      </w:r>
    </w:p>
    <w:bookmarkStart w:id="20" w:name="the-decision"/>
    <w:p>
      <w:pPr>
        <w:pStyle w:val="Heading2"/>
      </w:pPr>
      <w:r>
        <w:t xml:space="preserve">1. The decision</w:t>
      </w:r>
    </w:p>
    <w:p>
      <w:pPr>
        <w:pStyle w:val="BlockText"/>
      </w:pPr>
      <w:r>
        <w:t xml:space="preserve">In a hybrid-war environment, a manufacturing facility must be treated as</w:t>
      </w:r>
      <w:r>
        <w:t xml:space="preserve"> </w:t>
      </w:r>
      <w:r>
        <w:rPr>
          <w:bCs/>
          <w:b/>
        </w:rPr>
        <w:t xml:space="preserve">dual-use critical infrastructure</w:t>
      </w:r>
      <w:r>
        <w:t xml:space="preserve">: loss of network connectivity cannot stop production or the core compliance workflow.</w:t>
      </w:r>
    </w:p>
    <w:p>
      <w:pPr>
        <w:pStyle w:val="FirstParagraph"/>
      </w:pPr>
      <w:r>
        <w:t xml:space="preserve">Stated by the HIC on 30.07.2026 as an</w:t>
      </w:r>
      <w:r>
        <w:t xml:space="preserve"> </w:t>
      </w:r>
      <w:r>
        <w:rPr>
          <w:bCs/>
          <w:b/>
        </w:rPr>
        <w:t xml:space="preserve">operational premise, not a deployment preference</w:t>
      </w:r>
      <w:r>
        <w:t xml:space="preserve">. It is upstream of tiering, hosting and pricing — it determines what the product must do before any of those conversations start.</w:t>
      </w:r>
    </w:p>
    <w:p>
      <w:pPr>
        <w:pStyle w:val="BodyText"/>
      </w:pPr>
      <w:r>
        <w:rPr>
          <w:bCs/>
          <w:b/>
        </w:rPr>
        <w:t xml:space="preserve">Five pilot requirements follow:</w:t>
      </w:r>
    </w:p>
    <w:p>
      <w:pPr>
        <w:numPr>
          <w:ilvl w:val="0"/>
          <w:numId w:val="1001"/>
        </w:numPr>
        <w:pStyle w:val="Compact"/>
      </w:pPr>
      <w:r>
        <w:t xml:space="preserve">Local execution and local evidence.</w:t>
      </w:r>
    </w:p>
    <w:p>
      <w:pPr>
        <w:numPr>
          <w:ilvl w:val="0"/>
          <w:numId w:val="1001"/>
        </w:numPr>
        <w:pStyle w:val="Compact"/>
      </w:pPr>
      <w:r>
        <w:t xml:space="preserve">Local identity, logs and kill authority.</w:t>
      </w:r>
    </w:p>
    <w:p>
      <w:pPr>
        <w:numPr>
          <w:ilvl w:val="0"/>
          <w:numId w:val="1001"/>
        </w:numPr>
        <w:pStyle w:val="Compact"/>
      </w:pPr>
      <w:r>
        <w:t xml:space="preserve">No network dependency for the core outcome.</w:t>
      </w:r>
    </w:p>
    <w:p>
      <w:pPr>
        <w:numPr>
          <w:ilvl w:val="0"/>
          <w:numId w:val="1001"/>
        </w:numPr>
        <w:pStyle w:val="Compact"/>
      </w:pPr>
      <w:r>
        <w:t xml:space="preserve">Cloud only for optional sync, backup or non-critical reporting.</w:t>
      </w:r>
    </w:p>
    <w:p>
      <w:pPr>
        <w:numPr>
          <w:ilvl w:val="0"/>
          <w:numId w:val="1001"/>
        </w:numPr>
        <w:pStyle w:val="Compact"/>
      </w:pPr>
      <w:r>
        <w:t xml:space="preserve">Graceful degradation during outages.</w:t>
      </w:r>
    </w:p>
    <w:p>
      <w:pPr>
        <w:pStyle w:val="FirstParagraph"/>
      </w:pPr>
      <w:r>
        <w:rPr>
          <w:bCs/>
          <w:b/>
        </w:rPr>
        <w:t xml:space="preserve">The commercial line:</w:t>
      </w:r>
    </w:p>
    <w:p>
      <w:pPr>
        <w:pStyle w:val="BlockText"/>
      </w:pPr>
      <w:r>
        <w:rPr>
          <w:bCs/>
          <w:b/>
        </w:rPr>
        <w:t xml:space="preserve">Aegis keeps critical compliance and control-room workflows running when the network cannot be trusted.</w:t>
      </w:r>
    </w:p>
    <w:p>
      <w:pPr>
        <w:pStyle w:val="FirstParagraph"/>
      </w:pPr>
      <w:r>
        <w:t xml:space="preserve">This is deliberately not</w:t>
      </w:r>
      <w:r>
        <w:t xml:space="preserve"> </w:t>
      </w:r>
      <w:r>
        <w:t xml:space="preserve">“</w:t>
      </w:r>
      <w:r>
        <w:t xml:space="preserve">on-prem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air-gapped</w:t>
      </w:r>
      <w:r>
        <w:t xml:space="preserve">”</w:t>
      </w:r>
      <w:r>
        <w:t xml:space="preserve">. Those name a</w:t>
      </w:r>
      <w:r>
        <w:t xml:space="preserve"> </w:t>
      </w:r>
      <w:r>
        <w:rPr>
          <w:iCs/>
          <w:i/>
        </w:rPr>
        <w:t xml:space="preserve">topology</w:t>
      </w:r>
      <w:r>
        <w:t xml:space="preserve">; this names the</w:t>
      </w:r>
      <w:r>
        <w:t xml:space="preserve"> </w:t>
      </w:r>
      <w:r>
        <w:rPr>
          <w:iCs/>
          <w:i/>
        </w:rPr>
        <w:t xml:space="preserve">outcome being bought</w:t>
      </w:r>
      <w:r>
        <w:t xml:space="preserve">. A defence-adjacent buyer knows what on-prem is and is unmoved by it — they care whether the line keeps running and whether the record survives when the link drops.</w:t>
      </w:r>
    </w:p>
    <w:bookmarkEnd w:id="20"/>
    <w:bookmarkStart w:id="21" w:name="Xb927745d1b6bf2b0299a788cb689531a44496ac"/>
    <w:p>
      <w:pPr>
        <w:pStyle w:val="Heading2"/>
      </w:pPr>
      <w:r>
        <w:t xml:space="preserve">2. The conflict this exposes (surface it, do not average it — Rule 7)</w:t>
      </w:r>
    </w:p>
    <w:p>
      <w:pPr>
        <w:pStyle w:val="FirstParagraph"/>
      </w:pPr>
      <w:r>
        <w:rPr>
          <w:rStyle w:val="VerbatimChar"/>
        </w:rPr>
        <w:t xml:space="preserve">Store/PRODUCT_AEGIS.md</w:t>
      </w:r>
      <w:r>
        <w:t xml:space="preserve"> </w:t>
      </w:r>
      <w:r>
        <w:t xml:space="preserve">currently opens with:</w:t>
      </w:r>
    </w:p>
    <w:p>
      <w:pPr>
        <w:pStyle w:val="BlockText"/>
      </w:pPr>
      <w:r>
        <w:t xml:space="preserve">“</w:t>
      </w:r>
      <w:r>
        <w:t xml:space="preserve">…a hardened platform —</w:t>
      </w:r>
      <w:r>
        <w:t xml:space="preserve"> </w:t>
      </w:r>
      <w:r>
        <w:rPr>
          <w:bCs/>
          <w:b/>
        </w:rPr>
        <w:t xml:space="preserve">available exclusively on European cloud or enterprise private cloud</w:t>
      </w:r>
      <w:r>
        <w:t xml:space="preserve">.</w:t>
      </w:r>
      <w:r>
        <w:t xml:space="preserve">”</w:t>
      </w:r>
    </w:p>
    <w:p>
      <w:pPr>
        <w:pStyle w:val="FirstParagraph"/>
      </w:pPr>
      <w:r>
        <w:t xml:space="preserve">and lists air-gapped / on-premises operation only under the</w:t>
      </w:r>
      <w:r>
        <w:t xml:space="preserve"> </w:t>
      </w:r>
      <w:r>
        <w:rPr>
          <w:bCs/>
          <w:b/>
        </w:rPr>
        <w:t xml:space="preserve">Aegis Sovereign</w:t>
      </w:r>
      <w:r>
        <w:t xml:space="preserve"> </w:t>
      </w:r>
      <w:r>
        <w:t xml:space="preserve">tier (€4,999/mo, custom onboarding). Under the locked decision that framing is backwards in two ways:</w:t>
      </w:r>
    </w:p>
    <w:p>
      <w:pPr>
        <w:numPr>
          <w:ilvl w:val="0"/>
          <w:numId w:val="1002"/>
        </w:numPr>
        <w:pStyle w:val="Compact"/>
      </w:pPr>
      <w:r>
        <w:t xml:space="preserve">It presents network-independent operation as a</w:t>
      </w:r>
      <w:r>
        <w:t xml:space="preserve"> </w:t>
      </w:r>
      <w:r>
        <w:rPr>
          <w:bCs/>
          <w:b/>
        </w:rPr>
        <w:t xml:space="preserve">premium upgrade</w:t>
      </w:r>
      <w:r>
        <w:t xml:space="preserve"> </w:t>
      </w:r>
      <w:r>
        <w:t xml:space="preserve">when the decision makes it the</w:t>
      </w:r>
      <w:r>
        <w:t xml:space="preserve"> </w:t>
      </w:r>
      <w:r>
        <w:rPr>
          <w:bCs/>
          <w:b/>
        </w:rPr>
        <w:t xml:space="preserve">baseline premise</w:t>
      </w:r>
      <w:r>
        <w:t xml:space="preserve"> </w:t>
      </w:r>
      <w:r>
        <w:t xml:space="preserve">for the dual-use manufacturing case Aegis exists to serve.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Exclusively on European cloud or enterprise private cloud</w:t>
      </w:r>
      <w:r>
        <w:t xml:space="preserve">”</w:t>
      </w:r>
      <w:r>
        <w:t xml:space="preserve"> </w:t>
      </w:r>
      <w:r>
        <w:t xml:space="preserve">reads as though local execution is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product, which is the opposite of what a hybrid-war buyer needs to hear in the first paragraph.</w:t>
      </w:r>
    </w:p>
    <w:p>
      <w:pPr>
        <w:pStyle w:val="FirstParagraph"/>
      </w:pPr>
      <w:r>
        <w:rPr>
          <w:bCs/>
          <w:b/>
        </w:rPr>
        <w:t xml:space="preserve">Resolved in v1.1 (§5):</w:t>
      </w:r>
      <w:r>
        <w:t xml:space="preserve"> </w:t>
      </w:r>
      <w:r>
        <w:t xml:space="preserve">the framing itself was the fault. Deployment mode and commercial tier are different axes, and the product doc had collapsed them — which is what made local operation look like a premium feature.</w:t>
      </w:r>
      <w:r>
        <w:t xml:space="preserve"> </w:t>
      </w:r>
      <w:r>
        <w:rPr>
          <w:rStyle w:val="VerbatimChar"/>
        </w:rPr>
        <w:t xml:space="preserve">Store/PRODUCT_AEGIS.md</w:t>
      </w:r>
      <w:r>
        <w:t xml:space="preserve"> </w:t>
      </w:r>
      <w:r>
        <w:t xml:space="preserve">now carries a</w:t>
      </w:r>
      <w:r>
        <w:t xml:space="preserve"> </w:t>
      </w:r>
      <w:r>
        <w:rPr>
          <w:bCs/>
          <w:b/>
        </w:rPr>
        <w:t xml:space="preserve">Deployment Modes</w:t>
      </w:r>
      <w:r>
        <w:t xml:space="preserve"> </w:t>
      </w:r>
      <w:r>
        <w:t xml:space="preserve">section, the Sovereign tier no longer differentiates on</w:t>
      </w:r>
      <w:r>
        <w:t xml:space="preserve"> </w:t>
      </w:r>
      <w:r>
        <w:t xml:space="preserve">“</w:t>
      </w:r>
      <w:r>
        <w:t xml:space="preserve">air-gapped option</w:t>
      </w:r>
      <w:r>
        <w:t xml:space="preserve">”</w:t>
      </w:r>
      <w:r>
        <w:t xml:space="preserve">, and tiers are stated to price hardware, SLA, support and sovereignty</w:t>
      </w:r>
      <w:r>
        <w:t xml:space="preserve"> </w:t>
      </w:r>
      <w:r>
        <w:rPr>
          <w:bCs/>
          <w:b/>
        </w:rPr>
        <w:t xml:space="preserve">without gating mode</w:t>
      </w:r>
      <w:r>
        <w:t xml:space="preserve">.</w:t>
      </w:r>
    </w:p>
    <w:bookmarkEnd w:id="21"/>
    <w:bookmarkStart w:id="22" w:name="X47bfd9f272dc9597bff0fe3ed20113a8a170734"/>
    <w:p>
      <w:pPr>
        <w:pStyle w:val="Heading2"/>
      </w:pPr>
      <w:r>
        <w:t xml:space="preserve">3. Why this argument is stronger than the economic one from earlier today</w:t>
      </w:r>
    </w:p>
    <w:p>
      <w:pPr>
        <w:pStyle w:val="FirstParagraph"/>
      </w:pPr>
      <w:r>
        <w:t xml:space="preserve">Earlier in this same session, §14.45 and the published post argued for local execution on</w:t>
      </w:r>
      <w:r>
        <w:t xml:space="preserve"> </w:t>
      </w:r>
      <w:r>
        <w:rPr>
          <w:bCs/>
          <w:b/>
        </w:rPr>
        <w:t xml:space="preserve">economic</w:t>
      </w:r>
      <w:r>
        <w:t xml:space="preserve"> </w:t>
      </w:r>
      <w:r>
        <w:t xml:space="preserve">grounds: harness token intensity makes metered pricing unviable for deep industrial workflows. That argument is sound and is now in the thesis. It is also the</w:t>
      </w:r>
      <w:r>
        <w:t xml:space="preserve"> </w:t>
      </w:r>
      <w:r>
        <w:rPr>
          <w:iCs/>
          <w:i/>
        </w:rPr>
        <w:t xml:space="preserve">weaker</w:t>
      </w:r>
      <w:r>
        <w:t xml:space="preserve"> </w:t>
      </w:r>
      <w:r>
        <w:t xml:space="preserve">of the two DWS holds.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Continuity</w:t>
            </w:r>
            <w:r>
              <w:t xml:space="preserve"> </w:t>
            </w:r>
            <w:r>
              <w:t xml:space="preserve">(this note)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Economics</w:t>
            </w:r>
            <w:r>
              <w:t xml:space="preserve"> </w:t>
            </w:r>
            <w:r>
              <w:t xml:space="preserve">(§14.45)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workflows survive network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Unpredictable per-token exposure → bounded cost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Provable today</w:t>
            </w:r>
            <w:r>
              <w:t xml:space="preserve"> </w:t>
            </w:r>
            <w:r>
              <w:t xml:space="preserve">— pull the cable during the pilot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Awaits measurement</w:t>
            </w:r>
            <w:r>
              <w:t xml:space="preserve"> </w:t>
            </w:r>
            <w:r>
              <w:t xml:space="preserve">— the depth-curve knee is unrun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Operations, security, continuity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Finance, 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if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Demonstrable on site,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 collapses quietly under audit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Lead with continuity in pilot material.</w:t>
      </w:r>
      <w:r>
        <w:t xml:space="preserve"> </w:t>
      </w:r>
      <w:r>
        <w:t xml:space="preserve">It is demonstrable now, it does not depend on the unrun sweep, and it is the argument a hybrid-war buyer is already making internally. Keep the economic argument in the same conversation — but it must not be load-bearing in a proposal while it still carries an unmeasured constant.</w:t>
      </w:r>
    </w:p>
    <w:p>
      <w:pPr>
        <w:pStyle w:val="BodyText"/>
      </w:pPr>
      <w:r>
        <w:t xml:space="preserve">This is also a useful check on the day’s earlier enthusiasm: the session spent considerable effort making the economic case rigorous, and the stronger commercial case was sitting one premise away the whole time.</w:t>
      </w:r>
    </w:p>
    <w:bookmarkEnd w:id="22"/>
    <w:bookmarkStart w:id="23" w:name="regulatory-anchoring"/>
    <w:p>
      <w:pPr>
        <w:pStyle w:val="Heading2"/>
      </w:pPr>
      <w:r>
        <w:t xml:space="preserve">4. Regulatory anchoring</w:t>
      </w:r>
    </w:p>
    <w:p>
      <w:pPr>
        <w:pStyle w:val="FirstParagraph"/>
      </w:pPr>
      <w:r>
        <w:t xml:space="preserve">Not only commercial. NIS2 and the CER Directive already impose continuity obligations on essential and critical entities. More sharply: the</w:t>
      </w:r>
      <w:r>
        <w:t xml:space="preserve"> </w:t>
      </w:r>
      <w:r>
        <w:rPr>
          <w:bCs/>
          <w:b/>
        </w:rPr>
        <w:t xml:space="preserve">EU AI Act Article 12 record must exist for decisions taken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during</w:t>
      </w:r>
      <w:r>
        <w:rPr>
          <w:bCs/>
          <w:b/>
        </w:rPr>
        <w:t xml:space="preserve"> </w:t>
      </w:r>
      <w:r>
        <w:rPr>
          <w:bCs/>
          <w:b/>
        </w:rPr>
        <w:t xml:space="preserve">an outage</w:t>
      </w:r>
      <w:r>
        <w:t xml:space="preserve">, not be reconstructed afterwards. An architecture whose evidence chain pauses when the uplink drops has an Article 12 gap at exactly the moment the record matters most — during the disruption it is meant to document.</w:t>
      </w:r>
    </w:p>
    <w:p>
      <w:pPr>
        <w:pStyle w:val="BodyText"/>
      </w:pPr>
      <w:r>
        <w:t xml:space="preserve">That reframes the requirement from resilience engineering into compliance engineering, which is the layer DWS actually sells.</w:t>
      </w:r>
    </w:p>
    <w:bookmarkEnd w:id="23"/>
    <w:bookmarkStart w:id="26" w:name="what-was-done-and-how-q6-was-answered"/>
    <w:p>
      <w:pPr>
        <w:pStyle w:val="Heading2"/>
      </w:pPr>
      <w:r>
        <w:t xml:space="preserve">5. What was done, and how Q6 was answered</w:t>
      </w:r>
    </w:p>
    <w:p>
      <w:pPr>
        <w:pStyle w:val="FirstParagraph"/>
      </w:pPr>
      <w:r>
        <w:rPr>
          <w:bCs/>
          <w:b/>
        </w:rPr>
        <w:t xml:space="preserve">Done:</w:t>
      </w:r>
      <w:r>
        <w:t xml:space="preserve"> </w:t>
      </w:r>
      <w:r>
        <w:t xml:space="preserve">the decision recorded here and as a reusable requirement set (</w:t>
      </w:r>
      <w:r>
        <w:rPr>
          <w:rStyle w:val="VerbatimChar"/>
        </w:rPr>
        <w:t xml:space="preserve">kb/wiki/concepts/network-independent-critical-operation.md</w:t>
      </w:r>
      <w:r>
        <w:t xml:space="preserve">, with a five-point architecture test);</w:t>
      </w:r>
      <w:r>
        <w:t xml:space="preserve"> </w:t>
      </w:r>
      <w:r>
        <w:rPr>
          <w:rStyle w:val="VerbatimChar"/>
        </w:rPr>
        <w:t xml:space="preserve">Store/PRODUCT_AEGIS.md</w:t>
      </w:r>
      <w:r>
        <w:t xml:space="preserve"> </w:t>
      </w:r>
      <w:r>
        <w:t xml:space="preserve">rewritten to separate deployment modes from pricing tiers, with the premise scoped to the control-room case rather than claimed product-wide.</w:t>
      </w:r>
    </w:p>
    <w:p>
      <w:pPr>
        <w:pStyle w:val="BodyText"/>
      </w:pPr>
      <w:r>
        <w:rPr>
          <w:bCs/>
          <w:b/>
        </w:rPr>
        <w:t xml:space="preserve">Still not done — deliberately:</w:t>
      </w:r>
      <w:r>
        <w:t xml:space="preserve"> </w:t>
      </w:r>
      <w:r>
        <w:t xml:space="preserve">no pricing change, no</w:t>
      </w:r>
      <w:r>
        <w:t xml:space="preserve"> </w:t>
      </w:r>
      <w:r>
        <w:rPr>
          <w:rStyle w:val="VerbatimChar"/>
        </w:rPr>
        <w:t xml:space="preserve">DWS_DEPLOYMENT_STANDARD.md</w:t>
      </w:r>
      <w:r>
        <w:t xml:space="preserve"> </w:t>
      </w:r>
      <w:r>
        <w:t xml:space="preserve">rewrite, no roadmap re-sequencing. Those follow from the modes model but are separate work.</w:t>
      </w:r>
    </w:p>
    <w:bookmarkStart w:id="24" w:name="q6-answered-by-the-hic-30.07.2026"/>
    <w:p>
      <w:pPr>
        <w:pStyle w:val="Heading3"/>
      </w:pPr>
      <w:r>
        <w:t xml:space="preserve">Q6 — ANSWERED by the HIC, 30.07.2026</w:t>
      </w:r>
    </w:p>
    <w:p>
      <w:pPr>
        <w:pStyle w:val="FirstParagraph"/>
      </w:pPr>
      <w:r>
        <w:rPr>
          <w:bCs/>
          <w:b/>
        </w:rPr>
        <w:t xml:space="preserve">Answer: none of the three options as posed. The question was mis-framed, and the HIC re-framed it.</w:t>
      </w:r>
    </w:p>
    <w:p>
      <w:pPr>
        <w:pStyle w:val="BlockText"/>
      </w:pPr>
      <w:r>
        <w:t xml:space="preserve">“</w:t>
      </w:r>
      <w:r>
        <w:t xml:space="preserve">We had turned deployment into pricing tiers, which created the contradiction. The cleaner model is</w:t>
      </w:r>
      <w:r>
        <w:t xml:space="preserve"> </w:t>
      </w:r>
      <w:r>
        <w:rPr>
          <w:bCs/>
          <w:b/>
        </w:rPr>
        <w:t xml:space="preserve">deployment modes, not tiers</w:t>
      </w:r>
      <w:r>
        <w:t xml:space="preserve">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Deployment mode and commercial tier are different axes.</w:t>
      </w:r>
      <w:r>
        <w:t xml:space="preserve"> </w:t>
      </w:r>
      <w:r>
        <w:t xml:space="preserve">Mode is determined by what the workload is; tier by hardware, SLA, support and sovereignty requirements. My three options all argued about</w:t>
      </w:r>
      <w:r>
        <w:t xml:space="preserve"> </w:t>
      </w:r>
      <w:r>
        <w:rPr>
          <w:iCs/>
          <w:i/>
        </w:rPr>
        <w:t xml:space="preserve">which tier</w:t>
      </w:r>
      <w:r>
        <w:t xml:space="preserve"> </w:t>
      </w:r>
      <w:r>
        <w:t xml:space="preserve">should carry offline capability — which accepted the very framing that produced the contradiction. The resolution is to stop gating mode by tier at all.</w:t>
      </w:r>
    </w:p>
    <w:p>
      <w:pPr>
        <w:pStyle w:val="BodyText"/>
      </w:pPr>
      <w:r>
        <w:rPr>
          <w:bCs/>
          <w:b/>
        </w:rPr>
        <w:t xml:space="preserve">The three modes, as decided: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950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stays on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/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control rooms, critical and dual-use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evidence, identity, logs, kill authority. No network dependency for the core outcome.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guarantees plus central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execution; optional sync, backup, reporting to EU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EU-sovereign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Non-critical enterprise workloads, reporting,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network-dependent by design, and appropriate where that is acceptable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hard commercial boundary the HIC set, and which I had crossed.</w:t>
      </w:r>
      <w:r>
        <w:t xml:space="preserve"> </w:t>
      </w:r>
      <w:r>
        <w:t xml:space="preserve">v1.0 of this note stated the premise product-wide, and the product-doc edit that accompanied it said Aegis</w:t>
      </w:r>
      <w:r>
        <w:t xml:space="preserve"> </w:t>
      </w:r>
      <w:r>
        <w:t xml:space="preserve">“</w:t>
      </w:r>
      <w:r>
        <w:t xml:space="preserve">is designed on the premise that loss of network connectivity must not stop production</w:t>
      </w:r>
      <w:r>
        <w:t xml:space="preserve">”</w:t>
      </w:r>
      <w:r>
        <w:t xml:space="preserve"> </w:t>
      </w:r>
      <w:r>
        <w:t xml:space="preserve">without qualification. That over-claims. The correct statement is narrower and now in the product doc:</w:t>
      </w:r>
      <w:r>
        <w:t xml:space="preserve"> </w:t>
      </w:r>
      <w:r>
        <w:rPr>
          <w:bCs/>
          <w:b/>
        </w:rPr>
        <w:t xml:space="preserve">local-first is required for the control-room deployment; cloud remains a valid mode elsewhere.</w:t>
      </w:r>
      <w:r>
        <w:t xml:space="preserve"> </w:t>
      </w:r>
      <w:r>
        <w:t xml:space="preserve">Do not claim every Aegis deployment is offline by default. Corrected in v1.1.</w:t>
      </w:r>
    </w:p>
    <w:p>
      <w:pPr>
        <w:pStyle w:val="BodyText"/>
      </w:pPr>
      <w:r>
        <w:rPr>
          <w:bCs/>
          <w:b/>
        </w:rPr>
        <w:t xml:space="preserve">Pilot path:</w:t>
      </w:r>
      <w:r>
        <w:t xml:space="preserve"> </w:t>
      </w:r>
      <w:r>
        <w:t xml:space="preserve">prove the local path on</w:t>
      </w:r>
      <w:r>
        <w:t xml:space="preserve"> </w:t>
      </w:r>
      <w:r>
        <w:rPr>
          <w:bCs/>
          <w:b/>
        </w:rPr>
        <w:t xml:space="preserve">existing customer hardware or a small edge appliance, before any DGX procurement</w:t>
      </w:r>
      <w:r>
        <w:t xml:space="preserve">. Hardware scale-up is a decision the pilot informs, not a precondition for starting.</w:t>
      </w:r>
    </w:p>
    <w:p>
      <w:pPr>
        <w:pStyle w:val="BodyText"/>
      </w:pPr>
      <w:r>
        <w:rPr>
          <w:bCs/>
          <w:b/>
        </w:rPr>
        <w:t xml:space="preserve">Price correction, same day (v1.2).</w:t>
      </w:r>
      <w:r>
        <w:t xml:space="preserve"> </w:t>
      </w:r>
      <w:r>
        <w:t xml:space="preserve">This note originally cited</w:t>
      </w:r>
      <w:r>
        <w:t xml:space="preserve"> </w:t>
      </w:r>
      <w:r>
        <w:t xml:space="preserve">“</w:t>
      </w:r>
      <w:r>
        <w:t xml:space="preserve">reference scope ~€45K over three months (April 2026 engagement model,</w:t>
      </w:r>
      <w:r>
        <w:t xml:space="preserve"> </w:t>
      </w:r>
      <w:r>
        <w:rPr>
          <w:rStyle w:val="VerbatimChar"/>
        </w:rPr>
        <w:t xml:space="preserve">.claude/archive/2026-04-15/...dws-iq-aegis-lwm-strategy.md</w:t>
      </w:r>
      <w:r>
        <w:t xml:space="preserve">)</w:t>
      </w:r>
      <w:r>
        <w:t xml:space="preserve">”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DWS-AEGIS-PILOT-001</w:t>
      </w:r>
      <w:r>
        <w:t xml:space="preserve"> </w:t>
      </w:r>
      <w:r>
        <w:t xml:space="preserve">shipped at €45,000 in</w:t>
      </w:r>
      <w:r>
        <w:t xml:space="preserve"> </w:t>
      </w:r>
      <w:r>
        <w:rPr>
          <w:rStyle w:val="VerbatimChar"/>
        </w:rPr>
        <w:t xml:space="preserve">5ed749f</w:t>
      </w:r>
      <w:r>
        <w:t xml:space="preserve"> </w:t>
      </w:r>
      <w:r>
        <w:t xml:space="preserve">on that basis.</w:t>
      </w:r>
      <w:r>
        <w:t xml:space="preserve"> </w:t>
      </w:r>
      <w:r>
        <w:rPr>
          <w:bCs/>
          <w:b/>
        </w:rPr>
        <w:t xml:space="preserve">That was a misread and is retained here per Rule 12.</w:t>
      </w:r>
      <w:r>
        <w:t xml:space="preserve"> </w:t>
      </w:r>
      <w:r>
        <w:t xml:space="preserve">The April figure is a</w:t>
      </w:r>
      <w:r>
        <w:t xml:space="preserve"> </w:t>
      </w:r>
      <w:r>
        <w:rPr>
          <w:iCs/>
          <w:i/>
        </w:rPr>
        <w:t xml:space="preserve">three-phase programme total</w:t>
      </w:r>
      <w:r>
        <w:t xml:space="preserve"> </w:t>
      </w:r>
      <w:r>
        <w:t xml:space="preserve">— Audit 2wk €5,000 + agent-in-production 6wk €15,000 + LWM integration 8wk €25,000 — and it is</w:t>
      </w:r>
      <w:r>
        <w:t xml:space="preserve"> </w:t>
      </w:r>
      <w:r>
        <w:rPr>
          <w:bCs/>
          <w:b/>
        </w:rPr>
        <w:t xml:space="preserve">additive</w:t>
      </w:r>
      <w:r>
        <w:t xml:space="preserve"> </w:t>
      </w:r>
      <w:r>
        <w:t xml:space="preserve">to the licence, not a pilot price. Only the middle phase is a pilot. Two things followed from the error: a</w:t>
      </w:r>
      <w:r>
        <w:t xml:space="preserve"> </w:t>
      </w:r>
      <w:r>
        <w:t xml:space="preserve">“</w:t>
      </w:r>
      <w:r>
        <w:t xml:space="preserve">pilot</w:t>
      </w:r>
      <w:r>
        <w:t xml:space="preserve">”</w:t>
      </w:r>
      <w:r>
        <w:t xml:space="preserve"> </w:t>
      </w:r>
      <w:r>
        <w:t xml:space="preserve">at 75% of the €59,990 onboarding is the product under a lower-commitment name, and crediting €45,000 in full leaves €14,990 for a fleet rollout across 21 industries, which is not deliverable.</w:t>
      </w:r>
    </w:p>
    <w:p>
      <w:pPr>
        <w:pStyle w:val="BodyText"/>
      </w:pPr>
      <w:r>
        <w:rPr>
          <w:bCs/>
          <w:b/>
        </w:rPr>
        <w:t xml:space="preserve">Corrected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0a791c7</w:t>
      </w:r>
      <w:r>
        <w:rPr>
          <w:bCs/>
          <w:b/>
        </w:rPr>
        <w:t xml:space="preserve">, on HIC approval: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DWS-AEGIS-PILOT-001</w:t>
            </w:r>
            <w:r>
              <w:t xml:space="preserve"> </w:t>
            </w:r>
            <w:r>
              <w:t xml:space="preserve">— Aegis Pilot, 3 months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€19,990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in full against €59,990 onboarding, within 6 months, capped at €19,990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DWS-AEGIS-IMPL-001</w:t>
            </w:r>
            <w:r>
              <w:t xml:space="preserve"> </w:t>
            </w:r>
            <w:r>
              <w:t xml:space="preserve">— Aegis Implementation Programme, 3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€45,000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 additive. Phase 3 (LWM integration) is work onboarding does not contain, so crediting it would charge once for two pieces of work</w:t>
            </w:r>
          </w:p>
        </w:tc>
      </w:tr>
    </w:tbl>
    <w:p>
      <w:pPr>
        <w:pStyle w:val="BodyText"/>
      </w:pPr>
      <w:r>
        <w:t xml:space="preserve">The word</w:t>
      </w:r>
      <w:r>
        <w:t xml:space="preserve"> </w:t>
      </w:r>
      <w:r>
        <w:t xml:space="preserve">“</w:t>
      </w:r>
      <w:r>
        <w:t xml:space="preserve">pilot</w:t>
      </w:r>
      <w:r>
        <w:t xml:space="preserve">”</w:t>
      </w:r>
      <w:r>
        <w:t xml:space="preserve"> </w:t>
      </w:r>
      <w:r>
        <w:t xml:space="preserve">appears nowhere in the implementation SKU’s id, mpn, name, title or frontmatter — that ambiguity is what produced the error, and it must not be re-introducible by autocomplete. The live figure remains sourced from</w:t>
      </w:r>
      <w:r>
        <w:t xml:space="preserve"> </w:t>
      </w:r>
      <w:r>
        <w:rPr>
          <w:rStyle w:val="VerbatimChar"/>
        </w:rPr>
        <w:t xml:space="preserve">dws10.com/config/products.json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priceVersion</w:t>
      </w:r>
      <w:r>
        <w:t xml:space="preserve"> </w:t>
      </w:r>
      <w:r>
        <w:t xml:space="preserve">1.25, cause recorded in</w:t>
      </w:r>
      <w:r>
        <w:t xml:space="preserve"> </w:t>
      </w:r>
      <w:r>
        <w:rPr>
          <w:rStyle w:val="VerbatimChar"/>
        </w:rPr>
        <w:t xml:space="preserve">priceHistory</w:t>
      </w:r>
      <w:r>
        <w:t xml:space="preserve">), never from this note.</w:t>
      </w:r>
    </w:p>
    <w:p>
      <w:pPr>
        <w:pStyle w:val="BodyText"/>
      </w:pPr>
      <w:r>
        <w:rPr>
          <w:bCs/>
          <w:b/>
        </w:rPr>
        <w:t xml:space="preserve">The wording guard the HIC required</w:t>
      </w:r>
      <w:r>
        <w:t xml:space="preserve">, present in both</w:t>
      </w:r>
      <w:r>
        <w:t xml:space="preserve"> </w:t>
      </w:r>
      <w:r>
        <w:rPr>
          <w:rStyle w:val="VerbatimChar"/>
        </w:rPr>
        <w:t xml:space="preserve">products.json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Store/PRODUCT_AEGIS_PILOT.md</w:t>
      </w:r>
      <w:r>
        <w:t xml:space="preserve">: what the €19,990 includes (one site, one control-room workflow, one deployment-mode recommendation, that workflow’s agent set only, local execution/evidence/identity/logs/kill authority on existing or edge hardware, production sizing from measured behaviour); the</w:t>
      </w:r>
      <w:r>
        <w:t xml:space="preserve"> </w:t>
      </w:r>
      <w:r>
        <w:rPr>
          <w:bCs/>
          <w:b/>
        </w:rPr>
        <w:t xml:space="preserve">binary acceptance KPI</w:t>
      </w:r>
      <w:r>
        <w:t xml:space="preserve"> </w:t>
      </w:r>
      <w:r>
        <w:t xml:space="preserve">(uplink severed → workflow completes, Article 12 record still written locally, operator can still stop a running agent — all three, or it is a delivered negative result); and what sits outside the credit (LWM integration, hardware, multi-site, other industries, custom ERP/BIM, the implementation programme).</w:t>
      </w:r>
    </w:p>
    <w:p>
      <w:pPr>
        <w:pStyle w:val="BodyText"/>
      </w:pPr>
      <w:r>
        <w:rPr>
          <w:bCs/>
          <w:b/>
        </w:rPr>
        <w:t xml:space="preserve">Applied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Store/PRODUCT_AEGIS.md</w:t>
      </w:r>
      <w:r>
        <w:rPr>
          <w:bCs/>
          <w:b/>
        </w:rPr>
        <w:t xml:space="preserve">:</w:t>
      </w:r>
      <w:r>
        <w:t xml:space="preserve"> </w:t>
      </w:r>
      <w:r>
        <w:t xml:space="preserve">a Deployment Modes section replacing the per-tier hardware framing; the Sovereign tier’s differentiator changed from</w:t>
      </w:r>
      <w:r>
        <w:t xml:space="preserve"> </w:t>
      </w:r>
      <w:r>
        <w:t xml:space="preserve">“</w:t>
      </w:r>
      <w:r>
        <w:t xml:space="preserve">air-gapped / on-premises option</w:t>
      </w:r>
      <w:r>
        <w:t xml:space="preserve">”</w:t>
      </w:r>
      <w:r>
        <w:t xml:space="preserve"> </w:t>
      </w:r>
      <w:r>
        <w:t xml:space="preserve">to clearance support, dedicated engineering, custom SLA and sovereignty assurance; and an explicit statement that tiers price hardware, SLA, support and sovereignty but</w:t>
      </w:r>
      <w:r>
        <w:t xml:space="preserve"> </w:t>
      </w:r>
      <w:r>
        <w:rPr>
          <w:bCs/>
          <w:b/>
        </w:rPr>
        <w:t xml:space="preserve">do not gate deployment mode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Still unverified, and option-3’s old dependency survives the re-framing:</w:t>
      </w:r>
      <w:r>
        <w:t xml:space="preserve"> </w:t>
      </w:r>
      <w:r>
        <w:t xml:space="preserve">whether the base tiers can deliver local identity, logs and kill authority without customer-sited hardware. Modes do not answer engineering feasibility — they only stop pricing from pretending to.</w:t>
      </w:r>
    </w:p>
    <w:p>
      <w:pPr>
        <w:pStyle w:val="BodyText"/>
      </w:pPr>
      <w:r>
        <w:rPr>
          <w:iCs/>
          <w:i/>
        </w:rPr>
        <w:t xml:space="preserve">Superseded question, retained per Rule 12:</w:t>
      </w:r>
    </w:p>
    <w:bookmarkEnd w:id="24"/>
    <w:bookmarkStart w:id="25" w:name="X75d5e0a722e7c5c4018462d358a12218f682017"/>
    <w:p>
      <w:pPr>
        <w:pStyle w:val="Heading3"/>
      </w:pPr>
      <w:r>
        <w:t xml:space="preserve">HIC question Q6 (as originally posed — superseded above)</w:t>
      </w:r>
    </w:p>
    <w:p>
      <w:pPr>
        <w:pStyle w:val="FirstParagraph"/>
      </w:pPr>
      <w:r>
        <w:rPr>
          <w:bCs/>
          <w:b/>
        </w:rPr>
        <w:t xml:space="preserve">Q6. Network-independent operation is now the premise for the dual-use case. Does it move into the base tiers, or stay a Sovereign-tier capability?</w:t>
      </w:r>
    </w:p>
    <w:p>
      <w:pPr>
        <w:pStyle w:val="BodyText"/>
      </w:pPr>
      <w:r>
        <w:rPr>
          <w:bCs/>
          <w:b/>
        </w:rPr>
        <w:t xml:space="preserve">Options: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Move offline-capable operation into Aegis Standard and Defence.</w:t>
      </w:r>
      <w:r>
        <w:t xml:space="preserve"> </w:t>
      </w:r>
      <w:r>
        <w:t xml:space="preserve">Matches the premise exactly: every dual-use manufacturing pilot gets it, because every such facility is critical infrastructure. Cost: it removes the single clearest reason to buy Sovereign, and Standard/Defence are currently software-only with no customer-sited hardware assumption — so the tier economics change materially.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it in Sovereign; state the premise product-wide.</w:t>
      </w:r>
      <w:r>
        <w:t xml:space="preserve"> </w:t>
      </w:r>
      <w:r>
        <w:t xml:space="preserve">The overview says loss of connectivity must not stop production; the</w:t>
      </w:r>
      <w:r>
        <w:t xml:space="preserve"> </w:t>
      </w:r>
      <w:r>
        <w:rPr>
          <w:iCs/>
          <w:i/>
        </w:rPr>
        <w:t xml:space="preserve">implementation</w:t>
      </w:r>
      <w:r>
        <w:t xml:space="preserve"> </w:t>
      </w:r>
      <w:r>
        <w:t xml:space="preserve">that delivers it remains the Sovereign tier. Preserves the pricing ladder. Risk: a buyer who reads the premise and then finds it costs €4,999/mo experiences it as a bait, which is worse than never having claimed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Split the requirement.</w:t>
      </w:r>
      <w:r>
        <w:t xml:space="preserve"> </w:t>
      </w:r>
      <w:r>
        <w:t xml:space="preserve">Local evidence, local kill authority and graceful degradation become baseline in all tiers (they are governance, and DWS sells governance). Full local</w:t>
      </w:r>
      <w:r>
        <w:t xml:space="preserve"> </w:t>
      </w:r>
      <w:r>
        <w:rPr>
          <w:iCs/>
          <w:i/>
        </w:rPr>
        <w:t xml:space="preserve">execution</w:t>
      </w:r>
      <w:r>
        <w:t xml:space="preserve"> </w:t>
      </w:r>
      <w:r>
        <w:t xml:space="preserve">of the physical layer stays Sovereign, because it genuinely requires customer-sited hardware DWS does not resell.</w:t>
      </w:r>
    </w:p>
    <w:p>
      <w:pPr>
        <w:pStyle w:val="FirstParagraph"/>
      </w:pPr>
      <w:r>
        <w:rPr>
          <w:bCs/>
          <w:b/>
        </w:rPr>
        <w:t xml:space="preserve">(RECOMMEND: 3.</w:t>
      </w:r>
      <w:r>
        <w:t xml:space="preserve"> </w:t>
      </w:r>
      <w:r>
        <w:t xml:space="preserve">It is the only option where the tier boundary follows a real technical boundary rather than a pricing preference. Requirements 2 and 5 — local identity/logs/kill authority, and specified degradation — are software and governance; DWS can and should deliver them everywhere, and requirement 2 in particular is where the Article 12 gap in §4 actually bites. Requirement 1’s</w:t>
      </w:r>
      <w:r>
        <w:t xml:space="preserve"> </w:t>
      </w:r>
      <w:r>
        <w:rPr>
          <w:iCs/>
          <w:i/>
        </w:rPr>
        <w:t xml:space="preserve">execution</w:t>
      </w:r>
      <w:r>
        <w:t xml:space="preserve"> </w:t>
      </w:r>
      <w:r>
        <w:t xml:space="preserve">half needs a box on site, which is a genuine Sovereign-tier distinction and defensible to a buyer as such. Option 1 gives away the tier for nothing; option 2 states a premise the base product cannot honour, which is the failure mode this session has been correcting all day.)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Reversibility:</w:t>
      </w:r>
      <w:r>
        <w:t xml:space="preserve"> </w:t>
      </w:r>
      <w:r>
        <w:t xml:space="preserve">two-way door while it is internal wording; becomes</w:t>
      </w:r>
      <w:r>
        <w:t xml:space="preserve"> </w:t>
      </w:r>
      <w:r>
        <w:rPr>
          <w:bCs/>
          <w:b/>
        </w:rPr>
        <w:t xml:space="preserve">ONE-WAY</w:t>
      </w:r>
      <w:r>
        <w:t xml:space="preserve"> </w:t>
      </w:r>
      <w:r>
        <w:t xml:space="preserve">the moment it is quoted in a pilot proposal or a price list, because a capability promised and then re-scoped is a trust event.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Unblocks:</w:t>
      </w:r>
      <w:r>
        <w:t xml:space="preserve"> </w:t>
      </w:r>
      <w:r>
        <w:t xml:space="preserve">pilot scoping for dual-use manufacturing; whether</w:t>
      </w:r>
      <w:r>
        <w:t xml:space="preserve"> </w:t>
      </w:r>
      <w:r>
        <w:rPr>
          <w:rStyle w:val="VerbatimChar"/>
        </w:rPr>
        <w:t xml:space="preserve">DWS_DEPLOYMENT_STANDARD.md</w:t>
      </w:r>
      <w:r>
        <w:t xml:space="preserve"> </w:t>
      </w:r>
      <w:r>
        <w:t xml:space="preserve">needs a degraded-mode profile per tier; the Aegis roadmap’s edge-cloud split (item 4, Q1 2027).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 of delay:</w:t>
      </w:r>
      <w:r>
        <w:t xml:space="preserve"> </w:t>
      </w:r>
      <w:r>
        <w:t xml:space="preserve">moderate and rising. The premise is now stated in a public-facing product document; leaving the tier question open means the first buyer conversation resolves it by accident.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Rests on: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— the decision itself is a direct HIC statement, and the product-doc conflict is quoted from the file.</w:t>
      </w:r>
      <w:r>
        <w:t xml:space="preserve"> </w:t>
      </w:r>
      <w:r>
        <w:rPr>
          <w:bCs/>
          <w:b/>
        </w:rPr>
        <w:t xml:space="preserve">Not verified:</w:t>
      </w:r>
      <w:r>
        <w:t xml:space="preserve"> </w:t>
      </w:r>
      <w:r>
        <w:t xml:space="preserve">that Standard/Defence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deliver requirements 2 and 5 without customer hardware. That is an engineering question this note does not answer and option 3 depends on.</w:t>
      </w:r>
    </w:p>
    <w:bookmarkEnd w:id="25"/>
    <w:bookmarkEnd w:id="26"/>
    <w:bookmarkStart w:id="27" w:name="the-five-step-learning-standard-record"/>
    <w:p>
      <w:pPr>
        <w:pStyle w:val="Heading2"/>
      </w:pPr>
      <w:r>
        <w:t xml:space="preserve">6. The five-step Learning Standard record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316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kb/wiki/concepts/network-independent-critical-operation.md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this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Learn/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Learn/2026-07-30-network-independent-critical-operation.html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2026 DWS6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HIC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Q6</w:t>
            </w:r>
            <w:r>
              <w:t xml:space="preserve">, §5</w:t>
            </w:r>
          </w:p>
        </w:tc>
      </w:tr>
    </w:tbl>
    <w:bookmarkEnd w:id="27"/>
    <w:bookmarkStart w:id="28" w:name="provenance-note"/>
    <w:p>
      <w:pPr>
        <w:pStyle w:val="Heading2"/>
      </w:pPr>
      <w:r>
        <w:t xml:space="preserve">7. Provenance note</w:t>
      </w:r>
    </w:p>
    <w:p>
      <w:pPr>
        <w:pStyle w:val="FirstParagraph"/>
      </w:pPr>
      <w:r>
        <w:t xml:space="preserve">Recorded per the HIC’s instruction as a</w:t>
      </w:r>
      <w:r>
        <w:t xml:space="preserve"> </w:t>
      </w:r>
      <w:r>
        <w:rPr>
          <w:bCs/>
          <w:b/>
        </w:rPr>
        <w:t xml:space="preserve">locked decision in the current workstream</w:t>
      </w:r>
      <w:r>
        <w:t xml:space="preserve">. The HIC noted that an attempt to persist it as a durable profile fact in an external system hit that system’s size limit — which is precisely the failure mode</w:t>
      </w:r>
      <w:r>
        <w:t xml:space="preserve"> </w:t>
      </w:r>
      <w:r>
        <w:rPr>
          <w:rStyle w:val="VerbatimChar"/>
        </w:rPr>
        <w:t xml:space="preserve">DWS_LEARNING_STANDARD.md</w:t>
      </w:r>
      <w:r>
        <w:t xml:space="preserve"> </w:t>
      </w:r>
      <w:r>
        <w:t xml:space="preserve">§1 names: knowledge that only an ephemeral session held. It is therefore recorded here, in git, where it survives.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follows DWS Document Standard and DWS Learning Standard (EU AI Act Article 14).</w:t>
      </w:r>
      <w:r>
        <w:t xml:space="preserve"> </w:t>
      </w:r>
      <w:r>
        <w:rPr>
          <w:iCs/>
          <w:i/>
        </w:rPr>
        <w:t xml:space="preserve">Ontology: Defence &amp; Dual-Use &gt; Critical Manufacturing &gt; Continuity Under Hybrid Threat &gt; Network-Independent Operation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2026-07-30T22:33:51Z</dcterms:created>
  <dcterms:modified xsi:type="dcterms:W3CDTF">2026-07-30T22:33:51Z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