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VERSION AND AGENT HISTORY</w:t>
      </w:r>
      <w:r>
        <w:t xml:space="preserve"> </w:t>
      </w:r>
      <w:r>
        <w:t xml:space="preserve">Document: Session Learning Outcome — Jev-KYA 4B Nemotron-4 Distillation Pipeline &amp; Proxy Trust Hardening</w:t>
      </w:r>
      <w:r>
        <w:t xml:space="preserve"> </w:t>
      </w:r>
      <w:r>
        <w:t xml:space="preserve">Version: 1.0</w:t>
      </w:r>
      <w:r>
        <w:t xml:space="preserve"> </w:t>
      </w:r>
      <w:r>
        <w:t xml:space="preserve">Date: 2026-09-20</w:t>
      </w:r>
      <w:r>
        <w:t xml:space="preserve"> </w:t>
      </w:r>
      <w:r>
        <w:t xml:space="preserve">Author: Risto Anton Päärni (risto.paarni@lifetime.fi), Founder, CEO, Lifetime Oy</w:t>
      </w:r>
      <w:r>
        <w:t xml:space="preserve"> </w:t>
      </w:r>
      <w:r>
        <w:t xml:space="preserve">Owner: Lifetime Oy (Business ID: 0772407-9)</w:t>
      </w:r>
      <w:r>
        <w:t xml:space="preserve"> </w:t>
      </w:r>
      <w:r>
        <w:t xml:space="preserve">Status: Active / Approved</w:t>
      </w:r>
      <w:r>
        <w:t xml:space="preserve"> </w:t>
      </w:r>
      <w:r>
        <w:t xml:space="preserve">Agent: Antigravity (Google DeepMind), session feat/jev-kya-nemotron-distillation-plan</w:t>
      </w:r>
      <w:r>
        <w:t xml:space="preserve"> </w:t>
      </w:r>
      <w:r>
        <w:t xml:space="preserve">Legal basis: EU AI Act Article 14 (Human-in-Command) &amp; Article 12 (Audit Logging); DWS Learning Standard; DWS Rule 14 (Cost Policy &amp; Sovereignty)</w:t>
      </w:r>
      <w:r>
        <w:t xml:space="preserve"> </w:t>
      </w:r>
      <w:r>
        <w:t xml:space="preserve">***</w:t>
      </w:r>
    </w:p>
    <w:bookmarkStart w:id="36" w:name="Xe2205f357288400a548aa41a31f2c568df576fb"/>
    <w:p>
      <w:pPr>
        <w:pStyle w:val="Heading1"/>
      </w:pPr>
      <w:r>
        <w:t xml:space="preserve">Session Learning Outcome: Jev-KYA 4B Nemotron-4 Distillation &amp; Proxy Trust Hardening</w:t>
      </w:r>
    </w:p>
    <w:bookmarkStart w:id="20" w:name="executive-summary-context"/>
    <w:p>
      <w:pPr>
        <w:pStyle w:val="Heading2"/>
      </w:pPr>
      <w:r>
        <w:t xml:space="preserve">1. Executive Summary &amp; Context</w:t>
      </w:r>
    </w:p>
    <w:p>
      <w:pPr>
        <w:pStyle w:val="FirstParagraph"/>
      </w:pPr>
      <w:r>
        <w:t xml:space="preserve">Tämä dokumentti tallentaa virallisen istunnon oppimistuloksen (Session Learning Outcome) ja arkkitehtuurisuunnitelman, joka yhdistää kaksi kriittistä virstanpylvästä DWS6-alustalla: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Proxy-validaattorin tietoturvapäivitys (Proxy Trust Hardening):</w:t>
      </w:r>
      <w:r>
        <w:t xml:space="preserve"> </w:t>
      </w:r>
      <w:r>
        <w:rPr>
          <w:rStyle w:val="VerbatimChar"/>
        </w:rPr>
        <w:t xml:space="preserve">proxy-addr</w:t>
      </w:r>
      <w:r>
        <w:t xml:space="preserve">-kirjaston IPv4-mapped IPv6 -osoitteiden väärennöshaavoittuvuuden (IP spoofing) eliminointi ja luotettujen aliverkkojen validointi (</w:t>
      </w:r>
      <w:r>
        <w:rPr>
          <w:rStyle w:val="VerbatimChar"/>
        </w:rPr>
        <w:t xml:space="preserve">src/middleware/proxy-trust-validator.middleware.ts</w:t>
      </w:r>
      <w:r>
        <w:t xml:space="preserve">, PR #2048 / commit</w:t>
      </w:r>
      <w:r>
        <w:t xml:space="preserve"> </w:t>
      </w:r>
      <w:r>
        <w:rPr>
          <w:rStyle w:val="VerbatimChar"/>
        </w:rPr>
        <w:t xml:space="preserve">d11f9d3bc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Jev-KYA 4B -mallin tislausputki yhdellä DGX Spark -noodilla:</w:t>
      </w:r>
      <w:r>
        <w:t xml:space="preserve"> </w:t>
      </w:r>
      <w:r>
        <w:t xml:space="preserve">Täydellinen, nelivaiheinen sekventiaalinen resurssi- ja suoritusmalli, jolla synteettisen KYA-aineiston tuotanto, laadunarviointi ja oppilasmallin koulutus toteutetaan paikallisesti Grace Blackwell (GB10) -laitteistolla 100 % suvereniteetilla ilman pilvikuluja.</w:t>
      </w:r>
    </w:p>
    <w:p>
      <w:pPr>
        <w:pStyle w:val="FirstParagraph"/>
      </w:pPr>
      <w:r>
        <w:t xml:space="preserve">Lähestymistapa toteuttaa</w:t>
      </w:r>
      <w:r>
        <w:t xml:space="preserve"> </w:t>
      </w:r>
      <w:r>
        <w:rPr>
          <w:bCs/>
          <w:b/>
        </w:rPr>
        <w:t xml:space="preserve">Vaihtoehdon 3</w:t>
      </w:r>
      <w:r>
        <w:t xml:space="preserve"> </w:t>
      </w:r>
      <w:r>
        <w:t xml:space="preserve">(kattava ratkaisu: sekä valmis proxy-validaattorin kytkentä että DGX Spark -mallitislauksen resurssisuunnitelma dokumentoidaan viralliseksi oppimistulokseksi ja liitetään koodikantaan).</w:t>
      </w:r>
    </w:p>
    <w:p>
      <w:r>
        <w:pict>
          <v:rect style="width:0;height:1.5pt" o:hralign="center" o:hrstd="t" o:hr="t"/>
        </w:pict>
      </w:r>
    </w:p>
    <w:bookmarkEnd w:id="20"/>
    <w:bookmarkStart w:id="23" w:name="X91f9c449f8ef1be3a582a5f5d7539d289bce25f"/>
    <w:p>
      <w:pPr>
        <w:pStyle w:val="Heading2"/>
      </w:pPr>
      <w:r>
        <w:t xml:space="preserve">2. Osa I: Proxy-validaattorin päivitys (Security Hardening)</w:t>
      </w:r>
    </w:p>
    <w:bookmarkStart w:id="21" w:name="haavoittuvuuden-tausta-ja-korjaus"/>
    <w:p>
      <w:pPr>
        <w:pStyle w:val="Heading3"/>
      </w:pPr>
      <w:r>
        <w:t xml:space="preserve">2.1 Haavoittuvuuden tausta ja korjaus</w:t>
      </w:r>
    </w:p>
    <w:p>
      <w:pPr>
        <w:pStyle w:val="FirstParagraph"/>
      </w:pPr>
      <w:r>
        <w:t xml:space="preserve">DWS-alustan API-reitityksessä ja reunaliikenteessä käytettävä</w:t>
      </w:r>
      <w:r>
        <w:t xml:space="preserve"> </w:t>
      </w:r>
      <w:r>
        <w:rPr>
          <w:rStyle w:val="VerbatimChar"/>
        </w:rPr>
        <w:t xml:space="preserve">proxy-addr</w:t>
      </w:r>
      <w:r>
        <w:t xml:space="preserve">-kirjasto sisälsi riskin IP-osoitteen väärentämisestä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-otsikon kautta tietyissä aliverkkokonfiguraatioissa, joissa IPv4-kartoitettuja IPv6-osoitteita (IPv4-mapped IPv6, esim.</w:t>
      </w:r>
      <w:r>
        <w:t xml:space="preserve"> </w:t>
      </w:r>
      <w:r>
        <w:rPr>
          <w:rStyle w:val="VerbatimChar"/>
        </w:rPr>
        <w:t xml:space="preserve">::ffff:10.0.0.0/8</w:t>
      </w:r>
      <w:r>
        <w:t xml:space="preserve">) käsiteltiin virheellisellä etuliitepituudella täyden</w:t>
      </w:r>
      <w:r>
        <w:t xml:space="preserve"> </w:t>
      </w:r>
      <w:r>
        <w:rPr>
          <w:rStyle w:val="VerbatimChar"/>
        </w:rPr>
        <w:t xml:space="preserve">/104</w:t>
      </w:r>
      <w:r>
        <w:t xml:space="preserve">-etuliitteen sijasta.</w:t>
      </w:r>
    </w:p>
    <w:p>
      <w:pPr>
        <w:pStyle w:val="BodyText"/>
      </w:pPr>
      <w:r>
        <w:t xml:space="preserve">Tämä haavoittuvuus korjattiin toteuttamalla tiukka väliohjelmisto: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Tiedosto:</w:t>
      </w:r>
      <w:r>
        <w:t xml:space="preserve"> </w:t>
      </w:r>
      <w:r>
        <w:rPr>
          <w:rStyle w:val="VerbatimChar"/>
        </w:rPr>
        <w:t xml:space="preserve">src/middleware/proxy-trust-validator.middleware.ts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Testit:</w:t>
      </w:r>
      <w:r>
        <w:t xml:space="preserve"> </w:t>
      </w:r>
      <w:r>
        <w:rPr>
          <w:rStyle w:val="VerbatimChar"/>
        </w:rPr>
        <w:t xml:space="preserve">src/__tests__/proxy-trust-validator.test.ts</w:t>
      </w:r>
      <w:r>
        <w:t xml:space="preserve"> </w:t>
      </w:r>
      <w:r>
        <w:t xml:space="preserve">(150 riviä kattavaa yksikkö- ja integraatiotestausta)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App-integraatio:</w:t>
      </w:r>
      <w:r>
        <w:t xml:space="preserve"> </w:t>
      </w:r>
      <w:r>
        <w:rPr>
          <w:rStyle w:val="VerbatimChar"/>
        </w:rPr>
        <w:t xml:space="preserve">src/app.ts</w:t>
      </w:r>
    </w:p>
    <w:bookmarkEnd w:id="21"/>
    <w:bookmarkStart w:id="22" w:name="suojatut-järjestelmäkerrokset"/>
    <w:p>
      <w:pPr>
        <w:pStyle w:val="Heading3"/>
      </w:pPr>
      <w:r>
        <w:t xml:space="preserve">2.2 Suojatut järjestelmäkerrokset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IP-pohjainen pääsynhallinta:</w:t>
      </w:r>
      <w:r>
        <w:t xml:space="preserve"> </w:t>
      </w:r>
      <w:r>
        <w:t xml:space="preserve">Estetään luvattomat bypass-yritykset hallintapinnan ja KYA-validaattoreiden rajapinnoissa.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Pyyntöjen nopeusrajoitus (Rate Limiting):</w:t>
      </w:r>
      <w:r>
        <w:t xml:space="preserve"> </w:t>
      </w:r>
      <w:r>
        <w:t xml:space="preserve">Estetään DoS- ja brute-force-hyökkäykset estämällä asiakasta naamioitumasta useiksi IP-osoitteiksi.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Geolokaatiotarkastukset:</w:t>
      </w:r>
      <w:r>
        <w:t xml:space="preserve"> </w:t>
      </w:r>
      <w:r>
        <w:t xml:space="preserve">Varmistetaan maantieteellisen ja EU-suvereniteettialueen oikeellisuus.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Audit-lokitus (EU AI Act Art. 12):</w:t>
      </w:r>
      <w:r>
        <w:t xml:space="preserve"> </w:t>
      </w:r>
      <w:r>
        <w:t xml:space="preserve">Firehorse- ja järjestelmälokeihin tallentuvat alkuperäiset asiakas-IP:t ovat luotettavia ja todistusvoimaisia.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X9129ec906670ec85a90bd965d8c3fe34a650290"/>
    <w:p>
      <w:pPr>
        <w:pStyle w:val="Heading2"/>
      </w:pPr>
      <w:r>
        <w:t xml:space="preserve">3. Osa II: Jev-KYA 4B Tislausputki — Yhden DGX Sparkin resurssisuunnitelma</w:t>
      </w:r>
    </w:p>
    <w:bookmarkStart w:id="24" w:name="arkkitehtuurin-lähtökohdat"/>
    <w:p>
      <w:pPr>
        <w:pStyle w:val="Heading3"/>
      </w:pPr>
      <w:r>
        <w:t xml:space="preserve">3.1 Arkkitehtuurin lähtökohdat</w:t>
      </w:r>
    </w:p>
    <w:p>
      <w:pPr>
        <w:pStyle w:val="FirstParagraph"/>
      </w:pPr>
      <w:r>
        <w:t xml:space="preserve">Käytössä on yksi</w:t>
      </w:r>
      <w:r>
        <w:t xml:space="preserve"> </w:t>
      </w:r>
      <w:r>
        <w:rPr>
          <w:bCs/>
          <w:b/>
        </w:rPr>
        <w:t xml:space="preserve">DGX Spark</w:t>
      </w:r>
      <w:r>
        <w:t xml:space="preserve"> </w:t>
      </w:r>
      <w:r>
        <w:t xml:space="preserve">-noodi (NVIDIA Grace Blackwell GB10 -arkkitehtuuri, 128 GB LPDDR5x yhdistetty muisti / Blackwell FP4/FP8 -tensorikiihdyttimet, 1 PFLOPS laskentateho).</w:t>
      </w:r>
    </w:p>
    <w:p>
      <w:pPr>
        <w:pStyle w:val="BodyText"/>
      </w:pPr>
      <w:r>
        <w:t xml:space="preserve">Koska käytössä on yksi fyysinen laite, putki (pipeline) on suunniteltava</w:t>
      </w:r>
      <w:r>
        <w:t xml:space="preserve"> </w:t>
      </w:r>
      <w:r>
        <w:rPr>
          <w:bCs/>
          <w:b/>
        </w:rPr>
        <w:t xml:space="preserve">sekventiaaliseksi</w:t>
      </w:r>
      <w:r>
        <w:t xml:space="preserve">. Malleja ei ajeta samanaikaisesti rinnakkain, vaan VRAM-muisti ja Blackwellin FP8/FP4-kiihdyttimet allokoidaan jokaisessa vaiheessa kokonaan kyseisen vaiheen mallille ja tyhjennetään vaiheen päättyessä.</w:t>
      </w:r>
    </w:p>
    <w:bookmarkEnd w:id="24"/>
    <w:bookmarkStart w:id="29" w:name="Xf4a467b6088f008a0c64602cac359ecea5e183a"/>
    <w:p>
      <w:pPr>
        <w:pStyle w:val="Heading3"/>
      </w:pPr>
      <w:r>
        <w:t xml:space="preserve">3.2 Sekventiaalinen suoritusputki (Sequential Execution Pipeline)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JEV-KYA 4B TISLAUSPUTKI (DGX SPARK GB10)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│  [Vaihe 1: Datan generointi] ──(Nemotron-4 340B-Instruct FP8)──► Raaka data      │</w:t>
      </w:r>
      <w:r>
        <w:br/>
      </w:r>
      <w:r>
        <w:rPr>
          <w:rStyle w:val="VerbatimChar"/>
        </w:rPr>
        <w:t xml:space="preserve">│  • Kesto: ~6–8 h                                                (100k+ skenaariot)│</w:t>
      </w:r>
      <w:r>
        <w:br/>
      </w:r>
      <w:r>
        <w:rPr>
          <w:rStyle w:val="VerbatimChar"/>
        </w:rPr>
        <w:t xml:space="preserve">│  • VRAM: ~340 GB virtuaalinen/paloiteltu / FP8 batching                          │</w:t>
      </w:r>
      <w:r>
        <w:br/>
      </w:r>
      <w:r>
        <w:rPr>
          <w:rStyle w:val="VerbatimChar"/>
        </w:rPr>
        <w:t xml:space="preserve">│  • Toimenpide: VRAM tyhjennys                                                   │</w:t>
      </w:r>
      <w:r>
        <w:br/>
      </w:r>
      <w:r>
        <w:rPr>
          <w:rStyle w:val="VerbatimChar"/>
        </w:rPr>
        <w:t xml:space="preserve">│                                │                                                 │</w:t>
      </w:r>
      <w:r>
        <w:br/>
      </w:r>
      <w:r>
        <w:rPr>
          <w:rStyle w:val="VerbatimChar"/>
        </w:rPr>
        <w:t xml:space="preserve">│                                ▼                                                 │</w:t>
      </w:r>
      <w:r>
        <w:br/>
      </w:r>
      <w:r>
        <w:rPr>
          <w:rStyle w:val="VerbatimChar"/>
        </w:rPr>
        <w:t xml:space="preserve">│  [Vaihe 2: Karsinta &amp; kuratointi] ──(Nemotron-4 340B-Reward)───► Kultastandardi  │</w:t>
      </w:r>
      <w:r>
        <w:br/>
      </w:r>
      <w:r>
        <w:rPr>
          <w:rStyle w:val="VerbatimChar"/>
        </w:rPr>
        <w:t xml:space="preserve">│  • Kesto: ~4–5 h                                                (Top 10–20 %,    │</w:t>
      </w:r>
      <w:r>
        <w:br/>
      </w:r>
      <w:r>
        <w:rPr>
          <w:rStyle w:val="VerbatimChar"/>
        </w:rPr>
        <w:t xml:space="preserve">│  • Toiminta: LLM-as-a-Judge pisteytys (0–100)                    50k laatudataa) │</w:t>
      </w:r>
      <w:r>
        <w:br/>
      </w:r>
      <w:r>
        <w:rPr>
          <w:rStyle w:val="VerbatimChar"/>
        </w:rPr>
        <w:t xml:space="preserve">│  • Toimenpide: Tallennus .jsonl + VRAM tyhjennys                                │</w:t>
      </w:r>
      <w:r>
        <w:br/>
      </w:r>
      <w:r>
        <w:rPr>
          <w:rStyle w:val="VerbatimChar"/>
        </w:rPr>
        <w:t xml:space="preserve">│                                │                                                 │</w:t>
      </w:r>
      <w:r>
        <w:br/>
      </w:r>
      <w:r>
        <w:rPr>
          <w:rStyle w:val="VerbatimChar"/>
        </w:rPr>
        <w:t xml:space="preserve">│                                ▼                                                 │</w:t>
      </w:r>
      <w:r>
        <w:br/>
      </w:r>
      <w:r>
        <w:rPr>
          <w:rStyle w:val="VerbatimChar"/>
        </w:rPr>
        <w:t xml:space="preserve">│  [Vaihe 3: Oppilaan koulutus] ──(Llama-3.2-3B / 4B Base)───────► 4B Jev-KYA      │</w:t>
      </w:r>
      <w:r>
        <w:br/>
      </w:r>
      <w:r>
        <w:rPr>
          <w:rStyle w:val="VerbatimChar"/>
        </w:rPr>
        <w:t xml:space="preserve">│  • Kesto: ~2–4 h                                                Huippumalli     │</w:t>
      </w:r>
      <w:r>
        <w:br/>
      </w:r>
      <w:r>
        <w:rPr>
          <w:rStyle w:val="VerbatimChar"/>
        </w:rPr>
        <w:t xml:space="preserve">│  • Menetelmä: Full Parameter SFT &amp; Distillation BF16                            │</w:t>
      </w:r>
      <w:r>
        <w:br/>
      </w:r>
      <w:r>
        <w:rPr>
          <w:rStyle w:val="VerbatimChar"/>
        </w:rPr>
        <w:t xml:space="preserve">│  • Rinnakkaistus: FSDP / Data Parallelism kaikille DGX-ytimille                  │</w:t>
      </w:r>
      <w:r>
        <w:br/>
      </w:r>
      <w:r>
        <w:rPr>
          <w:rStyle w:val="VerbatimChar"/>
        </w:rPr>
        <w:t xml:space="preserve">│                                │                                                 │</w:t>
      </w:r>
      <w:r>
        <w:br/>
      </w:r>
      <w:r>
        <w:rPr>
          <w:rStyle w:val="VerbatimChar"/>
        </w:rPr>
        <w:t xml:space="preserve">│                                ▼                                                 │</w:t>
      </w:r>
      <w:r>
        <w:br/>
      </w:r>
      <w:r>
        <w:rPr>
          <w:rStyle w:val="VerbatimChar"/>
        </w:rPr>
        <w:t xml:space="preserve">│  [Vaihe 4: Kvantisointi &amp; Pakkaus] ────────────────────────────► Valmiit paketit │</w:t>
      </w:r>
      <w:r>
        <w:br/>
      </w:r>
      <w:r>
        <w:rPr>
          <w:rStyle w:val="VerbatimChar"/>
        </w:rPr>
        <w:t xml:space="preserve">│  • Kesto: ~1 h                                                                   │</w:t>
      </w:r>
      <w:r>
        <w:br/>
      </w:r>
      <w:r>
        <w:rPr>
          <w:rStyle w:val="VerbatimChar"/>
        </w:rPr>
        <w:t xml:space="preserve">│  • Win 11 / PC: GGUF / ONNX / TensorRT-LLM (~2.5 GB)                             │</w:t>
      </w:r>
      <w:r>
        <w:br/>
      </w:r>
      <w:r>
        <w:rPr>
          <w:rStyle w:val="VerbatimChar"/>
        </w:rPr>
        <w:t xml:space="preserve">│  • Intel Mac (2017, 16 GB): GGUF / ONNX llama.cpp CPU (~2.5 GB)                  │</w:t>
      </w:r>
      <w:r>
        <w:br/>
      </w:r>
      <w:r>
        <w:rPr>
          <w:rStyle w:val="VerbatimChar"/>
        </w:rPr>
        <w:t xml:space="preserve">│  • Paikalliset agentit: vLLM / TensorRT-LLM AWQ / FP8 (~22 ms)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Huomio Ollama-malleista tislauksen aikana:</w:t>
      </w:r>
      <w:r>
        <w:br/>
      </w:r>
      <w:r>
        <w:t xml:space="preserve">DGX Sparkilla käytössä olevat Ollama-mallit puretaan GPU-muistista (</w:t>
      </w:r>
      <w:r>
        <w:rPr>
          <w:rStyle w:val="VerbatimChar"/>
        </w:rPr>
        <w:t xml:space="preserve">sudo systemctl stop ollama</w:t>
      </w:r>
      <w:r>
        <w:t xml:space="preserve"> </w:t>
      </w:r>
      <w:r>
        <w:t xml:space="preserve">tai</w:t>
      </w:r>
      <w:r>
        <w:t xml:space="preserve"> </w:t>
      </w:r>
      <w:r>
        <w:rPr>
          <w:rStyle w:val="VerbatimChar"/>
        </w:rPr>
        <w:t xml:space="preserve">ollama stop &lt;malli&gt;</w:t>
      </w:r>
      <w:r>
        <w:t xml:space="preserve">) vaiheiden 1 ja 2 ajaksi, jotta koko 128 GB yhdistetty muisti, Blackwell-kiihdyttimet ja massiivinen KV-välimuisti vapautuvat sataprosenttisesti Nemotron-4 340B -opettaja- ja arvioijamallien käyttöön ilman OOM-riskiä.</w:t>
      </w:r>
    </w:p>
    <w:bookmarkStart w:id="25" w:name="X82ec10aa15d0913c348c657c8d443ffc6ba7a6e"/>
    <w:p>
      <w:pPr>
        <w:pStyle w:val="Heading4"/>
      </w:pPr>
      <w:r>
        <w:t xml:space="preserve">Vaihe 1: Datan generointi (Teacher Inference) — Kesto: ~6–8 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Malli:</w:t>
      </w:r>
      <w:r>
        <w:t xml:space="preserve"> </w:t>
      </w:r>
      <w:r>
        <w:rPr>
          <w:rStyle w:val="VerbatimChar"/>
        </w:rPr>
        <w:t xml:space="preserve">nvidia/nemotron-4-340b-instruct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Kokoonpano:</w:t>
      </w:r>
      <w:r>
        <w:t xml:space="preserve"> </w:t>
      </w:r>
      <w:r>
        <w:t xml:space="preserve">Ladataan opettajamalli DGX Sparkiin käyttäen vLLM- tai TensorRT-LLM -moottoria hyödyntäen Blackwellin natiivia FP8-tarkkuutta (VRAM ~340 GB virtuaalinen / paloiteltu tila).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Ajo:</w:t>
      </w:r>
      <w:r>
        <w:t xml:space="preserve"> </w:t>
      </w:r>
      <w:r>
        <w:t xml:space="preserve">Ajetaan satojatuhansia synteettisiä KYA-skenaarioita (Mandate, Attestation, validointi, poikkeustilanteet, turvallisuusrajat).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Optimointi:</w:t>
      </w:r>
      <w:r>
        <w:t xml:space="preserve"> </w:t>
      </w:r>
      <w:r>
        <w:t xml:space="preserve">Offline-eräajossa maksimoidaan</w:t>
      </w:r>
      <w:r>
        <w:t xml:space="preserve"> </w:t>
      </w:r>
      <w:r>
        <w:rPr>
          <w:rStyle w:val="VerbatimChar"/>
        </w:rPr>
        <w:t xml:space="preserve">max_num_batched_tokens</w:t>
      </w:r>
      <w:r>
        <w:t xml:space="preserve"> </w:t>
      </w:r>
      <w:r>
        <w:t xml:space="preserve">ja hyödynnetään massiivista KV-välimuistia. DGX puskee synteettistä dataa levylle satojen tuhansien tokeneiden sekuntivauhdilla.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Puhdistus:</w:t>
      </w:r>
      <w:r>
        <w:t xml:space="preserve"> </w:t>
      </w:r>
      <w:r>
        <w:t xml:space="preserve">Kun generointi on valmis, GPU:n VRAM tyhjennetään kokonaan.</w:t>
      </w:r>
    </w:p>
    <w:bookmarkEnd w:id="25"/>
    <w:bookmarkStart w:id="26" w:name="Xee048a4e1910770cc9e9cb0f1c1903c1c95f1f0"/>
    <w:p>
      <w:pPr>
        <w:pStyle w:val="Heading4"/>
      </w:pPr>
      <w:r>
        <w:t xml:space="preserve">Vaihe 2: Datan karsinta ja kuratointi (Reward Evaluation) — Kesto: ~4–5 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Malli:</w:t>
      </w:r>
      <w:r>
        <w:t xml:space="preserve"> </w:t>
      </w:r>
      <w:r>
        <w:rPr>
          <w:rStyle w:val="VerbatimChar"/>
        </w:rPr>
        <w:t xml:space="preserve">nvidia/nemotron-4-340b-reward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Kokoonpano:</w:t>
      </w:r>
      <w:r>
        <w:t xml:space="preserve"> </w:t>
      </w:r>
      <w:r>
        <w:t xml:space="preserve">Ladataan arvioijamalli VRAMiin.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Ajo:</w:t>
      </w:r>
      <w:r>
        <w:t xml:space="preserve"> </w:t>
      </w:r>
      <w:r>
        <w:t xml:space="preserve">Syötetään Vaiheen 1 tuottamat KYA-päätökset (Prompt + Agentin vaste ja perusteluketju) Reward-mallille.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Suodatus:</w:t>
      </w:r>
      <w:r>
        <w:t xml:space="preserve"> </w:t>
      </w:r>
      <w:r>
        <w:t xml:space="preserve">LLM-as-a-Judge pisteytys (asteikko 0–100). Hylätään kaikki paitsi täydelliset suoritukset (top 10–20 %), luoden virheetön ~50 000 laadukkaan päätöksen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-dataset, joka keskittyy tiukasti Jev-KYA-konformanssiin.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Puhdistus:</w:t>
      </w:r>
      <w:r>
        <w:t xml:space="preserve"> </w:t>
      </w:r>
      <w:r>
        <w:t xml:space="preserve">Aineisto tallennetaan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-tiedostona levylle ja VRAM tyhjennetään.</w:t>
      </w:r>
    </w:p>
    <w:bookmarkEnd w:id="26"/>
    <w:bookmarkStart w:id="27" w:name="X01777db14b05d11ece0eefb3f1ee611d7108a07"/>
    <w:p>
      <w:pPr>
        <w:pStyle w:val="Heading4"/>
      </w:pPr>
      <w:r>
        <w:t xml:space="preserve">Vaihe 3: Oppilaan koulutus (4B SFT &amp; Distillation) — Kesto: ~2–4 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Malli:</w:t>
      </w:r>
      <w:r>
        <w:t xml:space="preserve"> </w:t>
      </w:r>
      <w:r>
        <w:t xml:space="preserve">4B-pohjamalli (esim.</w:t>
      </w:r>
      <w:r>
        <w:t xml:space="preserve"> </w:t>
      </w:r>
      <w:r>
        <w:rPr>
          <w:rStyle w:val="VerbatimChar"/>
        </w:rPr>
        <w:t xml:space="preserve">Llama-3.2-3B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Kokoonpano:</w:t>
      </w:r>
      <w:r>
        <w:t xml:space="preserve"> </w:t>
      </w:r>
      <w:r>
        <w:t xml:space="preserve">Koulutus ajetaan täytenä hienosäätönä (</w:t>
      </w:r>
      <w:r>
        <w:rPr>
          <w:bCs/>
          <w:b/>
        </w:rPr>
        <w:t xml:space="preserve">Full Parameter Fine-Tuning</w:t>
      </w:r>
      <w:r>
        <w:t xml:space="preserve">, BF16) FSDP / Data Parallelism -menetelmällä kaikille DGX-ytimille.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Nopeus:</w:t>
      </w:r>
      <w:r>
        <w:t xml:space="preserve"> </w:t>
      </w:r>
      <w:r>
        <w:t xml:space="preserve">Pienen mallin koulutus järeällä Blackwell-raudalla on äärimmäisen nopeaa — 2–3 epookin ajo kestää vain 2–4 tuntia.</w:t>
      </w:r>
    </w:p>
    <w:bookmarkEnd w:id="27"/>
    <w:bookmarkStart w:id="28" w:name="X95b00b06789b9de51e709ae8040f3137ca5089f"/>
    <w:p>
      <w:pPr>
        <w:pStyle w:val="Heading4"/>
      </w:pPr>
      <w:r>
        <w:t xml:space="preserve">Vaihe 4: Kvantisointi ja pakkaus Edge-laitteille — Kesto: ~1 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Windows 11 / PC-reunalaitteet:</w:t>
      </w:r>
      <w:r>
        <w:t xml:space="preserve"> </w:t>
      </w:r>
      <w:r>
        <w:t xml:space="preserve">GGUF / ONNX / TensorRT-LLM Windows-tuella (~2.5 GB).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Intel Mac (2017, 16 GB RAM):</w:t>
      </w:r>
      <w:r>
        <w:t xml:space="preserve"> </w:t>
      </w:r>
      <w:r>
        <w:t xml:space="preserve">GGUF / ONNX -muoto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:n kautta CPU-päättelyllä (~2.5 GB).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Paikalliset agentit / Teollisuus-GPU:t:</w:t>
      </w:r>
      <w:r>
        <w:t xml:space="preserve"> </w:t>
      </w:r>
      <w:r>
        <w:t xml:space="preserve">vLLM / TensorRT-LLM AWQ / FP8 (~22 ms latenssi päätöstä kohti).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X8b38042818a187de654f14e2f75b22f2dd9cbe7"/>
    <w:p>
      <w:pPr>
        <w:pStyle w:val="Heading2"/>
      </w:pPr>
      <w:r>
        <w:t xml:space="preserve">4. Osa III: Miksi tämä on ylivoimainen lähestymistapa?</w:t>
      </w:r>
    </w:p>
    <w:bookmarkStart w:id="31" w:name="X93f7c5b7ee26110a3cd17ba904d91bc827363f0"/>
    <w:p>
      <w:pPr>
        <w:pStyle w:val="Heading3"/>
      </w:pPr>
      <w:r>
        <w:t xml:space="preserve">4.1 Ei kompromisseja laadussa (Domain-spesifi älykkyys)</w:t>
      </w:r>
    </w:p>
    <w:p>
      <w:pPr>
        <w:pStyle w:val="FirstParagraph"/>
      </w:pPr>
      <w:r>
        <w:t xml:space="preserve">Tislaus siirtää Nemotron-4 340B -jättimallin päättelyrakenteen ja sääntölogiikan 4B-malliin. 4B-oppilasmalli omaksuu KYA-standardin, mandaattien validoinnin ja todistusketjujen laadinnan ilman tarvetta raahata mukanaan yleisen maailmantiedon (kuten taiteen, runouden tai yleishistorian) aiheuttamaa laskentapainolastia.</w:t>
      </w:r>
    </w:p>
    <w:bookmarkEnd w:id="31"/>
    <w:bookmarkStart w:id="32" w:name="Xe6cd5f7a96427aceb2889811f2659eb0a042dd5"/>
    <w:p>
      <w:pPr>
        <w:pStyle w:val="Heading3"/>
      </w:pPr>
      <w:r>
        <w:t xml:space="preserve">4.2 DWS Rule 14: Kustannuspolitiikka ja suvereniteetti (Zero Marginal Cost)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100 % sisäinen data ja infrastruktuuri:</w:t>
      </w:r>
      <w:r>
        <w:t xml:space="preserve"> </w:t>
      </w:r>
      <w:r>
        <w:t xml:space="preserve">Aineiston luonti, arvostelu ja koulutus tapahtuvat Espoossa sijaitsevalla paikallisella DGX Spark -noodilla. Yhtäkään tavua luottamuksellista sääntely- tai agenttilokia ei siirretä julkisiin pilvipalveluihin.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Kustannustehokkuus tuotannossa:</w:t>
      </w:r>
      <w:r>
        <w:t xml:space="preserve"> </w:t>
      </w:r>
      <w:r>
        <w:t xml:space="preserve">Koko tislausputki vaatii alle 24 tuntia yhden koneen sähköä ja ajoaikaa (kertakustannus).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Nollakustannus inferenssissä:</w:t>
      </w:r>
      <w:r>
        <w:t xml:space="preserve"> </w:t>
      </w:r>
      <w:r>
        <w:t xml:space="preserve">Kun malli on viety reunaan (Mac tai vLLM), miljoonat KYA-päätökset maksavat tasan</w:t>
      </w:r>
      <w:r>
        <w:t xml:space="preserve"> </w:t>
      </w:r>
      <w:r>
        <w:rPr>
          <w:bCs/>
          <w:b/>
        </w:rPr>
        <w:t xml:space="preserve">0 euroa API-kuluina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osa-iv-eu-ai-act-hallintavaatimukset"/>
    <w:p>
      <w:pPr>
        <w:pStyle w:val="Heading2"/>
      </w:pPr>
      <w:r>
        <w:t xml:space="preserve">5. Osa IV: EU AI Act &amp; Hallintavaatimukset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Sääntelyvaatimus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Toteutus Jev-KYA 4B -mallissa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Artikla 14 (Inhimillinen valvonta / HIC)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Deterministiset turvallisuusrajat (</w:t>
            </w:r>
            <w:r>
              <w:rPr>
                <w:rStyle w:val="VerbatimChar"/>
              </w:rPr>
              <w:t xml:space="preserve">SECURITY_CONSTANTS</w:t>
            </w:r>
            <w:r>
              <w:t xml:space="preserve">), 72 tunnin inhimillinen portti ja 5 ms / 50 ms hätäpysäytys (Kill Switch).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Artikla 12 (Lokitus ja jäljitettävyys)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Kaikki päätöstapahtumat tallennetaan Firehorse-arkkitehtuurin mukaisesti kryptografisesti allekirjoitettuna JSONL-virtana.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Artikla 50 (Tekoälyn läpinäkyvyys)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Mallin tuottamat KYA-todisteet sisältävät selkeät koneellisen alkuperän tunnisteet ja validointitiedot.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40162ff4d310006fcc3684f34346af0ee876f22"/>
    <w:p>
      <w:pPr>
        <w:pStyle w:val="Heading2"/>
      </w:pPr>
      <w:r>
        <w:t xml:space="preserve">6. Päätöskysymys ihmiselle (HIC Decision Gate)</w:t>
      </w:r>
    </w:p>
    <w:p>
      <w:pPr>
        <w:pStyle w:val="BlockText"/>
      </w:pPr>
      <w:r>
        <w:rPr>
          <w:bCs/>
          <w:b/>
        </w:rPr>
        <w:t xml:space="preserve">HIC Decision Question:</w:t>
      </w:r>
      <w:r>
        <w:br/>
      </w:r>
      <w:r>
        <w:t xml:space="preserve">Hyväksytäänkö tämä Jev-KYA 4B -mallin sekventiaalinen tislaussuunnitelma ja proxy-validaattorin tietoturvalukitus viralliseksi toteutusohjeeksi, ja voidaanko seuraavaksi luoda suoritettava batch-ajuri (</w:t>
      </w:r>
      <w:r>
        <w:rPr>
          <w:rStyle w:val="VerbatimChar"/>
        </w:rPr>
        <w:t xml:space="preserve">scripts/runners/kya-distill-runner.py</w:t>
      </w:r>
      <w:r>
        <w:t xml:space="preserve">) DGX Spark -ympäristöön?</w:t>
      </w:r>
    </w:p>
    <w:p>
      <w:r>
        <w:pict>
          <v:rect style="width:0;height:1.5pt" o:hralign="center" o:hrstd="t" o:hr="t"/>
        </w:pic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2026-09-20T04:32:47Z</dcterms:created>
  <dcterms:modified xsi:type="dcterms:W3CDTF">2026-09-20T04:32:47Z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