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Writer"/>
      </w:pPr>
      <w:r>
        <w:t>Risto Anton Päärni</w:t>
      </w:r>
    </w:p>
    <w:p>
      <w:pPr>
        <w:pStyle w:val="TitleoftheThesis"/>
      </w:pPr>
      <w:r>
        <w:t>Firehorse-tuotevalmistuksen toimintamalli</w:t>
      </w:r>
    </w:p>
    <w:p>
      <w:pPr>
        <w:pStyle w:val="SubtitleoftheThesis"/>
      </w:pPr>
      <w:r>
        <w:t>Hybridi AI-edge-arkkitehtuuri ilmastoälykkäille teollisille alustoille</w:t>
      </w:r>
    </w:p>
    <w:p>
      <w:pPr>
        <w:pStyle w:val="CoverPageInformation"/>
      </w:pPr>
      <w:r>
        <w:t>Metropolia Ammattikorkeakoulu</w:t>
      </w:r>
    </w:p>
    <w:p>
      <w:pPr>
        <w:pStyle w:val="CoverPageInformation"/>
      </w:pPr>
      <w:r>
        <w:t>Insinööri (ylempi AMK)</w:t>
      </w:r>
    </w:p>
    <w:p>
      <w:pPr>
        <w:pStyle w:val="CoverPageInformation"/>
      </w:pPr>
      <w:r>
        <w:t>Smart Factory</w:t>
      </w:r>
    </w:p>
    <w:p>
      <w:pPr>
        <w:pStyle w:val="CoverPageInformation"/>
      </w:pPr>
      <w:r>
        <w:t>Opinnäytetyö</w:t>
      </w:r>
    </w:p>
    <w:p>
      <w:pPr>
        <w:pStyle w:val="CoverPageInformation"/>
      </w:pPr>
      <w:r>
        <w:t>10.2.2026</w:t>
      </w:r>
    </w:p>
    <w:p>
      <w:pPr>
        <w:sectPr>
          <w:headerReference w:type="default" r:id="rId32"/>
          <w:pgSz w:w="11906" w:h="16838" w:code="9"/>
          <w:pgMar w:top="1134" w:right="1134" w:bottom="1701" w:left="2268" w:header="567" w:footer="567" w:gutter="0"/>
          <w:pgNumType w:start="1"/>
          <w:cols w:space="708"/>
          <w:docGrid w:linePitch="360"/>
        </w:sectPr>
      </w:pPr>
    </w:p>
    <w:p>
      <w:pPr>
        <w:pStyle w:val="AbstractHeading"/>
      </w:pPr>
      <w:r>
        <w:t>Abstract</w:t>
      </w:r>
    </w:p>
    <w:p>
      <w:pPr>
        <w:pStyle w:val="Abstract"/>
      </w:pPr>
      <w:r>
        <w:t>Author:</w:t>
        <w:tab/>
        <w:t>Risto Anton Päärni</w:t>
      </w:r>
    </w:p>
    <w:p>
      <w:pPr>
        <w:pStyle w:val="Abstract"/>
      </w:pPr>
      <w:r>
        <w:t>Title:</w:t>
        <w:tab/>
        <w:t>Firehorse Product Manufacturing Operating Model: Hybrid AI-Edge Architecture for Climate-Intelligent Industrial Platforms</w:t>
      </w:r>
    </w:p>
    <w:p>
      <w:pPr>
        <w:pStyle w:val="Abstract"/>
      </w:pPr>
      <w:r>
        <w:t>Number of Pages:</w:t>
        <w:tab/>
        <w:t>xx pages + 7 appendices</w:t>
      </w:r>
    </w:p>
    <w:p>
      <w:pPr>
        <w:pStyle w:val="Abstract"/>
      </w:pPr>
      <w:r>
        <w:t>Date:</w:t>
        <w:tab/>
        <w:t>10 February 2026</w:t>
      </w:r>
    </w:p>
    <w:p>
      <w:pPr>
        <w:pStyle w:val="Abstract"/>
      </w:pPr>
      <w:r>
        <w:t>Degree:</w:t>
        <w:tab/>
        <w:t>Master of Engineering</w:t>
      </w:r>
    </w:p>
    <w:p>
      <w:pPr>
        <w:pStyle w:val="Abstract"/>
      </w:pPr>
      <w:r>
        <w:t>Degree Programme:</w:t>
        <w:tab/>
        <w:t>Smart Factory</w:t>
      </w:r>
    </w:p>
    <w:p>
      <w:pPr>
        <w:pStyle w:val="Abstract"/>
      </w:pPr>
      <w:r>
        <w:t>Supervisors:</w:t>
        <w:tab/>
        <w:t>Lehtori Jarno Varteva</w:t>
      </w:r>
    </w:p>
    <w:p>
      <w:pPr>
        <w:pStyle w:val="Abstract"/>
      </w:pPr>
      <w:r>
        <w:tab/>
        <w:t>Lehtori Erkki Räsänen</w:t>
      </w:r>
    </w:p>
    <w:p>
      <w:pPr>
        <w:pStyle w:val="BodyTextNoSpacing"/>
      </w:pPr>
      <w:r>
        <w:t>This thesis examines the Firehorse product manufacturing operating model, a hybrid cloud-edge architecture designed for climate-intelligent industrial platforms serving EU-regulated SMEs. The study addresses the dual transition challenge (digital + green) facing European industrial enterprises, particularly in the construction sector, which accounts for 36–40 % of EU lifecycle emissions. The research documents the development journey from concept to validated MVP, covering technology selection, customer validation, and regulatory compliance mapping across 16 EU industries affected by the Fit for 55 package. Key findings include a validated 2-month payback period through edge AI (82 % cost reduction vs. cloud-only), €10k MRR during pilot phase from logistics customers, and +62 % development velocity through MCP Hub multi-agent orchestration. The thesis contributes the Lifetime Scope Signals protocol for multi-agent coordination and the Solution Factory model as a replicable framework for bootstrapped industrial AI startups.</w:t>
      </w:r>
    </w:p>
    <w:p>
      <w:pPr>
        <w:pStyle w:val="Abstract"/>
      </w:pPr>
      <w:r>
        <w:t>Keywords:</w:t>
        <w:tab/>
        <w:t>Artificial Intelligence, Edge Computing, Construction Industry, Operating Model, Cloud Services, EU AI Act, Fit for 55, Multi-Agent Systems</w:t>
      </w:r>
    </w:p>
    <w:p>
      <w:pPr>
        <w:pStyle w:val="Abstract"/>
      </w:pPr>
      <w:r>
        <w:t>___________________________________________________________</w:t>
      </w:r>
    </w:p>
    <w:p>
      <w:pPr>
        <w:pStyle w:val="Abstract"/>
      </w:pPr>
      <w:r/>
    </w:p>
    <w:p>
      <w:pPr>
        <w:pStyle w:val="Abstract"/>
      </w:pPr>
      <w:r>
        <w:t>The originality of this thesis has been checked using Turnitin Originality Check service.</w:t>
      </w:r>
    </w:p>
    <w:p>
      <w:pPr>
        <w:sectPr>
          <w:pgSz w:w="11906" w:h="16838" w:code="9"/>
          <w:pgMar w:top="1134" w:right="1134" w:bottom="1701" w:left="2268" w:header="567" w:footer="567" w:gutter="0"/>
          <w:pgNumType w:start="1"/>
          <w:cols w:space="708"/>
          <w:docGrid w:linePitch="360"/>
        </w:sectPr>
      </w:pPr>
    </w:p>
    <w:p>
      <w:pPr>
        <w:pStyle w:val="Finnishabstractheading"/>
      </w:pPr>
      <w:r>
        <w:t>Tiivistelmä</w:t>
      </w:r>
    </w:p>
    <w:p>
      <w:pPr>
        <w:pStyle w:val="Finnishabstract"/>
      </w:pPr>
      <w:r>
        <w:t xml:space="preserve">Tekijä: </w:t>
        <w:tab/>
        <w:t>Risto Anton Päärni</w:t>
      </w:r>
    </w:p>
    <w:p>
      <w:pPr>
        <w:pStyle w:val="Finnishabstract"/>
      </w:pPr>
      <w:r>
        <w:t>Otsikko:</w:t>
        <w:tab/>
        <w:t>Firehorse-tuotevalmistuksen toimintamalli: Hybridi AI-edge-arkkitehtuuri ilmastoälykkäille teollisille alustoille</w:t>
      </w:r>
    </w:p>
    <w:p>
      <w:pPr>
        <w:pStyle w:val="Finnishabstract"/>
      </w:pPr>
      <w:r>
        <w:t>Sivumäärä:</w:t>
        <w:tab/>
        <w:t>xx sivua + 7 liitettä</w:t>
      </w:r>
    </w:p>
    <w:p>
      <w:pPr>
        <w:pStyle w:val="Finnishabstract"/>
      </w:pPr>
      <w:r>
        <w:t>Aika:</w:t>
        <w:tab/>
        <w:t>10.2.2026</w:t>
      </w:r>
    </w:p>
    <w:p>
      <w:pPr>
        <w:pStyle w:val="Finnishabstract"/>
      </w:pPr>
      <w:r>
        <w:t>Tutkinto:</w:t>
        <w:tab/>
        <w:t>Insinööri (ylempi AMK)</w:t>
      </w:r>
    </w:p>
    <w:p>
      <w:pPr>
        <w:pStyle w:val="Finnishabstract"/>
      </w:pPr>
      <w:r>
        <w:t>Tutkinto-ohjelma:</w:t>
        <w:tab/>
        <w:t>Smart Factory</w:t>
      </w:r>
    </w:p>
    <w:p>
      <w:pPr>
        <w:pStyle w:val="Finnishabstract"/>
      </w:pPr>
      <w:r>
        <w:t>Ohjaajat:</w:t>
        <w:tab/>
        <w:t>Lehtori Jarno Varteva</w:t>
        <w:br/>
        <w:tab/>
        <w:t>Lehtori Erkki Räsänen</w:t>
      </w:r>
    </w:p>
    <w:p>
      <w:pPr>
        <w:pStyle w:val="Leiptekstiilmanvlistyst"/>
      </w:pPr>
      <w:r>
        <w:t>Tämä opinnäytetyö tutkii Firehorse-tuotevalmistuksen toimintamallia, joka yhdistää pilvi- ja reunalaskentateknologiat teollisten pk-yritysten tarpeisiin. Työ keskittyy rakennusteollisuuteen ja sen haasteisiin EU:n kaksoissiirtymässä (digitaalinen + vihreä). Tutkimus dokumentoi kehitysmatkan konseptista validoituun MVP-versioon kattaen teknologiavalinnat, asiakasvalidoinnin ja sääntelyvaatimustenmukaisuuskartoituksen 16 EU-teollisuudenalalla, joihin Fit for 55 -paketti vaikuttaa. Keskeiset löydökset sisältävät validoidun 2 kuukauden takaisinmaksuajan reunatekoälyn avulla (82 % kustannusvähennys verrattuna pelkkään pilveen), €10 000 kuukausittaisen toistuvan liikevaihdon pilottivaiheen aikana logistiikka-asiakkailta sekä +62 % kehitysnopeuden parannuksen MCP Hub -moniagenttiorkestrointia käyttäen. Työ esittää Lifetime Scope Signals -protokollan moniagenttijärjestelmien koordinointiin ja Solution Factory -mallin toistettavana viitekehyksenä bootstrapatuille teollisille AI-startupeille.</w:t>
      </w:r>
    </w:p>
    <w:p>
      <w:pPr>
        <w:pStyle w:val="Finnishabstract"/>
      </w:pPr>
      <w:r>
        <w:t>Avainsanat:</w:t>
        <w:tab/>
        <w:t>tekoäly, reunalaskenta, rakennusteollisuus, toimintamalli, pilvipalvelut, EU:n tekoälysäädös, Fit for 55, moniagenttijärjestelmät</w:t>
      </w:r>
    </w:p>
    <w:p>
      <w:pPr>
        <w:sectPr>
          <w:pgSz w:w="11906" w:h="16838" w:code="9"/>
          <w:pgMar w:top="1134" w:right="1134" w:bottom="1701" w:left="2268" w:header="567" w:footer="567" w:gutter="0"/>
          <w:pgNumType w:start="1"/>
          <w:cols w:space="708"/>
          <w:docGrid w:linePitch="360"/>
        </w:sectPr>
      </w:pPr>
    </w:p>
    <w:p>
      <w:pPr>
        <w:pStyle w:val="TableofContentsHeading"/>
      </w:pPr>
      <w:r>
        <w:t>Contents</w:t>
      </w:r>
    </w:p>
    <w:p>
      <w:pPr>
        <w:pStyle w:val="BodyText"/>
      </w:pPr>
      <w:r>
        <w:t>[Sisällysluettelo päivitetään Wordissa: Valitse koko teksti Ctrl+A ja paina F9]</w:t>
      </w:r>
    </w:p>
    <w:p>
      <w:pPr>
        <w:sectPr>
          <w:pgSz w:w="11906" w:h="16838" w:code="9"/>
          <w:pgMar w:top="1134" w:right="1134" w:bottom="1701" w:left="2268" w:header="567" w:footer="567" w:gutter="0"/>
          <w:pgNumType w:start="1"/>
          <w:cols w:space="708"/>
          <w:docGrid w:linePitch="360"/>
        </w:sectPr>
      </w:pPr>
    </w:p>
    <w:p>
      <w:pPr>
        <w:pStyle w:val="Listofabbreviationsheading"/>
      </w:pPr>
      <w:r>
        <w:t>Lyhenteet</w:t>
      </w:r>
    </w:p>
    <w:p>
      <w:pPr>
        <w:pStyle w:val="Listofabbreviationsitem"/>
      </w:pPr>
      <w:r>
        <w:t>AI:</w:t>
        <w:tab/>
        <w:t>Artificial Intelligence. Tekoäly eli koneäly, joka simuloi ihmisen älykästä käyttäytymistä.</w:t>
      </w:r>
    </w:p>
    <w:p>
      <w:pPr>
        <w:pStyle w:val="Listofabbreviationsitem"/>
      </w:pPr>
      <w:r>
        <w:t>API:</w:t>
        <w:tab/>
        <w:t>Application Programming Interface. Ohjelmointirajapinta, joka mahdollistaa järjestelmien välisen kommunikaation.</w:t>
      </w:r>
    </w:p>
    <w:p>
      <w:pPr>
        <w:pStyle w:val="Listofabbreviationsitem"/>
      </w:pPr>
      <w:r>
        <w:t>CBAM:</w:t>
        <w:tab/>
        <w:t>Carbon Border Adjustment Mechanism. EU:n hiilirajamekanismi, joka estää hiilivuotoa tuontituotteissa.</w:t>
      </w:r>
    </w:p>
    <w:p>
      <w:pPr>
        <w:pStyle w:val="Listofabbreviationsitem"/>
      </w:pPr>
      <w:r>
        <w:t>CSRD:</w:t>
        <w:tab/>
        <w:t>Corporate Sustainability Reporting Directive. EU:n yritysvastuuraportointidirektiivi.</w:t>
      </w:r>
    </w:p>
    <w:p>
      <w:pPr>
        <w:pStyle w:val="Listofabbreviationsitem"/>
      </w:pPr>
      <w:r>
        <w:t>DWS:</w:t>
        <w:tab/>
        <w:t>Digital Work System. Digitaalinen työjärjestelmä, Lifetime Oy:n kehittämä alusta.</w:t>
      </w:r>
    </w:p>
    <w:p>
      <w:pPr>
        <w:pStyle w:val="Listofabbreviationsitem"/>
      </w:pPr>
      <w:r>
        <w:t>EPBD:</w:t>
        <w:tab/>
        <w:t>Energy Performance of Buildings Directive. Rakennusten energiatehokkuusdirektiivi.</w:t>
      </w:r>
    </w:p>
    <w:p>
      <w:pPr>
        <w:pStyle w:val="Listofabbreviationsitem"/>
      </w:pPr>
      <w:r>
        <w:t>ETS:</w:t>
        <w:tab/>
        <w:t>Emissions Trading System. EU:n päästökauppajärjestelmä.</w:t>
      </w:r>
    </w:p>
    <w:p>
      <w:pPr>
        <w:pStyle w:val="Listofabbreviationsitem"/>
      </w:pPr>
      <w:r>
        <w:t>GDPR:</w:t>
        <w:tab/>
        <w:t>General Data Protection Regulation. Yleinen tietosuoja-asetus (EU) 2016/679.</w:t>
      </w:r>
    </w:p>
    <w:p>
      <w:pPr>
        <w:pStyle w:val="Listofabbreviationsitem"/>
      </w:pPr>
      <w:r>
        <w:t>HIL:</w:t>
        <w:tab/>
        <w:t>Human-in-the-Loop. Ihminen-silmukassa-menetelmä, jossa ihminen on osana tekoälyjärjestelmän päätöksentekoa.</w:t>
      </w:r>
    </w:p>
    <w:p>
      <w:pPr>
        <w:pStyle w:val="Listofabbreviationsitem"/>
      </w:pPr>
      <w:r>
        <w:t>LCA:</w:t>
        <w:tab/>
        <w:t>Life Cycle Assessment. Elinkaariarviointi, tuotteen tai palvelun ympäristövaikutusten kokonaisarvio.</w:t>
      </w:r>
    </w:p>
    <w:p>
      <w:pPr>
        <w:pStyle w:val="Listofabbreviationsitem"/>
      </w:pPr>
      <w:r>
        <w:t>LLM:</w:t>
        <w:tab/>
        <w:t>Large Language Model. Suuri kielimalli, kuten Claude, GPT tai Llama.</w:t>
      </w:r>
    </w:p>
    <w:p>
      <w:pPr>
        <w:pStyle w:val="Listofabbreviationsitem"/>
      </w:pPr>
      <w:r>
        <w:t>MCP:</w:t>
        <w:tab/>
        <w:t>Model Context Protocol. Mallikontekstiprotokolla, joka mahdollistaa agenttien välisen koordinoinnin.</w:t>
      </w:r>
    </w:p>
    <w:p>
      <w:pPr>
        <w:pStyle w:val="Listofabbreviationsitem"/>
      </w:pPr>
      <w:r>
        <w:t>MRR:</w:t>
        <w:tab/>
        <w:t>Monthly Recurring Revenue. Kuukausittain toistuva liikevaihto.</w:t>
      </w:r>
    </w:p>
    <w:p>
      <w:pPr>
        <w:pStyle w:val="Listofabbreviationsitem"/>
      </w:pPr>
      <w:r>
        <w:t>MVP:</w:t>
        <w:tab/>
        <w:t>Minimum Viable Product. Pienin toimiva tuote, jolla voidaan testata liiketoimintahypoteeseja.</w:t>
      </w:r>
    </w:p>
    <w:p>
      <w:pPr>
        <w:pStyle w:val="Listofabbreviationsitem"/>
      </w:pPr>
      <w:r>
        <w:t>NIS2:</w:t>
        <w:tab/>
        <w:t>Network and Information Security Directive 2. EU:n kyberturvallisuusdirektiivi kriittiselle infrastruktuurille.</w:t>
      </w:r>
    </w:p>
    <w:p>
      <w:pPr>
        <w:pStyle w:val="Listofabbreviationsitem"/>
      </w:pPr>
      <w:r>
        <w:t>PWA:</w:t>
        <w:tab/>
        <w:t>Progressive Web App. Progressiivinen verkkosovellus, joka toimii kuten natiivisovellus.</w:t>
      </w:r>
    </w:p>
    <w:p>
      <w:pPr>
        <w:pStyle w:val="Listofabbreviationsitem"/>
      </w:pPr>
      <w:r>
        <w:t>RLS:</w:t>
        <w:tab/>
        <w:t>Row-Level Security. Rivitason suojaus, joka rajoittaa tietokantakyselyn tuloksia käyttäjäkohtaisesti.</w:t>
      </w:r>
    </w:p>
    <w:p>
      <w:pPr>
        <w:pStyle w:val="Listofabbreviationsitem"/>
      </w:pPr>
      <w:r>
        <w:t>ROI:</w:t>
        <w:tab/>
        <w:t>Return on Investment. Sijoitetun pääoman tuotto.</w:t>
      </w:r>
    </w:p>
    <w:p>
      <w:pPr>
        <w:pStyle w:val="Listofabbreviationsitem"/>
      </w:pPr>
      <w:r>
        <w:t>SaaS:</w:t>
        <w:tab/>
        <w:t>Software as a Service. Ohjelmisto palveluna, pilvipohjaisesti tuotettava ohjelmistopalvelu.</w:t>
      </w:r>
    </w:p>
    <w:p>
      <w:pPr>
        <w:pStyle w:val="Listofabbreviationsitem"/>
      </w:pPr>
      <w:r>
        <w:t>TAM:</w:t>
        <w:tab/>
        <w:t>Total Addressable Market. Kokonaismarkkinapotentiaali.</w:t>
      </w:r>
    </w:p>
    <w:p>
      <w:pPr>
        <w:sectPr>
          <w:pgSz w:w="11906" w:h="16838" w:code="9"/>
          <w:pgMar w:top="1134" w:right="1134" w:bottom="1701" w:left="2268" w:header="567" w:footer="567" w:gutter="0"/>
          <w:pgNumType w:start="1"/>
          <w:cols w:space="708"/>
          <w:docGrid w:linePitch="360"/>
        </w:sectPr>
      </w:pPr>
    </w:p>
    <w:p>
      <w:pPr>
        <w:pStyle w:val="Heading1"/>
      </w:pPr>
      <w:r>
        <w:t>Johdanto</w:t>
      </w:r>
    </w:p>
    <w:p>
      <w:pPr>
        <w:pStyle w:val="Heading2"/>
      </w:pPr>
      <w:r>
        <w:t>Tausta</w:t>
      </w:r>
    </w:p>
    <w:p>
      <w:pPr>
        <w:pStyle w:val="BodyText"/>
      </w:pPr>
      <w:r>
        <w:t>Eurooppalaiset teollisuuden pk-yritykset kohtaavat ennennäkemätöntä painetta kahdelta suunnalta samanaikaisesti. Euroopan komission Fit for 55 -paketti vaatii 55 prosentin nettopäästövähennystä vuoteen 2030 mennessä, ja samaan aikaan digitaalinen murros muuttaa liiketoiminnan perusteita tekoälyn, automaation ja reaaliaikaisen päätöksenteon kautta. Tätä yhtäaikaista muutosta kutsutaan kaksoissiirtymäksi. (European Commission 2021.)</w:t>
      </w:r>
    </w:p>
    <w:p>
      <w:pPr>
        <w:pStyle w:val="BodyText"/>
      </w:pPr>
      <w:r>
        <w:t>Rakennusteollisuus on kaksoissiirtymän ytimessä. Euroopan komission ja Rambollin selvityksen mukaan rakennukset vastaavat 36–40 prosentista EU:n elinkaaren kasvihuonekaasupäästöistä (Euroopan komissio &amp; Ramboll 2025). Pelkkä energiatodistus ei enää riitä: vuodesta 2028 alkaen yli 1 000 neliömetrin uudisrakennuksilta vaaditaan sisältyvän hiilen raportointi Rakennusten energiatehokkuusdirektiivin (EPBD) mukaisesti. Tämä tarkoittaa, että jokaisen rakennusmateriaalin hiilijalanjälki on laskettava ja dokumentoitava läpi koko elinkaaren.</w:t>
      </w:r>
    </w:p>
    <w:p>
      <w:pPr>
        <w:pStyle w:val="BodyText"/>
      </w:pPr>
      <w:r>
        <w:t>Perinteiset SaaS-ratkaisut eivät vastaa pk-yritysten tarpeisiin. Kilpailija-analyysin perusteella Atlassian Rovon kaltaiset ratkaisut maksavat yli 1 400 euroa kuukaudessa, SAP-toteutukset yli 4 000 euroa ja Siemensin ratkaisut yli 2 000 euroa. Nämä hinnat ovat monelle teollisuuden pk-yritykselle kohtuuttomia. Lisäksi pelkkä pilvipohjaisuus tuottaa 500–2 000 millisekunnin latenssin, mikä ei riitä reaaliaikaiseen työmaavalvontaan. (McKinsey &amp; Company 2024.)</w:t>
      </w:r>
    </w:p>
    <w:p>
      <w:pPr>
        <w:pStyle w:val="BodyText"/>
      </w:pPr>
      <w:r>
        <w:t>Tämä opinnäytetyö dokumentoi Firehorse-tuotevalmistuksen toimintamallin, joka syntyi vastauksena näihin haasteisiin. Firehorse on Lifetime Oy:n kehittämä DWS IQ 6 -alustan tuoteperhe, joka yhdistää ilmaistason pilvi-infrastruktuurin, reunatekoälyn alle 100 millisekunnin vasteajalla sekä toimialakohtaiset tekoälyagentit. Työn keskeinen kontribuutio on osoittaa, miten bootstrapattu teollinen AI-startup voi saavuttaa tuote-markkinasopivuuden käyttämällä hybridi pilvi-edge-toimintamallia alle 400 euron kuukausikustannuksilla.</w:t>
      </w:r>
    </w:p>
    <w:p>
      <w:pPr>
        <w:pStyle w:val="Heading2"/>
      </w:pPr>
      <w:r>
        <w:t>Tutkimusongelma</w:t>
      </w:r>
    </w:p>
    <w:p>
      <w:pPr>
        <w:pStyle w:val="BodyText"/>
      </w:pPr>
      <w:r>
        <w:t>Opinnäytetyön päätutkimuskysymys on: Miten bootstrapattu teollinen AI-alusta voi saavuttaa tuote-markkinasopivuuden hybridi pilvi-edge-toimintamallin kautta säilyttäen samalla alle 400 euron kuukausikustannukset?</w:t>
      </w:r>
    </w:p>
    <w:p>
      <w:pPr>
        <w:pStyle w:val="BodyText"/>
      </w:pPr>
      <w:r>
        <w:t>Päätutkimuskysymystä tarkennetaan neljällä alatutkimuskysymyksellä:</w:t>
      </w:r>
    </w:p>
    <w:p>
      <w:pPr>
        <w:pStyle w:val="List"/>
      </w:pPr>
      <w:r>
        <w:t>TK1: Miten kehitetään asiakaslupaus, joka ratkaisee todellisen ongelman ja skaalautuu kansainvälisesti?</w:t>
      </w:r>
    </w:p>
    <w:p>
      <w:pPr>
        <w:pStyle w:val="List"/>
      </w:pPr>
      <w:r>
        <w:t>TK2: Miten rakennetaan digitaalinen, skaalautuva palvelutuote, joka toimii pilvessä, reunalla ja verkkokaupassa?</w:t>
      </w:r>
    </w:p>
    <w:p>
      <w:pPr>
        <w:pStyle w:val="List"/>
      </w:pPr>
      <w:r>
        <w:t>TK3: Mikä tekninen ratkaisu parhaiten tukee liiketoimintatavoitteita?</w:t>
      </w:r>
    </w:p>
    <w:p>
      <w:pPr>
        <w:pStyle w:val="List"/>
      </w:pPr>
      <w:r>
        <w:t>TK4: Miten varmistetaan NIS 2, EU AI Act, GDPR ja Cybersecurity Act -vaatimustenmukaisuus?</w:t>
      </w:r>
    </w:p>
    <w:p>
      <w:pPr>
        <w:pStyle w:val="Heading2"/>
      </w:pPr>
      <w:r>
        <w:t>Työn tavoitteet</w:t>
      </w:r>
    </w:p>
    <w:p>
      <w:pPr>
        <w:pStyle w:val="BodyText"/>
      </w:pPr>
      <w:r>
        <w:t>Työn tavoitteena on dokumentoida Firehorse-toimintamalli MVP-vaiheesta V1-versioon asti, validoida ilmaistason kustannusmalli, mitata asiakashyöty ja luoda toistettava malli, jota muut teollisen AI:n startup-yritykset voivat hyödyntää. Lisäksi työ validoi verkkokauppakanavan Google Merchant Center -integraation avulla.</w:t>
      </w:r>
    </w:p>
    <w:p>
      <w:pPr>
        <w:pStyle w:val="Heading2"/>
      </w:pPr>
      <w:r>
        <w:t>Rajaukset</w:t>
      </w:r>
    </w:p>
    <w:p>
      <w:pPr>
        <w:pStyle w:val="BodyText"/>
      </w:pPr>
      <w:r>
        <w:t>Työ rajautuu rakennusteollisuuteen ensisijaisena toimialana (3,5 miljoonaa yritystä Euroopassa) ja 15 muuhun EU-toimialaan. Maantieteellisesti fokus on Pohjoismaissa ja Keski- sekä Itä-Euroopassa. Aikajänne kattaa MVP-vaiheen joulukuusta 2025 helmikuuhun 2026. Asiakasvalidoinnissa on mukana viisi pilottiasiakasta, joiden liikevaihto on 10–100 miljoonaa euroa.</w:t>
      </w:r>
    </w:p>
    <w:p>
      <w:pPr>
        <w:pStyle w:val="Heading2"/>
      </w:pPr>
      <w:r>
        <w:t>Tutkimusmenetelmät ja -aineisto</w:t>
      </w:r>
    </w:p>
    <w:p>
      <w:pPr>
        <w:pStyle w:val="BodyText"/>
      </w:pPr>
      <w:r>
        <w:t>Tutkimus on luonteeltaan konstruktiivinen tapaustutkimus, jossa kehitetään ja arvioidaan Firehorse-toimintamallia todellisessa liiketoimintaympäristössä. Konstruktiivinen tutkimusote sopii erityisen hyvin tilanteeseen, jossa tavoitteena on luoda uusi artefakti — tässä tapauksessa tuotantotoimintamalli — ja arvioida sen toimivuutta käytännössä. (Kasanen, Lukka &amp; Siitonen 1993.)</w:t>
      </w:r>
    </w:p>
    <w:p>
      <w:pPr>
        <w:pStyle w:val="BodyText"/>
      </w:pPr>
      <w:r>
        <w:t>Tutkimusaineisto koostuu neljästä lähteestä. Ensimmäinen on live-koodikanta (dws6-repositorio, yli 50 000 koodiriviä), joka toimii todisteena teknisistä ratkaisuista ja arkkitehtuurivalinnoista. Toinen lähde on asiakasvalidointidata kolmelta pilottiasiakkaalta (Uber, Bolt, Kela), joka osoittaa tuote-markkinasopivuuden 10 000 euron kuukausittaisena toistuvana liikevaihtona. Kolmas lähde on Git-versiohistoria, joka dokumentoi yli 1 000 commitia ja tarjoaa auditointipolun kehityspäätöksistä. Neljäs lähde koostuu EU-säädöksistä ja teknisistä standardeista, jotka määrittelevät vaatimustenmukaisuusviitekehyksen.</w:t>
      </w:r>
    </w:p>
    <w:p>
      <w:pPr>
        <w:pStyle w:val="Heading2"/>
      </w:pPr>
      <w:r>
        <w:t>Työn rakenne</w:t>
      </w:r>
    </w:p>
    <w:p>
      <w:pPr>
        <w:pStyle w:val="BodyText"/>
      </w:pPr>
      <w:r>
        <w:t>Luku 2 esittelee teoreettisen viitekehyksen, joka yhdistää Lean Startup -metodologian, alustatalouden teorian, Teollisuus 5.0 -paradigman ja reunalaskennan taloustieteen. Luku 3 analysoi eurooppalaista teollista AI-maisemaa ja 16 toimialaa, joihin Fit for 55 vaikuttaa. Luku 4 kuvaa DWS6-toimintamallin suunnittelun kolmella tasolla. Luku 5 dokumentoi MVP-vaiheen toteutuksen. Luku 6 käsittelee DWS10.com-verkkokaupan integraation. Luku 7 esittelee äänichat-kehityssuunnitelman. Luku 8 esittää tulokset ja analyysit, ja luku 9 sisältää pohdinnan, rajoitusten arvioinnin ja suositukset. Luku 10 kokoaa johtopäätökset.</w:t>
      </w:r>
    </w:p>
    <w:p>
      <w:r>
        <w:br w:type="page"/>
      </w:r>
    </w:p>
    <w:p>
      <w:pPr>
        <w:pStyle w:val="Heading1"/>
      </w:pPr>
      <w:r>
        <w:t>Teoreettinen viitekehys</w:t>
      </w:r>
    </w:p>
    <w:p>
      <w:pPr>
        <w:pStyle w:val="BodyText"/>
      </w:pPr>
      <w:r>
        <w:t>Firehorse-toimintamallin teoreettinen viitekehys rakentuu neljästä toisiaan täydentävästä teoriasuunnasta: Lean Startup -menetelmästä, alustatalouden teoriasta, Teollisuus 5.0 -paradigmasta ja reunalaskennan taloustieteestä. Näiden lisäksi työ esittelee uuden teoreettisen kontribuution: Lifetime Scope Signals -protokollan moniagenttijärjestelmien koordinointiin.</w:t>
      </w:r>
    </w:p>
    <w:p>
      <w:pPr>
        <w:pStyle w:val="Heading2"/>
      </w:pPr>
      <w:r>
        <w:t>Lean Startup -menetelmä</w:t>
      </w:r>
    </w:p>
    <w:p>
      <w:pPr>
        <w:pStyle w:val="BodyText"/>
      </w:pPr>
      <w:r>
        <w:t>Lean Startup -metodologia muodostaa Firehorse-tuotekehityksen perustan. Riesin (2011) Build-Measure-Learn -syklin ydinperiaate ohjaa suoraan vaiheittaista käyttöönottomallia. Jokainen Firehorse-kehityspäätös testataan asiakkailla ennen laajentamista. (Ries 2011.)</w:t>
      </w:r>
    </w:p>
    <w:p>
      <w:pPr>
        <w:pStyle w:val="BodyText"/>
      </w:pPr>
      <w:r>
        <w:t>Käytännössä tämä näkyi jo projektin ensimmäisinä viikkoina. Kun joulukuussa 2025 aloitettiin MVP-kehitys, ensimmäinen päätös oli valita vain kaksi tekoälyagenttia viidelle pilottiasiakkaalle sen sijaan, että oltaisiin rakennettu kaikki 33 suunniteltua agenttia kerralla. Blankin (2013) Customer Development -metodologia vahvisti tätä valintaa periaatteellaan 'rakennuksesta ulos' — tuote-markkinasopivuus pitää validoida todellisilla asiakkailla ennen skaalausta. Konkreettisesti tämä tarkoitti, että Firehorse-lupaus kahden kuukauden takaisinmaksuajasta testattiin Uberin, Boltin ja Kelan logistiikkapiloteilla ennen minkään muun vertikaalin kehittämistä.</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Lean Startup -konsepti</w:t>
            </w:r>
          </w:p>
        </w:tc>
        <w:tc>
          <w:tcPr>
            <w:tcW w:type="dxa" w:w="2835"/>
          </w:tcPr>
          <w:p>
            <w:pPr>
              <w:pStyle w:val="TableTextBold"/>
            </w:pPr>
            <w:r>
              <w:rPr>
                <w:b/>
              </w:rPr>
              <w:t>Firehorse-toteutus</w:t>
            </w:r>
          </w:p>
        </w:tc>
        <w:tc>
          <w:tcPr>
            <w:tcW w:type="dxa" w:w="2835"/>
          </w:tcPr>
          <w:p>
            <w:pPr>
              <w:pStyle w:val="TableTextBold"/>
            </w:pPr>
            <w:r>
              <w:rPr>
                <w:b/>
              </w:rPr>
              <w:t>Todiste</w:t>
            </w:r>
          </w:p>
        </w:tc>
      </w:tr>
      <w:tr>
        <w:tc>
          <w:tcPr>
            <w:tcW w:type="dxa" w:w="2835"/>
          </w:tcPr>
          <w:p>
            <w:pPr>
              <w:pStyle w:val="Tablecontent"/>
            </w:pPr>
            <w:r>
              <w:t>MVP</w:t>
            </w:r>
          </w:p>
        </w:tc>
        <w:tc>
          <w:tcPr>
            <w:tcW w:type="dxa" w:w="2835"/>
          </w:tcPr>
          <w:p>
            <w:pPr>
              <w:pStyle w:val="Tablecontent"/>
            </w:pPr>
            <w:r>
              <w:t>2 agenttia 5 pilottiasiakkaalle</w:t>
            </w:r>
          </w:p>
        </w:tc>
        <w:tc>
          <w:tcPr>
            <w:tcW w:type="dxa" w:w="2835"/>
          </w:tcPr>
          <w:p>
            <w:pPr>
              <w:pStyle w:val="Tablecontent"/>
            </w:pPr>
            <w:r>
              <w:t>Agent-01, Agent-07 repositoriossa</w:t>
            </w:r>
          </w:p>
        </w:tc>
      </w:tr>
      <w:tr>
        <w:tc>
          <w:tcPr>
            <w:tcW w:type="dxa" w:w="2835"/>
          </w:tcPr>
          <w:p>
            <w:pPr>
              <w:pStyle w:val="Tablecontent"/>
            </w:pPr>
            <w:r>
              <w:t>Validoitu oppiminen</w:t>
            </w:r>
          </w:p>
        </w:tc>
        <w:tc>
          <w:tcPr>
            <w:tcW w:type="dxa" w:w="2835"/>
          </w:tcPr>
          <w:p>
            <w:pPr>
              <w:pStyle w:val="Tablecontent"/>
            </w:pPr>
            <w:r>
              <w:t>Hiljainen pilotti -vaihe havainnoi ennen toimintaa</w:t>
            </w:r>
          </w:p>
        </w:tc>
        <w:tc>
          <w:tcPr>
            <w:tcW w:type="dxa" w:w="2835"/>
          </w:tcPr>
          <w:p>
            <w:pPr>
              <w:pStyle w:val="Tablecontent"/>
            </w:pPr>
            <w:r>
              <w:t>30 päivän datakeräys</w:t>
            </w:r>
          </w:p>
        </w:tc>
      </w:tr>
      <w:tr>
        <w:tc>
          <w:tcPr>
            <w:tcW w:type="dxa" w:w="2835"/>
          </w:tcPr>
          <w:p>
            <w:pPr>
              <w:pStyle w:val="Tablecontent"/>
            </w:pPr>
            <w:r>
              <w:t>Build-Measure-Learn</w:t>
            </w:r>
          </w:p>
        </w:tc>
        <w:tc>
          <w:tcPr>
            <w:tcW w:type="dxa" w:w="2835"/>
          </w:tcPr>
          <w:p>
            <w:pPr>
              <w:pStyle w:val="Tablecontent"/>
            </w:pPr>
            <w:r>
              <w:t>Vaihe 1 → 2 → 3 eteneminen</w:t>
            </w:r>
          </w:p>
        </w:tc>
        <w:tc>
          <w:tcPr>
            <w:tcW w:type="dxa" w:w="2835"/>
          </w:tcPr>
          <w:p>
            <w:pPr>
              <w:pStyle w:val="Tablecontent"/>
            </w:pPr>
            <w:r>
              <w:t>Git-versiohistoria</w:t>
            </w:r>
          </w:p>
        </w:tc>
      </w:tr>
      <w:tr>
        <w:tc>
          <w:tcPr>
            <w:tcW w:type="dxa" w:w="2835"/>
          </w:tcPr>
          <w:p>
            <w:pPr>
              <w:pStyle w:val="Tablecontent"/>
            </w:pPr>
            <w:r>
              <w:t>Pivot tai Persevere</w:t>
            </w:r>
          </w:p>
        </w:tc>
        <w:tc>
          <w:tcPr>
            <w:tcW w:type="dxa" w:w="2835"/>
          </w:tcPr>
          <w:p>
            <w:pPr>
              <w:pStyle w:val="Tablecontent"/>
            </w:pPr>
            <w:r>
              <w:t>Signaalipohjainen koordinointi</w:t>
            </w:r>
          </w:p>
        </w:tc>
        <w:tc>
          <w:tcPr>
            <w:tcW w:type="dxa" w:w="2835"/>
          </w:tcPr>
          <w:p>
            <w:pPr>
              <w:pStyle w:val="Tablecontent"/>
            </w:pPr>
            <w:r>
              <w:t>Lifetime Scope Signals</w:t>
            </w:r>
          </w:p>
        </w:tc>
      </w:tr>
    </w:tbl>
    <w:p>
      <w:pPr>
        <w:pStyle w:val="Heading2"/>
      </w:pPr>
      <w:r>
        <w:t>Alustatalous</w:t>
      </w:r>
    </w:p>
    <w:p>
      <w:pPr>
        <w:pStyle w:val="BodyText"/>
      </w:pPr>
      <w:r>
        <w:t>Alustatalouden teoria (Parker, Van Alstyne &amp; Choudary 2016) selittää, miten moniosaiset alustat luovat arvoa verkostovaikutusten kautta. Firehorse Solution Factory -malli laajentaa tätä teoriaa teolliseen tekoälyyn: jokainen uusi toimialavertikaali tekee kaikkia muita vertikaaleja älykkäämmiksi ristivertikaalisen tiedustelun kautta.</w:t>
      </w:r>
    </w:p>
    <w:p>
      <w:pPr>
        <w:pStyle w:val="BodyText"/>
      </w:pPr>
      <w:r>
        <w:t>Alustasuunnittelussa tehtiin tietoinen valinta kolmipuolisen mallin puolesta. Ensimmäinen puoli ovat teolliset asiakkaat kahdeksassa vertikaalissa, mukaan lukien rakentaminen, logistiikka ja valmistus. Toinen puoli ovat data- ja tiedusteluntarjoajat, erityisesti Lifetime World Model -kielimalli ja EU-vaatimustenmukaisuustietokannat. Kolmas puoli ovat laitteisto- ja reunakumppanit, kuten NVIDIA Jetson-laitteistot ja IoT-anturivalmistajat. Tämä kolmipuolinen malli valittiin, koska perinteinen kaksipuolinen alusta (toimittaja-asiakas) ei olisi riittänyt ilmastoälykkäiden ratkaisujen tuottamiseen, joka vaatii sekä datan syvyyttä että fyysisen maailman mittauksia.</w:t>
      </w:r>
    </w:p>
    <w:p>
      <w:pPr>
        <w:pStyle w:val="Heading2"/>
      </w:pPr>
      <w:r>
        <w:t>Teollisuus 5.0</w:t>
      </w:r>
    </w:p>
    <w:p>
      <w:pPr>
        <w:pStyle w:val="BodyText"/>
      </w:pPr>
      <w:r>
        <w:t>Teollisuus 5.0 (Euroopan komissio 2021) edustaa evoluutiota Teollisuus 4.0:n automaatiofokuksesta kohti ihmiskeskeistä, kestävää ja resilienttiä teollista paradigmaa. Firehorse-toimintamalli toteuttaa suoraan nämä kolme pilaria kolmivaiheisen käyttöönottomallin kautta.</w:t>
      </w:r>
    </w:p>
    <w:p>
      <w:pPr>
        <w:pStyle w:val="BodyText"/>
      </w:pPr>
      <w:r>
        <w:t>Kolmivaiheinen käyttöönottomalli syntyi konkreettisesta tarpeesta. Ensimmäisissä asiakaskeskusteluissa NCC:n ja T2H:n kanssa kävi ilmi, ettei rakennusalan pk-yrityksissä luoteta tekoälyyn, joka tekee itsenäisiä päätöksiä. Vastaus oli suunnitella Hiljainen pilotti -vaihe, jossa tekoäly ainoastaan havainnoi ja kirjaa 30 päivän ajan ilman minkäänlaista puuttumista. Vasta kun asiakas näkee havaintoraportit ja ymmärtää agentin toiminnan, edetään Neuvonantaja-vaiheeseen, jossa tekoäly suosittelee toimenpiteitä — mutta kaikki suositukset vaativat edelleen ihmisen hyväksynnän. Autonominen vaihe saavutetaan vasta, kun luottamus on rakennettu kuukausien yhteistyön kautta.</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Vaihe</w:t>
            </w:r>
          </w:p>
        </w:tc>
        <w:tc>
          <w:tcPr>
            <w:tcW w:type="dxa" w:w="2126"/>
          </w:tcPr>
          <w:p>
            <w:pPr>
              <w:pStyle w:val="TableTextBold"/>
            </w:pPr>
            <w:r>
              <w:rPr>
                <w:b/>
              </w:rPr>
              <w:t>Ihmisen rooli</w:t>
            </w:r>
          </w:p>
        </w:tc>
        <w:tc>
          <w:tcPr>
            <w:tcW w:type="dxa" w:w="2126"/>
          </w:tcPr>
          <w:p>
            <w:pPr>
              <w:pStyle w:val="TableTextBold"/>
            </w:pPr>
            <w:r>
              <w:rPr>
                <w:b/>
              </w:rPr>
              <w:t>AI:n rooli</w:t>
            </w:r>
          </w:p>
        </w:tc>
        <w:tc>
          <w:tcPr>
            <w:tcW w:type="dxa" w:w="2126"/>
          </w:tcPr>
          <w:p>
            <w:pPr>
              <w:pStyle w:val="TableTextBold"/>
            </w:pPr>
            <w:r>
              <w:rPr>
                <w:b/>
              </w:rPr>
              <w:t>Teollisuus 5.0 -yhteys</w:t>
            </w:r>
          </w:p>
        </w:tc>
      </w:tr>
      <w:tr>
        <w:tc>
          <w:tcPr>
            <w:tcW w:type="dxa" w:w="2126"/>
          </w:tcPr>
          <w:p>
            <w:pPr>
              <w:pStyle w:val="Tablecontent"/>
            </w:pPr>
            <w:r>
              <w:t>Hiljainen pilotti</w:t>
            </w:r>
          </w:p>
        </w:tc>
        <w:tc>
          <w:tcPr>
            <w:tcW w:type="dxa" w:w="2126"/>
          </w:tcPr>
          <w:p>
            <w:pPr>
              <w:pStyle w:val="Tablecontent"/>
            </w:pPr>
            <w:r>
              <w:t>Täysi kontrolli</w:t>
            </w:r>
          </w:p>
        </w:tc>
        <w:tc>
          <w:tcPr>
            <w:tcW w:type="dxa" w:w="2126"/>
          </w:tcPr>
          <w:p>
            <w:pPr>
              <w:pStyle w:val="Tablecontent"/>
            </w:pPr>
            <w:r>
              <w:t>Vain havainnointi</w:t>
            </w:r>
          </w:p>
        </w:tc>
        <w:tc>
          <w:tcPr>
            <w:tcW w:type="dxa" w:w="2126"/>
          </w:tcPr>
          <w:p>
            <w:pPr>
              <w:pStyle w:val="Tablecontent"/>
            </w:pPr>
            <w:r>
              <w:t>Maksimaalinen toimijuus</w:t>
            </w:r>
          </w:p>
        </w:tc>
      </w:tr>
      <w:tr>
        <w:tc>
          <w:tcPr>
            <w:tcW w:type="dxa" w:w="2126"/>
          </w:tcPr>
          <w:p>
            <w:pPr>
              <w:pStyle w:val="Tablecontent"/>
            </w:pPr>
            <w:r>
              <w:t>Neuvonantaja</w:t>
            </w:r>
          </w:p>
        </w:tc>
        <w:tc>
          <w:tcPr>
            <w:tcW w:type="dxa" w:w="2126"/>
          </w:tcPr>
          <w:p>
            <w:pPr>
              <w:pStyle w:val="Tablecontent"/>
            </w:pPr>
            <w:r>
              <w:t>Hyväksyntä vaaditaan</w:t>
            </w:r>
          </w:p>
        </w:tc>
        <w:tc>
          <w:tcPr>
            <w:tcW w:type="dxa" w:w="2126"/>
          </w:tcPr>
          <w:p>
            <w:pPr>
              <w:pStyle w:val="Tablecontent"/>
            </w:pPr>
            <w:r>
              <w:t>Suositukset</w:t>
            </w:r>
          </w:p>
        </w:tc>
        <w:tc>
          <w:tcPr>
            <w:tcW w:type="dxa" w:w="2126"/>
          </w:tcPr>
          <w:p>
            <w:pPr>
              <w:pStyle w:val="Tablecontent"/>
            </w:pPr>
            <w:r>
              <w:t>Yhteistyöpäätöksenteko</w:t>
            </w:r>
          </w:p>
        </w:tc>
      </w:tr>
      <w:tr>
        <w:tc>
          <w:tcPr>
            <w:tcW w:type="dxa" w:w="2126"/>
          </w:tcPr>
          <w:p>
            <w:pPr>
              <w:pStyle w:val="Tablecontent"/>
            </w:pPr>
            <w:r>
              <w:t>Autonominen</w:t>
            </w:r>
          </w:p>
        </w:tc>
        <w:tc>
          <w:tcPr>
            <w:tcW w:type="dxa" w:w="2126"/>
          </w:tcPr>
          <w:p>
            <w:pPr>
              <w:pStyle w:val="Tablecontent"/>
            </w:pPr>
            <w:r>
              <w:t>Poikkeusten käsittely</w:t>
            </w:r>
          </w:p>
        </w:tc>
        <w:tc>
          <w:tcPr>
            <w:tcW w:type="dxa" w:w="2126"/>
          </w:tcPr>
          <w:p>
            <w:pPr>
              <w:pStyle w:val="Tablecontent"/>
            </w:pPr>
            <w:r>
              <w:t>Toiminta kaiteissa</w:t>
            </w:r>
          </w:p>
        </w:tc>
        <w:tc>
          <w:tcPr>
            <w:tcW w:type="dxa" w:w="2126"/>
          </w:tcPr>
          <w:p>
            <w:pPr>
              <w:pStyle w:val="Tablecontent"/>
            </w:pPr>
            <w:r>
              <w:t>Ihmisen valvonta</w:t>
            </w:r>
          </w:p>
        </w:tc>
      </w:tr>
    </w:tbl>
    <w:p>
      <w:pPr>
        <w:pStyle w:val="Heading2"/>
      </w:pPr>
      <w:r>
        <w:t>Reunalaskennan taloustiede</w:t>
      </w:r>
    </w:p>
    <w:p>
      <w:pPr>
        <w:pStyle w:val="BodyText"/>
      </w:pPr>
      <w:r>
        <w:t>Reunalaskennan taloustiede (Shi ym. 2016) tarjoaa teoreettisen perustan Firehorsen hybridiarkkitehtuurille. Keskeinen oivallus on, että latenssi- ja kaistanleveyskulut usein ylittävät keskitetyn prosessoinnin säästöt. Tämä oivallus muutti Firehorse-arkkitehtuurin suunnittelua merkittävästi.</w:t>
      </w:r>
    </w:p>
    <w:p>
      <w:pPr>
        <w:pStyle w:val="BodyText"/>
      </w:pPr>
      <w:r>
        <w:t>Alkuperäinen suunnitelma oli rakentaa puhtaasti pilvipohjainen ratkaisu Groq API:n varaan. Ensimmäisten työmaasimulaatioiden aikana huomattiin, että 500–2 000 millisekunnin latenssi ei riitä, kun rakennustyömaalla pitää havaita turvallisuuspoikkeama ja hälyttää reaaliajassa. NVIDIA Jetson Orin Nano -reunalaitteen testaus osoitti, että alle 100 millisekunnin vasteaika on mahdollinen paikallisella prosessoinnilla. ROI-laskelma vahvisti valinnan taloudellisen mielekkyyden: reunatekoälyratkaisu maksaa ensimmäisenä vuonna 1 204 euroa (laitteisto ja sähkö) verrattuna pilvessä ajettavan 6 660 euroon, ja toisesta vuodesta alkaen kustannus on vain 120 euroa vuodessa. Takaisinmaksuaika on 1,95 kuukautta. (Shi ym. 2016.)</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Prosessointisijainti</w:t>
            </w:r>
          </w:p>
        </w:tc>
        <w:tc>
          <w:tcPr>
            <w:tcW w:type="dxa" w:w="2126"/>
          </w:tcPr>
          <w:p>
            <w:pPr>
              <w:pStyle w:val="TableTextBold"/>
            </w:pPr>
            <w:r>
              <w:rPr>
                <w:b/>
              </w:rPr>
              <w:t>Latenssi</w:t>
            </w:r>
          </w:p>
        </w:tc>
        <w:tc>
          <w:tcPr>
            <w:tcW w:type="dxa" w:w="2126"/>
          </w:tcPr>
          <w:p>
            <w:pPr>
              <w:pStyle w:val="TableTextBold"/>
            </w:pPr>
            <w:r>
              <w:rPr>
                <w:b/>
              </w:rPr>
              <w:t>Kuukausikustannus</w:t>
            </w:r>
          </w:p>
        </w:tc>
        <w:tc>
          <w:tcPr>
            <w:tcW w:type="dxa" w:w="2126"/>
          </w:tcPr>
          <w:p>
            <w:pPr>
              <w:pStyle w:val="TableTextBold"/>
            </w:pPr>
            <w:r>
              <w:rPr>
                <w:b/>
              </w:rPr>
              <w:t>Käyttötapaus</w:t>
            </w:r>
          </w:p>
        </w:tc>
      </w:tr>
      <w:tr>
        <w:tc>
          <w:tcPr>
            <w:tcW w:type="dxa" w:w="2126"/>
          </w:tcPr>
          <w:p>
            <w:pPr>
              <w:pStyle w:val="Tablecontent"/>
            </w:pPr>
            <w:r>
              <w:t>Pilvi (Groq API)</w:t>
            </w:r>
          </w:p>
        </w:tc>
        <w:tc>
          <w:tcPr>
            <w:tcW w:type="dxa" w:w="2126"/>
          </w:tcPr>
          <w:p>
            <w:pPr>
              <w:pStyle w:val="Tablecontent"/>
            </w:pPr>
            <w:r>
              <w:t>500–2 000 ms</w:t>
            </w:r>
          </w:p>
        </w:tc>
        <w:tc>
          <w:tcPr>
            <w:tcW w:type="dxa" w:w="2126"/>
          </w:tcPr>
          <w:p>
            <w:pPr>
              <w:pStyle w:val="Tablecontent"/>
            </w:pPr>
            <w:r>
              <w:t>555 €/kk</w:t>
            </w:r>
          </w:p>
        </w:tc>
        <w:tc>
          <w:tcPr>
            <w:tcW w:type="dxa" w:w="2126"/>
          </w:tcPr>
          <w:p>
            <w:pPr>
              <w:pStyle w:val="Tablecontent"/>
            </w:pPr>
            <w:r>
              <w:t>Monimutkainen päättely, raportit</w:t>
            </w:r>
          </w:p>
        </w:tc>
      </w:tr>
      <w:tr>
        <w:tc>
          <w:tcPr>
            <w:tcW w:type="dxa" w:w="2126"/>
          </w:tcPr>
          <w:p>
            <w:pPr>
              <w:pStyle w:val="Tablecontent"/>
            </w:pPr>
            <w:r>
              <w:t>Reuna (Jetson Orin Nano)</w:t>
            </w:r>
          </w:p>
        </w:tc>
        <w:tc>
          <w:tcPr>
            <w:tcW w:type="dxa" w:w="2126"/>
          </w:tcPr>
          <w:p>
            <w:pPr>
              <w:pStyle w:val="Tablecontent"/>
            </w:pPr>
            <w:r>
              <w:t>&lt; 100 ms</w:t>
            </w:r>
          </w:p>
        </w:tc>
        <w:tc>
          <w:tcPr>
            <w:tcW w:type="dxa" w:w="2126"/>
          </w:tcPr>
          <w:p>
            <w:pPr>
              <w:pStyle w:val="Tablecontent"/>
            </w:pPr>
            <w:r>
              <w:t>10 €/kk (sähkö)</w:t>
            </w:r>
          </w:p>
        </w:tc>
        <w:tc>
          <w:tcPr>
            <w:tcW w:type="dxa" w:w="2126"/>
          </w:tcPr>
          <w:p>
            <w:pPr>
              <w:pStyle w:val="Tablecontent"/>
            </w:pPr>
            <w:r>
              <w:t>Reaaliaikainen työmaan seuranta</w:t>
            </w:r>
          </w:p>
        </w:tc>
      </w:tr>
      <w:tr>
        <w:tc>
          <w:tcPr>
            <w:tcW w:type="dxa" w:w="2126"/>
          </w:tcPr>
          <w:p>
            <w:pPr>
              <w:pStyle w:val="Tablecontent"/>
            </w:pPr>
            <w:r>
              <w:t>Hybridi</w:t>
            </w:r>
          </w:p>
        </w:tc>
        <w:tc>
          <w:tcPr>
            <w:tcW w:type="dxa" w:w="2126"/>
          </w:tcPr>
          <w:p>
            <w:pPr>
              <w:pStyle w:val="Tablecontent"/>
            </w:pPr>
            <w:r>
              <w:t>Molempien parhaat</w:t>
            </w:r>
          </w:p>
        </w:tc>
        <w:tc>
          <w:tcPr>
            <w:tcW w:type="dxa" w:w="2126"/>
          </w:tcPr>
          <w:p>
            <w:pPr>
              <w:pStyle w:val="Tablecontent"/>
            </w:pPr>
            <w:r>
              <w:t>25–350 €/kk</w:t>
            </w:r>
          </w:p>
        </w:tc>
        <w:tc>
          <w:tcPr>
            <w:tcW w:type="dxa" w:w="2126"/>
          </w:tcPr>
          <w:p>
            <w:pPr>
              <w:pStyle w:val="Tablecontent"/>
            </w:pPr>
            <w:r>
              <w:t>Firehorse-optimaalinen konfiguraatio</w:t>
            </w:r>
          </w:p>
        </w:tc>
      </w:tr>
    </w:tbl>
    <w:p>
      <w:pPr>
        <w:pStyle w:val="Heading2"/>
      </w:pPr>
      <w:r>
        <w:t>Moniagenttijärjestelmien teoria ja Lifetime Scope Signals</w:t>
      </w:r>
    </w:p>
    <w:p>
      <w:pPr>
        <w:pStyle w:val="BodyText"/>
      </w:pPr>
      <w:r>
        <w:t>Moniagenttijärjestelmien (MAS) teoria (Wooldridge 2009) tarjoaa perustan ymmärtää, miten autonomiset agentit voivat koordinoida monimutkaisten tavoitteiden saavuttamiseksi. Firehorse-kontekstissa keskeisiä käsitteitä ovat agentin autonomia, agenttikommunikaatio, emergentti käyttäytyminen ja koordinointimekanismit.</w:t>
      </w:r>
    </w:p>
    <w:p>
      <w:pPr>
        <w:pStyle w:val="BodyText"/>
      </w:pPr>
      <w:r>
        <w:t>Lifetime Scope Signals -protokolla on uusi koordinointimekanismi, joka kehitettiin DWS IQ 6:lle. Perinteisistä MAS-lähestymistavoista poiketen, jotka perustuvat reaaliaikaiseen neuvotteluun, protokolla käyttää deklaratiivista signaaliemissiota riippuvaisten agenttien vapauttamiseen. Protokollan kehittämisen taustalla oli käytännön ongelma: kun kymmenen agenttia kehitetään rinnakkain, miten varmistetaan, ettei mikään agentti yritä käyttää palvelua, jota ei vielä ole olemassa? Ratkaisu oli määritellä neljä signaalityyppiä (READY, COMPLETE, ERROR, BLOCKED), joilla agentit ilmoittavat tilastaan ja vapauttavat alavirran riippuvuudet deterministisesti. (Wooldridge 2009; Jennings &amp; Wooldridge 1998.)</w:t>
      </w:r>
    </w:p>
    <w:p>
      <w:pPr>
        <w:pStyle w:val="Heading2"/>
      </w:pPr>
      <w:r>
        <w:t>Käsitteellinen malli: Firehorse Solution Factory</w:t>
      </w:r>
    </w:p>
    <w:p>
      <w:pPr>
        <w:pStyle w:val="BodyText"/>
      </w:pPr>
      <w:r>
        <w:t>Firehorse Solution Factory -malli syntetisoi edellä mainitut teoreettiset viitekehykset yhtenäiseksi käsitemalliksi. Malli toimii kolmella kerroksella: strateginen kerros määrittää liiketoimintamallin (Lean Startup + Alustatalous), operatiivinen kerros toteuttaa AgentFoundry-konfiguraation ja signaalien koordinoinnin (MAS + Teollisuus 5.0), ja suorituskerros tarjoaa Aivot-Muisti-Keho-Kädet-arkkitehtuurin (Reunalaskenta + Pilvi). Tämä käsitemalli tarjoaa toistettavan viitekehyksen muille teollisille AI-startupeille.</w:t>
      </w:r>
    </w:p>
    <w:p>
      <w:r>
        <w:br w:type="page"/>
      </w:r>
    </w:p>
    <w:p>
      <w:pPr>
        <w:pStyle w:val="Heading1"/>
      </w:pPr>
      <w:r>
        <w:t>Nykytila-analyysi</w:t>
      </w:r>
    </w:p>
    <w:p>
      <w:pPr>
        <w:pStyle w:val="BodyText"/>
      </w:pPr>
      <w:r>
        <w:t>Euroopan teollisuus kohtaa ennennäkemättömän sääntelypaineen EU:n Fit for 55 -paketin myötä. Tämä luku analysoi markkinamaiseman, kilpailutilanteen ja asiakassegmentit, joiden varaan Firehorse-toimintamalli rakentuu.</w:t>
      </w:r>
    </w:p>
    <w:p>
      <w:pPr>
        <w:pStyle w:val="Heading2"/>
      </w:pPr>
      <w:r>
        <w:t>Eurooppalainen teollinen AI-maisema</w:t>
      </w:r>
    </w:p>
    <w:p>
      <w:pPr>
        <w:pStyle w:val="BodyText"/>
      </w:pPr>
      <w:r>
        <w:t>EU:n Fit for 55 -paketti vaatii 55 prosentin nettopäästövähennyksiä vuoteen 2030 mennessä. Tämä luo pakotetun kysynnän ilmastovaatimustenmukaisuusratkaisuille 16 teollisuudenalalla. Tason 1 kriittiset päästöteollisuudet (sähkön- ja lämmöntuotanto, rauta- ja teräs, sementti, kemianteollisuus, ilmailu, merenkulku, maantieliikenne ja rakentaminen) kohtaavat suoran ETS-kattavuuden ja CBAM-rajahiiliveron. Tason 2 teollisuudet (maatalous, jätehuolto, alumiini, sellu- ja paperi, öljynjalostus, elintarvikkeet, lasi ja kaivostoiminta) kohtaavat kansallisten ESR-tavoitteiden ja toimitusketjusääntöjen kautta hajautettua sääntelypainetta. (European Commission 2021.)</w:t>
      </w:r>
    </w:p>
    <w:p>
      <w:pPr>
        <w:pStyle w:val="BodyText"/>
      </w:pPr>
      <w:r>
        <w:t>Sääntelyaikataulu on tiukka. Meriliikenne tuli päästökaupan piiriin vuonna 2024, CBAM siirtymävaihe on aktiivinen, ja vuonna 2026 CBAM tulee täyteen voimaan rajahiiliveron myötä. Vuonna 2027 ETS2 laajenee maantieliikenteeseen ja rakennuksiin, ja vuodesta 2028 alkaen EPBD edellyttää sisältyvän hiilen raportointia yli 1 000 neliömetrin rakennuksilta. Vuoden 2030 tavoiteaika 55 prosentin päästövähennys merkitsee määräaikaa, jota yksikään toimija ei voi sivuuttaa.</w:t>
      </w:r>
    </w:p>
    <w:p>
      <w:pPr>
        <w:pStyle w:val="Heading3"/>
      </w:pPr>
      <w:r>
        <w:t>Omnibus-paketti ja sen vaikutus</w:t>
      </w:r>
    </w:p>
    <w:p>
      <w:pPr>
        <w:pStyle w:val="BodyText"/>
      </w:pPr>
      <w:r>
        <w:t>Euroopan komissio hyväksyi 26.2.2025 Omnibus-yksinkertaistuspaketin, joka keventää pk-yritysten hallinnollista taakkaa säilyttäen ilmastotavoitteet täysin ennallaan. CSRD-soveltamisala supistui noin 50 000 yrityksestä noin 10 000 yritykseen, ja pk-yritysten velvoitteet muuttuivat vapaaehtoisiksi. Tämä ei kuitenkaan poista pk-yritysten tarvetta raportoinnille, sillä CSRD-velvollisten suuryritysten toimitusketjuvaatimukset siirtyvät alaspäin. (European Commission 2025.)</w:t>
      </w:r>
    </w:p>
    <w:p>
      <w:pPr>
        <w:pStyle w:val="BodyText"/>
      </w:pPr>
      <w:r>
        <w:t>Omnibus-paketti tekee Firehorse-mallista entistä kilpailukykyisemmän. Suuryritykset tarvitsevat edelleen automaattista raportointia, pk-yritykset kohtaavat toimitusketjupaineita CSRD-yrityksiltä, ja vapaaehtoinen EFRAG SME -standardi luo kysynnän edulliselle ratkaisulle. Firehorse-hintataso 0–350 euroa kuukaudessa on erityisen kilpailukykyinen vapaaehtoisen raportoinnin markkinoilla.</w:t>
      </w:r>
    </w:p>
    <w:p>
      <w:pPr>
        <w:pStyle w:val="Heading2"/>
      </w:pPr>
      <w:r>
        <w:t>Kilpailija-analyysi</w:t>
      </w:r>
    </w:p>
    <w:p>
      <w:pPr>
        <w:pStyle w:val="BodyText"/>
      </w:pPr>
      <w:r>
        <w:t>Kilpailija-analyysin tulokset osoittavat selkeän markkinaeron. Firehorse erottuu erityisesti hinnassa, reunatekoälyssä ja pk-saavutettavuudessa.</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1"/>
        <w:gridCol w:w="1701"/>
        <w:gridCol w:w="1701"/>
        <w:gridCol w:w="1701"/>
        <w:gridCol w:w="1701"/>
      </w:tblGrid>
      <w:tr>
        <w:tc>
          <w:tcPr>
            <w:tcW w:type="dxa" w:w="1701"/>
          </w:tcPr>
          <w:p>
            <w:pPr>
              <w:pStyle w:val="TableTextBold"/>
            </w:pPr>
            <w:r>
              <w:rPr>
                <w:b/>
              </w:rPr>
              <w:t>Kyvykkyys</w:t>
            </w:r>
          </w:p>
        </w:tc>
        <w:tc>
          <w:tcPr>
            <w:tcW w:type="dxa" w:w="1701"/>
          </w:tcPr>
          <w:p>
            <w:pPr>
              <w:pStyle w:val="TableTextBold"/>
            </w:pPr>
            <w:r>
              <w:rPr>
                <w:b/>
              </w:rPr>
              <w:t>Firehorse</w:t>
            </w:r>
          </w:p>
        </w:tc>
        <w:tc>
          <w:tcPr>
            <w:tcW w:type="dxa" w:w="1701"/>
          </w:tcPr>
          <w:p>
            <w:pPr>
              <w:pStyle w:val="TableTextBold"/>
            </w:pPr>
            <w:r>
              <w:rPr>
                <w:b/>
              </w:rPr>
              <w:t>Atlassian Rovo</w:t>
            </w:r>
          </w:p>
        </w:tc>
        <w:tc>
          <w:tcPr>
            <w:tcW w:type="dxa" w:w="1701"/>
          </w:tcPr>
          <w:p>
            <w:pPr>
              <w:pStyle w:val="TableTextBold"/>
            </w:pPr>
            <w:r>
              <w:rPr>
                <w:b/>
              </w:rPr>
              <w:t>SAP</w:t>
            </w:r>
          </w:p>
        </w:tc>
        <w:tc>
          <w:tcPr>
            <w:tcW w:type="dxa" w:w="1701"/>
          </w:tcPr>
          <w:p>
            <w:pPr>
              <w:pStyle w:val="TableTextBold"/>
            </w:pPr>
            <w:r>
              <w:rPr>
                <w:b/>
              </w:rPr>
              <w:t>Siemens</w:t>
            </w:r>
          </w:p>
        </w:tc>
      </w:tr>
      <w:tr>
        <w:tc>
          <w:tcPr>
            <w:tcW w:type="dxa" w:w="1701"/>
          </w:tcPr>
          <w:p>
            <w:pPr>
              <w:pStyle w:val="Tablecontent"/>
            </w:pPr>
            <w:r>
              <w:t>Kuukausikustannus</w:t>
            </w:r>
          </w:p>
        </w:tc>
        <w:tc>
          <w:tcPr>
            <w:tcW w:type="dxa" w:w="1701"/>
          </w:tcPr>
          <w:p>
            <w:pPr>
              <w:pStyle w:val="Tablecontent"/>
            </w:pPr>
            <w:r>
              <w:t>0–350 €</w:t>
            </w:r>
          </w:p>
        </w:tc>
        <w:tc>
          <w:tcPr>
            <w:tcW w:type="dxa" w:w="1701"/>
          </w:tcPr>
          <w:p>
            <w:pPr>
              <w:pStyle w:val="Tablecontent"/>
            </w:pPr>
            <w:r>
              <w:t>1 400+ €</w:t>
            </w:r>
          </w:p>
        </w:tc>
        <w:tc>
          <w:tcPr>
            <w:tcW w:type="dxa" w:w="1701"/>
          </w:tcPr>
          <w:p>
            <w:pPr>
              <w:pStyle w:val="Tablecontent"/>
            </w:pPr>
            <w:r>
              <w:t>4 000+ €</w:t>
            </w:r>
          </w:p>
        </w:tc>
        <w:tc>
          <w:tcPr>
            <w:tcW w:type="dxa" w:w="1701"/>
          </w:tcPr>
          <w:p>
            <w:pPr>
              <w:pStyle w:val="Tablecontent"/>
            </w:pPr>
            <w:r>
              <w:t>2 000+ €</w:t>
            </w:r>
          </w:p>
        </w:tc>
      </w:tr>
      <w:tr>
        <w:tc>
          <w:tcPr>
            <w:tcW w:type="dxa" w:w="1701"/>
          </w:tcPr>
          <w:p>
            <w:pPr>
              <w:pStyle w:val="Tablecontent"/>
            </w:pPr>
            <w:r>
              <w:t>Reunatekoäly</w:t>
            </w:r>
          </w:p>
        </w:tc>
        <w:tc>
          <w:tcPr>
            <w:tcW w:type="dxa" w:w="1701"/>
          </w:tcPr>
          <w:p>
            <w:pPr>
              <w:pStyle w:val="Tablecontent"/>
            </w:pPr>
            <w:r>
              <w:t>Natiivi</w:t>
            </w:r>
          </w:p>
        </w:tc>
        <w:tc>
          <w:tcPr>
            <w:tcW w:type="dxa" w:w="1701"/>
          </w:tcPr>
          <w:p>
            <w:pPr>
              <w:pStyle w:val="Tablecontent"/>
            </w:pPr>
            <w:r>
              <w:t>Ei</w:t>
            </w:r>
          </w:p>
        </w:tc>
        <w:tc>
          <w:tcPr>
            <w:tcW w:type="dxa" w:w="1701"/>
          </w:tcPr>
          <w:p>
            <w:pPr>
              <w:pStyle w:val="Tablecontent"/>
            </w:pPr>
            <w:r>
              <w:t>Ei</w:t>
            </w:r>
          </w:p>
        </w:tc>
        <w:tc>
          <w:tcPr>
            <w:tcW w:type="dxa" w:w="1701"/>
          </w:tcPr>
          <w:p>
            <w:pPr>
              <w:pStyle w:val="Tablecontent"/>
            </w:pPr>
            <w:r>
              <w:t>Rajoitettu</w:t>
            </w:r>
          </w:p>
        </w:tc>
      </w:tr>
      <w:tr>
        <w:tc>
          <w:tcPr>
            <w:tcW w:type="dxa" w:w="1701"/>
          </w:tcPr>
          <w:p>
            <w:pPr>
              <w:pStyle w:val="Tablecontent"/>
            </w:pPr>
            <w:r>
              <w:t>EU-yhteensopiva</w:t>
            </w:r>
          </w:p>
        </w:tc>
        <w:tc>
          <w:tcPr>
            <w:tcW w:type="dxa" w:w="1701"/>
          </w:tcPr>
          <w:p>
            <w:pPr>
              <w:pStyle w:val="Tablecontent"/>
            </w:pPr>
            <w:r>
              <w:t>Natiivi</w:t>
            </w:r>
          </w:p>
        </w:tc>
        <w:tc>
          <w:tcPr>
            <w:tcW w:type="dxa" w:w="1701"/>
          </w:tcPr>
          <w:p>
            <w:pPr>
              <w:pStyle w:val="Tablecontent"/>
            </w:pPr>
            <w:r>
              <w:t>Osittain</w:t>
            </w:r>
          </w:p>
        </w:tc>
        <w:tc>
          <w:tcPr>
            <w:tcW w:type="dxa" w:w="1701"/>
          </w:tcPr>
          <w:p>
            <w:pPr>
              <w:pStyle w:val="Tablecontent"/>
            </w:pPr>
            <w:r>
              <w:t>Osittain</w:t>
            </w:r>
          </w:p>
        </w:tc>
        <w:tc>
          <w:tcPr>
            <w:tcW w:type="dxa" w:w="1701"/>
          </w:tcPr>
          <w:p>
            <w:pPr>
              <w:pStyle w:val="Tablecontent"/>
            </w:pPr>
            <w:r>
              <w:t>Kyllä</w:t>
            </w:r>
          </w:p>
        </w:tc>
      </w:tr>
      <w:tr>
        <w:tc>
          <w:tcPr>
            <w:tcW w:type="dxa" w:w="1701"/>
          </w:tcPr>
          <w:p>
            <w:pPr>
              <w:pStyle w:val="Tablecontent"/>
            </w:pPr>
            <w:r>
              <w:t>&lt; 100 ms latenssi</w:t>
            </w:r>
          </w:p>
        </w:tc>
        <w:tc>
          <w:tcPr>
            <w:tcW w:type="dxa" w:w="1701"/>
          </w:tcPr>
          <w:p>
            <w:pPr>
              <w:pStyle w:val="Tablecontent"/>
            </w:pPr>
            <w:r>
              <w:t>Reuna</w:t>
            </w:r>
          </w:p>
        </w:tc>
        <w:tc>
          <w:tcPr>
            <w:tcW w:type="dxa" w:w="1701"/>
          </w:tcPr>
          <w:p>
            <w:pPr>
              <w:pStyle w:val="Tablecontent"/>
            </w:pPr>
            <w:r>
              <w:t>Ei</w:t>
            </w:r>
          </w:p>
        </w:tc>
        <w:tc>
          <w:tcPr>
            <w:tcW w:type="dxa" w:w="1701"/>
          </w:tcPr>
          <w:p>
            <w:pPr>
              <w:pStyle w:val="Tablecontent"/>
            </w:pPr>
            <w:r>
              <w:t>Ei</w:t>
            </w:r>
          </w:p>
        </w:tc>
        <w:tc>
          <w:tcPr>
            <w:tcW w:type="dxa" w:w="1701"/>
          </w:tcPr>
          <w:p>
            <w:pPr>
              <w:pStyle w:val="Tablecontent"/>
            </w:pPr>
            <w:r>
              <w:t>Osittain</w:t>
            </w:r>
          </w:p>
        </w:tc>
      </w:tr>
      <w:tr>
        <w:tc>
          <w:tcPr>
            <w:tcW w:type="dxa" w:w="1701"/>
          </w:tcPr>
          <w:p>
            <w:pPr>
              <w:pStyle w:val="Tablecontent"/>
            </w:pPr>
            <w:r>
              <w:t>Pk-saavutettavuus</w:t>
            </w:r>
          </w:p>
        </w:tc>
        <w:tc>
          <w:tcPr>
            <w:tcW w:type="dxa" w:w="1701"/>
          </w:tcPr>
          <w:p>
            <w:pPr>
              <w:pStyle w:val="Tablecontent"/>
            </w:pPr>
            <w:r>
              <w:t>Kyllä</w:t>
            </w:r>
          </w:p>
        </w:tc>
        <w:tc>
          <w:tcPr>
            <w:tcW w:type="dxa" w:w="1701"/>
          </w:tcPr>
          <w:p>
            <w:pPr>
              <w:pStyle w:val="Tablecontent"/>
            </w:pPr>
            <w:r>
              <w:t>Ei</w:t>
            </w:r>
          </w:p>
        </w:tc>
        <w:tc>
          <w:tcPr>
            <w:tcW w:type="dxa" w:w="1701"/>
          </w:tcPr>
          <w:p>
            <w:pPr>
              <w:pStyle w:val="Tablecontent"/>
            </w:pPr>
            <w:r>
              <w:t>Ei</w:t>
            </w:r>
          </w:p>
        </w:tc>
        <w:tc>
          <w:tcPr>
            <w:tcW w:type="dxa" w:w="1701"/>
          </w:tcPr>
          <w:p>
            <w:pPr>
              <w:pStyle w:val="Tablecontent"/>
            </w:pPr>
            <w:r>
              <w:t>Ei</w:t>
            </w:r>
          </w:p>
        </w:tc>
      </w:tr>
    </w:tbl>
    <w:p>
      <w:pPr>
        <w:pStyle w:val="BodyText"/>
      </w:pPr>
      <w:r>
        <w:t>Helmikuussa 2026 tehty strateginen linjaus tarkensi positioinnin. DWS IQ ei kilpaile suunnitteluvaiheen LCA-työkalujen (kuten One Click LCA) kanssa, vaan täydentää niitä tarjoamalla operaatiovaiheen vaatimustenmukaisuuskerroksen. Suunnitteluvaiheessa lasketaan, millaisia päästöjä rakennuksen tulisi tuottaa; operaatiovaiheessa seurataan, mitä se todella tuottaa, ja raportoidaan sääntelyviranomaisille automaattisesti. Tämä markkinaero on tyhjä kaikissa 27 EU-maassa.</w:t>
      </w:r>
    </w:p>
    <w:p>
      <w:pPr>
        <w:pStyle w:val="Heading2"/>
      </w:pPr>
      <w:r>
        <w:t>Asiakassegmentit</w:t>
      </w:r>
    </w:p>
    <w:p>
      <w:pPr>
        <w:pStyle w:val="BodyText"/>
      </w:pPr>
      <w:r>
        <w:t>DWS10.com-alustan kohdeasiakkaat jakautuvat kahteen tasoon. Tason 1 kriittiset teollisuudet (välitön myyntifokus) sisältävät rakentamisen (NCC, Skanska, T2H, Vinci), logistiikan (Uber, Bolt, Kela, DB Schenker), valmistuksen (Kone, Wärtsilä, ABB) ja energian (Fortum, Helen, Vattenfall). Tason 2 tärkeät teollisuudet laajennetaan V1.1-versiosta alkaen maatalouteen, terveydenhuoltoon, kiinteistöihin ja julkiseen sektoriin.</w:t>
      </w:r>
    </w:p>
    <w:p>
      <w:pPr>
        <w:pStyle w:val="BodyText"/>
      </w:pPr>
      <w:r>
        <w:t>Kokonaismarkkinapotentiaali (TAM) on Pohjoismaissa 2,68 miljardia euroa kymmenen vuoden aikajänteellä ja EU-tasolla 15–20 miljardia euroa. Markkinaa ajavat sääntelyvaatimukset: CSRD (2 miljardia euroa), Fit for 55 (5 miljardia euroa), EPBD (8 miljardia euroa) ja ETS-laajennus (10 miljardia euroa).</w:t>
      </w:r>
    </w:p>
    <w:p>
      <w:r>
        <w:br w:type="page"/>
      </w:r>
    </w:p>
    <w:p>
      <w:pPr>
        <w:pStyle w:val="Heading1"/>
      </w:pPr>
      <w:r>
        <w:t>DWS6-toimintamallin suunnittelu</w:t>
      </w:r>
    </w:p>
    <w:p>
      <w:pPr>
        <w:pStyle w:val="BodyText"/>
      </w:pPr>
      <w:r>
        <w:t>DWS6-toimintamalli rakentuu kolmesta erillisestä kerroksesta: strategisesta, operatiivisesta ja suorituskerroksesta. Tämä luku dokumentoi kunkin kerroksen suunnittelupäätökset ja niiden taustat.</w:t>
      </w:r>
    </w:p>
    <w:p>
      <w:pPr>
        <w:pStyle w:val="Heading2"/>
      </w:pPr>
      <w:r>
        <w:t>Strateginen kerros: Solution Factory -malli</w:t>
      </w:r>
    </w:p>
    <w:p>
      <w:pPr>
        <w:pStyle w:val="BodyText"/>
      </w:pPr>
      <w:r>
        <w:t>Solution Factory -mallin kehittäminen alkoi kysymyksestä: miten yksi startup-yritys voi palvella 16 eri teollisuudenalaa? Vastaus löytyi alustatalouden teoriasta — sen sijaan, että rakennettaisiin 16 erillistä tuotetta, suunniteltiin yksi modulaarinen alustarakenne, jossa jaetut komponentit (Lifetime World Model, MCP Hub, Supabase-datakerros, EU-vaatimustenmukaisuusmoottori) palvelevat kaikkia vertikaaleja, ja toimialakohtaiset agenttikonfiguraatiot räätälöivät ratkaisun kunkin toimialan tarpeisiin.</w:t>
      </w:r>
    </w:p>
    <w:p>
      <w:pPr>
        <w:pStyle w:val="Heading3"/>
      </w:pPr>
      <w:r>
        <w:t>Ilmaistason Bootstrap-strategia</w:t>
      </w:r>
    </w:p>
    <w:p>
      <w:pPr>
        <w:pStyle w:val="BodyText"/>
      </w:pPr>
      <w:r>
        <w:t>Yksi Firehorsen kriittisimmistä strategisista valinnoista oli ilmaistason bootstrap -lähestymistapa. Sen sijaan, että oltaisiin haettu riskipääomaa infrastruktuuria varten, hyödynnettiin startup-krediittejä pilvipalveluntarjoajilta. Groq tarjosi 10 000 dollarin krediitit 12 kuukaudeksi, Google Cloud 300 dollaria kolmeksi kuukaudeksi ja AWS 5 000 dollaria 24 kuukaudeksi — yhteensä 15 300 dollaria, mikä tarjoaa yli kuuden vuoden infrastruktuuri-runwayn. Tämä valinta mahdollisti keskittymisen tuote-markkinasopivuuden validointiin ilman oman pääoman laimentumista.</w:t>
      </w:r>
    </w:p>
    <w:p>
      <w:pPr>
        <w:pStyle w:val="Heading3"/>
      </w:pPr>
      <w:r>
        <w:t>Asiakaslupaus ja validointi</w:t>
      </w:r>
    </w:p>
    <w:p>
      <w:pPr>
        <w:pStyle w:val="BodyText"/>
      </w:pPr>
      <w:r>
        <w:t>Asiakaslupaus — kahden kuukauden takaisinmaksuaika tai rahat takaisin — muotoiltiin tietoisesti mitattavaksi. Reunatekoälyn ROI-laskelma osoittaa, että laitteistoinvestoinnin takaisinmaksuaika on 1,95 kuukautta. Validointi tuli pilottiasiakkailta: Uber, Bolt ja Kela tuottivat yhteensä 10 000 euroa kuukausittaista toistuvaa liikevaihtoa jo ilmaisen pilotin aikana, mikä osoitti asiakkaiden maksuhalukkuuden. (Ries 2011; Blank 2013.)</w:t>
      </w:r>
    </w:p>
    <w:p>
      <w:pPr>
        <w:pStyle w:val="Heading2"/>
      </w:pPr>
      <w:r>
        <w:t>Operatiivinen kerros: AgentFoundry ja Lifetime Scope Signals</w:t>
      </w:r>
    </w:p>
    <w:p>
      <w:pPr>
        <w:pStyle w:val="BodyText"/>
      </w:pPr>
      <w:r>
        <w:t>Operatiivisen kerroksen suunnittelu vastaa kysymykseen: miten kymmenen rinnakkaista tekoälyagenttia koordinoidaan luotettavasti? AgentFoundry-arkkitehtuuri tarjoaa monimalli-, monivuokralaisen kehyksen, ja Lifetime Scope Signals -protokolla varmistaa deterministisen riippuvuuksien hallinnan.</w:t>
      </w:r>
    </w:p>
    <w:p>
      <w:pPr>
        <w:pStyle w:val="BodyText"/>
      </w:pPr>
      <w:r>
        <w:t>V1.0-agenttilaivasto koostuu kymmenestä agentista neljässä vaiheessa. Ensimmäisen vaiheen kriittiset agentit (DWS IQ Login, Supabase Database, Documentation) muodostavat perustan, jolle toisen vaiheen ydinbackend-agentit (Firehorse Apps, AI Agents, Email System) rakentuvat. Kolmannen vaiheen frontend-agentit (Customer Dashboard, Mobile Dashboard) tarvitsevat molemmat alemmat kerrokset, ja neljännen vaiheen Payments-agentti aktivoidaan viimeisenä.</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Agentti-ID</w:t>
            </w:r>
          </w:p>
        </w:tc>
        <w:tc>
          <w:tcPr>
            <w:tcW w:type="dxa" w:w="2126"/>
          </w:tcPr>
          <w:p>
            <w:pPr>
              <w:pStyle w:val="TableTextBold"/>
            </w:pPr>
            <w:r>
              <w:rPr>
                <w:b/>
              </w:rPr>
              <w:t>Nimi</w:t>
            </w:r>
          </w:p>
        </w:tc>
        <w:tc>
          <w:tcPr>
            <w:tcW w:type="dxa" w:w="2126"/>
          </w:tcPr>
          <w:p>
            <w:pPr>
              <w:pStyle w:val="TableTextBold"/>
            </w:pPr>
            <w:r>
              <w:rPr>
                <w:b/>
              </w:rPr>
              <w:t>Vaihe</w:t>
            </w:r>
          </w:p>
        </w:tc>
        <w:tc>
          <w:tcPr>
            <w:tcW w:type="dxa" w:w="2126"/>
          </w:tcPr>
          <w:p>
            <w:pPr>
              <w:pStyle w:val="TableTextBold"/>
            </w:pPr>
            <w:r>
              <w:rPr>
                <w:b/>
              </w:rPr>
              <w:t>Prioriteetti</w:t>
            </w:r>
          </w:p>
        </w:tc>
      </w:tr>
      <w:tr>
        <w:tc>
          <w:tcPr>
            <w:tcW w:type="dxa" w:w="2126"/>
          </w:tcPr>
          <w:p>
            <w:pPr>
              <w:pStyle w:val="Tablecontent"/>
            </w:pPr>
            <w:r>
              <w:t>Agent-01</w:t>
            </w:r>
          </w:p>
        </w:tc>
        <w:tc>
          <w:tcPr>
            <w:tcW w:type="dxa" w:w="2126"/>
          </w:tcPr>
          <w:p>
            <w:pPr>
              <w:pStyle w:val="Tablecontent"/>
            </w:pPr>
            <w:r>
              <w:t>DWS IQ Login</w:t>
            </w:r>
          </w:p>
        </w:tc>
        <w:tc>
          <w:tcPr>
            <w:tcW w:type="dxa" w:w="2126"/>
          </w:tcPr>
          <w:p>
            <w:pPr>
              <w:pStyle w:val="Tablecontent"/>
            </w:pPr>
            <w:r>
              <w:t>1</w:t>
            </w:r>
          </w:p>
        </w:tc>
        <w:tc>
          <w:tcPr>
            <w:tcW w:type="dxa" w:w="2126"/>
          </w:tcPr>
          <w:p>
            <w:pPr>
              <w:pStyle w:val="Tablecontent"/>
            </w:pPr>
            <w:r>
              <w:t>Kriittinen</w:t>
            </w:r>
          </w:p>
        </w:tc>
      </w:tr>
      <w:tr>
        <w:tc>
          <w:tcPr>
            <w:tcW w:type="dxa" w:w="2126"/>
          </w:tcPr>
          <w:p>
            <w:pPr>
              <w:pStyle w:val="Tablecontent"/>
            </w:pPr>
            <w:r>
              <w:t>Agent-02</w:t>
            </w:r>
          </w:p>
        </w:tc>
        <w:tc>
          <w:tcPr>
            <w:tcW w:type="dxa" w:w="2126"/>
          </w:tcPr>
          <w:p>
            <w:pPr>
              <w:pStyle w:val="Tablecontent"/>
            </w:pPr>
            <w:r>
              <w:t>Firehorse Apps</w:t>
            </w:r>
          </w:p>
        </w:tc>
        <w:tc>
          <w:tcPr>
            <w:tcW w:type="dxa" w:w="2126"/>
          </w:tcPr>
          <w:p>
            <w:pPr>
              <w:pStyle w:val="Tablecontent"/>
            </w:pPr>
            <w:r>
              <w:t>2</w:t>
            </w:r>
          </w:p>
        </w:tc>
        <w:tc>
          <w:tcPr>
            <w:tcW w:type="dxa" w:w="2126"/>
          </w:tcPr>
          <w:p>
            <w:pPr>
              <w:pStyle w:val="Tablecontent"/>
            </w:pPr>
            <w:r>
              <w:t>Kriittinen</w:t>
            </w:r>
          </w:p>
        </w:tc>
      </w:tr>
      <w:tr>
        <w:tc>
          <w:tcPr>
            <w:tcW w:type="dxa" w:w="2126"/>
          </w:tcPr>
          <w:p>
            <w:pPr>
              <w:pStyle w:val="Tablecontent"/>
            </w:pPr>
            <w:r>
              <w:t>Agent-03</w:t>
            </w:r>
          </w:p>
        </w:tc>
        <w:tc>
          <w:tcPr>
            <w:tcW w:type="dxa" w:w="2126"/>
          </w:tcPr>
          <w:p>
            <w:pPr>
              <w:pStyle w:val="Tablecontent"/>
            </w:pPr>
            <w:r>
              <w:t>Customer Dashboard</w:t>
            </w:r>
          </w:p>
        </w:tc>
        <w:tc>
          <w:tcPr>
            <w:tcW w:type="dxa" w:w="2126"/>
          </w:tcPr>
          <w:p>
            <w:pPr>
              <w:pStyle w:val="Tablecontent"/>
            </w:pPr>
            <w:r>
              <w:t>3</w:t>
            </w:r>
          </w:p>
        </w:tc>
        <w:tc>
          <w:tcPr>
            <w:tcW w:type="dxa" w:w="2126"/>
          </w:tcPr>
          <w:p>
            <w:pPr>
              <w:pStyle w:val="Tablecontent"/>
            </w:pPr>
            <w:r>
              <w:t>Kriittinen</w:t>
            </w:r>
          </w:p>
        </w:tc>
      </w:tr>
      <w:tr>
        <w:tc>
          <w:tcPr>
            <w:tcW w:type="dxa" w:w="2126"/>
          </w:tcPr>
          <w:p>
            <w:pPr>
              <w:pStyle w:val="Tablecontent"/>
            </w:pPr>
            <w:r>
              <w:t>Agent-04</w:t>
            </w:r>
          </w:p>
        </w:tc>
        <w:tc>
          <w:tcPr>
            <w:tcW w:type="dxa" w:w="2126"/>
          </w:tcPr>
          <w:p>
            <w:pPr>
              <w:pStyle w:val="Tablecontent"/>
            </w:pPr>
            <w:r>
              <w:t>AI Agents</w:t>
            </w:r>
          </w:p>
        </w:tc>
        <w:tc>
          <w:tcPr>
            <w:tcW w:type="dxa" w:w="2126"/>
          </w:tcPr>
          <w:p>
            <w:pPr>
              <w:pStyle w:val="Tablecontent"/>
            </w:pPr>
            <w:r>
              <w:t>2</w:t>
            </w:r>
          </w:p>
        </w:tc>
        <w:tc>
          <w:tcPr>
            <w:tcW w:type="dxa" w:w="2126"/>
          </w:tcPr>
          <w:p>
            <w:pPr>
              <w:pStyle w:val="Tablecontent"/>
            </w:pPr>
            <w:r>
              <w:t>Kriittinen</w:t>
            </w:r>
          </w:p>
        </w:tc>
      </w:tr>
      <w:tr>
        <w:tc>
          <w:tcPr>
            <w:tcW w:type="dxa" w:w="2126"/>
          </w:tcPr>
          <w:p>
            <w:pPr>
              <w:pStyle w:val="Tablecontent"/>
            </w:pPr>
            <w:r>
              <w:t>Agent-05</w:t>
            </w:r>
          </w:p>
        </w:tc>
        <w:tc>
          <w:tcPr>
            <w:tcW w:type="dxa" w:w="2126"/>
          </w:tcPr>
          <w:p>
            <w:pPr>
              <w:pStyle w:val="Tablecontent"/>
            </w:pPr>
            <w:r>
              <w:t>Mobile Dashboard</w:t>
            </w:r>
          </w:p>
        </w:tc>
        <w:tc>
          <w:tcPr>
            <w:tcW w:type="dxa" w:w="2126"/>
          </w:tcPr>
          <w:p>
            <w:pPr>
              <w:pStyle w:val="Tablecontent"/>
            </w:pPr>
            <w:r>
              <w:t>3</w:t>
            </w:r>
          </w:p>
        </w:tc>
        <w:tc>
          <w:tcPr>
            <w:tcW w:type="dxa" w:w="2126"/>
          </w:tcPr>
          <w:p>
            <w:pPr>
              <w:pStyle w:val="Tablecontent"/>
            </w:pPr>
            <w:r>
              <w:t>Korkea</w:t>
            </w:r>
          </w:p>
        </w:tc>
      </w:tr>
      <w:tr>
        <w:tc>
          <w:tcPr>
            <w:tcW w:type="dxa" w:w="2126"/>
          </w:tcPr>
          <w:p>
            <w:pPr>
              <w:pStyle w:val="Tablecontent"/>
            </w:pPr>
            <w:r>
              <w:t>Agent-07</w:t>
            </w:r>
          </w:p>
        </w:tc>
        <w:tc>
          <w:tcPr>
            <w:tcW w:type="dxa" w:w="2126"/>
          </w:tcPr>
          <w:p>
            <w:pPr>
              <w:pStyle w:val="Tablecontent"/>
            </w:pPr>
            <w:r>
              <w:t>Supabase Database</w:t>
            </w:r>
          </w:p>
        </w:tc>
        <w:tc>
          <w:tcPr>
            <w:tcW w:type="dxa" w:w="2126"/>
          </w:tcPr>
          <w:p>
            <w:pPr>
              <w:pStyle w:val="Tablecontent"/>
            </w:pPr>
            <w:r>
              <w:t>1</w:t>
            </w:r>
          </w:p>
        </w:tc>
        <w:tc>
          <w:tcPr>
            <w:tcW w:type="dxa" w:w="2126"/>
          </w:tcPr>
          <w:p>
            <w:pPr>
              <w:pStyle w:val="Tablecontent"/>
            </w:pPr>
            <w:r>
              <w:t>Kriittinen</w:t>
            </w:r>
          </w:p>
        </w:tc>
      </w:tr>
      <w:tr>
        <w:tc>
          <w:tcPr>
            <w:tcW w:type="dxa" w:w="2126"/>
          </w:tcPr>
          <w:p>
            <w:pPr>
              <w:pStyle w:val="Tablecontent"/>
            </w:pPr>
            <w:r>
              <w:t>Agent-08</w:t>
            </w:r>
          </w:p>
        </w:tc>
        <w:tc>
          <w:tcPr>
            <w:tcW w:type="dxa" w:w="2126"/>
          </w:tcPr>
          <w:p>
            <w:pPr>
              <w:pStyle w:val="Tablecontent"/>
            </w:pPr>
            <w:r>
              <w:t>Payments</w:t>
            </w:r>
          </w:p>
        </w:tc>
        <w:tc>
          <w:tcPr>
            <w:tcW w:type="dxa" w:w="2126"/>
          </w:tcPr>
          <w:p>
            <w:pPr>
              <w:pStyle w:val="Tablecontent"/>
            </w:pPr>
            <w:r>
              <w:t>4</w:t>
            </w:r>
          </w:p>
        </w:tc>
        <w:tc>
          <w:tcPr>
            <w:tcW w:type="dxa" w:w="2126"/>
          </w:tcPr>
          <w:p>
            <w:pPr>
              <w:pStyle w:val="Tablecontent"/>
            </w:pPr>
            <w:r>
              <w:t>Keskitaso</w:t>
            </w:r>
          </w:p>
        </w:tc>
      </w:tr>
      <w:tr>
        <w:tc>
          <w:tcPr>
            <w:tcW w:type="dxa" w:w="2126"/>
          </w:tcPr>
          <w:p>
            <w:pPr>
              <w:pStyle w:val="Tablecontent"/>
            </w:pPr>
            <w:r>
              <w:t>Agent-09</w:t>
            </w:r>
          </w:p>
        </w:tc>
        <w:tc>
          <w:tcPr>
            <w:tcW w:type="dxa" w:w="2126"/>
          </w:tcPr>
          <w:p>
            <w:pPr>
              <w:pStyle w:val="Tablecontent"/>
            </w:pPr>
            <w:r>
              <w:t>Email System</w:t>
            </w:r>
          </w:p>
        </w:tc>
        <w:tc>
          <w:tcPr>
            <w:tcW w:type="dxa" w:w="2126"/>
          </w:tcPr>
          <w:p>
            <w:pPr>
              <w:pStyle w:val="Tablecontent"/>
            </w:pPr>
            <w:r>
              <w:t>2</w:t>
            </w:r>
          </w:p>
        </w:tc>
        <w:tc>
          <w:tcPr>
            <w:tcW w:type="dxa" w:w="2126"/>
          </w:tcPr>
          <w:p>
            <w:pPr>
              <w:pStyle w:val="Tablecontent"/>
            </w:pPr>
            <w:r>
              <w:t>Korkea</w:t>
            </w:r>
          </w:p>
        </w:tc>
      </w:tr>
      <w:tr>
        <w:tc>
          <w:tcPr>
            <w:tcW w:type="dxa" w:w="2126"/>
          </w:tcPr>
          <w:p>
            <w:pPr>
              <w:pStyle w:val="Tablecontent"/>
            </w:pPr>
            <w:r>
              <w:t>Agent-10</w:t>
            </w:r>
          </w:p>
        </w:tc>
        <w:tc>
          <w:tcPr>
            <w:tcW w:type="dxa" w:w="2126"/>
          </w:tcPr>
          <w:p>
            <w:pPr>
              <w:pStyle w:val="Tablecontent"/>
            </w:pPr>
            <w:r>
              <w:t>Documentation</w:t>
            </w:r>
          </w:p>
        </w:tc>
        <w:tc>
          <w:tcPr>
            <w:tcW w:type="dxa" w:w="2126"/>
          </w:tcPr>
          <w:p>
            <w:pPr>
              <w:pStyle w:val="Tablecontent"/>
            </w:pPr>
            <w:r>
              <w:t>1</w:t>
            </w:r>
          </w:p>
        </w:tc>
        <w:tc>
          <w:tcPr>
            <w:tcW w:type="dxa" w:w="2126"/>
          </w:tcPr>
          <w:p>
            <w:pPr>
              <w:pStyle w:val="Tablecontent"/>
            </w:pPr>
            <w:r>
              <w:t>Matala</w:t>
            </w:r>
          </w:p>
        </w:tc>
      </w:tr>
    </w:tbl>
    <w:p>
      <w:pPr>
        <w:pStyle w:val="Heading2"/>
      </w:pPr>
      <w:r>
        <w:t>Suorituskerros: Aivot-Muisti-Keho-Kädet</w:t>
      </w:r>
    </w:p>
    <w:p>
      <w:pPr>
        <w:pStyle w:val="BodyText"/>
      </w:pPr>
      <w:r>
        <w:t>Suorituskerros toteuttaa Aivot-Muisti-Keho-Kädet-arkkitehtuurin. Aivot (DWS IQ 6) yhdistävät kolme suurta kielimallia (Groq, Claude, Gemini) moniagenttiorkestrointiin. Muisti (Lifetime World Model) säilyttää ilmastotietokannan ja EU-säädökset. Keho koostuu kahdeksasta toimialasovelluksesta, ja Kädet suorittavat fyysisen maailman mittaukset Jetson-reunalaitteilla, droneilla ja IoT-antureilla.</w:t>
      </w:r>
    </w:p>
    <w:p>
      <w:pPr>
        <w:pStyle w:val="BodyText"/>
      </w:pPr>
      <w:r>
        <w:t>Hybridiarkkitehtuurin valinta ei ollut itsestään selvä. Alkuperäinen suunnitelma perustui Groq API:n tarjoamaan nopeaan pilvipäättelyyn. Ensimmäiset kenttätestit osoittivat kuitenkin, etteivät rakennustyömaat tarjoa jatkuvaa verkkoyhtettä, ja latenssivaatimus reaaliaikaiselle turvallisuusvalvonnalle oli kriittinen. Päätös lisätä NVIDIA Jetson Orin Nano -reunakerros tehtiin tammikuussa 2026 näiden kenttähavaintojen perusteella.</w:t>
      </w:r>
    </w:p>
    <w:p>
      <w:pPr>
        <w:pStyle w:val="Heading2"/>
      </w:pPr>
      <w:r>
        <w:t>Kustannusmalli</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Vaihe</w:t>
            </w:r>
          </w:p>
        </w:tc>
        <w:tc>
          <w:tcPr>
            <w:tcW w:type="dxa" w:w="2835"/>
          </w:tcPr>
          <w:p>
            <w:pPr>
              <w:pStyle w:val="TableTextBold"/>
            </w:pPr>
            <w:r>
              <w:rPr>
                <w:b/>
              </w:rPr>
              <w:t>Kustannus</w:t>
            </w:r>
          </w:p>
        </w:tc>
        <w:tc>
          <w:tcPr>
            <w:tcW w:type="dxa" w:w="2835"/>
          </w:tcPr>
          <w:p>
            <w:pPr>
              <w:pStyle w:val="TableTextBold"/>
            </w:pPr>
            <w:r>
              <w:rPr>
                <w:b/>
              </w:rPr>
              <w:t>Teknologia</w:t>
            </w:r>
          </w:p>
        </w:tc>
      </w:tr>
      <w:tr>
        <w:tc>
          <w:tcPr>
            <w:tcW w:type="dxa" w:w="2835"/>
          </w:tcPr>
          <w:p>
            <w:pPr>
              <w:pStyle w:val="Tablecontent"/>
            </w:pPr>
            <w:r>
              <w:t>MVP</w:t>
            </w:r>
          </w:p>
        </w:tc>
        <w:tc>
          <w:tcPr>
            <w:tcW w:type="dxa" w:w="2835"/>
          </w:tcPr>
          <w:p>
            <w:pPr>
              <w:pStyle w:val="Tablecontent"/>
            </w:pPr>
            <w:r>
              <w:t>0 €/kk</w:t>
            </w:r>
          </w:p>
        </w:tc>
        <w:tc>
          <w:tcPr>
            <w:tcW w:type="dxa" w:w="2835"/>
          </w:tcPr>
          <w:p>
            <w:pPr>
              <w:pStyle w:val="Tablecontent"/>
            </w:pPr>
            <w:r>
              <w:t>Groq 10 000 $ krediitit + Cloud Run free tier</w:t>
            </w:r>
          </w:p>
        </w:tc>
      </w:tr>
      <w:tr>
        <w:tc>
          <w:tcPr>
            <w:tcW w:type="dxa" w:w="2835"/>
          </w:tcPr>
          <w:p>
            <w:pPr>
              <w:pStyle w:val="Tablecontent"/>
            </w:pPr>
            <w:r>
              <w:t>Alpha</w:t>
            </w:r>
          </w:p>
        </w:tc>
        <w:tc>
          <w:tcPr>
            <w:tcW w:type="dxa" w:w="2835"/>
          </w:tcPr>
          <w:p>
            <w:pPr>
              <w:pStyle w:val="Tablecontent"/>
            </w:pPr>
            <w:r>
              <w:t>50–150 €/kk</w:t>
            </w:r>
          </w:p>
        </w:tc>
        <w:tc>
          <w:tcPr>
            <w:tcW w:type="dxa" w:w="2835"/>
          </w:tcPr>
          <w:p>
            <w:pPr>
              <w:pStyle w:val="Tablecontent"/>
            </w:pPr>
            <w:r>
              <w:t>Groq + Supabase Pro</w:t>
            </w:r>
          </w:p>
        </w:tc>
      </w:tr>
      <w:tr>
        <w:tc>
          <w:tcPr>
            <w:tcW w:type="dxa" w:w="2835"/>
          </w:tcPr>
          <w:p>
            <w:pPr>
              <w:pStyle w:val="Tablecontent"/>
            </w:pPr>
            <w:r>
              <w:t>V1</w:t>
            </w:r>
          </w:p>
        </w:tc>
        <w:tc>
          <w:tcPr>
            <w:tcW w:type="dxa" w:w="2835"/>
          </w:tcPr>
          <w:p>
            <w:pPr>
              <w:pStyle w:val="Tablecontent"/>
            </w:pPr>
            <w:r>
              <w:t>350 €/kk</w:t>
            </w:r>
          </w:p>
        </w:tc>
        <w:tc>
          <w:tcPr>
            <w:tcW w:type="dxa" w:w="2835"/>
          </w:tcPr>
          <w:p>
            <w:pPr>
              <w:pStyle w:val="Tablecontent"/>
            </w:pPr>
            <w:r>
              <w:t>Groq + Supabase + Monitoring</w:t>
            </w:r>
          </w:p>
        </w:tc>
      </w:tr>
    </w:tbl>
    <w:p>
      <w:pPr>
        <w:pStyle w:val="Heading2"/>
      </w:pPr>
      <w:r>
        <w:t>Go-to-Market -strategia</w:t>
      </w:r>
    </w:p>
    <w:p>
      <w:pPr>
        <w:pStyle w:val="BodyText"/>
      </w:pPr>
      <w:r>
        <w:t>Markkinoilletulostrategia perustuu kolmeen vaiheeseen. MVP-vaihe (joulukuu 2025) palvelee viittä rakennusasiakasta ilmaiseksi kahdella agentilla. Alpha-vaihe (helmikuu 2026) laajentaa 20–50 asiakkaaseen kolmella toimialalla kymmenellä agentilla. V1-vaihe (marraskuu 2026) tähtää yli 100 asiakkaaseen kahdeksalla toimialalla 33 agentilla.</w:t>
      </w:r>
    </w:p>
    <w:p>
      <w:r>
        <w:br w:type="page"/>
      </w:r>
    </w:p>
    <w:p>
      <w:pPr>
        <w:pStyle w:val="Heading1"/>
      </w:pPr>
      <w:r>
        <w:t>Toteutus (MVP-vaihe)</w:t>
      </w:r>
    </w:p>
    <w:p>
      <w:pPr>
        <w:pStyle w:val="BodyText"/>
      </w:pPr>
      <w:r>
        <w:t>Tämä luku dokumentoi Firehorse-toimintamallin toteutuksen MVP-vaiheessa joulukuusta 2025 helmikuuhun 2026. Toteutus eteni neljässä osassa: infrastruktuurin käyttöönotto, agenttikehitys, asiakkaiden perehdytys ja tulosten mittaus.</w:t>
      </w:r>
    </w:p>
    <w:p>
      <w:pPr>
        <w:pStyle w:val="Heading2"/>
      </w:pPr>
      <w:r>
        <w:t>Infrastruktuurin käyttöönotto</w:t>
      </w:r>
    </w:p>
    <w:p>
      <w:pPr>
        <w:pStyle w:val="BodyText"/>
      </w:pPr>
      <w:r>
        <w:t>Infrastruktuurin rakentaminen alkoi Google Cloud Run -ympäristön konfiguroinnilla europe-north1-alueelle, mikä varmistaa GDPR-yhteensopivan datan sijainnin Suomessa ja Ruotsissa. MCP Hub käynnistettiin portissa 8765 ja Supabase MCP Server portissa 8766. FastAPI-pohjainen Groq API Router käsittelee kaikki tekoälypyynnöt automaattisella skaalauksella.</w:t>
      </w:r>
    </w:p>
    <w:p>
      <w:pPr>
        <w:pStyle w:val="BodyText"/>
      </w:pPr>
      <w:r>
        <w:t>Tietokanta-arkkitehtuuri perustuu Supabase PostgreSQL:ään pgvector-laajennoksella. Käyttäjät ja Organisaatiot -taulut on suojattu rivitason suojauksella (RLS), joka varmistaa, ettei yksikään vuokralainen pääse toisen dataan. Vektoriupotukset mahdollistavat semanttisen haun agenttimuistista.</w:t>
      </w:r>
    </w:p>
    <w:p>
      <w:pPr>
        <w:pStyle w:val="Heading2"/>
      </w:pPr>
      <w:r>
        <w:t>Agenttikehitys</w:t>
      </w:r>
    </w:p>
    <w:p>
      <w:pPr>
        <w:pStyle w:val="BodyText"/>
      </w:pPr>
      <w:r>
        <w:t>Kymmenen agentin kehitystä koordinoitiin Lifetime Scope Signals -protokollalla. Käytännössä tämä tarkoitti, että vaiheen 1 agentit (Login, Database, Documentation) lähettivät READY-signaalin vasta, kun niiden palvelut olivat käytettävissä, minkä jälkeen vaiheen 2 agentit (Firehorse Apps, AI Agents, Email) voivat aloittaa työn. Tämä esti tilanteen, jossa frontend-agentti olisi yrittänyt kutsua kirjautumispalvelua ennen sen olemassaoloa.</w:t>
      </w:r>
    </w:p>
    <w:p>
      <w:pPr>
        <w:pStyle w:val="Heading2"/>
      </w:pPr>
      <w:r>
        <w:t>Asiakkaiden perehdytys ja validointi</w:t>
      </w:r>
    </w:p>
    <w:p>
      <w:pPr>
        <w:pStyle w:val="BodyText"/>
      </w:pPr>
      <w:r>
        <w:t>Pilottiasiakkaiden valinta perustui kolmeen kriteeriin: toimialan kriittisyys Fit for 55:n kannalta, valmius pilottiin ja riittävä liikevaihto (10–100 miljoonaa euroa) merkityksellisen validoinnin saamiseksi. Logistiikka-asiakkaat (Uber Taksi Helsinki, Bolt, Kela) tuottivat ensimmäisenä konkreettisia tuloksia: 10 000 euron kuukausittainen toistuva liikevaihto pilotin aikana. Rakennusasiakkaat (NCC, T2H) toivat viisi projektia ja 50 miljoonan euron projektiportfolion.</w:t>
      </w:r>
    </w:p>
    <w:p>
      <w:pPr>
        <w:pStyle w:val="Heading2"/>
      </w:pPr>
      <w:r>
        <w:t>Toteutuksen tulokset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Mittari</w:t>
            </w:r>
          </w:p>
        </w:tc>
        <w:tc>
          <w:tcPr>
            <w:tcW w:type="dxa" w:w="2835"/>
          </w:tcPr>
          <w:p>
            <w:pPr>
              <w:pStyle w:val="TableTextBold"/>
            </w:pPr>
            <w:r>
              <w:rPr>
                <w:b/>
              </w:rPr>
              <w:t>Tavoite</w:t>
            </w:r>
          </w:p>
        </w:tc>
        <w:tc>
          <w:tcPr>
            <w:tcW w:type="dxa" w:w="2835"/>
          </w:tcPr>
          <w:p>
            <w:pPr>
              <w:pStyle w:val="TableTextBold"/>
            </w:pPr>
            <w:r>
              <w:rPr>
                <w:b/>
              </w:rPr>
              <w:t>Toteutunut</w:t>
            </w:r>
          </w:p>
        </w:tc>
      </w:tr>
      <w:tr>
        <w:tc>
          <w:tcPr>
            <w:tcW w:type="dxa" w:w="2835"/>
          </w:tcPr>
          <w:p>
            <w:pPr>
              <w:pStyle w:val="Tablecontent"/>
            </w:pPr>
            <w:r>
              <w:t>Kehitysnopeus</w:t>
            </w:r>
          </w:p>
        </w:tc>
        <w:tc>
          <w:tcPr>
            <w:tcW w:type="dxa" w:w="2835"/>
          </w:tcPr>
          <w:p>
            <w:pPr>
              <w:pStyle w:val="Tablecontent"/>
            </w:pPr>
            <w:r>
              <w:t>+50 %</w:t>
            </w:r>
          </w:p>
        </w:tc>
        <w:tc>
          <w:tcPr>
            <w:tcW w:type="dxa" w:w="2835"/>
          </w:tcPr>
          <w:p>
            <w:pPr>
              <w:pStyle w:val="Tablecontent"/>
            </w:pPr>
            <w:r>
              <w:t>+62 % (MCP Hubilla)</w:t>
            </w:r>
          </w:p>
        </w:tc>
      </w:tr>
      <w:tr>
        <w:tc>
          <w:tcPr>
            <w:tcW w:type="dxa" w:w="2835"/>
          </w:tcPr>
          <w:p>
            <w:pPr>
              <w:pStyle w:val="Tablecontent"/>
            </w:pPr>
            <w:r>
              <w:t>Virhevähennys</w:t>
            </w:r>
          </w:p>
        </w:tc>
        <w:tc>
          <w:tcPr>
            <w:tcW w:type="dxa" w:w="2835"/>
          </w:tcPr>
          <w:p>
            <w:pPr>
              <w:pStyle w:val="Tablecontent"/>
            </w:pPr>
            <w:r>
              <w:t>−50 %</w:t>
            </w:r>
          </w:p>
        </w:tc>
        <w:tc>
          <w:tcPr>
            <w:tcW w:type="dxa" w:w="2835"/>
          </w:tcPr>
          <w:p>
            <w:pPr>
              <w:pStyle w:val="Tablecontent"/>
            </w:pPr>
            <w:r>
              <w:t>−73 %</w:t>
            </w:r>
          </w:p>
        </w:tc>
      </w:tr>
      <w:tr>
        <w:tc>
          <w:tcPr>
            <w:tcW w:type="dxa" w:w="2835"/>
          </w:tcPr>
          <w:p>
            <w:pPr>
              <w:pStyle w:val="Tablecontent"/>
            </w:pPr>
            <w:r>
              <w:t>Aika ensimmäiseen asiakkaaseen</w:t>
            </w:r>
          </w:p>
        </w:tc>
        <w:tc>
          <w:tcPr>
            <w:tcW w:type="dxa" w:w="2835"/>
          </w:tcPr>
          <w:p>
            <w:pPr>
              <w:pStyle w:val="Tablecontent"/>
            </w:pPr>
            <w:r>
              <w:t>60 päivää</w:t>
            </w:r>
          </w:p>
        </w:tc>
        <w:tc>
          <w:tcPr>
            <w:tcW w:type="dxa" w:w="2835"/>
          </w:tcPr>
          <w:p>
            <w:pPr>
              <w:pStyle w:val="Tablecontent"/>
            </w:pPr>
            <w:r>
              <w:t>45 päivää</w:t>
            </w:r>
          </w:p>
        </w:tc>
      </w:tr>
      <w:tr>
        <w:tc>
          <w:tcPr>
            <w:tcW w:type="dxa" w:w="2835"/>
          </w:tcPr>
          <w:p>
            <w:pPr>
              <w:pStyle w:val="Tablecontent"/>
            </w:pPr>
            <w:r>
              <w:t>Agentin käyttöönottoaika</w:t>
            </w:r>
          </w:p>
        </w:tc>
        <w:tc>
          <w:tcPr>
            <w:tcW w:type="dxa" w:w="2835"/>
          </w:tcPr>
          <w:p>
            <w:pPr>
              <w:pStyle w:val="Tablecontent"/>
            </w:pPr>
            <w:r>
              <w:t>7 päivää</w:t>
            </w:r>
          </w:p>
        </w:tc>
        <w:tc>
          <w:tcPr>
            <w:tcW w:type="dxa" w:w="2835"/>
          </w:tcPr>
          <w:p>
            <w:pPr>
              <w:pStyle w:val="Tablecontent"/>
            </w:pPr>
            <w:r>
              <w:t>3 päivää (malleilla)</w:t>
            </w:r>
          </w:p>
        </w:tc>
      </w:tr>
    </w:tbl>
    <w:p>
      <w:r>
        <w:br w:type="page"/>
      </w:r>
    </w:p>
    <w:p>
      <w:pPr>
        <w:pStyle w:val="Heading1"/>
      </w:pPr>
      <w:r>
        <w:t>DWS10.com-verkkokaupan integraatio</w:t>
      </w:r>
    </w:p>
    <w:p>
      <w:pPr>
        <w:pStyle w:val="BodyText"/>
      </w:pPr>
      <w:r>
        <w:t>DWS10.com-verkkokauppa syntyi tarpeesta validoida Firehorse-toimintamalli suoramyynnin kautta. Verkkokaupan rakentaminen aloitettiin tammikuussa 2026, ja ensimmäinen Google Merchant Center -hyväksyntä saatiin viikon sisällä. Tämä luku dokumentoi kaupan arkkitehtuurin, tuotekatalogin ja integraatiot.</w:t>
      </w:r>
    </w:p>
    <w:p>
      <w:pPr>
        <w:pStyle w:val="Heading2"/>
      </w:pPr>
      <w:r>
        <w:t>Kaupan arkkitehtuuri</w:t>
      </w:r>
    </w:p>
    <w:p>
      <w:pPr>
        <w:pStyle w:val="BodyText"/>
      </w:pPr>
      <w:r>
        <w:t>Verkkokaupan arkkitehtuuri suunniteltiin minimalistiseksi ja kustannustehokkaaksi. Kauppa koostuu staattisista HTML-sivuista, jotka servoidaan Cloudflare Pages -alustalta nollakustannuksella. Tuotekatalogi ylläpidetään keskitetysti products.json-tiedostossa, josta Node.js-skripti generoi Google Merchant Center -yhteensopivan XML-syötteen automaattisesti.</w:t>
      </w:r>
    </w:p>
    <w:p>
      <w:pPr>
        <w:pStyle w:val="Heading2"/>
      </w:pPr>
      <w:r>
        <w:t>Tuotekatalogi</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Kategoria</w:t>
            </w:r>
          </w:p>
        </w:tc>
        <w:tc>
          <w:tcPr>
            <w:tcW w:type="dxa" w:w="2126"/>
          </w:tcPr>
          <w:p>
            <w:pPr>
              <w:pStyle w:val="TableTextBold"/>
            </w:pPr>
            <w:r>
              <w:rPr>
                <w:b/>
              </w:rPr>
              <w:t>Tuotteet</w:t>
            </w:r>
          </w:p>
        </w:tc>
        <w:tc>
          <w:tcPr>
            <w:tcW w:type="dxa" w:w="2126"/>
          </w:tcPr>
          <w:p>
            <w:pPr>
              <w:pStyle w:val="TableTextBold"/>
            </w:pPr>
            <w:r>
              <w:rPr>
                <w:b/>
              </w:rPr>
              <w:t>Hintaluokka</w:t>
            </w:r>
          </w:p>
        </w:tc>
        <w:tc>
          <w:tcPr>
            <w:tcW w:type="dxa" w:w="2126"/>
          </w:tcPr>
          <w:p>
            <w:pPr>
              <w:pStyle w:val="TableTextBold"/>
            </w:pPr>
            <w:r>
              <w:rPr>
                <w:b/>
              </w:rPr>
              <w:t>Esimerkit</w:t>
            </w:r>
          </w:p>
        </w:tc>
      </w:tr>
      <w:tr>
        <w:tc>
          <w:tcPr>
            <w:tcW w:type="dxa" w:w="2126"/>
          </w:tcPr>
          <w:p>
            <w:pPr>
              <w:pStyle w:val="Tablecontent"/>
            </w:pPr>
            <w:r>
              <w:t>Alustaohjelmistot</w:t>
            </w:r>
          </w:p>
        </w:tc>
        <w:tc>
          <w:tcPr>
            <w:tcW w:type="dxa" w:w="2126"/>
          </w:tcPr>
          <w:p>
            <w:pPr>
              <w:pStyle w:val="Tablecontent"/>
            </w:pPr>
            <w:r>
              <w:t>2</w:t>
            </w:r>
          </w:p>
        </w:tc>
        <w:tc>
          <w:tcPr>
            <w:tcW w:type="dxa" w:w="2126"/>
          </w:tcPr>
          <w:p>
            <w:pPr>
              <w:pStyle w:val="Tablecontent"/>
            </w:pPr>
            <w:r>
              <w:t>4 999–6 995 €</w:t>
            </w:r>
          </w:p>
        </w:tc>
        <w:tc>
          <w:tcPr>
            <w:tcW w:type="dxa" w:w="2126"/>
          </w:tcPr>
          <w:p>
            <w:pPr>
              <w:pStyle w:val="Tablecontent"/>
            </w:pPr>
            <w:r>
              <w:t>DWS IQ v5, v6</w:t>
            </w:r>
          </w:p>
        </w:tc>
      </w:tr>
      <w:tr>
        <w:tc>
          <w:tcPr>
            <w:tcW w:type="dxa" w:w="2126"/>
          </w:tcPr>
          <w:p>
            <w:pPr>
              <w:pStyle w:val="Tablecontent"/>
            </w:pPr>
            <w:r>
              <w:t>Firehorse-tuoteperhe</w:t>
            </w:r>
          </w:p>
        </w:tc>
        <w:tc>
          <w:tcPr>
            <w:tcW w:type="dxa" w:w="2126"/>
          </w:tcPr>
          <w:p>
            <w:pPr>
              <w:pStyle w:val="Tablecontent"/>
            </w:pPr>
            <w:r>
              <w:t>6</w:t>
            </w:r>
          </w:p>
        </w:tc>
        <w:tc>
          <w:tcPr>
            <w:tcW w:type="dxa" w:w="2126"/>
          </w:tcPr>
          <w:p>
            <w:pPr>
              <w:pStyle w:val="Tablecontent"/>
            </w:pPr>
            <w:r>
              <w:t>499–4 950 €</w:t>
            </w:r>
          </w:p>
        </w:tc>
        <w:tc>
          <w:tcPr>
            <w:tcW w:type="dxa" w:w="2126"/>
          </w:tcPr>
          <w:p>
            <w:pPr>
              <w:pStyle w:val="Tablecontent"/>
            </w:pPr>
            <w:r>
              <w:t>Automation, Report, CMS</w:t>
            </w:r>
          </w:p>
        </w:tc>
      </w:tr>
      <w:tr>
        <w:tc>
          <w:tcPr>
            <w:tcW w:type="dxa" w:w="2126"/>
          </w:tcPr>
          <w:p>
            <w:pPr>
              <w:pStyle w:val="Tablecontent"/>
            </w:pPr>
            <w:r>
              <w:t>Konsultointi</w:t>
            </w:r>
          </w:p>
        </w:tc>
        <w:tc>
          <w:tcPr>
            <w:tcW w:type="dxa" w:w="2126"/>
          </w:tcPr>
          <w:p>
            <w:pPr>
              <w:pStyle w:val="Tablecontent"/>
            </w:pPr>
            <w:r>
              <w:t>12</w:t>
            </w:r>
          </w:p>
        </w:tc>
        <w:tc>
          <w:tcPr>
            <w:tcW w:type="dxa" w:w="2126"/>
          </w:tcPr>
          <w:p>
            <w:pPr>
              <w:pStyle w:val="Tablecontent"/>
            </w:pPr>
            <w:r>
              <w:t>98–6 250 €</w:t>
            </w:r>
          </w:p>
        </w:tc>
        <w:tc>
          <w:tcPr>
            <w:tcW w:type="dxa" w:w="2126"/>
          </w:tcPr>
          <w:p>
            <w:pPr>
              <w:pStyle w:val="Tablecontent"/>
            </w:pPr>
            <w:r>
              <w:t>Tunti-, kuukausi-, työpajahinnoittelu</w:t>
            </w:r>
          </w:p>
        </w:tc>
      </w:tr>
      <w:tr>
        <w:tc>
          <w:tcPr>
            <w:tcW w:type="dxa" w:w="2126"/>
          </w:tcPr>
          <w:p>
            <w:pPr>
              <w:pStyle w:val="Tablecontent"/>
            </w:pPr>
            <w:r>
              <w:t>Koulutus</w:t>
            </w:r>
          </w:p>
        </w:tc>
        <w:tc>
          <w:tcPr>
            <w:tcW w:type="dxa" w:w="2126"/>
          </w:tcPr>
          <w:p>
            <w:pPr>
              <w:pStyle w:val="Tablecontent"/>
            </w:pPr>
            <w:r>
              <w:t>4</w:t>
            </w:r>
          </w:p>
        </w:tc>
        <w:tc>
          <w:tcPr>
            <w:tcW w:type="dxa" w:w="2126"/>
          </w:tcPr>
          <w:p>
            <w:pPr>
              <w:pStyle w:val="Tablecontent"/>
            </w:pPr>
            <w:r>
              <w:t>499–6 250 €</w:t>
            </w:r>
          </w:p>
        </w:tc>
        <w:tc>
          <w:tcPr>
            <w:tcW w:type="dxa" w:w="2126"/>
          </w:tcPr>
          <w:p>
            <w:pPr>
              <w:pStyle w:val="Tablecontent"/>
            </w:pPr>
            <w:r>
              <w:t>AI Koulutus, Coach, Mentor</w:t>
            </w:r>
          </w:p>
        </w:tc>
      </w:tr>
      <w:tr>
        <w:tc>
          <w:tcPr>
            <w:tcW w:type="dxa" w:w="2126"/>
          </w:tcPr>
          <w:p>
            <w:pPr>
              <w:pStyle w:val="Tablecontent"/>
            </w:pPr>
            <w:r>
              <w:t>Digitaaliset tuotteet</w:t>
            </w:r>
          </w:p>
        </w:tc>
        <w:tc>
          <w:tcPr>
            <w:tcW w:type="dxa" w:w="2126"/>
          </w:tcPr>
          <w:p>
            <w:pPr>
              <w:pStyle w:val="Tablecontent"/>
            </w:pPr>
            <w:r>
              <w:t>6</w:t>
            </w:r>
          </w:p>
        </w:tc>
        <w:tc>
          <w:tcPr>
            <w:tcW w:type="dxa" w:w="2126"/>
          </w:tcPr>
          <w:p>
            <w:pPr>
              <w:pStyle w:val="Tablecontent"/>
            </w:pPr>
            <w:r>
              <w:t>0,99–799 €</w:t>
            </w:r>
          </w:p>
        </w:tc>
        <w:tc>
          <w:tcPr>
            <w:tcW w:type="dxa" w:w="2126"/>
          </w:tcPr>
          <w:p>
            <w:pPr>
              <w:pStyle w:val="Tablecontent"/>
            </w:pPr>
            <w:r>
              <w:t>Sanastot, verkkosivut</w:t>
            </w:r>
          </w:p>
        </w:tc>
      </w:tr>
    </w:tbl>
    <w:p>
      <w:pPr>
        <w:pStyle w:val="Heading2"/>
      </w:pPr>
      <w:r>
        <w:t>Google Merchant Center -integraatio</w:t>
      </w:r>
    </w:p>
    <w:p>
      <w:pPr>
        <w:pStyle w:val="BodyText"/>
      </w:pPr>
      <w:r>
        <w:t>Google Merchant Center -integraatio vaati useita iteraatioita. Ensimmäisessä latauksessa Google hylkäsi syötteen kolmesta syystä: verkkotunnus ei täsmännyt (URL:t osoittivat lifetime.fi:hin dws10.com:in sijaan), duplikaattituotteiden tunnisteet eivät vastanneet Merchant Centerin vaatimuksia, ja identifier_exists -kenttä oli virheellisesti asetettu. Jokainen ongelma ratkaistiin systemaattisesti, ja lopulta kaikki 30 tuotetta hyväksyttiin. Tämä prosessi osoitti, kuinka tärkeää on automatisoitu syötteen generointi, joka estää inhimilliset virheet tuotetietojen ylläpidossa.</w:t>
      </w:r>
    </w:p>
    <w:p>
      <w:pPr>
        <w:pStyle w:val="Heading2"/>
      </w:pPr>
      <w:r>
        <w:t>Revolut Business -maksuintegraatio</w:t>
      </w:r>
    </w:p>
    <w:p>
      <w:pPr>
        <w:pStyle w:val="BodyText"/>
      </w:pPr>
      <w:r>
        <w:t>Maksukäsittelykumppanin valinta oli yksi projektin ensimmäisistä liiketoimintapäätöksistä. Revolut Business valittiin kolmesta syystä: välittömät tilitykset parantavat kassavirtaa, monivaluuttatuki (EUR, SEK, NOK, DKK, GBP) mahdollistaa Pohjoismaiden markkinan palvelemisen yhdellä tilillä, ja matalat maksut (1,0 % + 0,20 euroa per tapahtuma) tukevat kilpailukykyistä hinnoittelua. Apple Pay ja Google Pay -tuki varmistaa modernin maksukokemuksen.</w:t>
      </w:r>
    </w:p>
    <w:p>
      <w:pPr>
        <w:pStyle w:val="Heading2"/>
      </w:pPr>
      <w:r>
        <w:t>Ihminen-silmukassa-oppimisputki</w:t>
      </w:r>
    </w:p>
    <w:p>
      <w:pPr>
        <w:pStyle w:val="BodyText"/>
      </w:pPr>
      <w:r>
        <w:t>DWS6-alustan päivittäistä toimintaa hallitaan automatisoidun Human-in-the-Loop (HIL) -oppimisputken kautta. Putki luo jatkuvan palautesilmukan kehittäjän, tekoälyagenttien ja koodikannan välille. Joka aamu GitHub-repositoriosta haetaan viimeisimmät muutokset, kopioidaan liiketoimintatiedostot Proton Driveen salatuksi varmuuskopioksi, generoidaan 19 markdown-tiedostosta tyylitellyt HTML-versiot Learn-kansioon, ja lähetetään koodi Supabase Storageen EU-pilvivarmuuskopioksi. Sitten ihminen lukee aamukatselun, päättää mitä tarvitsee työtä, ja aloittaa Claude Code -istunnon. Muutokset työnnetään GitHubiin ja sykli toistuu.</w:t>
      </w:r>
    </w:p>
    <w:p>
      <w:pPr>
        <w:pStyle w:val="BodyText"/>
      </w:pPr>
      <w:r>
        <w:t>Tämä putki ratkaisee kolme kriittistä ongelmaa: tietämyksen portinvartijuuden (ihminen tarkistaa kaikkien dokumenttien tilan joka aamu), kolmikerroksisen varmuuskopioinnin (GitHub + Proton Drive + Supabase) ja jatkuvan oppimissilmukan (ihminen lukee, tunnistaa puutteet, korjaa, ja seuraavana aamuna näkee päivityksen).</w:t>
      </w:r>
    </w:p>
    <w:p>
      <w:r>
        <w:br w:type="page"/>
      </w:r>
    </w:p>
    <w:p>
      <w:pPr>
        <w:pStyle w:val="Heading1"/>
      </w:pPr>
      <w:r>
        <w:t>Äänichat-kehityssuunnitelma</w:t>
      </w:r>
    </w:p>
    <w:p>
      <w:pPr>
        <w:pStyle w:val="BodyText"/>
      </w:pPr>
      <w:r>
        <w:t>Äänichat-kehityssuunnitelman tavoitteena on muuntaa asiakasvuorovaikutukset tekstipohjaisista äänipohjaisiksi älykkäiden tuotesuositusten avulla. Suunnitelma etenee neljässä vaiheessa vuoden 2026 aikana.</w:t>
      </w:r>
    </w:p>
    <w:p>
      <w:pPr>
        <w:pStyle w:val="Heading2"/>
      </w:pPr>
      <w:r>
        <w:t>Vaihe 1: Perusta (Q1 2026)</w:t>
      </w:r>
    </w:p>
    <w:p>
      <w:pPr>
        <w:pStyle w:val="BodyText"/>
      </w:pPr>
      <w:r>
        <w:t>Ensimmäinen vaihe toteuttaa perusäänichat-toiminnallisuuden tuotekatalogin tuntemuksella. Tekninen pino koostuu Whisper API:sta (puhe tekstiksi), ElevenLabsista (teksti puheeksi), Groq-inferenssistä Llama-malleilla ja Cloudflare Workers -hostingista. Tuettuja kieliä ovat suomi, englanti ja ruotsi. EU:n tekoälysäädöksen läpinäkyvyysilmoitus sisällytetään alusta alkaen.</w:t>
      </w:r>
    </w:p>
    <w:p>
      <w:pPr>
        <w:pStyle w:val="Heading2"/>
      </w:pPr>
      <w:r>
        <w:t>Vaihe 2: Hiilijalanjälkilaskurin integraatio (Q2 2026)</w:t>
      </w:r>
    </w:p>
    <w:p>
      <w:pPr>
        <w:pStyle w:val="BodyText"/>
      </w:pPr>
      <w:r>
        <w:t>Toinen vaihe yhdistää äänichatiin toimialakohtaisen hiilijalanjälkilaskennan. Kun asiakas kertoo toimialansa ja päästölähteensä, järjestelmä laskee hiilijalanjäljen ja suosittelee sopivimmat Firehorse-tuotteet. Esimerkiksi terästeollisuuden asiakkaalle, jonka ensisijaiset päästöt ovat Scope 1 -prosessipäästöjä, suositellaan DWS IQ v6:ta ja Firehorse Automationia.</w:t>
      </w:r>
    </w:p>
    <w:p>
      <w:pPr>
        <w:pStyle w:val="Heading2"/>
      </w:pPr>
      <w:r>
        <w:t>Vaiheet 3–4: Sääntelytietoisuus ja kumppaniekosysteemi</w:t>
      </w:r>
    </w:p>
    <w:p>
      <w:pPr>
        <w:pStyle w:val="BodyText"/>
      </w:pPr>
      <w:r>
        <w:t>Kolmas vaihe (Q3 2026) lisää ennakoivat sääntelyvaatimustenmukaisuussuositukset — järjestelmä tunnistaa esimerkiksi yli 500 tCO2e:n vuosipäästöistä kertovan asiakkaan Fit for 55 -velvolliseksi ja suosittelee automaattisesti relevantteja tuotteita. Neljäs vaihe (Q4 2026) laajentaa kumppaniekosysteemiin: Lifetime-tuotteet myydään suoraan ja kumppanituotteet 10–20 prosentin välityspalkkiolla.</w:t>
      </w:r>
    </w:p>
    <w:p>
      <w:r>
        <w:br w:type="page"/>
      </w:r>
    </w:p>
    <w:p>
      <w:pPr>
        <w:pStyle w:val="Heading1"/>
      </w:pPr>
      <w:r>
        <w:t>Tulokset ja analyysi</w:t>
      </w:r>
    </w:p>
    <w:p>
      <w:pPr>
        <w:pStyle w:val="BodyText"/>
      </w:pPr>
      <w:r>
        <w:t>Tämä luku kokoaa Firehorse-toimintamallin tulokset ja vastaa tutkimuskysymyksiin systemaattisesti todisteisiin perustuen.</w:t>
      </w:r>
    </w:p>
    <w:p>
      <w:pPr>
        <w:pStyle w:val="Heading2"/>
      </w:pPr>
      <w:r>
        <w:t>Toiminnallinen tehokkuus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Mittari</w:t>
            </w:r>
          </w:p>
        </w:tc>
        <w:tc>
          <w:tcPr>
            <w:tcW w:type="dxa" w:w="2126"/>
          </w:tcPr>
          <w:p>
            <w:pPr>
              <w:pStyle w:val="TableTextBold"/>
            </w:pPr>
            <w:r>
              <w:rPr>
                <w:b/>
              </w:rPr>
              <w:t>Ennen</w:t>
            </w:r>
          </w:p>
        </w:tc>
        <w:tc>
          <w:tcPr>
            <w:tcW w:type="dxa" w:w="2126"/>
          </w:tcPr>
          <w:p>
            <w:pPr>
              <w:pStyle w:val="TableTextBold"/>
            </w:pPr>
            <w:r>
              <w:rPr>
                <w:b/>
              </w:rPr>
              <w:t>Jälkeen</w:t>
            </w:r>
          </w:p>
        </w:tc>
        <w:tc>
          <w:tcPr>
            <w:tcW w:type="dxa" w:w="2126"/>
          </w:tcPr>
          <w:p>
            <w:pPr>
              <w:pStyle w:val="TableTextBold"/>
            </w:pPr>
            <w:r>
              <w:rPr>
                <w:b/>
              </w:rPr>
              <w:t>Parannus</w:t>
            </w:r>
          </w:p>
        </w:tc>
      </w:tr>
      <w:tr>
        <w:tc>
          <w:tcPr>
            <w:tcW w:type="dxa" w:w="2126"/>
          </w:tcPr>
          <w:p>
            <w:pPr>
              <w:pStyle w:val="Tablecontent"/>
            </w:pPr>
            <w:r>
              <w:t>Tuotepäivitysaika</w:t>
            </w:r>
          </w:p>
        </w:tc>
        <w:tc>
          <w:tcPr>
            <w:tcW w:type="dxa" w:w="2126"/>
          </w:tcPr>
          <w:p>
            <w:pPr>
              <w:pStyle w:val="Tablecontent"/>
            </w:pPr>
            <w:r>
              <w:t>2 tuntia</w:t>
            </w:r>
          </w:p>
        </w:tc>
        <w:tc>
          <w:tcPr>
            <w:tcW w:type="dxa" w:w="2126"/>
          </w:tcPr>
          <w:p>
            <w:pPr>
              <w:pStyle w:val="Tablecontent"/>
            </w:pPr>
            <w:r>
              <w:t>5 minuuttia</w:t>
            </w:r>
          </w:p>
        </w:tc>
        <w:tc>
          <w:tcPr>
            <w:tcW w:type="dxa" w:w="2126"/>
          </w:tcPr>
          <w:p>
            <w:pPr>
              <w:pStyle w:val="Tablecontent"/>
            </w:pPr>
            <w:r>
              <w:t>96 %</w:t>
            </w:r>
          </w:p>
        </w:tc>
      </w:tr>
      <w:tr>
        <w:tc>
          <w:tcPr>
            <w:tcW w:type="dxa" w:w="2126"/>
          </w:tcPr>
          <w:p>
            <w:pPr>
              <w:pStyle w:val="Tablecontent"/>
            </w:pPr>
            <w:r>
              <w:t>Syötteen generointi</w:t>
            </w:r>
          </w:p>
        </w:tc>
        <w:tc>
          <w:tcPr>
            <w:tcW w:type="dxa" w:w="2126"/>
          </w:tcPr>
          <w:p>
            <w:pPr>
              <w:pStyle w:val="Tablecontent"/>
            </w:pPr>
            <w:r>
              <w:t>Manuaalinen</w:t>
            </w:r>
          </w:p>
        </w:tc>
        <w:tc>
          <w:tcPr>
            <w:tcW w:type="dxa" w:w="2126"/>
          </w:tcPr>
          <w:p>
            <w:pPr>
              <w:pStyle w:val="Tablecontent"/>
            </w:pPr>
            <w:r>
              <w:t>Automatisoitu</w:t>
            </w:r>
          </w:p>
        </w:tc>
        <w:tc>
          <w:tcPr>
            <w:tcW w:type="dxa" w:w="2126"/>
          </w:tcPr>
          <w:p>
            <w:pPr>
              <w:pStyle w:val="Tablecontent"/>
            </w:pPr>
            <w:r>
              <w:t>100 %</w:t>
            </w:r>
          </w:p>
        </w:tc>
      </w:tr>
      <w:tr>
        <w:tc>
          <w:tcPr>
            <w:tcW w:type="dxa" w:w="2126"/>
          </w:tcPr>
          <w:p>
            <w:pPr>
              <w:pStyle w:val="Tablecontent"/>
            </w:pPr>
            <w:r>
              <w:t>Dokumentaation luonti</w:t>
            </w:r>
          </w:p>
        </w:tc>
        <w:tc>
          <w:tcPr>
            <w:tcW w:type="dxa" w:w="2126"/>
          </w:tcPr>
          <w:p>
            <w:pPr>
              <w:pStyle w:val="Tablecontent"/>
            </w:pPr>
            <w:r>
              <w:t>1 viikko</w:t>
            </w:r>
          </w:p>
        </w:tc>
        <w:tc>
          <w:tcPr>
            <w:tcW w:type="dxa" w:w="2126"/>
          </w:tcPr>
          <w:p>
            <w:pPr>
              <w:pStyle w:val="Tablecontent"/>
            </w:pPr>
            <w:r>
              <w:t>1 tunti</w:t>
            </w:r>
          </w:p>
        </w:tc>
        <w:tc>
          <w:tcPr>
            <w:tcW w:type="dxa" w:w="2126"/>
          </w:tcPr>
          <w:p>
            <w:pPr>
              <w:pStyle w:val="Tablecontent"/>
            </w:pPr>
            <w:r>
              <w:t>99 %</w:t>
            </w:r>
          </w:p>
        </w:tc>
      </w:tr>
      <w:tr>
        <w:tc>
          <w:tcPr>
            <w:tcW w:type="dxa" w:w="2126"/>
          </w:tcPr>
          <w:p>
            <w:pPr>
              <w:pStyle w:val="Tablecontent"/>
            </w:pPr>
            <w:r>
              <w:t>Virheprosentti</w:t>
            </w:r>
          </w:p>
        </w:tc>
        <w:tc>
          <w:tcPr>
            <w:tcW w:type="dxa" w:w="2126"/>
          </w:tcPr>
          <w:p>
            <w:pPr>
              <w:pStyle w:val="Tablecontent"/>
            </w:pPr>
            <w:r>
              <w:t>5 %</w:t>
            </w:r>
          </w:p>
        </w:tc>
        <w:tc>
          <w:tcPr>
            <w:tcW w:type="dxa" w:w="2126"/>
          </w:tcPr>
          <w:p>
            <w:pPr>
              <w:pStyle w:val="Tablecontent"/>
            </w:pPr>
            <w:r>
              <w:t>&lt; 1 %</w:t>
            </w:r>
          </w:p>
        </w:tc>
        <w:tc>
          <w:tcPr>
            <w:tcW w:type="dxa" w:w="2126"/>
          </w:tcPr>
          <w:p>
            <w:pPr>
              <w:pStyle w:val="Tablecontent"/>
            </w:pPr>
            <w:r>
              <w:t>80 %</w:t>
            </w:r>
          </w:p>
        </w:tc>
      </w:tr>
      <w:tr>
        <w:tc>
          <w:tcPr>
            <w:tcW w:type="dxa" w:w="2126"/>
          </w:tcPr>
          <w:p>
            <w:pPr>
              <w:pStyle w:val="Tablecontent"/>
            </w:pPr>
            <w:r>
              <w:t>Kauppasivun päivitykset</w:t>
            </w:r>
          </w:p>
        </w:tc>
        <w:tc>
          <w:tcPr>
            <w:tcW w:type="dxa" w:w="2126"/>
          </w:tcPr>
          <w:p>
            <w:pPr>
              <w:pStyle w:val="Tablecontent"/>
            </w:pPr>
            <w:r>
              <w:t>4 tuntia</w:t>
            </w:r>
          </w:p>
        </w:tc>
        <w:tc>
          <w:tcPr>
            <w:tcW w:type="dxa" w:w="2126"/>
          </w:tcPr>
          <w:p>
            <w:pPr>
              <w:pStyle w:val="Tablecontent"/>
            </w:pPr>
            <w:r>
              <w:t>15 minuuttia</w:t>
            </w:r>
          </w:p>
        </w:tc>
        <w:tc>
          <w:tcPr>
            <w:tcW w:type="dxa" w:w="2126"/>
          </w:tcPr>
          <w:p>
            <w:pPr>
              <w:pStyle w:val="Tablecontent"/>
            </w:pPr>
            <w:r>
              <w:t>94 %</w:t>
            </w:r>
          </w:p>
        </w:tc>
      </w:tr>
    </w:tbl>
    <w:p>
      <w:pPr>
        <w:pStyle w:val="Heading2"/>
      </w:pPr>
      <w:r>
        <w:t>Google Merchant Center -suorituskyky</w:t>
      </w:r>
    </w:p>
    <w:p>
      <w:pPr>
        <w:pStyle w:val="BodyText"/>
      </w:pPr>
      <w:r>
        <w:t>Kaikki 30 tuotetta hyväksyttiin Google Merchant Centeriin, mikä osoittaa syötteen laadun ja tuotetietojen vaatimustenmukaisuuden. Syötteen käsittelyaika on alle 24 tuntia, ja kassakonversio ohjaa suoraan Revolut-maksuun.</w:t>
      </w:r>
    </w:p>
    <w:p>
      <w:pPr>
        <w:pStyle w:val="Heading2"/>
      </w:pPr>
      <w:r>
        <w:t>Vaatimustenmukaisuusvalmius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Säännös</w:t>
            </w:r>
          </w:p>
        </w:tc>
        <w:tc>
          <w:tcPr>
            <w:tcW w:type="dxa" w:w="2835"/>
          </w:tcPr>
          <w:p>
            <w:pPr>
              <w:pStyle w:val="TableTextBold"/>
            </w:pPr>
            <w:r>
              <w:rPr>
                <w:b/>
              </w:rPr>
              <w:t>Valmius</w:t>
            </w:r>
          </w:p>
        </w:tc>
        <w:tc>
          <w:tcPr>
            <w:tcW w:type="dxa" w:w="2835"/>
          </w:tcPr>
          <w:p>
            <w:pPr>
              <w:pStyle w:val="TableTextBold"/>
            </w:pPr>
            <w:r>
              <w:rPr>
                <w:b/>
              </w:rPr>
              <w:t>Puuteanalyysi</w:t>
            </w:r>
          </w:p>
        </w:tc>
      </w:tr>
      <w:tr>
        <w:tc>
          <w:tcPr>
            <w:tcW w:type="dxa" w:w="2835"/>
          </w:tcPr>
          <w:p>
            <w:pPr>
              <w:pStyle w:val="Tablecontent"/>
            </w:pPr>
            <w:r>
              <w:t>EU:n tekoälysäädös</w:t>
            </w:r>
          </w:p>
        </w:tc>
        <w:tc>
          <w:tcPr>
            <w:tcW w:type="dxa" w:w="2835"/>
          </w:tcPr>
          <w:p>
            <w:pPr>
              <w:pStyle w:val="Tablecontent"/>
            </w:pPr>
            <w:r>
              <w:t>80 %</w:t>
            </w:r>
          </w:p>
        </w:tc>
        <w:tc>
          <w:tcPr>
            <w:tcW w:type="dxa" w:w="2835"/>
          </w:tcPr>
          <w:p>
            <w:pPr>
              <w:pStyle w:val="Tablecontent"/>
            </w:pPr>
            <w:r>
              <w:t>Äänichat-läpinäkyvyys odottaa</w:t>
            </w:r>
          </w:p>
        </w:tc>
      </w:tr>
      <w:tr>
        <w:tc>
          <w:tcPr>
            <w:tcW w:type="dxa" w:w="2835"/>
          </w:tcPr>
          <w:p>
            <w:pPr>
              <w:pStyle w:val="Tablecontent"/>
            </w:pPr>
            <w:r>
              <w:t>GDPR</w:t>
            </w:r>
          </w:p>
        </w:tc>
        <w:tc>
          <w:tcPr>
            <w:tcW w:type="dxa" w:w="2835"/>
          </w:tcPr>
          <w:p>
            <w:pPr>
              <w:pStyle w:val="Tablecontent"/>
            </w:pPr>
            <w:r>
              <w:t>95 %</w:t>
            </w:r>
          </w:p>
        </w:tc>
        <w:tc>
          <w:tcPr>
            <w:tcW w:type="dxa" w:w="2835"/>
          </w:tcPr>
          <w:p>
            <w:pPr>
              <w:pStyle w:val="Tablecontent"/>
            </w:pPr>
            <w:r>
              <w:t>Proton-toteutus valmis</w:t>
            </w:r>
          </w:p>
        </w:tc>
      </w:tr>
      <w:tr>
        <w:tc>
          <w:tcPr>
            <w:tcW w:type="dxa" w:w="2835"/>
          </w:tcPr>
          <w:p>
            <w:pPr>
              <w:pStyle w:val="Tablecontent"/>
            </w:pPr>
            <w:r>
              <w:t>Fit for 55</w:t>
            </w:r>
          </w:p>
        </w:tc>
        <w:tc>
          <w:tcPr>
            <w:tcW w:type="dxa" w:w="2835"/>
          </w:tcPr>
          <w:p>
            <w:pPr>
              <w:pStyle w:val="Tablecontent"/>
            </w:pPr>
            <w:r>
              <w:t>90 %</w:t>
            </w:r>
          </w:p>
        </w:tc>
        <w:tc>
          <w:tcPr>
            <w:tcW w:type="dxa" w:w="2835"/>
          </w:tcPr>
          <w:p>
            <w:pPr>
              <w:pStyle w:val="Tablecontent"/>
            </w:pPr>
            <w:r>
              <w:t>Tuotekatalogi valmis</w:t>
            </w:r>
          </w:p>
        </w:tc>
      </w:tr>
      <w:tr>
        <w:tc>
          <w:tcPr>
            <w:tcW w:type="dxa" w:w="2835"/>
          </w:tcPr>
          <w:p>
            <w:pPr>
              <w:pStyle w:val="Tablecontent"/>
            </w:pPr>
            <w:r>
              <w:t>NIS2</w:t>
            </w:r>
          </w:p>
        </w:tc>
        <w:tc>
          <w:tcPr>
            <w:tcW w:type="dxa" w:w="2835"/>
          </w:tcPr>
          <w:p>
            <w:pPr>
              <w:pStyle w:val="Tablecontent"/>
            </w:pPr>
            <w:r>
              <w:t>75 %</w:t>
            </w:r>
          </w:p>
        </w:tc>
        <w:tc>
          <w:tcPr>
            <w:tcW w:type="dxa" w:w="2835"/>
          </w:tcPr>
          <w:p>
            <w:pPr>
              <w:pStyle w:val="Tablecontent"/>
            </w:pPr>
            <w:r>
              <w:t>Turvallisuusarviointi tarvitaan</w:t>
            </w:r>
          </w:p>
        </w:tc>
      </w:tr>
      <w:tr>
        <w:tc>
          <w:tcPr>
            <w:tcW w:type="dxa" w:w="2835"/>
          </w:tcPr>
          <w:p>
            <w:pPr>
              <w:pStyle w:val="Tablecontent"/>
            </w:pPr>
            <w:r>
              <w:t>CSRD</w:t>
            </w:r>
          </w:p>
        </w:tc>
        <w:tc>
          <w:tcPr>
            <w:tcW w:type="dxa" w:w="2835"/>
          </w:tcPr>
          <w:p>
            <w:pPr>
              <w:pStyle w:val="Tablecontent"/>
            </w:pPr>
            <w:r>
              <w:t>85 %</w:t>
            </w:r>
          </w:p>
        </w:tc>
        <w:tc>
          <w:tcPr>
            <w:tcW w:type="dxa" w:w="2835"/>
          </w:tcPr>
          <w:p>
            <w:pPr>
              <w:pStyle w:val="Tablecontent"/>
            </w:pPr>
            <w:r>
              <w:t>Raportointipohjat valmiina</w:t>
            </w:r>
          </w:p>
        </w:tc>
      </w:tr>
    </w:tbl>
    <w:p>
      <w:pPr>
        <w:pStyle w:val="Heading2"/>
      </w:pPr>
      <w:r>
        <w:t>Tutkimuskysymyksiin vastaaminen</w:t>
      </w:r>
    </w:p>
    <w:p>
      <w:pPr>
        <w:pStyle w:val="Heading3"/>
      </w:pPr>
      <w:r>
        <w:t>TK1: Tuote ja liiketoimintamalli</w:t>
      </w:r>
    </w:p>
    <w:p>
      <w:pPr>
        <w:pStyle w:val="BodyText"/>
      </w:pPr>
      <w:r>
        <w:t>Kahden kuukauden takaisinmaksulupaus on validoitu todellisilla asiakaskäyttöönotoilla. Reunatekoälyn ROI-laskelma tuottaa 1,95 kuukauden takaisinmaksuajan, Uber, Bolt ja Kela -pilotit tuottivat 10 000 euroa kuukausittaista toistuvaa liikevaihtoa, ja kahdeksan vertikaalipohjaa ovat valmiina monikansalliseen käyttöönottoon. (Ries 2011; Blank 2013.)</w:t>
      </w:r>
    </w:p>
    <w:p>
      <w:pPr>
        <w:pStyle w:val="Heading3"/>
      </w:pPr>
      <w:r>
        <w:t>TK2: Teknologia</w:t>
      </w:r>
    </w:p>
    <w:p>
      <w:pPr>
        <w:pStyle w:val="BodyText"/>
      </w:pPr>
      <w:r>
        <w:t>Hybridi pilvi-edge-arkkitehtuuri yhdistää Google Cloud Run -pilvikehityksen, NVIDIA Jetson Orin Nano -reunalaskennan ja Cloudflare Pages -verkkokaupan. MCP Hub -orkestrointi toteuttaa kolme työnkulkumallia: Fan-Out, Reflection ja Sequential. Kokonaisuus saavuttaa alle 100 millisekunnin reunalatenssin ja 0–350 euron kuukausikustannukset. (Shi ym. 2016.)</w:t>
      </w:r>
    </w:p>
    <w:p>
      <w:pPr>
        <w:pStyle w:val="Heading3"/>
      </w:pPr>
      <w:r>
        <w:t>TK3: Tekninen ratkaisu</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1"/>
        <w:gridCol w:w="1701"/>
        <w:gridCol w:w="1701"/>
        <w:gridCol w:w="1701"/>
        <w:gridCol w:w="1701"/>
      </w:tblGrid>
      <w:tr>
        <w:tc>
          <w:tcPr>
            <w:tcW w:type="dxa" w:w="1701"/>
          </w:tcPr>
          <w:p>
            <w:pPr>
              <w:pStyle w:val="TableTextBold"/>
            </w:pPr>
            <w:r>
              <w:rPr>
                <w:b/>
              </w:rPr>
              <w:t>Ratkaisu</w:t>
            </w:r>
          </w:p>
        </w:tc>
        <w:tc>
          <w:tcPr>
            <w:tcW w:type="dxa" w:w="1701"/>
          </w:tcPr>
          <w:p>
            <w:pPr>
              <w:pStyle w:val="TableTextBold"/>
            </w:pPr>
            <w:r>
              <w:rPr>
                <w:b/>
              </w:rPr>
              <w:t>Kehitysnopeus</w:t>
            </w:r>
          </w:p>
        </w:tc>
        <w:tc>
          <w:tcPr>
            <w:tcW w:type="dxa" w:w="1701"/>
          </w:tcPr>
          <w:p>
            <w:pPr>
              <w:pStyle w:val="TableTextBold"/>
            </w:pPr>
            <w:r>
              <w:rPr>
                <w:b/>
              </w:rPr>
              <w:t>Virhevähennys</w:t>
            </w:r>
          </w:p>
        </w:tc>
        <w:tc>
          <w:tcPr>
            <w:tcW w:type="dxa" w:w="1701"/>
          </w:tcPr>
          <w:p>
            <w:pPr>
              <w:pStyle w:val="TableTextBold"/>
            </w:pPr>
            <w:r>
              <w:rPr>
                <w:b/>
              </w:rPr>
              <w:t>Kustannus</w:t>
            </w:r>
          </w:p>
        </w:tc>
        <w:tc>
          <w:tcPr>
            <w:tcW w:type="dxa" w:w="1701"/>
          </w:tcPr>
          <w:p>
            <w:pPr>
              <w:pStyle w:val="TableTextBold"/>
            </w:pPr>
            <w:r>
              <w:rPr>
                <w:b/>
              </w:rPr>
              <w:t>Arvio</w:t>
            </w:r>
          </w:p>
        </w:tc>
      </w:tr>
      <w:tr>
        <w:tc>
          <w:tcPr>
            <w:tcW w:type="dxa" w:w="1701"/>
          </w:tcPr>
          <w:p>
            <w:pPr>
              <w:pStyle w:val="Tablecontent"/>
            </w:pPr>
            <w:r>
              <w:t>Perinteinen kehitys</w:t>
            </w:r>
          </w:p>
        </w:tc>
        <w:tc>
          <w:tcPr>
            <w:tcW w:type="dxa" w:w="1701"/>
          </w:tcPr>
          <w:p>
            <w:pPr>
              <w:pStyle w:val="Tablecontent"/>
            </w:pPr>
            <w:r>
              <w:t>Lähtötaso</w:t>
            </w:r>
          </w:p>
        </w:tc>
        <w:tc>
          <w:tcPr>
            <w:tcW w:type="dxa" w:w="1701"/>
          </w:tcPr>
          <w:p>
            <w:pPr>
              <w:pStyle w:val="Tablecontent"/>
            </w:pPr>
            <w:r>
              <w:t>Lähtötaso</w:t>
            </w:r>
          </w:p>
        </w:tc>
        <w:tc>
          <w:tcPr>
            <w:tcW w:type="dxa" w:w="1701"/>
          </w:tcPr>
          <w:p>
            <w:pPr>
              <w:pStyle w:val="Tablecontent"/>
            </w:pPr>
            <w:r>
              <w:t>Korkea</w:t>
            </w:r>
          </w:p>
        </w:tc>
        <w:tc>
          <w:tcPr>
            <w:tcW w:type="dxa" w:w="1701"/>
          </w:tcPr>
          <w:p>
            <w:pPr>
              <w:pStyle w:val="Tablecontent"/>
            </w:pPr>
            <w:r>
              <w:t>Ei sovellu</w:t>
            </w:r>
          </w:p>
        </w:tc>
      </w:tr>
      <w:tr>
        <w:tc>
          <w:tcPr>
            <w:tcW w:type="dxa" w:w="1701"/>
          </w:tcPr>
          <w:p>
            <w:pPr>
              <w:pStyle w:val="Tablecontent"/>
            </w:pPr>
            <w:r>
              <w:t>Pelkkä pilvi-AI</w:t>
            </w:r>
          </w:p>
        </w:tc>
        <w:tc>
          <w:tcPr>
            <w:tcW w:type="dxa" w:w="1701"/>
          </w:tcPr>
          <w:p>
            <w:pPr>
              <w:pStyle w:val="Tablecontent"/>
            </w:pPr>
            <w:r>
              <w:t>+30 %</w:t>
            </w:r>
          </w:p>
        </w:tc>
        <w:tc>
          <w:tcPr>
            <w:tcW w:type="dxa" w:w="1701"/>
          </w:tcPr>
          <w:p>
            <w:pPr>
              <w:pStyle w:val="Tablecontent"/>
            </w:pPr>
            <w:r>
              <w:t>−40 %</w:t>
            </w:r>
          </w:p>
        </w:tc>
        <w:tc>
          <w:tcPr>
            <w:tcW w:type="dxa" w:w="1701"/>
          </w:tcPr>
          <w:p>
            <w:pPr>
              <w:pStyle w:val="Tablecontent"/>
            </w:pPr>
            <w:r>
              <w:t>555 €/kk</w:t>
            </w:r>
          </w:p>
        </w:tc>
        <w:tc>
          <w:tcPr>
            <w:tcW w:type="dxa" w:w="1701"/>
          </w:tcPr>
          <w:p>
            <w:pPr>
              <w:pStyle w:val="Tablecontent"/>
            </w:pPr>
            <w:r>
              <w:t>Osittain</w:t>
            </w:r>
          </w:p>
        </w:tc>
      </w:tr>
      <w:tr>
        <w:tc>
          <w:tcPr>
            <w:tcW w:type="dxa" w:w="1701"/>
          </w:tcPr>
          <w:p>
            <w:pPr>
              <w:pStyle w:val="Tablecontent"/>
            </w:pPr>
            <w:r>
              <w:t>MCP Hub + Reunatekoäly</w:t>
            </w:r>
          </w:p>
        </w:tc>
        <w:tc>
          <w:tcPr>
            <w:tcW w:type="dxa" w:w="1701"/>
          </w:tcPr>
          <w:p>
            <w:pPr>
              <w:pStyle w:val="Tablecontent"/>
            </w:pPr>
            <w:r>
              <w:t>+62 %</w:t>
            </w:r>
          </w:p>
        </w:tc>
        <w:tc>
          <w:tcPr>
            <w:tcW w:type="dxa" w:w="1701"/>
          </w:tcPr>
          <w:p>
            <w:pPr>
              <w:pStyle w:val="Tablecontent"/>
            </w:pPr>
            <w:r>
              <w:t>−73 %</w:t>
            </w:r>
          </w:p>
        </w:tc>
        <w:tc>
          <w:tcPr>
            <w:tcW w:type="dxa" w:w="1701"/>
          </w:tcPr>
          <w:p>
            <w:pPr>
              <w:pStyle w:val="Tablecontent"/>
            </w:pPr>
            <w:r>
              <w:t>25–350 €/kk</w:t>
            </w:r>
          </w:p>
        </w:tc>
        <w:tc>
          <w:tcPr>
            <w:tcW w:type="dxa" w:w="1701"/>
          </w:tcPr>
          <w:p>
            <w:pPr>
              <w:pStyle w:val="Tablecontent"/>
            </w:pPr>
            <w:r>
              <w:t>Paras</w:t>
            </w:r>
          </w:p>
        </w:tc>
      </w:tr>
    </w:tbl>
    <w:p>
      <w:pPr>
        <w:pStyle w:val="Heading3"/>
      </w:pPr>
      <w:r>
        <w:t>TK4: Yritysturvallisuus ja vaatimustenmukaisuus</w:t>
      </w:r>
    </w:p>
    <w:p>
      <w:pPr>
        <w:pStyle w:val="BodyText"/>
      </w:pPr>
      <w:r>
        <w:t>NIS 2 -vaatimustenmukaisuus toteutuu Security Agentin ja Snyk MCP -skannauksen kautta. EU AI Act -yhteensopivuus saavutetaan matalan riskin luokituksella ja Vaihe 2 -hyväksynnällä. GDPR-datan sijainti on varmistettu europe-north1-alueella ja Supabase RLS -politiikoilla. ISO 27001 -sertifiointi on tavoitteena Q3 2026. (NIS 2 -direktiivi (EU) 2022/2555; EU AI Act (EU) 2024/1689.)</w:t>
      </w:r>
    </w:p>
    <w:p>
      <w:pPr>
        <w:pStyle w:val="Heading2"/>
      </w:pPr>
      <w:r>
        <w:t>SWOT-analyysi</w:t>
      </w:r>
    </w:p>
    <w:p>
      <w:pPr>
        <w:pStyle w:val="BodyText"/>
      </w:pPr>
      <w:r>
        <w:t>Vahvuudet: Täydellinen toteutus (live-järjestelmä 10 000 euron MRR:llä), uusi koordinointiprotokolla (Lifetime Scope Signals), kustannusjohtajuus (82 % halvempi kuin kilpailijat) ja EU-vaatimustenmukaisuus sisäänrakennettu. Heikkoudet: Yhden kehittäjän riippuvuus, ei ulkoista validointia, reunalaitteistoriippuvuus. Mahdollisuudet: EU Fit for 55 -toimeksianto (15–20 miljardin euron EU TAM), Solution Factory -replikointi ja NCC-kumppanuus. Uhat: Isojen teknologiayritysten tulo markkinoille, krediittien päättyminen ja kilpailu vakiintuneilta toimijoilta.</w:t>
      </w:r>
    </w:p>
    <w:p>
      <w:r>
        <w:br w:type="page"/>
      </w:r>
    </w:p>
    <w:p>
      <w:pPr>
        <w:pStyle w:val="Heading1"/>
      </w:pPr>
      <w:r>
        <w:t>Pohdinta</w:t>
      </w:r>
    </w:p>
    <w:p>
      <w:pPr>
        <w:pStyle w:val="Heading2"/>
      </w:pPr>
      <w:r>
        <w:t>Keskeiset löydökset ja vaikutukset</w:t>
      </w:r>
    </w:p>
    <w:p>
      <w:pPr>
        <w:pStyle w:val="BodyText"/>
      </w:pPr>
      <w:r>
        <w:t>Tutkimuksen ensimmäinen keskeinen löydös on, että startup-krediitit voivat korvata varhaisvaiheen pääomasijoitukset infrastruktuuri-investoinneissa. Yhteensä 15 300 dollarin krediiteillä saavutettiin yli kuuden vuoden infrastruktuuri-runway, mikä eliminoi tarpeen laimentaa omistusta varhaisessa vaiheessa.</w:t>
      </w:r>
    </w:p>
    <w:p>
      <w:pPr>
        <w:pStyle w:val="BodyText"/>
      </w:pPr>
      <w:r>
        <w:t>Toinen löydös on, että reunatekoäly tarjoaa kestävän kustannusedun: 82 prosentin kustannusvähennys verrattuna pelkkään pilviarkkitehtuuriin ja 1,95 kuukauden takaisinmaksuaika laitteistoinvestoinnille. Tämä ei ole pelkkä väliaikainen hyöty, vaan rakenteellinen etu, joka kasvaa ajan myötä reunalaitteiston hintojen laskiessa.</w:t>
      </w:r>
    </w:p>
    <w:p>
      <w:pPr>
        <w:pStyle w:val="BodyText"/>
      </w:pPr>
      <w:r>
        <w:t>Kolmas löydös liittyy Palantir-toimitusjohtaja Alex Karpin havaintoon siitä, miksi useimmat yritys-AI-hankkeet epäonnistuvat: pelkän kielimallin ostaminen ei riitä, vaan tarvitaan orkestrointi ja yrityskohtainen ontologia. Firehorse-toteutus validoi tämän — MCP Hub -orkestrointi ja toimialakohtaiset AgentFoundry-pohjat ovat ne elementit, jotka tekivät 62 prosentin kehitysnopeuden parannuksen mahdolliseksi.</w:t>
      </w:r>
    </w:p>
    <w:p>
      <w:pPr>
        <w:pStyle w:val="Heading2"/>
      </w:pPr>
      <w:r>
        <w:t>Toistettavuus: Solution Factory -malli</w:t>
      </w:r>
    </w:p>
    <w:p>
      <w:pPr>
        <w:pStyle w:val="BodyText"/>
      </w:pPr>
      <w:r>
        <w:t>Solution Factory -malli tarjoaa kolmivaiheisen toistettavan viitekehyksen. Bootstrap-vaihe (6 kuukautta, 0–350 euroa kuukaudessa) hyödyntää ilmaistasoja ja palvelee viittä pilottiasiakasta. Validointivaihe (6 kuukautta, 5 000–15 000 euron MRR) todentaa maksavien asiakkaiden kanssa alle kahden kuukauden takaisinmaksun. Skaalausvaihe (12 kuukautta, yli 50 000 euron MRR) laajentaa 2–3 vertikaaliin Series A -rahoituksen turvin.</w:t>
      </w:r>
    </w:p>
    <w:p>
      <w:pPr>
        <w:pStyle w:val="Heading2"/>
      </w:pPr>
      <w:r>
        <w:t>Rajoitukset</w:t>
      </w:r>
    </w:p>
    <w:p>
      <w:pPr>
        <w:pStyle w:val="BodyText"/>
      </w:pPr>
      <w:r>
        <w:t>Tutkimuksella on kolme merkittävää rajoitusta. Ensinnäkin kyseessä on yksi tapaustutkimus, mikä rajoittaa tulosten yleistettävyyttä. Malli tarjoaa kuitenkin viitekehyksen replikointitutkimuksille muilla toimialoilla. Toiseksi mittarit ovat itse raportoituja, mikä voi aiheuttaa vinoutumaa. Kolmannen osapuolen validointi on suunniteltu Q2 2026:lle. Kolmanneksi havaintojakso on lyhyt (3 kuukautta), eikä pitkäaikaisvaikutuksia ole vielä mahdollista arvioida. (Kasanen ym. 1993.)</w:t>
      </w:r>
    </w:p>
    <w:p>
      <w:pPr>
        <w:pStyle w:val="Heading2"/>
      </w:pPr>
      <w:r>
        <w:t>Suositukset</w:t>
      </w:r>
    </w:p>
    <w:p>
      <w:pPr>
        <w:pStyle w:val="BodyText"/>
      </w:pPr>
      <w:r>
        <w:t>Ensimmäinen suositus on toteuttaa V1.0-julkaisu 23. helmikuuta 2026 mennessä. Toinen suositus on dokumentoida Solution Factory avoimesti, mukaan lukien julkinen kustannuslaskuri ja AgentFoundry-pohjat. Kolmas suositus on validoida toinen vertikaali (rakentaminen NCC:n ja T2H:n kanssa), jotta yleistettävyys paranee.</w:t>
      </w:r>
    </w:p>
    <w:p>
      <w:r>
        <w:br w:type="page"/>
      </w:r>
    </w:p>
    <w:p>
      <w:pPr>
        <w:pStyle w:val="Heading1"/>
      </w:pPr>
      <w:r>
        <w:t>Johtopäätökset</w:t>
      </w:r>
    </w:p>
    <w:p>
      <w:pPr>
        <w:pStyle w:val="BodyText"/>
      </w:pPr>
      <w:r>
        <w:t>Firehorse-toimintamalli osoittaa, että bootstrapattu teollinen AI-alusta voi saavuttaa tuote-markkinasopivuuden hybridi pilvi-edge-toimintamallin kautta alle 400 euron kuukausikustannuksilla. Tämän mahdollistivat startup-krediittistrategia, reunatekoälyn kustannusetu, moniagenttiorkestrointia ja signaalipohjainen koordinointi.</w:t>
      </w:r>
    </w:p>
    <w:p>
      <w:pPr>
        <w:pStyle w:val="Heading2"/>
      </w:pPr>
      <w:r>
        <w:t>Keskeiset kontribuutiot</w:t>
      </w:r>
    </w:p>
    <w:p>
      <w:pPr>
        <w:pStyle w:val="List"/>
      </w:pPr>
      <w:r>
        <w:t>Lifetime Scope Signals -protokolla — uusi kontribuutio moniagenttijärjestelmien teoriaan deklaratiivisella koordinoinnilla ja deterministisillä riippuvuuksilla.</w:t>
      </w:r>
    </w:p>
    <w:p>
      <w:pPr>
        <w:pStyle w:val="List"/>
      </w:pPr>
      <w:r>
        <w:t>Solution Factory -malli — toistettava viitekehys, joka syntetisoi Lean Startupin, alustatalouden, Teollisuus 5.0:n ja reunalaskennan taloustieteen.</w:t>
      </w:r>
    </w:p>
    <w:p>
      <w:pPr>
        <w:pStyle w:val="List"/>
      </w:pPr>
      <w:r>
        <w:t>Ilmaistason bootstrap-strategia — 15 300 dollaria startup-krediittejä korvaamaan varhaisvaiheen infrastruktuuri-investoinnit.</w:t>
      </w:r>
    </w:p>
    <w:p>
      <w:pPr>
        <w:pStyle w:val="List"/>
      </w:pPr>
      <w:r>
        <w:t>Kolmivaiheinen käyttöönottokehys — luottamuksen rakentaminen AI:lle säännellyillä toimialoilla Hiljainen pilotti → Neuvonantaja → Autonominen -mallin kautta.</w:t>
      </w:r>
    </w:p>
    <w:p>
      <w:pPr>
        <w:pStyle w:val="List"/>
      </w:pPr>
      <w:r>
        <w:t>DWS10.com-verkkokauppavalidointi — Google Merchant Center -integraatio ja Revolut Business -maksujen automatisointi.</w:t>
      </w:r>
    </w:p>
    <w:p>
      <w:pPr>
        <w:pStyle w:val="Heading2"/>
      </w:pPr>
      <w:r>
        <w:t>Tuleva työ</w:t>
      </w:r>
    </w:p>
    <w:p>
      <w:pPr>
        <w:pStyle w:val="BodyText"/>
      </w:pPr>
      <w:r>
        <w:t>Vuonna 2026 ensimmäisellä neljänneksellä otetaan käyttöön äänichat-vaihe 1 Groq/Llama-malleilla. Toisella neljänneksellä toteutetaan toimialan hiilijalanjälkilaskuri Scope 1/2/3:lla. Kolmannella neljänneksellä lanseerataan sääntelytietoisuusmoottori, ja neljännellä neljänneksellä perustetaan kumppaniekosysteemi provisiomallin kanssa. Vuonna 2027 laajennetaan muille EU-markkinoille: Ruotsiin, Norjaan, Tanskaan ja Saksaan.</w:t>
      </w:r>
    </w:p>
    <w:p>
      <w:pPr>
        <w:sectPr>
          <w:pgSz w:w="11906" w:h="16838" w:code="9"/>
          <w:pgMar w:top="1134" w:right="1134" w:bottom="1701" w:left="2268" w:header="567" w:footer="567" w:gutter="0"/>
          <w:pgNumType w:start="1"/>
          <w:cols w:space="708"/>
          <w:docGrid w:linePitch="360"/>
        </w:sectPr>
      </w:pPr>
    </w:p>
    <w:p>
      <w:r>
        <w:br w:type="page"/>
      </w:r>
    </w:p>
    <w:p>
      <w:pPr>
        <w:pStyle w:val="ReferencesHeading"/>
      </w:pPr>
      <w:r>
        <w:t>Lähteet</w:t>
      </w:r>
    </w:p>
    <w:p>
      <w:pPr>
        <w:pStyle w:val="Unnumberedreferencing"/>
      </w:pPr>
      <w:r>
        <w:t>Anthropic 2024. Model Context Protocol Specification. URL: https://modelcontextprotocol.io. Luettu 15.1.2026.</w:t>
      </w:r>
    </w:p>
    <w:p>
      <w:pPr>
        <w:pStyle w:val="Unnumberedreferencing"/>
      </w:pPr>
      <w:r>
        <w:t>Blank, S. 2013. The Four Steps to the Epiphany: Successful Strategies for Products that Win. K&amp;S Ranch.</w:t>
      </w:r>
    </w:p>
    <w:p>
      <w:pPr>
        <w:pStyle w:val="Unnumberedreferencing"/>
      </w:pPr>
      <w:r>
        <w:t>Christensen, C. M., Hall, T., Dillon, K. &amp; Duncan, D. S. 2016. Know Your Customers' Jobs to Be Done. Harvard Business Review, 94(9), s. 54–62.</w:t>
      </w:r>
    </w:p>
    <w:p>
      <w:pPr>
        <w:pStyle w:val="Unnumberedreferencing"/>
      </w:pPr>
      <w:r>
        <w:t>Eurofound &amp; Cedefop 2025. Pk-yritysten digitalisointi EU:ssa: Trendit, politiikat ja vaikutukset. EU:n julkaisutoimisto.</w:t>
      </w:r>
    </w:p>
    <w:p>
      <w:pPr>
        <w:pStyle w:val="Unnumberedreferencing"/>
      </w:pPr>
      <w:r>
        <w:t>European Commission 2021. Industry 5.0: Towards a Sustainable, Human-centric and Resilient European Industry. Publications Office of the EU.</w:t>
      </w:r>
    </w:p>
    <w:p>
      <w:pPr>
        <w:pStyle w:val="Unnumberedreferencing"/>
      </w:pPr>
      <w:r>
        <w:t>European Commission 2025. Omnibus package. URL: https://finance.ec.europa.eu/news/omnibus-package-2025-04-01_en. Luettu 8.2.2026.</w:t>
      </w:r>
    </w:p>
    <w:p>
      <w:pPr>
        <w:pStyle w:val="Unnumberedreferencing"/>
      </w:pPr>
      <w:r>
        <w:t>Euroopan komissio &amp; Ramboll 2025. EU-rakennusten elinkaarenaikaisten kasvihuonekaasupäästöjen analyysi. DG Environment.</w:t>
      </w:r>
    </w:p>
    <w:p>
      <w:pPr>
        <w:pStyle w:val="Unnumberedreferencing"/>
      </w:pPr>
      <w:r>
        <w:t>Euroopan parlamentin ja neuvoston asetus (EU) 2024/1689 (EU AI Act).</w:t>
      </w:r>
    </w:p>
    <w:p>
      <w:pPr>
        <w:pStyle w:val="Unnumberedreferencing"/>
      </w:pPr>
      <w:r>
        <w:t>Euroopan parlamentin ja neuvoston direktiivi (EU) 2022/2555 (NIS 2 -direktiivi).</w:t>
      </w:r>
    </w:p>
    <w:p>
      <w:pPr>
        <w:pStyle w:val="Unnumberedreferencing"/>
      </w:pPr>
      <w:r>
        <w:t>Euroopan parlamentin ja neuvoston direktiivi (EU) 2024/1275 (EPBD, rakennusten energiatehokkuusdirektiivi).</w:t>
      </w:r>
    </w:p>
    <w:p>
      <w:pPr>
        <w:pStyle w:val="Unnumberedreferencing"/>
      </w:pPr>
      <w:r>
        <w:t>Google Merchant Center 2026. Tekniset määritykset. URL: https://support.google.com/merchants. Luettu 20.1.2026.</w:t>
      </w:r>
    </w:p>
    <w:p>
      <w:pPr>
        <w:pStyle w:val="Unnumberedreferencing"/>
      </w:pPr>
      <w:r>
        <w:t>GRESB 2024. Sisältyvän hiilen strategian luominen EU-markkinoilla: Opas kiinteistösijoittajille.</w:t>
      </w:r>
    </w:p>
    <w:p>
      <w:pPr>
        <w:pStyle w:val="Unnumberedreferencing"/>
      </w:pPr>
      <w:r>
        <w:t>ISO/IEC 27001:2022. Information security, cybersecurity and privacy protection — Information security management systems — Requirements.</w:t>
      </w:r>
    </w:p>
    <w:p>
      <w:pPr>
        <w:pStyle w:val="Unnumberedreferencing"/>
      </w:pPr>
      <w:r>
        <w:t>Jennings, N. R. &amp; Wooldridge, M. 1998. Applications of intelligent agents. Agent Technology: Foundations, Applications, and Markets, s. 3–28.</w:t>
      </w:r>
    </w:p>
    <w:p>
      <w:pPr>
        <w:pStyle w:val="Unnumberedreferencing"/>
      </w:pPr>
      <w:r>
        <w:t>Kasanen, E., Lukka, K. &amp; Siitonen, A. 1993. The constructive approach in management accounting research. Journal of Management Accounting Research, 5, s. 243–264.</w:t>
      </w:r>
    </w:p>
    <w:p>
      <w:pPr>
        <w:pStyle w:val="Unnumberedreferencing"/>
      </w:pPr>
      <w:r>
        <w:t>LangChain 2024. Building LLM Applications with Composable Components. URL: https://docs.langchain.com. Luettu 10.1.2026.</w:t>
      </w:r>
    </w:p>
    <w:p>
      <w:pPr>
        <w:pStyle w:val="Unnumberedreferencing"/>
      </w:pPr>
      <w:r>
        <w:t>McKinsey &amp; Company 2024. The State of AI in Construction: Adoption, Impact, and Future Outlook.</w:t>
      </w:r>
    </w:p>
    <w:p>
      <w:pPr>
        <w:pStyle w:val="Unnumberedreferencing"/>
      </w:pPr>
      <w:r>
        <w:t>NVIDIA 2024. Jetson Orin Nano Developer Kit: Technical Specifications. URL: https://developer.nvidia.com/embedded/jetson-orin-nano. Luettu 5.1.2026.</w:t>
      </w:r>
    </w:p>
    <w:p>
      <w:pPr>
        <w:pStyle w:val="Unnumberedreferencing"/>
      </w:pPr>
      <w:r>
        <w:t>Parker, G., Van Alstyne, M. &amp; Choudary, S. 2016. Platform Revolution: How Networked Markets Are Transforming the Economy. W.W. Norton.</w:t>
      </w:r>
    </w:p>
    <w:p>
      <w:pPr>
        <w:pStyle w:val="Unnumberedreferencing"/>
      </w:pPr>
      <w:r>
        <w:t>Ries, E. 2011. The Lean Startup: How Today's Entrepreneurs Use Continuous Innovation to Create Radically Successful Businesses. Crown Business.</w:t>
      </w:r>
    </w:p>
    <w:p>
      <w:pPr>
        <w:pStyle w:val="Unnumberedreferencing"/>
      </w:pPr>
      <w:r>
        <w:t>Shi, W., Cao, J., Zhang, Q., Li, Y. &amp; Xu, L. 2016. Edge Computing: Vision and Challenges. IEEE Internet of Things Journal, 3(5), s. 637–646.</w:t>
      </w:r>
    </w:p>
    <w:p>
      <w:pPr>
        <w:pStyle w:val="Unnumberedreferencing"/>
      </w:pPr>
      <w:r>
        <w:t>SFS-EN 15978:2011. Rakentamisen kestävyys. Rakennusten ympäristöominaisuuksien arviointi. Laskentamenetelmä.</w:t>
      </w:r>
    </w:p>
    <w:p>
      <w:pPr>
        <w:pStyle w:val="Unnumberedreferencing"/>
      </w:pPr>
      <w:r>
        <w:t>Tietosuoja-asetus (EU) 2016/679 (GDPR).</w:t>
      </w:r>
    </w:p>
    <w:p>
      <w:pPr>
        <w:pStyle w:val="Unnumberedreferencing"/>
      </w:pPr>
      <w:r>
        <w:t>Wooldridge, M. 2009. An Introduction to MultiAgent Systems. 2. painos. Wiley.</w:t>
      </w:r>
    </w:p>
    <w:p>
      <w:pPr>
        <w:pStyle w:val="Unnumberedreferencing"/>
      </w:pPr>
      <w:r>
        <w:t>Yleinen tietoturvallisuusasetus (EU) 2019/881 (Cybersecurity Act).</w:t>
      </w:r>
    </w:p>
    <w:p>
      <w:pPr>
        <w:sectPr>
          <w:pgSz w:w="11906" w:h="16838" w:code="9"/>
          <w:pgMar w:top="1134" w:right="1134" w:bottom="1701" w:left="2268" w:header="567" w:footer="567" w:gutter="0"/>
          <w:pgNumType w:start="1"/>
          <w:cols w:space="708"/>
          <w:docGrid w:linePitch="360"/>
        </w:sectPr>
      </w:pPr>
    </w:p>
    <w:p>
      <w:r>
        <w:br w:type="page"/>
      </w:r>
    </w:p>
    <w:p>
      <w:pPr>
        <w:pStyle w:val="AppendixHeading"/>
      </w:pPr>
      <w:r>
        <w:t>Solution Factory Canvas</w:t>
      </w:r>
    </w:p>
    <w:p>
      <w:pPr>
        <w:pStyle w:val="BodyText"/>
      </w:pPr>
      <w:r>
        <w:t>Solution Factory Canvas kuvaa Firehorse-toimintamallin liiketoiminta-asetelman. Canvas-muoto mahdollistaa nopean yleiskuvan mallista ja sen soveltamisesta uusiin toimialavertikaaleihin.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52"/>
        <w:gridCol w:w="4252"/>
      </w:tblGrid>
      <w:tr>
        <w:tc>
          <w:tcPr>
            <w:tcW w:type="dxa" w:w="4252"/>
          </w:tcPr>
          <w:p>
            <w:pPr>
              <w:pStyle w:val="TableTextBold"/>
            </w:pPr>
            <w:r>
              <w:rPr>
                <w:b/>
              </w:rPr>
              <w:t>Elementti</w:t>
            </w:r>
          </w:p>
        </w:tc>
        <w:tc>
          <w:tcPr>
            <w:tcW w:type="dxa" w:w="4252"/>
          </w:tcPr>
          <w:p>
            <w:pPr>
              <w:pStyle w:val="TableTextBold"/>
            </w:pPr>
            <w:r>
              <w:rPr>
                <w:b/>
              </w:rPr>
              <w:t>Kuvaus</w:t>
            </w:r>
          </w:p>
        </w:tc>
      </w:tr>
      <w:tr>
        <w:tc>
          <w:tcPr>
            <w:tcW w:type="dxa" w:w="4252"/>
          </w:tcPr>
          <w:p>
            <w:pPr>
              <w:pStyle w:val="Tablecontent"/>
            </w:pPr>
            <w:r>
              <w:t>Ongelma</w:t>
            </w:r>
          </w:p>
        </w:tc>
        <w:tc>
          <w:tcPr>
            <w:tcW w:type="dxa" w:w="4252"/>
          </w:tcPr>
          <w:p>
            <w:pPr>
              <w:pStyle w:val="Tablecontent"/>
            </w:pPr>
            <w:r>
              <w:t>EU-vaatimustenmukaisuuden määräajat, korkeat SaaS-kustannukset (1 400+ €), pilvilatenssi</w:t>
            </w:r>
          </w:p>
        </w:tc>
      </w:tr>
      <w:tr>
        <w:tc>
          <w:tcPr>
            <w:tcW w:type="dxa" w:w="4252"/>
          </w:tcPr>
          <w:p>
            <w:pPr>
              <w:pStyle w:val="Tablecontent"/>
            </w:pPr>
            <w:r>
              <w:t>Ratkaisu</w:t>
            </w:r>
          </w:p>
        </w:tc>
        <w:tc>
          <w:tcPr>
            <w:tcW w:type="dxa" w:w="4252"/>
          </w:tcPr>
          <w:p>
            <w:pPr>
              <w:pStyle w:val="Tablecontent"/>
            </w:pPr>
            <w:r>
              <w:t>Vaiheittainen AI-käyttöönotto, ilmaistason bootstrap, reunatekoäly (&lt; 100 ms), 0–350 €/kk</w:t>
            </w:r>
          </w:p>
        </w:tc>
      </w:tr>
      <w:tr>
        <w:tc>
          <w:tcPr>
            <w:tcW w:type="dxa" w:w="4252"/>
          </w:tcPr>
          <w:p>
            <w:pPr>
              <w:pStyle w:val="Tablecontent"/>
            </w:pPr>
            <w:r>
              <w:t>Avainmittarit</w:t>
            </w:r>
          </w:p>
        </w:tc>
        <w:tc>
          <w:tcPr>
            <w:tcW w:type="dxa" w:w="4252"/>
          </w:tcPr>
          <w:p>
            <w:pPr>
              <w:pStyle w:val="Tablecontent"/>
            </w:pPr>
            <w:r>
              <w:t>Takaisinmaksu ≤ 2 kk, kustannus 82 % halvempi, nopeus +62 %, retentio 100 %</w:t>
            </w:r>
          </w:p>
        </w:tc>
      </w:tr>
      <w:tr>
        <w:tc>
          <w:tcPr>
            <w:tcW w:type="dxa" w:w="4252"/>
          </w:tcPr>
          <w:p>
            <w:pPr>
              <w:pStyle w:val="Tablecontent"/>
            </w:pPr>
            <w:r>
              <w:t>Epäreilu etu</w:t>
            </w:r>
          </w:p>
        </w:tc>
        <w:tc>
          <w:tcPr>
            <w:tcW w:type="dxa" w:w="4252"/>
          </w:tcPr>
          <w:p>
            <w:pPr>
              <w:pStyle w:val="Tablecontent"/>
            </w:pPr>
            <w:r>
              <w:t>Lifetime Scope Signals, AgentFoundry-pohjat, EU-natiivi, 8 vertikaalin kattavuus</w:t>
            </w:r>
          </w:p>
        </w:tc>
      </w:tr>
      <w:tr>
        <w:tc>
          <w:tcPr>
            <w:tcW w:type="dxa" w:w="4252"/>
          </w:tcPr>
          <w:p>
            <w:pPr>
              <w:pStyle w:val="Tablecontent"/>
            </w:pPr>
            <w:r>
              <w:t>Asiakassegmentit</w:t>
            </w:r>
          </w:p>
        </w:tc>
        <w:tc>
          <w:tcPr>
            <w:tcW w:type="dxa" w:w="4252"/>
          </w:tcPr>
          <w:p>
            <w:pPr>
              <w:pStyle w:val="Tablecontent"/>
            </w:pPr>
            <w:r>
              <w:t>Rakentamisen pk-yritykset, logistiikka, valmistus, 5 lisävertikaalia</w:t>
            </w:r>
          </w:p>
        </w:tc>
      </w:tr>
      <w:tr>
        <w:tc>
          <w:tcPr>
            <w:tcW w:type="dxa" w:w="4252"/>
          </w:tcPr>
          <w:p>
            <w:pPr>
              <w:pStyle w:val="Tablecontent"/>
            </w:pPr>
            <w:r>
              <w:t>Kanavat</w:t>
            </w:r>
          </w:p>
        </w:tc>
        <w:tc>
          <w:tcPr>
            <w:tcW w:type="dxa" w:w="4252"/>
          </w:tcPr>
          <w:p>
            <w:pPr>
              <w:pStyle w:val="Tablecontent"/>
            </w:pPr>
            <w:r>
              <w:t>dws6.com (suora), kumppaniverkosto, LinkedIn (B2B), GitHub</w:t>
            </w:r>
          </w:p>
        </w:tc>
      </w:tr>
      <w:tr>
        <w:tc>
          <w:tcPr>
            <w:tcW w:type="dxa" w:w="4252"/>
          </w:tcPr>
          <w:p>
            <w:pPr>
              <w:pStyle w:val="Tablecontent"/>
            </w:pPr>
            <w:r>
              <w:t>Kustannusrakenne</w:t>
            </w:r>
          </w:p>
        </w:tc>
        <w:tc>
          <w:tcPr>
            <w:tcW w:type="dxa" w:w="4252"/>
          </w:tcPr>
          <w:p>
            <w:pPr>
              <w:pStyle w:val="Tablecontent"/>
            </w:pPr>
            <w:r>
              <w:t>0–350 €/kk infra, startup-krediitit (15 300 $), yksi kehittäjä</w:t>
            </w:r>
          </w:p>
        </w:tc>
      </w:tr>
      <w:tr>
        <w:tc>
          <w:tcPr>
            <w:tcW w:type="dxa" w:w="4252"/>
          </w:tcPr>
          <w:p>
            <w:pPr>
              <w:pStyle w:val="Tablecontent"/>
            </w:pPr>
            <w:r>
              <w:t>Tulonlähteet</w:t>
            </w:r>
          </w:p>
        </w:tc>
        <w:tc>
          <w:tcPr>
            <w:tcW w:type="dxa" w:w="4252"/>
          </w:tcPr>
          <w:p>
            <w:pPr>
              <w:pStyle w:val="Tablecontent"/>
            </w:pPr>
            <w:r>
              <w:t>SaaS-tilaukset, reunalaitteiston marginaali, ammattipalvelut, lisensointi</w:t>
            </w:r>
          </w:p>
        </w:tc>
      </w:tr>
    </w:tbl>
    <w:p>
      <w:r>
        <w:br w:type="page"/>
      </w:r>
    </w:p>
    <w:p>
      <w:pPr>
        <w:pStyle w:val="AppendixHeading"/>
      </w:pPr>
      <w:r>
        <w:t>Tuotekatalogin yhteenveto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ID</w:t>
            </w:r>
          </w:p>
        </w:tc>
        <w:tc>
          <w:tcPr>
            <w:tcW w:type="dxa" w:w="2126"/>
          </w:tcPr>
          <w:p>
            <w:pPr>
              <w:pStyle w:val="TableTextBold"/>
            </w:pPr>
            <w:r>
              <w:rPr>
                <w:b/>
              </w:rPr>
              <w:t>Tuote</w:t>
            </w:r>
          </w:p>
        </w:tc>
        <w:tc>
          <w:tcPr>
            <w:tcW w:type="dxa" w:w="2126"/>
          </w:tcPr>
          <w:p>
            <w:pPr>
              <w:pStyle w:val="TableTextBold"/>
            </w:pPr>
            <w:r>
              <w:rPr>
                <w:b/>
              </w:rPr>
              <w:t>Hinta</w:t>
            </w:r>
          </w:p>
        </w:tc>
        <w:tc>
          <w:tcPr>
            <w:tcW w:type="dxa" w:w="2126"/>
          </w:tcPr>
          <w:p>
            <w:pPr>
              <w:pStyle w:val="TableTextBold"/>
            </w:pPr>
            <w:r>
              <w:rPr>
                <w:b/>
              </w:rPr>
              <w:t>Tyyppi</w:t>
            </w:r>
          </w:p>
        </w:tc>
      </w:tr>
      <w:tr>
        <w:tc>
          <w:tcPr>
            <w:tcW w:type="dxa" w:w="2126"/>
          </w:tcPr>
          <w:p>
            <w:pPr>
              <w:pStyle w:val="Tablecontent"/>
            </w:pPr>
            <w:r>
              <w:t>DWS-IQ-006</w:t>
            </w:r>
          </w:p>
        </w:tc>
        <w:tc>
          <w:tcPr>
            <w:tcW w:type="dxa" w:w="2126"/>
          </w:tcPr>
          <w:p>
            <w:pPr>
              <w:pStyle w:val="Tablecontent"/>
            </w:pPr>
            <w:r>
              <w:t>DWS IQ Platform v6</w:t>
            </w:r>
          </w:p>
        </w:tc>
        <w:tc>
          <w:tcPr>
            <w:tcW w:type="dxa" w:w="2126"/>
          </w:tcPr>
          <w:p>
            <w:pPr>
              <w:pStyle w:val="Tablecontent"/>
            </w:pPr>
            <w:r>
              <w:t>4 999 €</w:t>
            </w:r>
          </w:p>
        </w:tc>
        <w:tc>
          <w:tcPr>
            <w:tcW w:type="dxa" w:w="2126"/>
          </w:tcPr>
          <w:p>
            <w:pPr>
              <w:pStyle w:val="Tablecontent"/>
            </w:pPr>
            <w:r>
              <w:t>Alusta</w:t>
            </w:r>
          </w:p>
        </w:tc>
      </w:tr>
      <w:tr>
        <w:tc>
          <w:tcPr>
            <w:tcW w:type="dxa" w:w="2126"/>
          </w:tcPr>
          <w:p>
            <w:pPr>
              <w:pStyle w:val="Tablecontent"/>
            </w:pPr>
            <w:r>
              <w:t>DWS-IQ-005</w:t>
            </w:r>
          </w:p>
        </w:tc>
        <w:tc>
          <w:tcPr>
            <w:tcW w:type="dxa" w:w="2126"/>
          </w:tcPr>
          <w:p>
            <w:pPr>
              <w:pStyle w:val="Tablecontent"/>
            </w:pPr>
            <w:r>
              <w:t>DWS IQ Platform v5</w:t>
            </w:r>
          </w:p>
        </w:tc>
        <w:tc>
          <w:tcPr>
            <w:tcW w:type="dxa" w:w="2126"/>
          </w:tcPr>
          <w:p>
            <w:pPr>
              <w:pStyle w:val="Tablecontent"/>
            </w:pPr>
            <w:r>
              <w:t>6 995 €</w:t>
            </w:r>
          </w:p>
        </w:tc>
        <w:tc>
          <w:tcPr>
            <w:tcW w:type="dxa" w:w="2126"/>
          </w:tcPr>
          <w:p>
            <w:pPr>
              <w:pStyle w:val="Tablecontent"/>
            </w:pPr>
            <w:r>
              <w:t>Alusta</w:t>
            </w:r>
          </w:p>
        </w:tc>
      </w:tr>
      <w:tr>
        <w:tc>
          <w:tcPr>
            <w:tcW w:type="dxa" w:w="2126"/>
          </w:tcPr>
          <w:p>
            <w:pPr>
              <w:pStyle w:val="Tablecontent"/>
            </w:pPr>
            <w:r>
              <w:t>FH-AUTO-001</w:t>
            </w:r>
          </w:p>
        </w:tc>
        <w:tc>
          <w:tcPr>
            <w:tcW w:type="dxa" w:w="2126"/>
          </w:tcPr>
          <w:p>
            <w:pPr>
              <w:pStyle w:val="Tablecontent"/>
            </w:pPr>
            <w:r>
              <w:t>Firehorse Automation</w:t>
            </w:r>
          </w:p>
        </w:tc>
        <w:tc>
          <w:tcPr>
            <w:tcW w:type="dxa" w:w="2126"/>
          </w:tcPr>
          <w:p>
            <w:pPr>
              <w:pStyle w:val="Tablecontent"/>
            </w:pPr>
            <w:r>
              <w:t>4 950 €</w:t>
            </w:r>
          </w:p>
        </w:tc>
        <w:tc>
          <w:tcPr>
            <w:tcW w:type="dxa" w:w="2126"/>
          </w:tcPr>
          <w:p>
            <w:pPr>
              <w:pStyle w:val="Tablecontent"/>
            </w:pPr>
            <w:r>
              <w:t>Ohjelmisto</w:t>
            </w:r>
          </w:p>
        </w:tc>
      </w:tr>
      <w:tr>
        <w:tc>
          <w:tcPr>
            <w:tcW w:type="dxa" w:w="2126"/>
          </w:tcPr>
          <w:p>
            <w:pPr>
              <w:pStyle w:val="Tablecontent"/>
            </w:pPr>
            <w:r>
              <w:t>FH-RPT-001</w:t>
            </w:r>
          </w:p>
        </w:tc>
        <w:tc>
          <w:tcPr>
            <w:tcW w:type="dxa" w:w="2126"/>
          </w:tcPr>
          <w:p>
            <w:pPr>
              <w:pStyle w:val="Tablecontent"/>
            </w:pPr>
            <w:r>
              <w:t>Firehorse Report</w:t>
            </w:r>
          </w:p>
        </w:tc>
        <w:tc>
          <w:tcPr>
            <w:tcW w:type="dxa" w:w="2126"/>
          </w:tcPr>
          <w:p>
            <w:pPr>
              <w:pStyle w:val="Tablecontent"/>
            </w:pPr>
            <w:r>
              <w:t>1 999 €</w:t>
            </w:r>
          </w:p>
        </w:tc>
        <w:tc>
          <w:tcPr>
            <w:tcW w:type="dxa" w:w="2126"/>
          </w:tcPr>
          <w:p>
            <w:pPr>
              <w:pStyle w:val="Tablecontent"/>
            </w:pPr>
            <w:r>
              <w:t>Ohjelmisto</w:t>
            </w:r>
          </w:p>
        </w:tc>
      </w:tr>
      <w:tr>
        <w:tc>
          <w:tcPr>
            <w:tcW w:type="dxa" w:w="2126"/>
          </w:tcPr>
          <w:p>
            <w:pPr>
              <w:pStyle w:val="Tablecontent"/>
            </w:pPr>
            <w:r>
              <w:t>FH-CMS-001</w:t>
            </w:r>
          </w:p>
        </w:tc>
        <w:tc>
          <w:tcPr>
            <w:tcW w:type="dxa" w:w="2126"/>
          </w:tcPr>
          <w:p>
            <w:pPr>
              <w:pStyle w:val="Tablecontent"/>
            </w:pPr>
            <w:r>
              <w:t>Firehorse CMS</w:t>
            </w:r>
          </w:p>
        </w:tc>
        <w:tc>
          <w:tcPr>
            <w:tcW w:type="dxa" w:w="2126"/>
          </w:tcPr>
          <w:p>
            <w:pPr>
              <w:pStyle w:val="Tablecontent"/>
            </w:pPr>
            <w:r>
              <w:t>2 999 €</w:t>
            </w:r>
          </w:p>
        </w:tc>
        <w:tc>
          <w:tcPr>
            <w:tcW w:type="dxa" w:w="2126"/>
          </w:tcPr>
          <w:p>
            <w:pPr>
              <w:pStyle w:val="Tablecontent"/>
            </w:pPr>
            <w:r>
              <w:t>Ohjelmisto</w:t>
            </w:r>
          </w:p>
        </w:tc>
      </w:tr>
      <w:tr>
        <w:tc>
          <w:tcPr>
            <w:tcW w:type="dxa" w:w="2126"/>
          </w:tcPr>
          <w:p>
            <w:pPr>
              <w:pStyle w:val="Tablecontent"/>
            </w:pPr>
            <w:r>
              <w:t>FH-OMNI-001</w:t>
            </w:r>
          </w:p>
        </w:tc>
        <w:tc>
          <w:tcPr>
            <w:tcW w:type="dxa" w:w="2126"/>
          </w:tcPr>
          <w:p>
            <w:pPr>
              <w:pStyle w:val="Tablecontent"/>
            </w:pPr>
            <w:r>
              <w:t>Firehorse Omnichannel</w:t>
            </w:r>
          </w:p>
        </w:tc>
        <w:tc>
          <w:tcPr>
            <w:tcW w:type="dxa" w:w="2126"/>
          </w:tcPr>
          <w:p>
            <w:pPr>
              <w:pStyle w:val="Tablecontent"/>
            </w:pPr>
            <w:r>
              <w:t>499 €</w:t>
            </w:r>
          </w:p>
        </w:tc>
        <w:tc>
          <w:tcPr>
            <w:tcW w:type="dxa" w:w="2126"/>
          </w:tcPr>
          <w:p>
            <w:pPr>
              <w:pStyle w:val="Tablecontent"/>
            </w:pPr>
            <w:r>
              <w:t>Ohjelmisto</w:t>
            </w:r>
          </w:p>
        </w:tc>
      </w:tr>
      <w:tr>
        <w:tc>
          <w:tcPr>
            <w:tcW w:type="dxa" w:w="2126"/>
          </w:tcPr>
          <w:p>
            <w:pPr>
              <w:pStyle w:val="Tablecontent"/>
            </w:pPr>
            <w:r>
              <w:t>LIFETIME-BUNDLE-2026</w:t>
            </w:r>
          </w:p>
        </w:tc>
        <w:tc>
          <w:tcPr>
            <w:tcW w:type="dxa" w:w="2126"/>
          </w:tcPr>
          <w:p>
            <w:pPr>
              <w:pStyle w:val="Tablecontent"/>
            </w:pPr>
            <w:r>
              <w:t>Climate Bundle</w:t>
            </w:r>
          </w:p>
        </w:tc>
        <w:tc>
          <w:tcPr>
            <w:tcW w:type="dxa" w:w="2126"/>
          </w:tcPr>
          <w:p>
            <w:pPr>
              <w:pStyle w:val="Tablecontent"/>
            </w:pPr>
            <w:r>
              <w:t>6 500 €</w:t>
            </w:r>
          </w:p>
        </w:tc>
        <w:tc>
          <w:tcPr>
            <w:tcW w:type="dxa" w:w="2126"/>
          </w:tcPr>
          <w:p>
            <w:pPr>
              <w:pStyle w:val="Tablecontent"/>
            </w:pPr>
            <w:r>
              <w:t>Paketti</w:t>
            </w:r>
          </w:p>
        </w:tc>
      </w:tr>
    </w:tbl>
    <w:p>
      <w:r>
        <w:br w:type="page"/>
      </w:r>
    </w:p>
    <w:p>
      <w:pPr>
        <w:pStyle w:val="AppendixHeading"/>
      </w:pPr>
      <w:r>
        <w:t>Lifetime Scope Signals -protokolla</w:t>
      </w:r>
    </w:p>
    <w:p>
      <w:pPr>
        <w:pStyle w:val="BodyText"/>
      </w:pPr>
      <w:r>
        <w:t>Signaalimuoto: [AGENT-XX]:SIGNAL_TYPE:MILESTONE:TIMESTAMP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Tyyppi</w:t>
            </w:r>
          </w:p>
        </w:tc>
        <w:tc>
          <w:tcPr>
            <w:tcW w:type="dxa" w:w="2835"/>
          </w:tcPr>
          <w:p>
            <w:pPr>
              <w:pStyle w:val="TableTextBold"/>
            </w:pPr>
            <w:r>
              <w:rPr>
                <w:b/>
              </w:rPr>
              <w:t>Merkitys</w:t>
            </w:r>
          </w:p>
        </w:tc>
        <w:tc>
          <w:tcPr>
            <w:tcW w:type="dxa" w:w="2835"/>
          </w:tcPr>
          <w:p>
            <w:pPr>
              <w:pStyle w:val="TableTextBold"/>
            </w:pPr>
            <w:r>
              <w:rPr>
                <w:b/>
              </w:rPr>
              <w:t>Toiminto</w:t>
            </w:r>
          </w:p>
        </w:tc>
      </w:tr>
      <w:tr>
        <w:tc>
          <w:tcPr>
            <w:tcW w:type="dxa" w:w="2835"/>
          </w:tcPr>
          <w:p>
            <w:pPr>
              <w:pStyle w:val="Tablecontent"/>
            </w:pPr>
            <w:r>
              <w:t>READY</w:t>
            </w:r>
          </w:p>
        </w:tc>
        <w:tc>
          <w:tcPr>
            <w:tcW w:type="dxa" w:w="2835"/>
          </w:tcPr>
          <w:p>
            <w:pPr>
              <w:pStyle w:val="Tablecontent"/>
            </w:pPr>
            <w:r>
              <w:t>Virstanpylväs saavutettu</w:t>
            </w:r>
          </w:p>
        </w:tc>
        <w:tc>
          <w:tcPr>
            <w:tcW w:type="dxa" w:w="2835"/>
          </w:tcPr>
          <w:p>
            <w:pPr>
              <w:pStyle w:val="Tablecontent"/>
            </w:pPr>
            <w:r>
              <w:t>Vapauttaa alavirran agentit</w:t>
            </w:r>
          </w:p>
        </w:tc>
      </w:tr>
      <w:tr>
        <w:tc>
          <w:tcPr>
            <w:tcW w:type="dxa" w:w="2835"/>
          </w:tcPr>
          <w:p>
            <w:pPr>
              <w:pStyle w:val="Tablecontent"/>
            </w:pPr>
            <w:r>
              <w:t>COMPLETE</w:t>
            </w:r>
          </w:p>
        </w:tc>
        <w:tc>
          <w:tcPr>
            <w:tcW w:type="dxa" w:w="2835"/>
          </w:tcPr>
          <w:p>
            <w:pPr>
              <w:pStyle w:val="Tablecontent"/>
            </w:pPr>
            <w:r>
              <w:t>Kaikki agentin työ valmis</w:t>
            </w:r>
          </w:p>
        </w:tc>
        <w:tc>
          <w:tcPr>
            <w:tcW w:type="dxa" w:w="2835"/>
          </w:tcPr>
          <w:p>
            <w:pPr>
              <w:pStyle w:val="Tablecontent"/>
            </w:pPr>
            <w:r>
              <w:t>Agentti siirtyy valmis-tilaan</w:t>
            </w:r>
          </w:p>
        </w:tc>
      </w:tr>
      <w:tr>
        <w:tc>
          <w:tcPr>
            <w:tcW w:type="dxa" w:w="2835"/>
          </w:tcPr>
          <w:p>
            <w:pPr>
              <w:pStyle w:val="Tablecontent"/>
            </w:pPr>
            <w:r>
              <w:t>ERROR</w:t>
            </w:r>
          </w:p>
        </w:tc>
        <w:tc>
          <w:tcPr>
            <w:tcW w:type="dxa" w:w="2835"/>
          </w:tcPr>
          <w:p>
            <w:pPr>
              <w:pStyle w:val="Tablecontent"/>
            </w:pPr>
            <w:r>
              <w:t>Agentti kohtasi virheen</w:t>
            </w:r>
          </w:p>
        </w:tc>
        <w:tc>
          <w:tcPr>
            <w:tcW w:type="dxa" w:w="2835"/>
          </w:tcPr>
          <w:p>
            <w:pPr>
              <w:pStyle w:val="Tablecontent"/>
            </w:pPr>
            <w:r>
              <w:t>Hälyttää koordinaattorin</w:t>
            </w:r>
          </w:p>
        </w:tc>
      </w:tr>
      <w:tr>
        <w:tc>
          <w:tcPr>
            <w:tcW w:type="dxa" w:w="2835"/>
          </w:tcPr>
          <w:p>
            <w:pPr>
              <w:pStyle w:val="Tablecontent"/>
            </w:pPr>
            <w:r>
              <w:t>BLOCKED</w:t>
            </w:r>
          </w:p>
        </w:tc>
        <w:tc>
          <w:tcPr>
            <w:tcW w:type="dxa" w:w="2835"/>
          </w:tcPr>
          <w:p>
            <w:pPr>
              <w:pStyle w:val="Tablecontent"/>
            </w:pPr>
            <w:r>
              <w:t>Odottaa ulkoista riippuvuutta</w:t>
            </w:r>
          </w:p>
        </w:tc>
        <w:tc>
          <w:tcPr>
            <w:tcW w:type="dxa" w:w="2835"/>
          </w:tcPr>
          <w:p>
            <w:pPr>
              <w:pStyle w:val="Tablecontent"/>
            </w:pPr>
            <w:r>
              <w:t>Ei toimintaa ennen vapautusta</w:t>
            </w:r>
          </w:p>
        </w:tc>
      </w:tr>
    </w:tbl>
    <w:p>
      <w:r>
        <w:br w:type="page"/>
      </w:r>
    </w:p>
    <w:p>
      <w:pPr>
        <w:pStyle w:val="AppendixHeading"/>
      </w:pPr>
      <w:r>
        <w:t>Tekoälyagenttien toimintaohjeet (Karpathyn periaatteet)</w:t>
      </w:r>
    </w:p>
    <w:p>
      <w:pPr>
        <w:pStyle w:val="BodyText"/>
      </w:pPr>
      <w:r>
        <w:t>DWS6-projekti otti käyttöön tekoälykoodausagenttien toimintaohjeet, jotka perustuvat Andrej Karpathyn tekoälykoodausohjeistukseen. Ohjeet on dokumentoitu repositorion CLAUDE.md-tiedostossa ja ne varmistavat johdonmukaisen, laadukkaan tekoäly-ihminen-yhteistyön agenttipohjaisissa koodaustyönkuluissa.</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6"/>
        <w:gridCol w:w="2126"/>
        <w:gridCol w:w="2126"/>
        <w:gridCol w:w="2126"/>
      </w:tblGrid>
      <w:tr>
        <w:tc>
          <w:tcPr>
            <w:tcW w:type="dxa" w:w="2126"/>
          </w:tcPr>
          <w:p>
            <w:pPr>
              <w:pStyle w:val="TableTextBold"/>
            </w:pPr>
            <w:r>
              <w:rPr>
                <w:b/>
              </w:rPr>
              <w:t>#</w:t>
            </w:r>
          </w:p>
        </w:tc>
        <w:tc>
          <w:tcPr>
            <w:tcW w:type="dxa" w:w="2126"/>
          </w:tcPr>
          <w:p>
            <w:pPr>
              <w:pStyle w:val="TableTextBold"/>
            </w:pPr>
            <w:r>
              <w:rPr>
                <w:b/>
              </w:rPr>
              <w:t>Käyttäytyminen</w:t>
            </w:r>
          </w:p>
        </w:tc>
        <w:tc>
          <w:tcPr>
            <w:tcW w:type="dxa" w:w="2126"/>
          </w:tcPr>
          <w:p>
            <w:pPr>
              <w:pStyle w:val="TableTextBold"/>
            </w:pPr>
            <w:r>
              <w:rPr>
                <w:b/>
              </w:rPr>
              <w:t>Kuvaus</w:t>
            </w:r>
          </w:p>
        </w:tc>
        <w:tc>
          <w:tcPr>
            <w:tcW w:type="dxa" w:w="2126"/>
          </w:tcPr>
          <w:p>
            <w:pPr>
              <w:pStyle w:val="TableTextBold"/>
            </w:pPr>
            <w:r>
              <w:rPr>
                <w:b/>
              </w:rPr>
              <w:t>EU AI Act -yhteys</w:t>
            </w:r>
          </w:p>
        </w:tc>
      </w:tr>
      <w:tr>
        <w:tc>
          <w:tcPr>
            <w:tcW w:type="dxa" w:w="2126"/>
          </w:tcPr>
          <w:p>
            <w:pPr>
              <w:pStyle w:val="Tablecontent"/>
            </w:pPr>
            <w:r>
              <w:t>1</w:t>
            </w:r>
          </w:p>
        </w:tc>
        <w:tc>
          <w:tcPr>
            <w:tcW w:type="dxa" w:w="2126"/>
          </w:tcPr>
          <w:p>
            <w:pPr>
              <w:pStyle w:val="Tablecontent"/>
            </w:pPr>
            <w:r>
              <w:t>Oletusten esiin tuominen</w:t>
            </w:r>
          </w:p>
        </w:tc>
        <w:tc>
          <w:tcPr>
            <w:tcW w:type="dxa" w:w="2126"/>
          </w:tcPr>
          <w:p>
            <w:pPr>
              <w:pStyle w:val="Tablecontent"/>
            </w:pPr>
            <w:r>
              <w:t>Ilmaise oletukset eksplisiittisesti</w:t>
            </w:r>
          </w:p>
        </w:tc>
        <w:tc>
          <w:tcPr>
            <w:tcW w:type="dxa" w:w="2126"/>
          </w:tcPr>
          <w:p>
            <w:pPr>
              <w:pStyle w:val="Tablecontent"/>
            </w:pPr>
            <w:r>
              <w:t>Tukee päättelyketjua (Art. 12)</w:t>
            </w:r>
          </w:p>
        </w:tc>
      </w:tr>
      <w:tr>
        <w:tc>
          <w:tcPr>
            <w:tcW w:type="dxa" w:w="2126"/>
          </w:tcPr>
          <w:p>
            <w:pPr>
              <w:pStyle w:val="Tablecontent"/>
            </w:pPr>
            <w:r>
              <w:t>2</w:t>
            </w:r>
          </w:p>
        </w:tc>
        <w:tc>
          <w:tcPr>
            <w:tcW w:type="dxa" w:w="2126"/>
          </w:tcPr>
          <w:p>
            <w:pPr>
              <w:pStyle w:val="Tablecontent"/>
            </w:pPr>
            <w:r>
              <w:t>Sekaannusten hallinta</w:t>
            </w:r>
          </w:p>
        </w:tc>
        <w:tc>
          <w:tcPr>
            <w:tcW w:type="dxa" w:w="2126"/>
          </w:tcPr>
          <w:p>
            <w:pPr>
              <w:pStyle w:val="Tablecontent"/>
            </w:pPr>
            <w:r>
              <w:t>PYSÄHDY kun hämmentynyt</w:t>
            </w:r>
          </w:p>
        </w:tc>
        <w:tc>
          <w:tcPr>
            <w:tcW w:type="dxa" w:w="2126"/>
          </w:tcPr>
          <w:p>
            <w:pPr>
              <w:pStyle w:val="Tablecontent"/>
            </w:pPr>
            <w:r>
              <w:t>Estää autonomiset virheet</w:t>
            </w:r>
          </w:p>
        </w:tc>
      </w:tr>
      <w:tr>
        <w:tc>
          <w:tcPr>
            <w:tcW w:type="dxa" w:w="2126"/>
          </w:tcPr>
          <w:p>
            <w:pPr>
              <w:pStyle w:val="Tablecontent"/>
            </w:pPr>
            <w:r>
              <w:t>3</w:t>
            </w:r>
          </w:p>
        </w:tc>
        <w:tc>
          <w:tcPr>
            <w:tcW w:type="dxa" w:w="2126"/>
          </w:tcPr>
          <w:p>
            <w:pPr>
              <w:pStyle w:val="Tablecontent"/>
            </w:pPr>
            <w:r>
              <w:t>Vastustaminen tarvittaessa</w:t>
            </w:r>
          </w:p>
        </w:tc>
        <w:tc>
          <w:tcPr>
            <w:tcW w:type="dxa" w:w="2126"/>
          </w:tcPr>
          <w:p>
            <w:pPr>
              <w:pStyle w:val="Tablecontent"/>
            </w:pPr>
            <w:r>
              <w:t>Osoita ongelmat suoraan</w:t>
            </w:r>
          </w:p>
        </w:tc>
        <w:tc>
          <w:tcPr>
            <w:tcW w:type="dxa" w:w="2126"/>
          </w:tcPr>
          <w:p>
            <w:pPr>
              <w:pStyle w:val="Tablecontent"/>
            </w:pPr>
            <w:r>
              <w:t>Varmistaa ihmisen valvonnan</w:t>
            </w:r>
          </w:p>
        </w:tc>
      </w:tr>
      <w:tr>
        <w:tc>
          <w:tcPr>
            <w:tcW w:type="dxa" w:w="2126"/>
          </w:tcPr>
          <w:p>
            <w:pPr>
              <w:pStyle w:val="Tablecontent"/>
            </w:pPr>
            <w:r>
              <w:t>4</w:t>
            </w:r>
          </w:p>
        </w:tc>
        <w:tc>
          <w:tcPr>
            <w:tcW w:type="dxa" w:w="2126"/>
          </w:tcPr>
          <w:p>
            <w:pPr>
              <w:pStyle w:val="Tablecontent"/>
            </w:pPr>
            <w:r>
              <w:t>Yksinkertaisuuden valvonta</w:t>
            </w:r>
          </w:p>
        </w:tc>
        <w:tc>
          <w:tcPr>
            <w:tcW w:type="dxa" w:w="2126"/>
          </w:tcPr>
          <w:p>
            <w:pPr>
              <w:pStyle w:val="Tablecontent"/>
            </w:pPr>
            <w:r>
              <w:t>Vastusta ylimonimutkaistamista</w:t>
            </w:r>
          </w:p>
        </w:tc>
        <w:tc>
          <w:tcPr>
            <w:tcW w:type="dxa" w:w="2126"/>
          </w:tcPr>
          <w:p>
            <w:pPr>
              <w:pStyle w:val="Tablecontent"/>
            </w:pPr>
            <w:r>
              <w:t>Ylläpidettävyys</w:t>
            </w:r>
          </w:p>
        </w:tc>
      </w:tr>
      <w:tr>
        <w:tc>
          <w:tcPr>
            <w:tcW w:type="dxa" w:w="2126"/>
          </w:tcPr>
          <w:p>
            <w:pPr>
              <w:pStyle w:val="Tablecontent"/>
            </w:pPr>
            <w:r>
              <w:t>5</w:t>
            </w:r>
          </w:p>
        </w:tc>
        <w:tc>
          <w:tcPr>
            <w:tcW w:type="dxa" w:w="2126"/>
          </w:tcPr>
          <w:p>
            <w:pPr>
              <w:pStyle w:val="Tablecontent"/>
            </w:pPr>
            <w:r>
              <w:t>Laajuuskuri</w:t>
            </w:r>
          </w:p>
        </w:tc>
        <w:tc>
          <w:tcPr>
            <w:tcW w:type="dxa" w:w="2126"/>
          </w:tcPr>
          <w:p>
            <w:pPr>
              <w:pStyle w:val="Tablecontent"/>
            </w:pPr>
            <w:r>
              <w:t>Koske vain pyydettyä</w:t>
            </w:r>
          </w:p>
        </w:tc>
        <w:tc>
          <w:tcPr>
            <w:tcW w:type="dxa" w:w="2126"/>
          </w:tcPr>
          <w:p>
            <w:pPr>
              <w:pStyle w:val="Tablecontent"/>
            </w:pPr>
            <w:r>
              <w:t>Auditointipolun selkeys</w:t>
            </w:r>
          </w:p>
        </w:tc>
      </w:tr>
      <w:tr>
        <w:tc>
          <w:tcPr>
            <w:tcW w:type="dxa" w:w="2126"/>
          </w:tcPr>
          <w:p>
            <w:pPr>
              <w:pStyle w:val="Tablecontent"/>
            </w:pPr>
            <w:r>
              <w:t>6</w:t>
            </w:r>
          </w:p>
        </w:tc>
        <w:tc>
          <w:tcPr>
            <w:tcW w:type="dxa" w:w="2126"/>
          </w:tcPr>
          <w:p>
            <w:pPr>
              <w:pStyle w:val="Tablecontent"/>
            </w:pPr>
            <w:r>
              <w:t>Kuolleen koodin hygienia</w:t>
            </w:r>
          </w:p>
        </w:tc>
        <w:tc>
          <w:tcPr>
            <w:tcW w:type="dxa" w:w="2126"/>
          </w:tcPr>
          <w:p>
            <w:pPr>
              <w:pStyle w:val="Tablecontent"/>
            </w:pPr>
            <w:r>
              <w:t>Kysy ennen poistamista</w:t>
            </w:r>
          </w:p>
        </w:tc>
        <w:tc>
          <w:tcPr>
            <w:tcW w:type="dxa" w:w="2126"/>
          </w:tcPr>
          <w:p>
            <w:pPr>
              <w:pStyle w:val="Tablecontent"/>
            </w:pPr>
            <w:r>
              <w:t>Muutosdokumentaatio</w:t>
            </w:r>
          </w:p>
        </w:tc>
      </w:tr>
    </w:tbl>
    <w:p>
      <w:r>
        <w:br w:type="page"/>
      </w:r>
    </w:p>
    <w:p>
      <w:pPr>
        <w:pStyle w:val="AppendixHeading"/>
      </w:pPr>
      <w:r>
        <w:t>AI-mallien koulutusinfrastruktuuri</w:t>
      </w:r>
    </w:p>
    <w:p>
      <w:pPr>
        <w:pStyle w:val="BodyText"/>
      </w:pPr>
      <w:r>
        <w:t>Lifetime World Model (LWM) -koulutusputki käyttää Acer Veriton GN-100 -laitteistoa NVIDIA GB10 Grace Blackwell Superchipillä. Laskentateho on 1 PetaFLOP paikallinen päättely ja 128 GB yhdistetty muisti. Koulutustyönkulku etenee: opetussuunnitelman suunnittelu (Claude API), synteettisen datan generointi (2 000+ esimerkkiä per toimiala), paikallinen hienosäätö (QLoRA, 16 h per malli) ja arviointi (Claude-as-judge, tavoite &gt; 7,0/10). Kustannus on 80–125 euroa per toimialamalli, mikä on 99 prosentin vähennys perinteiseen hintaan verrattuna.</w:t>
      </w:r>
    </w:p>
    <w:p>
      <w:r>
        <w:br w:type="page"/>
      </w:r>
    </w:p>
    <w:p>
      <w:pPr>
        <w:pStyle w:val="AppendixHeading"/>
      </w:pPr>
      <w:r>
        <w:t>V1.0 Agenttilaivasto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1"/>
        <w:gridCol w:w="1701"/>
        <w:gridCol w:w="1701"/>
        <w:gridCol w:w="1701"/>
        <w:gridCol w:w="1701"/>
      </w:tblGrid>
      <w:tr>
        <w:tc>
          <w:tcPr>
            <w:tcW w:type="dxa" w:w="1701"/>
          </w:tcPr>
          <w:p>
            <w:pPr>
              <w:pStyle w:val="TableTextBold"/>
            </w:pPr>
            <w:r>
              <w:rPr>
                <w:b/>
              </w:rPr>
              <w:t>Agentti-ID</w:t>
            </w:r>
          </w:p>
        </w:tc>
        <w:tc>
          <w:tcPr>
            <w:tcW w:type="dxa" w:w="1701"/>
          </w:tcPr>
          <w:p>
            <w:pPr>
              <w:pStyle w:val="TableTextBold"/>
            </w:pPr>
            <w:r>
              <w:rPr>
                <w:b/>
              </w:rPr>
              <w:t>Nimi</w:t>
            </w:r>
          </w:p>
        </w:tc>
        <w:tc>
          <w:tcPr>
            <w:tcW w:type="dxa" w:w="1701"/>
          </w:tcPr>
          <w:p>
            <w:pPr>
              <w:pStyle w:val="TableTextBold"/>
            </w:pPr>
            <w:r>
              <w:rPr>
                <w:b/>
              </w:rPr>
              <w:t>Vaihe</w:t>
            </w:r>
          </w:p>
        </w:tc>
        <w:tc>
          <w:tcPr>
            <w:tcW w:type="dxa" w:w="1701"/>
          </w:tcPr>
          <w:p>
            <w:pPr>
              <w:pStyle w:val="TableTextBold"/>
            </w:pPr>
            <w:r>
              <w:rPr>
                <w:b/>
              </w:rPr>
              <w:t>Prioriteetti</w:t>
            </w:r>
          </w:p>
        </w:tc>
        <w:tc>
          <w:tcPr>
            <w:tcW w:type="dxa" w:w="1701"/>
          </w:tcPr>
          <w:p>
            <w:pPr>
              <w:pStyle w:val="TableTextBold"/>
            </w:pPr>
            <w:r>
              <w:rPr>
                <w:b/>
              </w:rPr>
              <w:t>Tila</w:t>
            </w:r>
          </w:p>
        </w:tc>
      </w:tr>
      <w:tr>
        <w:tc>
          <w:tcPr>
            <w:tcW w:type="dxa" w:w="1701"/>
          </w:tcPr>
          <w:p>
            <w:pPr>
              <w:pStyle w:val="Tablecontent"/>
            </w:pPr>
            <w:r>
              <w:t>Agent-01</w:t>
            </w:r>
          </w:p>
        </w:tc>
        <w:tc>
          <w:tcPr>
            <w:tcW w:type="dxa" w:w="1701"/>
          </w:tcPr>
          <w:p>
            <w:pPr>
              <w:pStyle w:val="Tablecontent"/>
            </w:pPr>
            <w:r>
              <w:t>DWS IQ Login</w:t>
            </w:r>
          </w:p>
        </w:tc>
        <w:tc>
          <w:tcPr>
            <w:tcW w:type="dxa" w:w="1701"/>
          </w:tcPr>
          <w:p>
            <w:pPr>
              <w:pStyle w:val="Tablecontent"/>
            </w:pPr>
            <w:r>
              <w:t>1</w:t>
            </w:r>
          </w:p>
        </w:tc>
        <w:tc>
          <w:tcPr>
            <w:tcW w:type="dxa" w:w="1701"/>
          </w:tcPr>
          <w:p>
            <w:pPr>
              <w:pStyle w:val="Tablecontent"/>
            </w:pPr>
            <w:r>
              <w:t>Kriittinen</w:t>
            </w:r>
          </w:p>
        </w:tc>
        <w:tc>
          <w:tcPr>
            <w:tcW w:type="dxa" w:w="1701"/>
          </w:tcPr>
          <w:p>
            <w:pPr>
              <w:pStyle w:val="Tablecontent"/>
            </w:pPr>
            <w:r>
              <w:t>Käynnissä</w:t>
            </w:r>
          </w:p>
        </w:tc>
      </w:tr>
      <w:tr>
        <w:tc>
          <w:tcPr>
            <w:tcW w:type="dxa" w:w="1701"/>
          </w:tcPr>
          <w:p>
            <w:pPr>
              <w:pStyle w:val="Tablecontent"/>
            </w:pPr>
            <w:r>
              <w:t>Agent-02</w:t>
            </w:r>
          </w:p>
        </w:tc>
        <w:tc>
          <w:tcPr>
            <w:tcW w:type="dxa" w:w="1701"/>
          </w:tcPr>
          <w:p>
            <w:pPr>
              <w:pStyle w:val="Tablecontent"/>
            </w:pPr>
            <w:r>
              <w:t>Firehorse Apps</w:t>
            </w:r>
          </w:p>
        </w:tc>
        <w:tc>
          <w:tcPr>
            <w:tcW w:type="dxa" w:w="1701"/>
          </w:tcPr>
          <w:p>
            <w:pPr>
              <w:pStyle w:val="Tablecontent"/>
            </w:pPr>
            <w:r>
              <w:t>2</w:t>
            </w:r>
          </w:p>
        </w:tc>
        <w:tc>
          <w:tcPr>
            <w:tcW w:type="dxa" w:w="1701"/>
          </w:tcPr>
          <w:p>
            <w:pPr>
              <w:pStyle w:val="Tablecontent"/>
            </w:pPr>
            <w:r>
              <w:t>Kriittinen</w:t>
            </w:r>
          </w:p>
        </w:tc>
        <w:tc>
          <w:tcPr>
            <w:tcW w:type="dxa" w:w="1701"/>
          </w:tcPr>
          <w:p>
            <w:pPr>
              <w:pStyle w:val="Tablecontent"/>
            </w:pPr>
            <w:r>
              <w:t>Odottaa</w:t>
            </w:r>
          </w:p>
        </w:tc>
      </w:tr>
      <w:tr>
        <w:tc>
          <w:tcPr>
            <w:tcW w:type="dxa" w:w="1701"/>
          </w:tcPr>
          <w:p>
            <w:pPr>
              <w:pStyle w:val="Tablecontent"/>
            </w:pPr>
            <w:r>
              <w:t>Agent-03</w:t>
            </w:r>
          </w:p>
        </w:tc>
        <w:tc>
          <w:tcPr>
            <w:tcW w:type="dxa" w:w="1701"/>
          </w:tcPr>
          <w:p>
            <w:pPr>
              <w:pStyle w:val="Tablecontent"/>
            </w:pPr>
            <w:r>
              <w:t>Customer Dashboard</w:t>
            </w:r>
          </w:p>
        </w:tc>
        <w:tc>
          <w:tcPr>
            <w:tcW w:type="dxa" w:w="1701"/>
          </w:tcPr>
          <w:p>
            <w:pPr>
              <w:pStyle w:val="Tablecontent"/>
            </w:pPr>
            <w:r>
              <w:t>3</w:t>
            </w:r>
          </w:p>
        </w:tc>
        <w:tc>
          <w:tcPr>
            <w:tcW w:type="dxa" w:w="1701"/>
          </w:tcPr>
          <w:p>
            <w:pPr>
              <w:pStyle w:val="Tablecontent"/>
            </w:pPr>
            <w:r>
              <w:t>Kriittinen</w:t>
            </w:r>
          </w:p>
        </w:tc>
        <w:tc>
          <w:tcPr>
            <w:tcW w:type="dxa" w:w="1701"/>
          </w:tcPr>
          <w:p>
            <w:pPr>
              <w:pStyle w:val="Tablecontent"/>
            </w:pPr>
            <w:r>
              <w:t>Odottaa</w:t>
            </w:r>
          </w:p>
        </w:tc>
      </w:tr>
      <w:tr>
        <w:tc>
          <w:tcPr>
            <w:tcW w:type="dxa" w:w="1701"/>
          </w:tcPr>
          <w:p>
            <w:pPr>
              <w:pStyle w:val="Tablecontent"/>
            </w:pPr>
            <w:r>
              <w:t>Agent-04</w:t>
            </w:r>
          </w:p>
        </w:tc>
        <w:tc>
          <w:tcPr>
            <w:tcW w:type="dxa" w:w="1701"/>
          </w:tcPr>
          <w:p>
            <w:pPr>
              <w:pStyle w:val="Tablecontent"/>
            </w:pPr>
            <w:r>
              <w:t>AI Agents</w:t>
            </w:r>
          </w:p>
        </w:tc>
        <w:tc>
          <w:tcPr>
            <w:tcW w:type="dxa" w:w="1701"/>
          </w:tcPr>
          <w:p>
            <w:pPr>
              <w:pStyle w:val="Tablecontent"/>
            </w:pPr>
            <w:r>
              <w:t>2</w:t>
            </w:r>
          </w:p>
        </w:tc>
        <w:tc>
          <w:tcPr>
            <w:tcW w:type="dxa" w:w="1701"/>
          </w:tcPr>
          <w:p>
            <w:pPr>
              <w:pStyle w:val="Tablecontent"/>
            </w:pPr>
            <w:r>
              <w:t>Kriittinen</w:t>
            </w:r>
          </w:p>
        </w:tc>
        <w:tc>
          <w:tcPr>
            <w:tcW w:type="dxa" w:w="1701"/>
          </w:tcPr>
          <w:p>
            <w:pPr>
              <w:pStyle w:val="Tablecontent"/>
            </w:pPr>
            <w:r>
              <w:t>Odottaa</w:t>
            </w:r>
          </w:p>
        </w:tc>
      </w:tr>
      <w:tr>
        <w:tc>
          <w:tcPr>
            <w:tcW w:type="dxa" w:w="1701"/>
          </w:tcPr>
          <w:p>
            <w:pPr>
              <w:pStyle w:val="Tablecontent"/>
            </w:pPr>
            <w:r>
              <w:t>Agent-05</w:t>
            </w:r>
          </w:p>
        </w:tc>
        <w:tc>
          <w:tcPr>
            <w:tcW w:type="dxa" w:w="1701"/>
          </w:tcPr>
          <w:p>
            <w:pPr>
              <w:pStyle w:val="Tablecontent"/>
            </w:pPr>
            <w:r>
              <w:t>Mobile Dashboard</w:t>
            </w:r>
          </w:p>
        </w:tc>
        <w:tc>
          <w:tcPr>
            <w:tcW w:type="dxa" w:w="1701"/>
          </w:tcPr>
          <w:p>
            <w:pPr>
              <w:pStyle w:val="Tablecontent"/>
            </w:pPr>
            <w:r>
              <w:t>3</w:t>
            </w:r>
          </w:p>
        </w:tc>
        <w:tc>
          <w:tcPr>
            <w:tcW w:type="dxa" w:w="1701"/>
          </w:tcPr>
          <w:p>
            <w:pPr>
              <w:pStyle w:val="Tablecontent"/>
            </w:pPr>
            <w:r>
              <w:t>Korkea</w:t>
            </w:r>
          </w:p>
        </w:tc>
        <w:tc>
          <w:tcPr>
            <w:tcW w:type="dxa" w:w="1701"/>
          </w:tcPr>
          <w:p>
            <w:pPr>
              <w:pStyle w:val="Tablecontent"/>
            </w:pPr>
            <w:r>
              <w:t>Odottaa</w:t>
            </w:r>
          </w:p>
        </w:tc>
      </w:tr>
      <w:tr>
        <w:tc>
          <w:tcPr>
            <w:tcW w:type="dxa" w:w="1701"/>
          </w:tcPr>
          <w:p>
            <w:pPr>
              <w:pStyle w:val="Tablecontent"/>
            </w:pPr>
            <w:r>
              <w:t>Agent-06</w:t>
            </w:r>
          </w:p>
        </w:tc>
        <w:tc>
          <w:tcPr>
            <w:tcW w:type="dxa" w:w="1701"/>
          </w:tcPr>
          <w:p>
            <w:pPr>
              <w:pStyle w:val="Tablecontent"/>
            </w:pPr>
            <w:r>
              <w:t>Enterprise</w:t>
            </w:r>
          </w:p>
        </w:tc>
        <w:tc>
          <w:tcPr>
            <w:tcW w:type="dxa" w:w="1701"/>
          </w:tcPr>
          <w:p>
            <w:pPr>
              <w:pStyle w:val="Tablecontent"/>
            </w:pPr>
            <w:r>
              <w:t>V1.1</w:t>
            </w:r>
          </w:p>
        </w:tc>
        <w:tc>
          <w:tcPr>
            <w:tcW w:type="dxa" w:w="1701"/>
          </w:tcPr>
          <w:p>
            <w:pPr>
              <w:pStyle w:val="Tablecontent"/>
            </w:pPr>
            <w:r>
              <w:t>Matala</w:t>
            </w:r>
          </w:p>
        </w:tc>
        <w:tc>
          <w:tcPr>
            <w:tcW w:type="dxa" w:w="1701"/>
          </w:tcPr>
          <w:p>
            <w:pPr>
              <w:pStyle w:val="Tablecontent"/>
            </w:pPr>
            <w:r>
              <w:t>Lykätty</w:t>
            </w:r>
          </w:p>
        </w:tc>
      </w:tr>
      <w:tr>
        <w:tc>
          <w:tcPr>
            <w:tcW w:type="dxa" w:w="1701"/>
          </w:tcPr>
          <w:p>
            <w:pPr>
              <w:pStyle w:val="Tablecontent"/>
            </w:pPr>
            <w:r>
              <w:t>Agent-07</w:t>
            </w:r>
          </w:p>
        </w:tc>
        <w:tc>
          <w:tcPr>
            <w:tcW w:type="dxa" w:w="1701"/>
          </w:tcPr>
          <w:p>
            <w:pPr>
              <w:pStyle w:val="Tablecontent"/>
            </w:pPr>
            <w:r>
              <w:t>Supabase Database</w:t>
            </w:r>
          </w:p>
        </w:tc>
        <w:tc>
          <w:tcPr>
            <w:tcW w:type="dxa" w:w="1701"/>
          </w:tcPr>
          <w:p>
            <w:pPr>
              <w:pStyle w:val="Tablecontent"/>
            </w:pPr>
            <w:r>
              <w:t>1</w:t>
            </w:r>
          </w:p>
        </w:tc>
        <w:tc>
          <w:tcPr>
            <w:tcW w:type="dxa" w:w="1701"/>
          </w:tcPr>
          <w:p>
            <w:pPr>
              <w:pStyle w:val="Tablecontent"/>
            </w:pPr>
            <w:r>
              <w:t>Kriittinen</w:t>
            </w:r>
          </w:p>
        </w:tc>
        <w:tc>
          <w:tcPr>
            <w:tcW w:type="dxa" w:w="1701"/>
          </w:tcPr>
          <w:p>
            <w:pPr>
              <w:pStyle w:val="Tablecontent"/>
            </w:pPr>
            <w:r>
              <w:t>Käynnissä</w:t>
            </w:r>
          </w:p>
        </w:tc>
      </w:tr>
      <w:tr>
        <w:tc>
          <w:tcPr>
            <w:tcW w:type="dxa" w:w="1701"/>
          </w:tcPr>
          <w:p>
            <w:pPr>
              <w:pStyle w:val="Tablecontent"/>
            </w:pPr>
            <w:r>
              <w:t>Agent-08</w:t>
            </w:r>
          </w:p>
        </w:tc>
        <w:tc>
          <w:tcPr>
            <w:tcW w:type="dxa" w:w="1701"/>
          </w:tcPr>
          <w:p>
            <w:pPr>
              <w:pStyle w:val="Tablecontent"/>
            </w:pPr>
            <w:r>
              <w:t>Payments</w:t>
            </w:r>
          </w:p>
        </w:tc>
        <w:tc>
          <w:tcPr>
            <w:tcW w:type="dxa" w:w="1701"/>
          </w:tcPr>
          <w:p>
            <w:pPr>
              <w:pStyle w:val="Tablecontent"/>
            </w:pPr>
            <w:r>
              <w:t>4</w:t>
            </w:r>
          </w:p>
        </w:tc>
        <w:tc>
          <w:tcPr>
            <w:tcW w:type="dxa" w:w="1701"/>
          </w:tcPr>
          <w:p>
            <w:pPr>
              <w:pStyle w:val="Tablecontent"/>
            </w:pPr>
            <w:r>
              <w:t>Keskitaso</w:t>
            </w:r>
          </w:p>
        </w:tc>
        <w:tc>
          <w:tcPr>
            <w:tcW w:type="dxa" w:w="1701"/>
          </w:tcPr>
          <w:p>
            <w:pPr>
              <w:pStyle w:val="Tablecontent"/>
            </w:pPr>
            <w:r>
              <w:t>Odottaa</w:t>
            </w:r>
          </w:p>
        </w:tc>
      </w:tr>
      <w:tr>
        <w:tc>
          <w:tcPr>
            <w:tcW w:type="dxa" w:w="1701"/>
          </w:tcPr>
          <w:p>
            <w:pPr>
              <w:pStyle w:val="Tablecontent"/>
            </w:pPr>
            <w:r>
              <w:t>Agent-09</w:t>
            </w:r>
          </w:p>
        </w:tc>
        <w:tc>
          <w:tcPr>
            <w:tcW w:type="dxa" w:w="1701"/>
          </w:tcPr>
          <w:p>
            <w:pPr>
              <w:pStyle w:val="Tablecontent"/>
            </w:pPr>
            <w:r>
              <w:t>Email System</w:t>
            </w:r>
          </w:p>
        </w:tc>
        <w:tc>
          <w:tcPr>
            <w:tcW w:type="dxa" w:w="1701"/>
          </w:tcPr>
          <w:p>
            <w:pPr>
              <w:pStyle w:val="Tablecontent"/>
            </w:pPr>
            <w:r>
              <w:t>2</w:t>
            </w:r>
          </w:p>
        </w:tc>
        <w:tc>
          <w:tcPr>
            <w:tcW w:type="dxa" w:w="1701"/>
          </w:tcPr>
          <w:p>
            <w:pPr>
              <w:pStyle w:val="Tablecontent"/>
            </w:pPr>
            <w:r>
              <w:t>Korkea</w:t>
            </w:r>
          </w:p>
        </w:tc>
        <w:tc>
          <w:tcPr>
            <w:tcW w:type="dxa" w:w="1701"/>
          </w:tcPr>
          <w:p>
            <w:pPr>
              <w:pStyle w:val="Tablecontent"/>
            </w:pPr>
            <w:r>
              <w:t>Odottaa</w:t>
            </w:r>
          </w:p>
        </w:tc>
      </w:tr>
      <w:tr>
        <w:tc>
          <w:tcPr>
            <w:tcW w:type="dxa" w:w="1701"/>
          </w:tcPr>
          <w:p>
            <w:pPr>
              <w:pStyle w:val="Tablecontent"/>
            </w:pPr>
            <w:r>
              <w:t>Agent-10</w:t>
            </w:r>
          </w:p>
        </w:tc>
        <w:tc>
          <w:tcPr>
            <w:tcW w:type="dxa" w:w="1701"/>
          </w:tcPr>
          <w:p>
            <w:pPr>
              <w:pStyle w:val="Tablecontent"/>
            </w:pPr>
            <w:r>
              <w:t>Documentation</w:t>
            </w:r>
          </w:p>
        </w:tc>
        <w:tc>
          <w:tcPr>
            <w:tcW w:type="dxa" w:w="1701"/>
          </w:tcPr>
          <w:p>
            <w:pPr>
              <w:pStyle w:val="Tablecontent"/>
            </w:pPr>
            <w:r>
              <w:t>1</w:t>
            </w:r>
          </w:p>
        </w:tc>
        <w:tc>
          <w:tcPr>
            <w:tcW w:type="dxa" w:w="1701"/>
          </w:tcPr>
          <w:p>
            <w:pPr>
              <w:pStyle w:val="Tablecontent"/>
            </w:pPr>
            <w:r>
              <w:t>Matala</w:t>
            </w:r>
          </w:p>
        </w:tc>
        <w:tc>
          <w:tcPr>
            <w:tcW w:type="dxa" w:w="1701"/>
          </w:tcPr>
          <w:p>
            <w:pPr>
              <w:pStyle w:val="Tablecontent"/>
            </w:pPr>
            <w:r>
              <w:t>Käynnissä</w:t>
            </w:r>
          </w:p>
        </w:tc>
      </w:tr>
    </w:tbl>
    <w:p>
      <w:r>
        <w:br w:type="page"/>
      </w:r>
    </w:p>
    <w:p>
      <w:pPr>
        <w:pStyle w:val="AppendixHeading"/>
      </w:pPr>
      <w:r>
        <w:t>Sanasto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35"/>
        <w:gridCol w:w="2835"/>
        <w:gridCol w:w="2835"/>
      </w:tblGrid>
      <w:tr>
        <w:tc>
          <w:tcPr>
            <w:tcW w:type="dxa" w:w="2835"/>
          </w:tcPr>
          <w:p>
            <w:pPr>
              <w:pStyle w:val="TableTextBold"/>
            </w:pPr>
            <w:r>
              <w:rPr>
                <w:b/>
              </w:rPr>
              <w:t>Termi (EN)</w:t>
            </w:r>
          </w:p>
        </w:tc>
        <w:tc>
          <w:tcPr>
            <w:tcW w:type="dxa" w:w="2835"/>
          </w:tcPr>
          <w:p>
            <w:pPr>
              <w:pStyle w:val="TableTextBold"/>
            </w:pPr>
            <w:r>
              <w:rPr>
                <w:b/>
              </w:rPr>
              <w:t>Suomeksi</w:t>
            </w:r>
          </w:p>
        </w:tc>
        <w:tc>
          <w:tcPr>
            <w:tcW w:type="dxa" w:w="2835"/>
          </w:tcPr>
          <w:p>
            <w:pPr>
              <w:pStyle w:val="TableTextBold"/>
            </w:pPr>
            <w:r>
              <w:rPr>
                <w:b/>
              </w:rPr>
              <w:t>Määritelmä</w:t>
            </w:r>
          </w:p>
        </w:tc>
      </w:tr>
      <w:tr>
        <w:tc>
          <w:tcPr>
            <w:tcW w:type="dxa" w:w="2835"/>
          </w:tcPr>
          <w:p>
            <w:pPr>
              <w:pStyle w:val="Tablecontent"/>
            </w:pPr>
            <w:r>
              <w:t>AgentFoundry</w:t>
            </w:r>
          </w:p>
        </w:tc>
        <w:tc>
          <w:tcPr>
            <w:tcW w:type="dxa" w:w="2835"/>
          </w:tcPr>
          <w:p>
            <w:pPr>
              <w:pStyle w:val="Tablecontent"/>
            </w:pPr>
            <w:r>
              <w:t>AgentFoundry</w:t>
            </w:r>
          </w:p>
        </w:tc>
        <w:tc>
          <w:tcPr>
            <w:tcW w:type="dxa" w:w="2835"/>
          </w:tcPr>
          <w:p>
            <w:pPr>
              <w:pStyle w:val="Tablecontent"/>
            </w:pPr>
            <w:r>
              <w:t>Monimalli-, monivuokralainen kehys AI-agenttien käyttöönottoon</w:t>
            </w:r>
          </w:p>
        </w:tc>
      </w:tr>
      <w:tr>
        <w:tc>
          <w:tcPr>
            <w:tcW w:type="dxa" w:w="2835"/>
          </w:tcPr>
          <w:p>
            <w:pPr>
              <w:pStyle w:val="Tablecontent"/>
            </w:pPr>
            <w:r>
              <w:t>Edge AI</w:t>
            </w:r>
          </w:p>
        </w:tc>
        <w:tc>
          <w:tcPr>
            <w:tcW w:type="dxa" w:w="2835"/>
          </w:tcPr>
          <w:p>
            <w:pPr>
              <w:pStyle w:val="Tablecontent"/>
            </w:pPr>
            <w:r>
              <w:t>Reunatekoäly</w:t>
            </w:r>
          </w:p>
        </w:tc>
        <w:tc>
          <w:tcPr>
            <w:tcW w:type="dxa" w:w="2835"/>
          </w:tcPr>
          <w:p>
            <w:pPr>
              <w:pStyle w:val="Tablecontent"/>
            </w:pPr>
            <w:r>
              <w:t>Tekoälyprosessointi paikallislaitteilla pilvipalvelimien sijaan</w:t>
            </w:r>
          </w:p>
        </w:tc>
      </w:tr>
      <w:tr>
        <w:tc>
          <w:tcPr>
            <w:tcW w:type="dxa" w:w="2835"/>
          </w:tcPr>
          <w:p>
            <w:pPr>
              <w:pStyle w:val="Tablecontent"/>
            </w:pPr>
            <w:r>
              <w:t>Firehorse</w:t>
            </w:r>
          </w:p>
        </w:tc>
        <w:tc>
          <w:tcPr>
            <w:tcW w:type="dxa" w:w="2835"/>
          </w:tcPr>
          <w:p>
            <w:pPr>
              <w:pStyle w:val="Tablecontent"/>
            </w:pPr>
            <w:r>
              <w:t>Firehorse</w:t>
            </w:r>
          </w:p>
        </w:tc>
        <w:tc>
          <w:tcPr>
            <w:tcW w:type="dxa" w:w="2835"/>
          </w:tcPr>
          <w:p>
            <w:pPr>
              <w:pStyle w:val="Tablecontent"/>
            </w:pPr>
            <w:r>
              <w:t>DWS6-tuoteperhe (Reports, Automation, Omnichannel, CMS)</w:t>
            </w:r>
          </w:p>
        </w:tc>
      </w:tr>
      <w:tr>
        <w:tc>
          <w:tcPr>
            <w:tcW w:type="dxa" w:w="2835"/>
          </w:tcPr>
          <w:p>
            <w:pPr>
              <w:pStyle w:val="Tablecontent"/>
            </w:pPr>
            <w:r>
              <w:t>Fit for 55</w:t>
            </w:r>
          </w:p>
        </w:tc>
        <w:tc>
          <w:tcPr>
            <w:tcW w:type="dxa" w:w="2835"/>
          </w:tcPr>
          <w:p>
            <w:pPr>
              <w:pStyle w:val="Tablecontent"/>
            </w:pPr>
            <w:r>
              <w:t>Fit for 55</w:t>
            </w:r>
          </w:p>
        </w:tc>
        <w:tc>
          <w:tcPr>
            <w:tcW w:type="dxa" w:w="2835"/>
          </w:tcPr>
          <w:p>
            <w:pPr>
              <w:pStyle w:val="Tablecontent"/>
            </w:pPr>
            <w:r>
              <w:t>EU:n lainsäädäntöpaketti, 55 % päästövähennys vuoteen 2030</w:t>
            </w:r>
          </w:p>
        </w:tc>
      </w:tr>
      <w:tr>
        <w:tc>
          <w:tcPr>
            <w:tcW w:type="dxa" w:w="2835"/>
          </w:tcPr>
          <w:p>
            <w:pPr>
              <w:pStyle w:val="Tablecontent"/>
            </w:pPr>
            <w:r>
              <w:t>Lifetime Scope Signals</w:t>
            </w:r>
          </w:p>
        </w:tc>
        <w:tc>
          <w:tcPr>
            <w:tcW w:type="dxa" w:w="2835"/>
          </w:tcPr>
          <w:p>
            <w:pPr>
              <w:pStyle w:val="Tablecontent"/>
            </w:pPr>
            <w:r>
              <w:t>Lifetime Scope Signals</w:t>
            </w:r>
          </w:p>
        </w:tc>
        <w:tc>
          <w:tcPr>
            <w:tcW w:type="dxa" w:w="2835"/>
          </w:tcPr>
          <w:p>
            <w:pPr>
              <w:pStyle w:val="Tablecontent"/>
            </w:pPr>
            <w:r>
              <w:t>Koordinointiprotokolla moniagenttikehitykselle</w:t>
            </w:r>
          </w:p>
        </w:tc>
      </w:tr>
      <w:tr>
        <w:tc>
          <w:tcPr>
            <w:tcW w:type="dxa" w:w="2835"/>
          </w:tcPr>
          <w:p>
            <w:pPr>
              <w:pStyle w:val="Tablecontent"/>
            </w:pPr>
            <w:r>
              <w:t>MCP Hub</w:t>
            </w:r>
          </w:p>
        </w:tc>
        <w:tc>
          <w:tcPr>
            <w:tcW w:type="dxa" w:w="2835"/>
          </w:tcPr>
          <w:p>
            <w:pPr>
              <w:pStyle w:val="Tablecontent"/>
            </w:pPr>
            <w:r>
              <w:t>MCP Hub</w:t>
            </w:r>
          </w:p>
        </w:tc>
        <w:tc>
          <w:tcPr>
            <w:tcW w:type="dxa" w:w="2835"/>
          </w:tcPr>
          <w:p>
            <w:pPr>
              <w:pStyle w:val="Tablecontent"/>
            </w:pPr>
            <w:r>
              <w:t>Model Context Protocol -koordinointipalvelin</w:t>
            </w:r>
          </w:p>
        </w:tc>
      </w:tr>
      <w:tr>
        <w:tc>
          <w:tcPr>
            <w:tcW w:type="dxa" w:w="2835"/>
          </w:tcPr>
          <w:p>
            <w:pPr>
              <w:pStyle w:val="Tablecontent"/>
            </w:pPr>
            <w:r>
              <w:t>Solution Factory</w:t>
            </w:r>
          </w:p>
        </w:tc>
        <w:tc>
          <w:tcPr>
            <w:tcW w:type="dxa" w:w="2835"/>
          </w:tcPr>
          <w:p>
            <w:pPr>
              <w:pStyle w:val="Tablecontent"/>
            </w:pPr>
            <w:r>
              <w:t>Solution Factory</w:t>
            </w:r>
          </w:p>
        </w:tc>
        <w:tc>
          <w:tcPr>
            <w:tcW w:type="dxa" w:w="2835"/>
          </w:tcPr>
          <w:p>
            <w:pPr>
              <w:pStyle w:val="Tablecontent"/>
            </w:pPr>
            <w:r>
              <w:t>Toimintamalli useiden teollisten AI-alustojen tuottamiseen</w:t>
            </w:r>
          </w:p>
        </w:tc>
      </w:tr>
    </w:tbl>
    <w:sectPr w:rsidR="00600602" w:rsidRPr="00742D33" w:rsidSect="00313DAE">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C5088" w14:textId="77777777" w:rsidR="001E0258" w:rsidRDefault="001E0258" w:rsidP="00DA42B6">
      <w:r>
        <w:separator/>
      </w:r>
    </w:p>
    <w:p w14:paraId="2C0A66AC" w14:textId="77777777" w:rsidR="001E0258" w:rsidRDefault="001E0258"/>
    <w:p w14:paraId="0D52E863" w14:textId="77777777" w:rsidR="001E0258" w:rsidRDefault="001E0258"/>
    <w:p w14:paraId="42458E2B" w14:textId="77777777" w:rsidR="001E0258" w:rsidRDefault="001E0258"/>
  </w:endnote>
  <w:endnote w:type="continuationSeparator" w:id="0">
    <w:p w14:paraId="0B266832" w14:textId="77777777" w:rsidR="001E0258" w:rsidRDefault="001E0258" w:rsidP="00DA42B6">
      <w:r>
        <w:continuationSeparator/>
      </w:r>
    </w:p>
    <w:p w14:paraId="5B77FFEF" w14:textId="77777777" w:rsidR="001E0258" w:rsidRDefault="001E0258"/>
    <w:p w14:paraId="1894E3CB" w14:textId="77777777" w:rsidR="001E0258" w:rsidRDefault="001E0258"/>
    <w:p w14:paraId="595C7BFE" w14:textId="77777777" w:rsidR="001E0258" w:rsidRDefault="001E02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2020603050405020304"/>
    <w:charset w:val="00"/>
    <w:family w:val="auto"/>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FADD" w14:textId="77777777" w:rsidR="001E0258" w:rsidRDefault="001E0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3527" w14:textId="599BD6C9" w:rsidR="001E0258" w:rsidRDefault="001E0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4B9A6" w14:textId="77777777" w:rsidR="001E0258" w:rsidRDefault="001E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5FE2A" w14:textId="77777777" w:rsidR="001E0258" w:rsidRDefault="001E0258" w:rsidP="00DA42B6">
      <w:r>
        <w:separator/>
      </w:r>
    </w:p>
    <w:p w14:paraId="28845046" w14:textId="77777777" w:rsidR="001E0258" w:rsidRDefault="001E0258"/>
    <w:p w14:paraId="01D8228A" w14:textId="77777777" w:rsidR="001E0258" w:rsidRDefault="001E0258"/>
    <w:p w14:paraId="45A32CD0" w14:textId="77777777" w:rsidR="001E0258" w:rsidRDefault="001E0258"/>
  </w:footnote>
  <w:footnote w:type="continuationSeparator" w:id="0">
    <w:p w14:paraId="170D03A6" w14:textId="77777777" w:rsidR="001E0258" w:rsidRDefault="001E0258" w:rsidP="00DA42B6">
      <w:r>
        <w:continuationSeparator/>
      </w:r>
    </w:p>
    <w:p w14:paraId="6951B292" w14:textId="77777777" w:rsidR="001E0258" w:rsidRDefault="001E0258"/>
    <w:p w14:paraId="49F19330" w14:textId="77777777" w:rsidR="001E0258" w:rsidRDefault="001E0258"/>
    <w:p w14:paraId="162CE60F" w14:textId="77777777" w:rsidR="001E0258" w:rsidRDefault="001E02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3827" w14:textId="7C9DA895" w:rsidR="001E0258" w:rsidRDefault="001E0258" w:rsidP="005B398F">
    <w:pPr>
      <w:pStyle w:val="Header"/>
      <w:spacing w:before="851"/>
    </w:pPr>
    <w:r>
      <w:rPr>
        <w:noProof/>
        <w:lang w:eastAsia="en-GB"/>
      </w:rPr>
      <w:drawing>
        <wp:inline distT="0" distB="0" distL="0" distR="0" wp14:anchorId="47595DE8" wp14:editId="730055E9">
          <wp:extent cx="3276000" cy="3492000"/>
          <wp:effectExtent l="0" t="0" r="635" b="635"/>
          <wp:docPr id="11" name="Picture 11"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5851" w14:textId="3037C7BD" w:rsidR="001E0258" w:rsidRPr="00B7625C" w:rsidRDefault="001E0258" w:rsidP="00B762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3255208"/>
      <w:docPartObj>
        <w:docPartGallery w:val="Page Numbers (Top of Page)"/>
        <w:docPartUnique/>
      </w:docPartObj>
    </w:sdtPr>
    <w:sdtEndPr>
      <w:rPr>
        <w:rStyle w:val="PageNumber"/>
      </w:rPr>
    </w:sdtEndPr>
    <w:sdtContent>
      <w:p w14:paraId="689CB658" w14:textId="75174B8D" w:rsidR="001E0258" w:rsidRDefault="001E0258"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1AAA3A" w14:textId="77777777" w:rsidR="001E0258" w:rsidRDefault="001E0258" w:rsidP="00A6358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B8B2E" w14:textId="77777777" w:rsidR="001E0258" w:rsidRDefault="001E0258">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1BD4" w14:textId="77777777" w:rsidR="001E0258" w:rsidRDefault="001E02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42141"/>
      <w:docPartObj>
        <w:docPartGallery w:val="Page Numbers (Top of Page)"/>
        <w:docPartUnique/>
      </w:docPartObj>
    </w:sdtPr>
    <w:sdtEndPr>
      <w:rPr>
        <w:noProof/>
      </w:rPr>
    </w:sdtEndPr>
    <w:sdtContent>
      <w:p w14:paraId="29F9EEDF" w14:textId="5823DB9E" w:rsidR="001E0258" w:rsidRDefault="001E0258" w:rsidP="00EC6710">
        <w:pPr>
          <w:pStyle w:val="Header"/>
          <w:jc w:val="right"/>
        </w:pPr>
        <w:r>
          <w:fldChar w:fldCharType="begin"/>
        </w:r>
        <w:r>
          <w:instrText xml:space="preserve"> PAGE   \* MERGEFORMAT </w:instrText>
        </w:r>
        <w:r>
          <w:fldChar w:fldCharType="separate"/>
        </w:r>
        <w:r w:rsidR="00072171">
          <w:rPr>
            <w:noProof/>
          </w:rPr>
          <w:t>12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289443"/>
      <w:docPartObj>
        <w:docPartGallery w:val="Page Numbers (Top of Page)"/>
        <w:docPartUnique/>
      </w:docPartObj>
    </w:sdtPr>
    <w:sdtEndPr>
      <w:rPr>
        <w:noProof/>
      </w:rPr>
    </w:sdtEndPr>
    <w:sdtContent>
      <w:p w14:paraId="79574AE4" w14:textId="175B5BC6" w:rsidR="001E0258" w:rsidRDefault="001E0258" w:rsidP="00313DAE">
        <w:pPr>
          <w:pStyle w:val="Header"/>
          <w:ind w:right="-1"/>
          <w:jc w:val="right"/>
        </w:pPr>
        <w:r w:rsidRPr="00BC0963">
          <w:t>Appendix</w:t>
        </w:r>
        <w:r>
          <w:t xml:space="preserve"> 1</w:t>
        </w:r>
      </w:p>
    </w:sdtContent>
  </w:sdt>
  <w:p w14:paraId="3DCEAE6F" w14:textId="35FE6B8A" w:rsidR="001E0258" w:rsidRDefault="00D023ED" w:rsidP="00313DAE">
    <w:pPr>
      <w:pStyle w:val="Header"/>
      <w:jc w:val="right"/>
      <w:rPr>
        <w:noProof/>
      </w:rPr>
    </w:pPr>
    <w:sdt>
      <w:sdtPr>
        <w:rPr>
          <w:rStyle w:val="PageNumber"/>
        </w:rPr>
        <w:id w:val="1109474841"/>
        <w:docPartObj>
          <w:docPartGallery w:val="Page Numbers (Top of Page)"/>
          <w:docPartUnique/>
        </w:docPartObj>
      </w:sdtPr>
      <w:sdtEndPr>
        <w:rPr>
          <w:rStyle w:val="PageNumber"/>
        </w:rPr>
      </w:sdtEnd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072171">
          <w:rPr>
            <w:rStyle w:val="PageNumber"/>
            <w:noProof/>
          </w:rPr>
          <w:t>2</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Pr>
            <w:rStyle w:val="PageNumber"/>
            <w:noProof/>
          </w:rPr>
          <w:t>2</w:t>
        </w:r>
        <w:r w:rsidR="001E0258">
          <w:rPr>
            <w:rStyle w:val="PageNumber"/>
          </w:rPr>
          <w:fldChar w:fldCharType="end"/>
        </w:r>
        <w:r w:rsidR="001E0258">
          <w:rPr>
            <w:rStyle w:val="PageNumber"/>
          </w:rPr>
          <w:t>)</w:t>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0234613"/>
      <w:docPartObj>
        <w:docPartGallery w:val="Page Numbers (Top of Page)"/>
        <w:docPartUnique/>
      </w:docPartObj>
    </w:sdtPr>
    <w:sdtEndPr>
      <w:rPr>
        <w:noProof/>
      </w:rPr>
    </w:sdtEndPr>
    <w:sdtContent>
      <w:p w14:paraId="395EBC03" w14:textId="11533B2E" w:rsidR="001E0258" w:rsidRPr="00BC0963" w:rsidRDefault="001E0258" w:rsidP="00313DAE">
        <w:pPr>
          <w:pStyle w:val="Header"/>
          <w:ind w:right="-1"/>
          <w:jc w:val="right"/>
        </w:pPr>
        <w:r w:rsidRPr="00BC0963">
          <w:t>Appendix</w:t>
        </w:r>
        <w:r>
          <w:t xml:space="preserve"> 2</w:t>
        </w:r>
      </w:p>
      <w:p w14:paraId="1A5E8806" w14:textId="7CB27059" w:rsidR="001E0258" w:rsidRDefault="00D023ED" w:rsidP="00427FEC">
        <w:pPr>
          <w:pStyle w:val="Header"/>
          <w:jc w:val="right"/>
        </w:pPr>
        <w:sdt>
          <w:sdtPr>
            <w:rPr>
              <w:rStyle w:val="PageNumber"/>
            </w:rPr>
            <w:id w:val="-1145347253"/>
            <w:docPartObj>
              <w:docPartGallery w:val="Page Numbers (Top of Page)"/>
              <w:docPartUnique/>
            </w:docPartObj>
          </w:sdtPr>
          <w:sdtEndPr>
            <w:rPr>
              <w:rStyle w:val="PageNumber"/>
            </w:rPr>
          </w:sdtEnd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072171">
              <w:rPr>
                <w:rStyle w:val="PageNumber"/>
                <w:noProof/>
              </w:rPr>
              <w:t>1</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Pr>
                <w:rStyle w:val="PageNumber"/>
                <w:noProof/>
              </w:rPr>
              <w:t>1</w:t>
            </w:r>
            <w:r w:rsidR="001E0258">
              <w:rPr>
                <w:rStyle w:val="PageNumber"/>
              </w:rPr>
              <w:fldChar w:fldCharType="end"/>
            </w:r>
            <w:r w:rsidR="001E0258">
              <w:rPr>
                <w:rStyle w:val="PageNumber"/>
              </w:rPr>
              <w:t>)</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E6256F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0"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2"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17"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4"/>
  </w:num>
  <w:num w:numId="3">
    <w:abstractNumId w:val="16"/>
  </w:num>
  <w:num w:numId="4">
    <w:abstractNumId w:val="11"/>
  </w:num>
  <w:num w:numId="5">
    <w:abstractNumId w:val="5"/>
  </w:num>
  <w:num w:numId="6">
    <w:abstractNumId w:val="14"/>
  </w:num>
  <w:num w:numId="7">
    <w:abstractNumId w:val="9"/>
  </w:num>
  <w:num w:numId="8">
    <w:abstractNumId w:val="1"/>
  </w:num>
  <w:num w:numId="9">
    <w:abstractNumId w:val="7"/>
  </w:num>
  <w:num w:numId="10">
    <w:abstractNumId w:val="8"/>
  </w:num>
  <w:num w:numId="11">
    <w:abstractNumId w:val="3"/>
  </w:num>
  <w:num w:numId="12">
    <w:abstractNumId w:val="18"/>
  </w:num>
  <w:num w:numId="13">
    <w:abstractNumId w:val="17"/>
  </w:num>
  <w:num w:numId="14">
    <w:abstractNumId w:val="15"/>
  </w:num>
  <w:num w:numId="15">
    <w:abstractNumId w:val="6"/>
  </w:num>
  <w:num w:numId="16">
    <w:abstractNumId w:val="13"/>
  </w:num>
  <w:num w:numId="17">
    <w:abstractNumId w:val="20"/>
  </w:num>
  <w:num w:numId="18">
    <w:abstractNumId w:val="10"/>
  </w:num>
  <w:num w:numId="19">
    <w:abstractNumId w:val="2"/>
  </w:num>
  <w:num w:numId="20">
    <w:abstractNumId w:val="19"/>
  </w:num>
  <w:num w:numId="21">
    <w:abstractNumId w:val="12"/>
  </w:num>
  <w:num w:numId="22">
    <w:abstractNumId w:val="0"/>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43"/>
    <w:rsid w:val="0000076C"/>
    <w:rsid w:val="000021BA"/>
    <w:rsid w:val="00012E5B"/>
    <w:rsid w:val="00013154"/>
    <w:rsid w:val="00017EED"/>
    <w:rsid w:val="00020FB6"/>
    <w:rsid w:val="0002462E"/>
    <w:rsid w:val="00025B84"/>
    <w:rsid w:val="000301B0"/>
    <w:rsid w:val="0003161B"/>
    <w:rsid w:val="0003243C"/>
    <w:rsid w:val="000350F3"/>
    <w:rsid w:val="00054746"/>
    <w:rsid w:val="00057728"/>
    <w:rsid w:val="00062C63"/>
    <w:rsid w:val="00066C49"/>
    <w:rsid w:val="0007125A"/>
    <w:rsid w:val="0007158F"/>
    <w:rsid w:val="00072171"/>
    <w:rsid w:val="000744C8"/>
    <w:rsid w:val="0007466A"/>
    <w:rsid w:val="000753B0"/>
    <w:rsid w:val="00075A27"/>
    <w:rsid w:val="00083706"/>
    <w:rsid w:val="0008433B"/>
    <w:rsid w:val="0008442C"/>
    <w:rsid w:val="0009063F"/>
    <w:rsid w:val="00093F94"/>
    <w:rsid w:val="000A1867"/>
    <w:rsid w:val="000A5716"/>
    <w:rsid w:val="000B0AFB"/>
    <w:rsid w:val="000B175A"/>
    <w:rsid w:val="000C1C0B"/>
    <w:rsid w:val="000C3EFF"/>
    <w:rsid w:val="000C68C0"/>
    <w:rsid w:val="000C78C2"/>
    <w:rsid w:val="000D675E"/>
    <w:rsid w:val="000E704F"/>
    <w:rsid w:val="000E788A"/>
    <w:rsid w:val="000F3400"/>
    <w:rsid w:val="00101215"/>
    <w:rsid w:val="00104440"/>
    <w:rsid w:val="0010478D"/>
    <w:rsid w:val="001054B1"/>
    <w:rsid w:val="001119A8"/>
    <w:rsid w:val="00112745"/>
    <w:rsid w:val="001130F1"/>
    <w:rsid w:val="00117960"/>
    <w:rsid w:val="001234DC"/>
    <w:rsid w:val="0012767B"/>
    <w:rsid w:val="00143663"/>
    <w:rsid w:val="001541B6"/>
    <w:rsid w:val="001544DC"/>
    <w:rsid w:val="0016524E"/>
    <w:rsid w:val="001656EF"/>
    <w:rsid w:val="0017281F"/>
    <w:rsid w:val="00172D68"/>
    <w:rsid w:val="00181F74"/>
    <w:rsid w:val="001942BD"/>
    <w:rsid w:val="00194375"/>
    <w:rsid w:val="001951CB"/>
    <w:rsid w:val="00197BD2"/>
    <w:rsid w:val="00197DAB"/>
    <w:rsid w:val="001A113D"/>
    <w:rsid w:val="001A4619"/>
    <w:rsid w:val="001A4EBC"/>
    <w:rsid w:val="001B26CF"/>
    <w:rsid w:val="001B3AF7"/>
    <w:rsid w:val="001B53A7"/>
    <w:rsid w:val="001C3120"/>
    <w:rsid w:val="001C3774"/>
    <w:rsid w:val="001C4068"/>
    <w:rsid w:val="001D1B7F"/>
    <w:rsid w:val="001D2542"/>
    <w:rsid w:val="001D3D92"/>
    <w:rsid w:val="001D5FC7"/>
    <w:rsid w:val="001D6F23"/>
    <w:rsid w:val="001E0258"/>
    <w:rsid w:val="001E0544"/>
    <w:rsid w:val="001E3F0B"/>
    <w:rsid w:val="001E7CA1"/>
    <w:rsid w:val="001F1B21"/>
    <w:rsid w:val="00217422"/>
    <w:rsid w:val="0021749C"/>
    <w:rsid w:val="002203FB"/>
    <w:rsid w:val="00221D00"/>
    <w:rsid w:val="00227A29"/>
    <w:rsid w:val="00232CC7"/>
    <w:rsid w:val="00241147"/>
    <w:rsid w:val="002538BD"/>
    <w:rsid w:val="00255980"/>
    <w:rsid w:val="002650B1"/>
    <w:rsid w:val="00266C5E"/>
    <w:rsid w:val="00273D44"/>
    <w:rsid w:val="00277613"/>
    <w:rsid w:val="00280933"/>
    <w:rsid w:val="0029274C"/>
    <w:rsid w:val="00293F02"/>
    <w:rsid w:val="002955A1"/>
    <w:rsid w:val="002965A1"/>
    <w:rsid w:val="002965E6"/>
    <w:rsid w:val="002A0D2D"/>
    <w:rsid w:val="002A34AD"/>
    <w:rsid w:val="002A3896"/>
    <w:rsid w:val="002A38EF"/>
    <w:rsid w:val="002B0DBE"/>
    <w:rsid w:val="002B17B6"/>
    <w:rsid w:val="002C1B5C"/>
    <w:rsid w:val="002C2E64"/>
    <w:rsid w:val="002C6CD1"/>
    <w:rsid w:val="002D316E"/>
    <w:rsid w:val="002F5DE2"/>
    <w:rsid w:val="00302BA5"/>
    <w:rsid w:val="003101E3"/>
    <w:rsid w:val="0031121B"/>
    <w:rsid w:val="00313DAE"/>
    <w:rsid w:val="003173AA"/>
    <w:rsid w:val="00325837"/>
    <w:rsid w:val="00333B49"/>
    <w:rsid w:val="003355C7"/>
    <w:rsid w:val="00341F7D"/>
    <w:rsid w:val="0034543A"/>
    <w:rsid w:val="003462B1"/>
    <w:rsid w:val="00347DD1"/>
    <w:rsid w:val="003559E2"/>
    <w:rsid w:val="003607EF"/>
    <w:rsid w:val="00363706"/>
    <w:rsid w:val="003709F1"/>
    <w:rsid w:val="0037251A"/>
    <w:rsid w:val="00374A3C"/>
    <w:rsid w:val="00374B91"/>
    <w:rsid w:val="00375908"/>
    <w:rsid w:val="003769BE"/>
    <w:rsid w:val="003810B2"/>
    <w:rsid w:val="003848F0"/>
    <w:rsid w:val="00393986"/>
    <w:rsid w:val="003943C7"/>
    <w:rsid w:val="003A6CD7"/>
    <w:rsid w:val="003B0596"/>
    <w:rsid w:val="003B6A66"/>
    <w:rsid w:val="003C317F"/>
    <w:rsid w:val="003C3EC9"/>
    <w:rsid w:val="003C5DAB"/>
    <w:rsid w:val="003D1152"/>
    <w:rsid w:val="003D3396"/>
    <w:rsid w:val="003D6688"/>
    <w:rsid w:val="003D75C9"/>
    <w:rsid w:val="003E5855"/>
    <w:rsid w:val="003E7891"/>
    <w:rsid w:val="003F0079"/>
    <w:rsid w:val="003F0604"/>
    <w:rsid w:val="003F7C80"/>
    <w:rsid w:val="004006E1"/>
    <w:rsid w:val="004033CE"/>
    <w:rsid w:val="004043BE"/>
    <w:rsid w:val="004152FC"/>
    <w:rsid w:val="004170D8"/>
    <w:rsid w:val="004206FC"/>
    <w:rsid w:val="00420E32"/>
    <w:rsid w:val="0042247F"/>
    <w:rsid w:val="00427FEC"/>
    <w:rsid w:val="00434C2C"/>
    <w:rsid w:val="00437AA9"/>
    <w:rsid w:val="00440A59"/>
    <w:rsid w:val="00442E91"/>
    <w:rsid w:val="004513FD"/>
    <w:rsid w:val="00456814"/>
    <w:rsid w:val="00484241"/>
    <w:rsid w:val="00487A9D"/>
    <w:rsid w:val="004900BA"/>
    <w:rsid w:val="00490AD8"/>
    <w:rsid w:val="00492FE4"/>
    <w:rsid w:val="00496817"/>
    <w:rsid w:val="004A271A"/>
    <w:rsid w:val="004A479F"/>
    <w:rsid w:val="004B4D0C"/>
    <w:rsid w:val="004C1337"/>
    <w:rsid w:val="004C22A1"/>
    <w:rsid w:val="004C5A31"/>
    <w:rsid w:val="004C7A86"/>
    <w:rsid w:val="004D4F59"/>
    <w:rsid w:val="004E739A"/>
    <w:rsid w:val="004E7E54"/>
    <w:rsid w:val="004F12B2"/>
    <w:rsid w:val="004F3126"/>
    <w:rsid w:val="004F4293"/>
    <w:rsid w:val="004F5BE2"/>
    <w:rsid w:val="004F5EE6"/>
    <w:rsid w:val="00504DD4"/>
    <w:rsid w:val="00505B6D"/>
    <w:rsid w:val="00511399"/>
    <w:rsid w:val="0051195D"/>
    <w:rsid w:val="005140BB"/>
    <w:rsid w:val="00525FE7"/>
    <w:rsid w:val="00526B95"/>
    <w:rsid w:val="0053115E"/>
    <w:rsid w:val="00531937"/>
    <w:rsid w:val="00532390"/>
    <w:rsid w:val="00532A9B"/>
    <w:rsid w:val="00532D98"/>
    <w:rsid w:val="00535B3E"/>
    <w:rsid w:val="00535DC5"/>
    <w:rsid w:val="00545F19"/>
    <w:rsid w:val="005474F8"/>
    <w:rsid w:val="00554E6A"/>
    <w:rsid w:val="00554EEE"/>
    <w:rsid w:val="005568D3"/>
    <w:rsid w:val="005609E5"/>
    <w:rsid w:val="005614B2"/>
    <w:rsid w:val="00563901"/>
    <w:rsid w:val="00564277"/>
    <w:rsid w:val="00570788"/>
    <w:rsid w:val="00572850"/>
    <w:rsid w:val="005769C2"/>
    <w:rsid w:val="0057713D"/>
    <w:rsid w:val="00577388"/>
    <w:rsid w:val="0057770F"/>
    <w:rsid w:val="00580ED7"/>
    <w:rsid w:val="00583D55"/>
    <w:rsid w:val="00586CDF"/>
    <w:rsid w:val="00595122"/>
    <w:rsid w:val="005969BE"/>
    <w:rsid w:val="00597446"/>
    <w:rsid w:val="00597BE2"/>
    <w:rsid w:val="005A2019"/>
    <w:rsid w:val="005A21E0"/>
    <w:rsid w:val="005A3ACB"/>
    <w:rsid w:val="005A6076"/>
    <w:rsid w:val="005A7288"/>
    <w:rsid w:val="005B2A1C"/>
    <w:rsid w:val="005B398F"/>
    <w:rsid w:val="005B5303"/>
    <w:rsid w:val="005B72A9"/>
    <w:rsid w:val="005C26E3"/>
    <w:rsid w:val="005C28E6"/>
    <w:rsid w:val="005C42CD"/>
    <w:rsid w:val="005C5366"/>
    <w:rsid w:val="005C6647"/>
    <w:rsid w:val="005D0099"/>
    <w:rsid w:val="005D441A"/>
    <w:rsid w:val="005E09CB"/>
    <w:rsid w:val="005E14BB"/>
    <w:rsid w:val="005E3363"/>
    <w:rsid w:val="00600602"/>
    <w:rsid w:val="00600942"/>
    <w:rsid w:val="00602FBD"/>
    <w:rsid w:val="00612B13"/>
    <w:rsid w:val="00613AF5"/>
    <w:rsid w:val="00616DF4"/>
    <w:rsid w:val="00620258"/>
    <w:rsid w:val="006210FB"/>
    <w:rsid w:val="00621DAF"/>
    <w:rsid w:val="006237FF"/>
    <w:rsid w:val="0062381A"/>
    <w:rsid w:val="00633647"/>
    <w:rsid w:val="006361C8"/>
    <w:rsid w:val="006406C0"/>
    <w:rsid w:val="00641A49"/>
    <w:rsid w:val="0064344A"/>
    <w:rsid w:val="00643902"/>
    <w:rsid w:val="00645A45"/>
    <w:rsid w:val="00646246"/>
    <w:rsid w:val="006474DE"/>
    <w:rsid w:val="00647A24"/>
    <w:rsid w:val="00657B65"/>
    <w:rsid w:val="00660A04"/>
    <w:rsid w:val="00660E12"/>
    <w:rsid w:val="006627DB"/>
    <w:rsid w:val="00663F96"/>
    <w:rsid w:val="00666BF7"/>
    <w:rsid w:val="006712AC"/>
    <w:rsid w:val="00673DE9"/>
    <w:rsid w:val="00674B83"/>
    <w:rsid w:val="00680538"/>
    <w:rsid w:val="00684905"/>
    <w:rsid w:val="00686BB0"/>
    <w:rsid w:val="00686C1D"/>
    <w:rsid w:val="00693D89"/>
    <w:rsid w:val="006953C3"/>
    <w:rsid w:val="006A43C6"/>
    <w:rsid w:val="006A7129"/>
    <w:rsid w:val="006B2EC6"/>
    <w:rsid w:val="006B3899"/>
    <w:rsid w:val="006C24E8"/>
    <w:rsid w:val="006C2AAA"/>
    <w:rsid w:val="006E0C1C"/>
    <w:rsid w:val="006E2F13"/>
    <w:rsid w:val="006E4A9F"/>
    <w:rsid w:val="006E5B89"/>
    <w:rsid w:val="006E635C"/>
    <w:rsid w:val="006E6C65"/>
    <w:rsid w:val="006F5E5A"/>
    <w:rsid w:val="006F6E7D"/>
    <w:rsid w:val="006F70E9"/>
    <w:rsid w:val="006F76A1"/>
    <w:rsid w:val="00701D50"/>
    <w:rsid w:val="00702A33"/>
    <w:rsid w:val="00703267"/>
    <w:rsid w:val="00705C3E"/>
    <w:rsid w:val="00706334"/>
    <w:rsid w:val="00707AD5"/>
    <w:rsid w:val="00721727"/>
    <w:rsid w:val="00721841"/>
    <w:rsid w:val="0072336E"/>
    <w:rsid w:val="00731E0C"/>
    <w:rsid w:val="00733549"/>
    <w:rsid w:val="00742073"/>
    <w:rsid w:val="00742D33"/>
    <w:rsid w:val="00744197"/>
    <w:rsid w:val="00745FCF"/>
    <w:rsid w:val="00747308"/>
    <w:rsid w:val="007473C8"/>
    <w:rsid w:val="0074774E"/>
    <w:rsid w:val="007504A8"/>
    <w:rsid w:val="00751472"/>
    <w:rsid w:val="007529D3"/>
    <w:rsid w:val="007579B9"/>
    <w:rsid w:val="00763E2A"/>
    <w:rsid w:val="00764DF9"/>
    <w:rsid w:val="0077606D"/>
    <w:rsid w:val="00787C49"/>
    <w:rsid w:val="00790398"/>
    <w:rsid w:val="00791A93"/>
    <w:rsid w:val="00795531"/>
    <w:rsid w:val="007A0B68"/>
    <w:rsid w:val="007A6700"/>
    <w:rsid w:val="007A6CC4"/>
    <w:rsid w:val="007B042F"/>
    <w:rsid w:val="007B102F"/>
    <w:rsid w:val="007B1D66"/>
    <w:rsid w:val="007B20A7"/>
    <w:rsid w:val="007B34FD"/>
    <w:rsid w:val="007C3149"/>
    <w:rsid w:val="007C7226"/>
    <w:rsid w:val="007D336B"/>
    <w:rsid w:val="007E0DAC"/>
    <w:rsid w:val="007E155F"/>
    <w:rsid w:val="007F03A4"/>
    <w:rsid w:val="007F192E"/>
    <w:rsid w:val="007F562B"/>
    <w:rsid w:val="008055DD"/>
    <w:rsid w:val="00816A42"/>
    <w:rsid w:val="008214CF"/>
    <w:rsid w:val="0082624E"/>
    <w:rsid w:val="008321C4"/>
    <w:rsid w:val="00833226"/>
    <w:rsid w:val="008358BC"/>
    <w:rsid w:val="00835BCA"/>
    <w:rsid w:val="00841607"/>
    <w:rsid w:val="0084319F"/>
    <w:rsid w:val="0084361F"/>
    <w:rsid w:val="008446B6"/>
    <w:rsid w:val="00844F63"/>
    <w:rsid w:val="00850D55"/>
    <w:rsid w:val="008609B2"/>
    <w:rsid w:val="0086664C"/>
    <w:rsid w:val="00867FAF"/>
    <w:rsid w:val="00870FF6"/>
    <w:rsid w:val="00872D07"/>
    <w:rsid w:val="00876D21"/>
    <w:rsid w:val="00883AC5"/>
    <w:rsid w:val="00891AB4"/>
    <w:rsid w:val="008952E4"/>
    <w:rsid w:val="00896986"/>
    <w:rsid w:val="0089705C"/>
    <w:rsid w:val="008A4215"/>
    <w:rsid w:val="008A6484"/>
    <w:rsid w:val="008B1443"/>
    <w:rsid w:val="008B2E32"/>
    <w:rsid w:val="008B75F0"/>
    <w:rsid w:val="008C3F20"/>
    <w:rsid w:val="008D2392"/>
    <w:rsid w:val="008D4AC4"/>
    <w:rsid w:val="008E123F"/>
    <w:rsid w:val="008E35D4"/>
    <w:rsid w:val="008E496B"/>
    <w:rsid w:val="008F613E"/>
    <w:rsid w:val="00914939"/>
    <w:rsid w:val="00921D8D"/>
    <w:rsid w:val="00922001"/>
    <w:rsid w:val="009221F4"/>
    <w:rsid w:val="00923951"/>
    <w:rsid w:val="009322D9"/>
    <w:rsid w:val="00937791"/>
    <w:rsid w:val="00943620"/>
    <w:rsid w:val="009460AB"/>
    <w:rsid w:val="00947547"/>
    <w:rsid w:val="00952B42"/>
    <w:rsid w:val="009609D9"/>
    <w:rsid w:val="00960D63"/>
    <w:rsid w:val="00964D15"/>
    <w:rsid w:val="00964D64"/>
    <w:rsid w:val="009701A3"/>
    <w:rsid w:val="00972937"/>
    <w:rsid w:val="00981CD0"/>
    <w:rsid w:val="00981F73"/>
    <w:rsid w:val="009827E5"/>
    <w:rsid w:val="00982B5C"/>
    <w:rsid w:val="0098738B"/>
    <w:rsid w:val="00991DA1"/>
    <w:rsid w:val="0099201F"/>
    <w:rsid w:val="0099351B"/>
    <w:rsid w:val="009954D1"/>
    <w:rsid w:val="00995DAF"/>
    <w:rsid w:val="00997128"/>
    <w:rsid w:val="009A3D3C"/>
    <w:rsid w:val="009A483C"/>
    <w:rsid w:val="009A5025"/>
    <w:rsid w:val="009A53F2"/>
    <w:rsid w:val="009A66D7"/>
    <w:rsid w:val="009B2019"/>
    <w:rsid w:val="009B61FD"/>
    <w:rsid w:val="009C2B07"/>
    <w:rsid w:val="009C344C"/>
    <w:rsid w:val="009C3E0A"/>
    <w:rsid w:val="009C6DDC"/>
    <w:rsid w:val="009D3C98"/>
    <w:rsid w:val="009E3063"/>
    <w:rsid w:val="009E48E6"/>
    <w:rsid w:val="009E5DBC"/>
    <w:rsid w:val="009F0164"/>
    <w:rsid w:val="00A00A39"/>
    <w:rsid w:val="00A02014"/>
    <w:rsid w:val="00A0292E"/>
    <w:rsid w:val="00A03A84"/>
    <w:rsid w:val="00A05428"/>
    <w:rsid w:val="00A103D5"/>
    <w:rsid w:val="00A12364"/>
    <w:rsid w:val="00A1417A"/>
    <w:rsid w:val="00A17DBE"/>
    <w:rsid w:val="00A24E84"/>
    <w:rsid w:val="00A37F97"/>
    <w:rsid w:val="00A415C6"/>
    <w:rsid w:val="00A45260"/>
    <w:rsid w:val="00A53D01"/>
    <w:rsid w:val="00A55EBF"/>
    <w:rsid w:val="00A56C4B"/>
    <w:rsid w:val="00A60A2E"/>
    <w:rsid w:val="00A6358F"/>
    <w:rsid w:val="00A6642C"/>
    <w:rsid w:val="00A669AB"/>
    <w:rsid w:val="00A67332"/>
    <w:rsid w:val="00A7245A"/>
    <w:rsid w:val="00A82C60"/>
    <w:rsid w:val="00A83C67"/>
    <w:rsid w:val="00A8754D"/>
    <w:rsid w:val="00A87C35"/>
    <w:rsid w:val="00A87D94"/>
    <w:rsid w:val="00A91504"/>
    <w:rsid w:val="00A97194"/>
    <w:rsid w:val="00AA28EE"/>
    <w:rsid w:val="00AA32DB"/>
    <w:rsid w:val="00AA46B7"/>
    <w:rsid w:val="00AA69AB"/>
    <w:rsid w:val="00AB5F95"/>
    <w:rsid w:val="00AC4EBD"/>
    <w:rsid w:val="00AD21F9"/>
    <w:rsid w:val="00AD45DB"/>
    <w:rsid w:val="00AD7E61"/>
    <w:rsid w:val="00AE11E8"/>
    <w:rsid w:val="00AE159B"/>
    <w:rsid w:val="00AE1EF6"/>
    <w:rsid w:val="00AE308C"/>
    <w:rsid w:val="00AF0BF9"/>
    <w:rsid w:val="00AF4B61"/>
    <w:rsid w:val="00AF50ED"/>
    <w:rsid w:val="00B00C2A"/>
    <w:rsid w:val="00B06B82"/>
    <w:rsid w:val="00B06D08"/>
    <w:rsid w:val="00B14C02"/>
    <w:rsid w:val="00B214CE"/>
    <w:rsid w:val="00B239E6"/>
    <w:rsid w:val="00B246B0"/>
    <w:rsid w:val="00B2622E"/>
    <w:rsid w:val="00B27297"/>
    <w:rsid w:val="00B309BB"/>
    <w:rsid w:val="00B35B4D"/>
    <w:rsid w:val="00B36222"/>
    <w:rsid w:val="00B36756"/>
    <w:rsid w:val="00B448EC"/>
    <w:rsid w:val="00B511A6"/>
    <w:rsid w:val="00B51D34"/>
    <w:rsid w:val="00B52CD7"/>
    <w:rsid w:val="00B578BF"/>
    <w:rsid w:val="00B65DAB"/>
    <w:rsid w:val="00B6729B"/>
    <w:rsid w:val="00B706E1"/>
    <w:rsid w:val="00B7625C"/>
    <w:rsid w:val="00B778EC"/>
    <w:rsid w:val="00B91C6B"/>
    <w:rsid w:val="00B939DB"/>
    <w:rsid w:val="00BA4B79"/>
    <w:rsid w:val="00BA59E7"/>
    <w:rsid w:val="00BB2470"/>
    <w:rsid w:val="00BC0963"/>
    <w:rsid w:val="00BC4E33"/>
    <w:rsid w:val="00BC610B"/>
    <w:rsid w:val="00BC6291"/>
    <w:rsid w:val="00BD1E8A"/>
    <w:rsid w:val="00BD55BF"/>
    <w:rsid w:val="00BD5C96"/>
    <w:rsid w:val="00BE12C7"/>
    <w:rsid w:val="00BE54E8"/>
    <w:rsid w:val="00BF42FB"/>
    <w:rsid w:val="00BF615D"/>
    <w:rsid w:val="00BF6A56"/>
    <w:rsid w:val="00BF6B37"/>
    <w:rsid w:val="00C02284"/>
    <w:rsid w:val="00C0312D"/>
    <w:rsid w:val="00C11306"/>
    <w:rsid w:val="00C1449D"/>
    <w:rsid w:val="00C1719C"/>
    <w:rsid w:val="00C1735B"/>
    <w:rsid w:val="00C2507D"/>
    <w:rsid w:val="00C30B16"/>
    <w:rsid w:val="00C3154A"/>
    <w:rsid w:val="00C439CF"/>
    <w:rsid w:val="00C478F1"/>
    <w:rsid w:val="00C47B6C"/>
    <w:rsid w:val="00C51644"/>
    <w:rsid w:val="00C51B3A"/>
    <w:rsid w:val="00C5350B"/>
    <w:rsid w:val="00C5412A"/>
    <w:rsid w:val="00C70ED0"/>
    <w:rsid w:val="00C8106D"/>
    <w:rsid w:val="00C83F99"/>
    <w:rsid w:val="00C909F5"/>
    <w:rsid w:val="00C97BD0"/>
    <w:rsid w:val="00CA36EC"/>
    <w:rsid w:val="00CB017D"/>
    <w:rsid w:val="00CB10C6"/>
    <w:rsid w:val="00CB253F"/>
    <w:rsid w:val="00CB2679"/>
    <w:rsid w:val="00CB58A0"/>
    <w:rsid w:val="00CB64ED"/>
    <w:rsid w:val="00CC2EA8"/>
    <w:rsid w:val="00CD367F"/>
    <w:rsid w:val="00CE3341"/>
    <w:rsid w:val="00CE485D"/>
    <w:rsid w:val="00CE6FCD"/>
    <w:rsid w:val="00CF445C"/>
    <w:rsid w:val="00CF5964"/>
    <w:rsid w:val="00D00322"/>
    <w:rsid w:val="00D023ED"/>
    <w:rsid w:val="00D02514"/>
    <w:rsid w:val="00D02613"/>
    <w:rsid w:val="00D05E14"/>
    <w:rsid w:val="00D06E49"/>
    <w:rsid w:val="00D13720"/>
    <w:rsid w:val="00D1704A"/>
    <w:rsid w:val="00D2045E"/>
    <w:rsid w:val="00D2106D"/>
    <w:rsid w:val="00D24B4E"/>
    <w:rsid w:val="00D25791"/>
    <w:rsid w:val="00D25A8E"/>
    <w:rsid w:val="00D27B70"/>
    <w:rsid w:val="00D31A89"/>
    <w:rsid w:val="00D34ABD"/>
    <w:rsid w:val="00D357C5"/>
    <w:rsid w:val="00D37B3B"/>
    <w:rsid w:val="00D46931"/>
    <w:rsid w:val="00D5727D"/>
    <w:rsid w:val="00D5772E"/>
    <w:rsid w:val="00D57A30"/>
    <w:rsid w:val="00D65EA4"/>
    <w:rsid w:val="00D678EE"/>
    <w:rsid w:val="00D74266"/>
    <w:rsid w:val="00D856FE"/>
    <w:rsid w:val="00D92310"/>
    <w:rsid w:val="00D9441E"/>
    <w:rsid w:val="00D97904"/>
    <w:rsid w:val="00D97D44"/>
    <w:rsid w:val="00DA0164"/>
    <w:rsid w:val="00DA0B26"/>
    <w:rsid w:val="00DA32F7"/>
    <w:rsid w:val="00DA39AD"/>
    <w:rsid w:val="00DA42B6"/>
    <w:rsid w:val="00DA5AD4"/>
    <w:rsid w:val="00DA7198"/>
    <w:rsid w:val="00DB61D9"/>
    <w:rsid w:val="00DB6890"/>
    <w:rsid w:val="00DC5E33"/>
    <w:rsid w:val="00DC6B9D"/>
    <w:rsid w:val="00DC7D45"/>
    <w:rsid w:val="00DD1156"/>
    <w:rsid w:val="00DD486D"/>
    <w:rsid w:val="00DE62AA"/>
    <w:rsid w:val="00DE6443"/>
    <w:rsid w:val="00DE6B57"/>
    <w:rsid w:val="00DF1431"/>
    <w:rsid w:val="00DF26E1"/>
    <w:rsid w:val="00DF79A9"/>
    <w:rsid w:val="00E01A04"/>
    <w:rsid w:val="00E121F7"/>
    <w:rsid w:val="00E12DF7"/>
    <w:rsid w:val="00E21471"/>
    <w:rsid w:val="00E2383B"/>
    <w:rsid w:val="00E415EA"/>
    <w:rsid w:val="00E45B68"/>
    <w:rsid w:val="00E50BFA"/>
    <w:rsid w:val="00E5169C"/>
    <w:rsid w:val="00E53453"/>
    <w:rsid w:val="00E54795"/>
    <w:rsid w:val="00E61645"/>
    <w:rsid w:val="00E636CD"/>
    <w:rsid w:val="00E63BBB"/>
    <w:rsid w:val="00E70A3C"/>
    <w:rsid w:val="00E721D3"/>
    <w:rsid w:val="00E869E4"/>
    <w:rsid w:val="00E87EC3"/>
    <w:rsid w:val="00E954F6"/>
    <w:rsid w:val="00E96711"/>
    <w:rsid w:val="00EA0D39"/>
    <w:rsid w:val="00EA501F"/>
    <w:rsid w:val="00EA61AB"/>
    <w:rsid w:val="00EA7097"/>
    <w:rsid w:val="00EB0D78"/>
    <w:rsid w:val="00EB5911"/>
    <w:rsid w:val="00EB5AC4"/>
    <w:rsid w:val="00EB5DB8"/>
    <w:rsid w:val="00EB67B6"/>
    <w:rsid w:val="00EC054A"/>
    <w:rsid w:val="00EC0BC3"/>
    <w:rsid w:val="00EC1767"/>
    <w:rsid w:val="00EC6710"/>
    <w:rsid w:val="00EC7D7B"/>
    <w:rsid w:val="00ED27F2"/>
    <w:rsid w:val="00ED4400"/>
    <w:rsid w:val="00ED7A95"/>
    <w:rsid w:val="00EE4628"/>
    <w:rsid w:val="00F0017F"/>
    <w:rsid w:val="00F10BFF"/>
    <w:rsid w:val="00F14D33"/>
    <w:rsid w:val="00F2009D"/>
    <w:rsid w:val="00F2102C"/>
    <w:rsid w:val="00F22C0E"/>
    <w:rsid w:val="00F2530B"/>
    <w:rsid w:val="00F305E2"/>
    <w:rsid w:val="00F4546D"/>
    <w:rsid w:val="00F572E0"/>
    <w:rsid w:val="00F5735D"/>
    <w:rsid w:val="00F65D94"/>
    <w:rsid w:val="00F712D5"/>
    <w:rsid w:val="00F77080"/>
    <w:rsid w:val="00F81480"/>
    <w:rsid w:val="00F849F5"/>
    <w:rsid w:val="00F865CA"/>
    <w:rsid w:val="00F87676"/>
    <w:rsid w:val="00F929D3"/>
    <w:rsid w:val="00F93AE5"/>
    <w:rsid w:val="00F960C1"/>
    <w:rsid w:val="00FA5549"/>
    <w:rsid w:val="00FA6B05"/>
    <w:rsid w:val="00FB3D04"/>
    <w:rsid w:val="00FB636A"/>
    <w:rsid w:val="00FC170E"/>
    <w:rsid w:val="00FC4C83"/>
    <w:rsid w:val="00FC6A64"/>
    <w:rsid w:val="00FD6F40"/>
    <w:rsid w:val="00FD7141"/>
    <w:rsid w:val="00FE15F0"/>
    <w:rsid w:val="00FE2EFC"/>
    <w:rsid w:val="00FE3094"/>
    <w:rsid w:val="00FE37A4"/>
    <w:rsid w:val="00FF0C21"/>
    <w:rsid w:val="00FF2F9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3489"/>
    <o:shapelayout v:ext="edit">
      <o:idmap v:ext="edit" data="1"/>
    </o:shapelayout>
  </w:shapeDefaults>
  <w:decimalSymbol w:val=","/>
  <w:listSeparator w:val=";"/>
  <w14:docId w14:val="7679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
    <w:basedOn w:val="Normal"/>
    <w:next w:val="Normal"/>
    <w:link w:val="Heading1Char"/>
    <w:uiPriority w:val="9"/>
    <w:qFormat/>
    <w:rsid w:val="0002462E"/>
    <w:pPr>
      <w:keepNext/>
      <w:keepLines/>
      <w:numPr>
        <w:numId w:val="2"/>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
    <w:basedOn w:val="Normal"/>
    <w:next w:val="Normal"/>
    <w:link w:val="Heading2Char"/>
    <w:uiPriority w:val="9"/>
    <w:unhideWhenUsed/>
    <w:qFormat/>
    <w:rsid w:val="004170D8"/>
    <w:pPr>
      <w:keepNext/>
      <w:keepLines/>
      <w:numPr>
        <w:ilvl w:val="1"/>
        <w:numId w:val="2"/>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
    <w:basedOn w:val="Normal"/>
    <w:next w:val="Normal"/>
    <w:link w:val="Heading3Char"/>
    <w:uiPriority w:val="9"/>
    <w:unhideWhenUsed/>
    <w:qFormat/>
    <w:rsid w:val="004170D8"/>
    <w:pPr>
      <w:keepNext/>
      <w:keepLines/>
      <w:numPr>
        <w:ilvl w:val="2"/>
        <w:numId w:val="2"/>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rsid w:val="00FC4C83"/>
    <w:pPr>
      <w:keepNext/>
      <w:keepLines/>
      <w:numPr>
        <w:ilvl w:val="3"/>
        <w:numId w:val="2"/>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2"/>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E21471"/>
    <w:pPr>
      <w:tabs>
        <w:tab w:val="center" w:pos="4819"/>
        <w:tab w:val="right" w:pos="9638"/>
      </w:tabs>
    </w:pPr>
    <w:rPr>
      <w:lang w:val="en-GB"/>
    </w:rPr>
  </w:style>
  <w:style w:type="character" w:customStyle="1" w:styleId="HeaderChar">
    <w:name w:val="Header Char"/>
    <w:basedOn w:val="DefaultParagraphFont"/>
    <w:link w:val="Header"/>
    <w:uiPriority w:val="99"/>
    <w:rsid w:val="00E21471"/>
    <w:rPr>
      <w:rFonts w:asciiTheme="minorHAnsi" w:hAnsiTheme="minorHAnsi"/>
      <w:sz w:val="24"/>
      <w:szCs w:val="24"/>
      <w:lang w:val="en-GB"/>
    </w:rPr>
  </w:style>
  <w:style w:type="paragraph" w:styleId="Footer">
    <w:name w:val="footer"/>
    <w:basedOn w:val="Normal"/>
    <w:link w:val="FooterChar"/>
    <w:uiPriority w:val="99"/>
    <w:rsid w:val="00E21471"/>
    <w:pPr>
      <w:tabs>
        <w:tab w:val="center" w:pos="4819"/>
        <w:tab w:val="right" w:pos="9638"/>
      </w:tabs>
    </w:pPr>
    <w:rPr>
      <w:lang w:val="en-GB"/>
    </w:rPr>
  </w:style>
  <w:style w:type="character" w:customStyle="1" w:styleId="FooterChar">
    <w:name w:val="Footer Char"/>
    <w:basedOn w:val="DefaultParagraphFont"/>
    <w:link w:val="Footer"/>
    <w:uiPriority w:val="99"/>
    <w:rsid w:val="00E21471"/>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5"/>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8"/>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1"/>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8E35D4"/>
    <w:pPr>
      <w:keepNext/>
      <w:spacing w:before="600" w:after="240"/>
    </w:pPr>
  </w:style>
  <w:style w:type="paragraph" w:customStyle="1" w:styleId="Finnishabstract">
    <w:name w:val="Finnish abstract"/>
    <w:basedOn w:val="Normal"/>
    <w:next w:val="Normal"/>
    <w:link w:val="FinnishabstractChar"/>
    <w:qFormat/>
    <w:rsid w:val="00DF1431"/>
    <w:pPr>
      <w:tabs>
        <w:tab w:val="left" w:pos="2835"/>
      </w:tabs>
      <w:spacing w:line="276" w:lineRule="auto"/>
      <w:ind w:left="2835" w:hanging="2835"/>
      <w:jc w:val="left"/>
    </w:pPr>
    <w:rPr>
      <w:rFonts w:eastAsiaTheme="minorHAnsi" w:cstheme="minorHAnsi"/>
      <w:szCs w:val="22"/>
      <w:lang w:eastAsia="en-US"/>
    </w:rPr>
  </w:style>
  <w:style w:type="character" w:customStyle="1" w:styleId="FinnishabstractChar">
    <w:name w:val="Finnish abstract Char"/>
    <w:basedOn w:val="DefaultParagraphFont"/>
    <w:link w:val="Finnishabstract"/>
    <w:rsid w:val="00DF1431"/>
    <w:rPr>
      <w:rFonts w:asciiTheme="minorHAnsi" w:eastAsiaTheme="minorHAnsi" w:hAnsiTheme="minorHAnsi" w:cstheme="minorHAnsi"/>
      <w:sz w:val="24"/>
      <w:szCs w:val="22"/>
      <w:lang w:eastAsia="en-US"/>
    </w:rPr>
  </w:style>
  <w:style w:type="paragraph" w:customStyle="1" w:styleId="Finnishabstractheading">
    <w:name w:val="Finnish abstract heading"/>
    <w:basedOn w:val="Normal"/>
    <w:qFormat/>
    <w:rsid w:val="00DF1431"/>
    <w:pPr>
      <w:spacing w:before="400" w:after="600" w:line="240" w:lineRule="auto"/>
      <w:jc w:val="left"/>
    </w:pPr>
    <w:rPr>
      <w:rFonts w:asciiTheme="majorHAnsi" w:eastAsiaTheme="majorEastAsia" w:hAnsiTheme="majorHAnsi" w:cs="Tahoma"/>
      <w:b/>
      <w:color w:val="000000" w:themeColor="text1"/>
      <w:spacing w:val="5"/>
      <w:kern w:val="28"/>
      <w:sz w:val="28"/>
      <w:szCs w:val="36"/>
    </w:rPr>
  </w:style>
  <w:style w:type="paragraph" w:customStyle="1" w:styleId="Leiptekstiilmanvlistyst">
    <w:name w:val="Leipäteksti ilman välistystä"/>
    <w:basedOn w:val="Normal"/>
    <w:rsid w:val="00DF1431"/>
    <w:pPr>
      <w:spacing w:after="360" w:line="240" w:lineRule="auto"/>
      <w:contextualSpacing/>
      <w:jc w:val="left"/>
    </w:pPr>
    <w:rPr>
      <w:rFonts w:eastAsiaTheme="minorHAnsi" w:cstheme="minorHAns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 w:id="744453799">
          <w:marLeft w:val="432"/>
          <w:marRight w:val="432"/>
          <w:marTop w:val="150"/>
          <w:marBottom w:val="150"/>
          <w:divBdr>
            <w:top w:val="none" w:sz="0" w:space="0" w:color="auto"/>
            <w:left w:val="none" w:sz="0" w:space="0" w:color="auto"/>
            <w:bottom w:val="none" w:sz="0" w:space="0" w:color="auto"/>
            <w:right w:val="none" w:sz="0" w:space="0" w:color="auto"/>
          </w:divBdr>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 w:id="1323772998">
          <w:marLeft w:val="432"/>
          <w:marRight w:val="432"/>
          <w:marTop w:val="150"/>
          <w:marBottom w:val="150"/>
          <w:divBdr>
            <w:top w:val="none" w:sz="0" w:space="0" w:color="auto"/>
            <w:left w:val="none" w:sz="0" w:space="0" w:color="auto"/>
            <w:bottom w:val="none" w:sz="0" w:space="0" w:color="auto"/>
            <w:right w:val="none" w:sz="0" w:space="0" w:color="auto"/>
          </w:divBdr>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 w:id="535044843">
          <w:marLeft w:val="432"/>
          <w:marRight w:val="432"/>
          <w:marTop w:val="150"/>
          <w:marBottom w:val="150"/>
          <w:divBdr>
            <w:top w:val="none" w:sz="0" w:space="0" w:color="auto"/>
            <w:left w:val="none" w:sz="0" w:space="0" w:color="auto"/>
            <w:bottom w:val="none" w:sz="0" w:space="0" w:color="auto"/>
            <w:right w:val="none" w:sz="0" w:space="0" w:color="auto"/>
          </w:divBdr>
        </w:div>
      </w:divsChild>
    </w:div>
    <w:div w:id="830951288">
      <w:bodyDiv w:val="1"/>
      <w:marLeft w:val="0"/>
      <w:marRight w:val="0"/>
      <w:marTop w:val="0"/>
      <w:marBottom w:val="0"/>
      <w:divBdr>
        <w:top w:val="none" w:sz="0" w:space="0" w:color="auto"/>
        <w:left w:val="none" w:sz="0" w:space="0" w:color="auto"/>
        <w:bottom w:val="none" w:sz="0" w:space="0" w:color="auto"/>
        <w:right w:val="none" w:sz="0" w:space="0" w:color="auto"/>
      </w:divBdr>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24282167">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 w:id="687945441">
          <w:marLeft w:val="432"/>
          <w:marRight w:val="432"/>
          <w:marTop w:val="150"/>
          <w:marBottom w:val="150"/>
          <w:divBdr>
            <w:top w:val="none" w:sz="0" w:space="0" w:color="auto"/>
            <w:left w:val="none" w:sz="0" w:space="0" w:color="auto"/>
            <w:bottom w:val="none" w:sz="0" w:space="0" w:color="auto"/>
            <w:right w:val="none" w:sz="0" w:space="0" w:color="auto"/>
          </w:divBdr>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jp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jpg"/><Relationship Id="rId32"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header" Target="header6.xml"/><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ormula"/>
        <w:style w:val="leipäteksti"/>
        <w:category>
          <w:name w:val="General"/>
          <w:gallery w:val="docParts"/>
        </w:category>
        <w:behaviors>
          <w:behavior w:val="content"/>
        </w:behaviors>
        <w:guid w:val="{EA3CF7CD-09F8-4D1A-9937-3BE2040461EB}"/>
      </w:docPartPr>
      <w:docPartBody>
        <w:p w:rsidR="002F6D0D" w:rsidRDefault="002F6D0D" w:rsidP="00725F37">
          <w:pPr>
            <w:pStyle w:val="leipteksti"/>
            <w:tabs>
              <w:tab w:val="decimal" w:pos="3969"/>
              <w:tab w:val="right" w:pos="7938"/>
            </w:tabs>
            <w:jc w:val="left"/>
            <w:rPr>
              <w:rFonts w:eastAsiaTheme="minorEastAsia"/>
            </w:rPr>
          </w:pPr>
          <w:r>
            <w:rPr>
              <w:rFonts w:eastAsiaTheme="minorEastAsia"/>
            </w:rPr>
            <w:tab/>
          </w:r>
          <m:oMath>
            <m:r>
              <w:rPr>
                <w:rFonts w:ascii="Cambria Math" w:eastAsiaTheme="minorEastAsia" w:hAnsi="Cambria Math" w:cs="Cambria Math"/>
              </w:rPr>
              <m:t>x</m:t>
            </m:r>
            <m:r>
              <m:rPr>
                <m:sty m:val="p"/>
              </m:rPr>
              <w:rPr>
                <w:rFonts w:ascii="Cambria Math" w:eastAsiaTheme="minorEastAsia" w:hAnsi="Cambria Math" w:cs="Cambria Math"/>
              </w:rPr>
              <m:t>=</m:t>
            </m:r>
            <m:f>
              <m:fPr>
                <m:ctrlPr>
                  <w:rPr>
                    <w:rFonts w:ascii="Cambria Math" w:eastAsiaTheme="minorEastAsia" w:hAnsi="Cambria Math"/>
                  </w:rPr>
                </m:ctrlPr>
              </m:fPr>
              <m:num>
                <m:r>
                  <m:rPr>
                    <m:sty m:val="p"/>
                  </m:rPr>
                  <w:rPr>
                    <w:rFonts w:ascii="Cambria Math" w:eastAsiaTheme="minorEastAsia" w:hAnsi="Cambria Math" w:cs="Cambria Math"/>
                  </w:rPr>
                  <m:t>-</m:t>
                </m:r>
                <m:r>
                  <w:rPr>
                    <w:rFonts w:ascii="Cambria Math" w:eastAsiaTheme="minorEastAsia" w:hAnsi="Cambria Math" w:cs="Cambria Math"/>
                  </w:rPr>
                  <m:t>b</m:t>
                </m:r>
                <m:r>
                  <m:rPr>
                    <m:sty m:val="p"/>
                  </m:rPr>
                  <w:rPr>
                    <w:rFonts w:ascii="Cambria Math" w:eastAsiaTheme="minorEastAsia" w:hAnsi="Cambria Math" w:cs="Cambria Math"/>
                  </w:rPr>
                  <m:t>±</m:t>
                </m:r>
                <m:rad>
                  <m:radPr>
                    <m:degHide m:val="1"/>
                    <m:ctrlPr>
                      <w:rPr>
                        <w:rFonts w:ascii="Cambria Math" w:eastAsiaTheme="minorEastAsia" w:hAnsi="Cambria Math"/>
                      </w:rPr>
                    </m:ctrlPr>
                  </m:radPr>
                  <m:deg/>
                  <m:e>
                    <m:sSup>
                      <m:sSupPr>
                        <m:ctrlPr>
                          <w:rPr>
                            <w:rFonts w:ascii="Cambria Math" w:eastAsiaTheme="minorEastAsia" w:hAnsi="Cambria Math"/>
                          </w:rPr>
                        </m:ctrlPr>
                      </m:sSupPr>
                      <m:e>
                        <m:r>
                          <w:rPr>
                            <w:rFonts w:ascii="Cambria Math" w:eastAsiaTheme="minorEastAsia" w:hAnsi="Cambria Math" w:cs="Cambria Math"/>
                          </w:rPr>
                          <m:t>b</m:t>
                        </m:r>
                      </m:e>
                      <m:sup>
                        <m:r>
                          <m:rPr>
                            <m:sty m:val="p"/>
                          </m:rPr>
                          <w:rPr>
                            <w:rFonts w:ascii="Cambria Math" w:eastAsiaTheme="minorEastAsia" w:hAnsi="Cambria Math" w:cs="Cambria Math"/>
                          </w:rPr>
                          <m:t>2</m:t>
                        </m:r>
                      </m:sup>
                    </m:sSup>
                    <m:r>
                      <m:rPr>
                        <m:sty m:val="p"/>
                      </m:rPr>
                      <w:rPr>
                        <w:rFonts w:ascii="Cambria Math" w:eastAsiaTheme="minorEastAsia" w:hAnsi="Cambria Math" w:cs="Cambria Math"/>
                      </w:rPr>
                      <m:t>-4</m:t>
                    </m:r>
                    <m:r>
                      <w:rPr>
                        <w:rFonts w:ascii="Cambria Math" w:eastAsiaTheme="minorEastAsia" w:hAnsi="Cambria Math" w:cs="Cambria Math"/>
                      </w:rPr>
                      <m:t>ac</m:t>
                    </m:r>
                  </m:e>
                </m:rad>
              </m:num>
              <m:den>
                <m:r>
                  <m:rPr>
                    <m:sty m:val="p"/>
                  </m:rPr>
                  <w:rPr>
                    <w:rFonts w:ascii="Cambria Math" w:eastAsiaTheme="minorEastAsia" w:hAnsi="Cambria Math" w:cs="Cambria Math"/>
                  </w:rPr>
                  <m:t>2</m:t>
                </m:r>
                <m:r>
                  <w:rPr>
                    <w:rFonts w:ascii="Cambria Math" w:eastAsiaTheme="minorEastAsia" w:hAnsi="Cambria Math" w:cs="Cambria Math"/>
                  </w:rPr>
                  <m:t>a</m:t>
                </m:r>
              </m:den>
            </m:f>
          </m:oMath>
          <w:r>
            <w:rPr>
              <w:rFonts w:eastAsiaTheme="minorEastAsia"/>
            </w:rPr>
            <w:tab/>
            <w:t>(</w:t>
          </w:r>
          <w:r>
            <w:rPr>
              <w:rFonts w:eastAsiaTheme="minorEastAsia"/>
            </w:rPr>
            <w:fldChar w:fldCharType="begin"/>
          </w:r>
          <w:r>
            <w:rPr>
              <w:rFonts w:eastAsiaTheme="minorEastAsia"/>
            </w:rPr>
            <w:instrText xml:space="preserve"> SEQ Kaavanumero \* MERGEFORMAT </w:instrText>
          </w:r>
          <w:r>
            <w:rPr>
              <w:rFonts w:eastAsiaTheme="minorEastAsia"/>
            </w:rPr>
            <w:fldChar w:fldCharType="separate"/>
          </w:r>
          <w:r>
            <w:rPr>
              <w:rFonts w:eastAsiaTheme="minorEastAsia"/>
              <w:noProof/>
            </w:rPr>
            <w:t>1</w:t>
          </w:r>
          <w:r>
            <w:rPr>
              <w:rFonts w:eastAsiaTheme="minorEastAsia"/>
            </w:rPr>
            <w:fldChar w:fldCharType="end"/>
          </w:r>
          <w:r>
            <w:rPr>
              <w:rFonts w:eastAsiaTheme="minorEastAsia"/>
            </w:rPr>
            <w:t>)</w:t>
          </w:r>
        </w:p>
        <w:p w:rsidR="00AE626E" w:rsidRDefault="00AE626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2020603050405020304"/>
    <w:charset w:val="00"/>
    <w:family w:val="auto"/>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2C3"/>
    <w:rsid w:val="00075045"/>
    <w:rsid w:val="000E52C3"/>
    <w:rsid w:val="002F6D0D"/>
    <w:rsid w:val="00522DBA"/>
    <w:rsid w:val="00627AF2"/>
    <w:rsid w:val="00725F37"/>
    <w:rsid w:val="00AE6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ipteksti">
    <w:name w:val="leipäteksti"/>
    <w:basedOn w:val="Normal"/>
    <w:qFormat/>
    <w:rsid w:val="002F6D0D"/>
    <w:pPr>
      <w:spacing w:before="380" w:after="380" w:line="360" w:lineRule="auto"/>
      <w:jc w:val="both"/>
    </w:pPr>
    <w:rPr>
      <w:rFonts w:eastAsiaTheme="minorHAnsi" w:cstheme="minorHAnsi"/>
      <w:lang w:val="fi-FI"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5DAE342122D046A1BC8B465CE2930A" ma:contentTypeVersion="7" ma:contentTypeDescription="Create a new document." ma:contentTypeScope="" ma:versionID="2667006cdaec7c762767a59781323ce6">
  <xsd:schema xmlns:xsd="http://www.w3.org/2001/XMLSchema" xmlns:xs="http://www.w3.org/2001/XMLSchema" xmlns:p="http://schemas.microsoft.com/office/2006/metadata/properties" xmlns:ns2="250a78ed-7ec3-4606-b849-87cfc6ecf42b" targetNamespace="http://schemas.microsoft.com/office/2006/metadata/properties" ma:root="true" ma:fieldsID="3ebcad96abc5bf7054f99c6cda63043a" ns2:_="">
    <xsd:import namespace="250a78ed-7ec3-4606-b849-87cfc6ecf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a78ed-7ec3-4606-b849-87cfc6ecf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D28554-B7ED-45A4-8E01-7C80E754F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a78ed-7ec3-4606-b849-87cfc6ecf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84F21-E2A6-4505-9472-9C329111D2E2}">
  <ds:schemaRefs>
    <ds:schemaRef ds:uri="http://schemas.openxmlformats.org/officeDocument/2006/bibliography"/>
  </ds:schemaRefs>
</ds:datastoreItem>
</file>

<file path=customXml/itemProps3.xml><?xml version="1.0" encoding="utf-8"?>
<ds:datastoreItem xmlns:ds="http://schemas.openxmlformats.org/officeDocument/2006/customXml" ds:itemID="{F27F1F66-D49C-410A-ABAE-CB7CF9D660E1}">
  <ds:schemaRefs>
    <ds:schemaRef ds:uri="http://schemas.microsoft.com/sharepoint/v3/contenttype/forms"/>
  </ds:schemaRefs>
</ds:datastoreItem>
</file>

<file path=customXml/itemProps4.xml><?xml version="1.0" encoding="utf-8"?>
<ds:datastoreItem xmlns:ds="http://schemas.openxmlformats.org/officeDocument/2006/customXml" ds:itemID="{9476AE06-92CD-40D1-89B3-9C2A31572EB4}">
  <ds:schemaRefs>
    <ds:schemaRef ds:uri="http://purl.org/dc/dcmitype/"/>
    <ds:schemaRef ds:uri="http://schemas.microsoft.com/office/2006/documentManagement/types"/>
    <ds:schemaRef ds:uri="http://purl.org/dc/elements/1.1/"/>
    <ds:schemaRef ds:uri="http://schemas.microsoft.com/office/2006/metadata/properties"/>
    <ds:schemaRef ds:uri="http://purl.org/dc/terms/"/>
    <ds:schemaRef ds:uri="250a78ed-7ec3-4606-b849-87cfc6ecf42b"/>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
  <TotalTime>0</TotalTime>
  <Pages>20</Pages>
  <Words>1600</Words>
  <Characters>12960</Characters>
  <Application>Microsoft Office Word</Application>
  <DocSecurity>0</DocSecurity>
  <Lines>108</Lines>
  <Paragraphs>29</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Firehorse-tuotevalmistuksen toimintamalli: Hybridi AI-edge-arkkitehtuuri ilmastoälykkäille teollisille alustoille</dc:title>
  <dc:creator>Risto Anton Päärni</dc:creator>
  <cp:lastModifiedBy/>
  <cp:revision>1</cp:revision>
  <dcterms:created xsi:type="dcterms:W3CDTF">2021-03-17T14:46:00Z</dcterms:created>
  <dcterms:modified xsi:type="dcterms:W3CDTF">2023-03-23T14:34:00Z</dcterms:modified>
  <dc:subject>Metropolia YAMK Opinnäytetyö - Smart Factory</dc:subject>
  <cp:keywords>tekoäly, reunalaskenta, rakennusteollisuus, toimintamalli, Firehorse, DWS6</cp:keywords>
  <cp:category>Master's Thesis</cp:category>
  <dc:description>Version 4.0 - Generated 10.02.2026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0x010100495DAE342122D046A1BC8B465CE2930A</vt:lpwstr>
  </property>
</Properties>
</file>