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hic-learning-outcome-2026-07-30"/>
    <w:p>
      <w:pPr>
        <w:pStyle w:val="Heading1"/>
      </w:pPr>
      <w:r>
        <w:t xml:space="preserve">HIC Learning Outcome — 2026-07-30</w:t>
      </w:r>
    </w:p>
    <w:bookmarkStart w:id="20" w:name="what-the-session-was-and-what-it-became"/>
    <w:p>
      <w:pPr>
        <w:pStyle w:val="Heading2"/>
      </w:pPr>
      <w:r>
        <w:t xml:space="preserve">1. What the session was, and what it became</w:t>
      </w:r>
    </w:p>
    <w:p>
      <w:pPr>
        <w:pStyle w:val="FirstParagraph"/>
      </w:pPr>
      <w:r>
        <w:t xml:space="preserve">It started as one pasted market signal and became the day the harness argument acquired an economic spine, a public surface, and — twice — a correction from outside.</w:t>
      </w:r>
    </w:p>
    <w:p>
      <w:pPr>
        <w:pStyle w:val="BodyText"/>
      </w:pPr>
      <w:r>
        <w:rPr>
          <w:bCs/>
          <w:b/>
        </w:rPr>
        <w:t xml:space="preserve">The arc:</w:t>
      </w:r>
      <w:r>
        <w:t xml:space="preserve"> </w:t>
      </w:r>
      <w:r>
        <w:t xml:space="preserve">Nadella quote pasted → captured as a signal → a benchmark arrives that prices it → a field observation arrives that resolves it → the three turn out to be one argument → the argument goes into the PhD thesis → it goes public as a blog post → an external reviewer catches a false cost claim inside it → the claim is corrected across six files → the homepage hero is re-cut to the corrected wording → two of the three open decisions are executed as working code.</w:t>
      </w:r>
    </w:p>
    <w:bookmarkEnd w:id="20"/>
    <w:bookmarkStart w:id="21" w:name="the-three-signals-each-with-its-own-note"/>
    <w:p>
      <w:pPr>
        <w:pStyle w:val="Heading2"/>
      </w:pPr>
      <w:r>
        <w:t xml:space="preserve">2. The three signals (each with its own note)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432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Nadella, MSFT FY26 Q4 call 29.07 —</w:t>
            </w:r>
            <w:r>
              <w:t xml:space="preserve"> </w:t>
            </w:r>
            <w:r>
              <w:t xml:space="preserve">“</w:t>
            </w:r>
            <w:r>
              <w:t xml:space="preserve">keep your harness separate from the model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2026-07-30-nadella-harness-model-swappability-signal.md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Composio 3-harness benchmark — up to 30× token spread, same model and 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2026-07-30-composio-harness-token-efficiency-benchmark.md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attention + throughput at depth (HIC field measurement)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2026-07-30-hybrid-attention-long-context-local-inference.md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synthesis was the HIC’s, and the framing was Gemini 3.6 Thinking’s</w:t>
      </w:r>
      <w:r>
        <w:t xml:space="preserve"> </w:t>
      </w:r>
      <w:r>
        <w:t xml:space="preserve">— thesis (the harness is durable) → antithesis (its token intensity is disqualifying under metered pricing) → synthesis (fixed sovereign compute changes the cost</w:t>
      </w:r>
      <w:r>
        <w:t xml:space="preserve"> </w:t>
      </w:r>
      <w:r>
        <w:rPr>
          <w:iCs/>
          <w:i/>
        </w:rPr>
        <w:t xml:space="preserve">type</w:t>
      </w:r>
      <w:r>
        <w:t xml:space="preserve">). Attributed as such in</w:t>
      </w:r>
      <w:r>
        <w:t xml:space="preserve"> </w:t>
      </w:r>
      <w:r>
        <w:rPr>
          <w:rStyle w:val="VerbatimChar"/>
        </w:rPr>
        <w:t xml:space="preserve">PHD_FIREHORSE §14.45</w:t>
      </w:r>
      <w:r>
        <w:t xml:space="preserve"> </w:t>
      </w:r>
      <w:r>
        <w:t xml:space="preserve">and in the published post, because an argument structure adopted from an external model is itself a provenance claim.</w:t>
      </w:r>
    </w:p>
    <w:bookmarkEnd w:id="21"/>
    <w:bookmarkStart w:id="22" w:name="the-five-decisions-and-what-was-done"/>
    <w:p>
      <w:pPr>
        <w:pStyle w:val="Heading2"/>
      </w:pPr>
      <w:r>
        <w:t xml:space="preserve">3. The five decisions and what was done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"/>
        <w:gridCol w:w="3727"/>
        <w:gridCol w:w="37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positioning; route the signal to the PhD 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§14.45 + KC #50, lockstep 3.91 → 3.94.</w:t>
            </w:r>
            <w:r>
              <w:t xml:space="preserve"> </w:t>
            </w:r>
            <w:r>
              <w:rPr>
                <w:bCs/>
                <w:b/>
              </w:rPr>
              <w:t xml:space="preserve">Then superseded:</w:t>
            </w:r>
            <w:r>
              <w:t xml:space="preserve"> </w:t>
            </w:r>
            <w:r>
              <w:t xml:space="preserve">the HIC re-cut positioning to the</w:t>
            </w:r>
            <w:r>
              <w:t xml:space="preserve"> </w:t>
            </w:r>
            <w:r>
              <w:rPr>
                <w:iCs/>
                <w:i/>
              </w:rPr>
              <w:t xml:space="preserve">coupling</w:t>
            </w:r>
            <w:r>
              <w:t xml:space="preserve"> </w:t>
            </w:r>
            <w:r>
              <w:t xml:space="preserve">claim (§5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 the Claude-side token log — internal measurement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scripts/record-session-tokens.mjs</w:t>
            </w:r>
            <w:r>
              <w:t xml:space="preserve"> </w:t>
            </w:r>
            <w:r>
              <w:t xml:space="preserve">+ Stop hook. Cost per completed task is now measurable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Reproduce the depth curve on the GN-100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Harness built, sweep not run</w:t>
            </w:r>
            <w:r>
              <w:t xml:space="preserve"> </w:t>
            </w:r>
            <w:r>
              <w:t xml:space="preserve">— GN-100 unreachable from this container. Registered in</w:t>
            </w:r>
            <w:r>
              <w:t xml:space="preserve"> </w:t>
            </w:r>
            <w:r>
              <w:rPr>
                <w:rStyle w:val="VerbatimChar"/>
              </w:rPr>
              <w:t xml:space="preserve">scripts/weekly/</w:t>
            </w:r>
            <w:r>
              <w:t xml:space="preserve"> </w:t>
            </w:r>
            <w:r>
              <w:t xml:space="preserve">so it runs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Positioning: harness ownership vs the 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Answered by the HIC: hold the harness-engineering narrative, re-cut the claim to</w:t>
            </w:r>
            <w:r>
              <w:t xml:space="preserve"> </w:t>
            </w:r>
            <w:r>
              <w:rPr>
                <w:iCs/>
                <w:i/>
              </w:rPr>
              <w:t xml:space="preserve">harness + fixed sovereign compute + jurisdiction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(open — §8)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Also executed outside the numbered questions: the tier re-spec instruction produced Finding 2/5 rather than code (the code half is still open, §7), and the blog post was drafted, revised three times, approved and published.</w:t>
      </w:r>
    </w:p>
    <w:bookmarkEnd w:id="22"/>
    <w:bookmarkStart w:id="23" w:name="what-was-verified-not-assumed"/>
    <w:p>
      <w:pPr>
        <w:pStyle w:val="Heading2"/>
      </w:pPr>
      <w:r>
        <w:t xml:space="preserve">4. What was verified, not assumed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Nadella’s two quotes</w:t>
      </w:r>
      <w:r>
        <w:t xml:space="preserve"> </w:t>
      </w:r>
      <w:r>
        <w:t xml:space="preserve">— CONFIRMED against the FY26 Q4 call (TechCrunch, Investing.com transcript). The</w:t>
      </w:r>
      <w:r>
        <w:t xml:space="preserve"> </w:t>
      </w:r>
      <w:r>
        <w:t xml:space="preserve">“</w:t>
      </w:r>
      <w:r>
        <w:t xml:space="preserve">train your own model… traces</w:t>
      </w:r>
      <w:r>
        <w:t xml:space="preserve">”</w:t>
      </w:r>
      <w:r>
        <w:t xml:space="preserve"> </w:t>
      </w:r>
      <w:r>
        <w:t xml:space="preserve">continuation is reported, not verbatim-verified.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Composio’s figures</w:t>
      </w:r>
      <w:r>
        <w:t xml:space="preserve"> </w:t>
      </w:r>
      <w:r>
        <w:t xml:space="preserve">— CONFIRMED as published, and declared</w:t>
      </w:r>
      <w:r>
        <w:t xml:space="preserve"> </w:t>
      </w:r>
      <w:r>
        <w:rPr>
          <w:bCs/>
          <w:b/>
        </w:rPr>
        <w:t xml:space="preserve">vendor-run</w:t>
      </w:r>
      <w:r>
        <w:t xml:space="preserve">: Hermes is Composio’s own harness and placed near the top of Composio’s own leaderboard. One model, one run, unpublished task set.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Nemotron-Cascade-2-30B-A3B and hipfire</w:t>
      </w:r>
      <w:r>
        <w:t xml:space="preserve"> </w:t>
      </w:r>
      <w:r>
        <w:t xml:space="preserve">— specifications CONFIRMED against primary sources. The 250K-depth throughput curve is a</w:t>
      </w:r>
      <w:r>
        <w:t xml:space="preserve"> </w:t>
      </w:r>
      <w:r>
        <w:rPr>
          <w:bCs/>
          <w:b/>
        </w:rPr>
        <w:t xml:space="preserve">single unreproduced operator report</w:t>
      </w:r>
      <w:r>
        <w:t xml:space="preserve"> </w:t>
      </w:r>
      <w:r>
        <w:t xml:space="preserve">and is labelled as the load-bearing, least-verified claim wherever it appears.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DWS cost audit</w:t>
      </w:r>
      <w:r>
        <w:t xml:space="preserve"> </w:t>
      </w:r>
      <w:r>
        <w:t xml:space="preserve">— every row checked in-repo. Result: DWS could not state its own cost per completed task. Now it can (Q2).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gen-thesis-html.cjs</w:t>
      </w:r>
      <w:r>
        <w:rPr>
          <w:bCs/>
          <w:b/>
        </w:rPr>
        <w:t xml:space="preserve"> </w:t>
      </w:r>
      <w:r>
        <w:rPr>
          <w:bCs/>
          <w:b/>
        </w:rPr>
        <w:t xml:space="preserve">bug</w:t>
      </w:r>
      <w:r>
        <w:t xml:space="preserve"> </w:t>
      </w:r>
      <w:r>
        <w:t xml:space="preserve">— reported on 26.07, undiagnosed. Root cause found: it read duplicate thesis sources under</w:t>
      </w:r>
      <w:r>
        <w:t xml:space="preserve"> </w:t>
      </w:r>
      <w:r>
        <w:rPr>
          <w:rStyle w:val="VerbatimChar"/>
        </w:rPr>
        <w:t xml:space="preserve">Learn/*.md</w:t>
      </w:r>
      <w:r>
        <w:t xml:space="preserve"> </w:t>
      </w:r>
      <w:r>
        <w:t xml:space="preserve">frozen at v3.83 while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was at 3.91. Repointed at the canonical paths.</w:t>
      </w:r>
    </w:p>
    <w:bookmarkEnd w:id="23"/>
    <w:bookmarkStart w:id="24" w:name="Xe0776db45e442b0cb1013bb840dddf8fc5d42a8"/>
    <w:p>
      <w:pPr>
        <w:pStyle w:val="Heading2"/>
      </w:pPr>
      <w:r>
        <w:t xml:space="preserve">5. The two corrections that came from outside</w:t>
      </w:r>
    </w:p>
    <w:p>
      <w:pPr>
        <w:pStyle w:val="FirstParagraph"/>
      </w:pPr>
      <w:r>
        <w:t xml:space="preserve">Both matter more than anything this session produced on its own, because both caught something the session was confident about.</w:t>
      </w:r>
    </w:p>
    <w:p>
      <w:pPr>
        <w:pStyle w:val="BodyText"/>
      </w:pPr>
      <w:r>
        <w:rPr>
          <w:bCs/>
          <w:b/>
        </w:rPr>
        <w:t xml:space="preserve">5.1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marginal token cost is €0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was false (external review, Boardy).</w:t>
      </w:r>
      <w:r>
        <w:t xml:space="preserve"> </w:t>
      </w:r>
      <w:r>
        <w:t xml:space="preserve">By the time it was caught it had propagated to</w:t>
      </w:r>
      <w:r>
        <w:t xml:space="preserve"> </w:t>
      </w:r>
      <w:r>
        <w:rPr>
          <w:rStyle w:val="VerbatimChar"/>
        </w:rPr>
        <w:t xml:space="preserve">PHD_FIREHORSE</w:t>
      </w:r>
      <w:r>
        <w:t xml:space="preserve"> </w:t>
      </w:r>
      <w:r>
        <w:t xml:space="preserve">§14.45 in both languages, a field note, a KB raw signal,</w:t>
      </w:r>
      <w:r>
        <w:t xml:space="preserve"> </w:t>
      </w:r>
      <w:r>
        <w:rPr>
          <w:rStyle w:val="VerbatimChar"/>
        </w:rPr>
        <w:t xml:space="preserve">infrastructure/dgx-spark/docker-compose.yml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mcp-servers/cloud-run-gateway-ts/README.md</w:t>
      </w:r>
      <w:r>
        <w:t xml:space="preserve">, and a blog draft awaiting publication. Electricity, hardware amortisation, serving, maintenance and throughput capacity all remain. Corrected everywhere; the canonical replacement wording is now a KB concept (</w:t>
      </w:r>
      <w:r>
        <w:rPr>
          <w:rStyle w:val="VerbatimChar"/>
        </w:rPr>
        <w:t xml:space="preserve">bounded-not-zero-sovereign-compute-economics.md</w:t>
      </w:r>
      <w:r>
        <w:t xml:space="preserve">) precisely because</w:t>
      </w:r>
      <w:r>
        <w:t xml:space="preserve"> </w:t>
      </w:r>
      <w:r>
        <w:rPr>
          <w:bCs/>
          <w:b/>
        </w:rPr>
        <w:t xml:space="preserve">the false version is more quotable than the true one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€0</w:t>
      </w:r>
      <w:r>
        <w:t xml:space="preserve">”</w:t>
      </w:r>
      <w:r>
        <w:t xml:space="preserve"> </w:t>
      </w:r>
      <w:r>
        <w:t xml:space="preserve">is a headline,</w:t>
      </w:r>
      <w:r>
        <w:t xml:space="preserve"> </w:t>
      </w:r>
      <w:r>
        <w:t xml:space="preserve">“</w:t>
      </w:r>
      <w:r>
        <w:t xml:space="preserve">bounded and dimensioned</w:t>
      </w:r>
      <w:r>
        <w:t xml:space="preserve">”</w:t>
      </w:r>
      <w:r>
        <w:t xml:space="preserve"> </w:t>
      </w:r>
      <w:r>
        <w:t xml:space="preserve">is a sentence, and under drafting pressure the compressible claim wins unless a rule stops it.</w:t>
      </w:r>
    </w:p>
    <w:p>
      <w:pPr>
        <w:pStyle w:val="BodyText"/>
      </w:pPr>
      <w:r>
        <w:t xml:space="preserve">Kept distinct: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zero tokens leave the premises</w:t>
      </w:r>
      <w:r>
        <w:rPr>
          <w:bCs/>
          <w:b/>
        </w:rPr>
        <w:t xml:space="preserve">”</w:t>
      </w:r>
      <w:r>
        <w:t xml:space="preserve"> </w:t>
      </w:r>
      <w:r>
        <w:t xml:space="preserve">is a data-residency claim, is true, and is not a cost claim. Recorded so the distinction survives.</w:t>
      </w:r>
    </w:p>
    <w:p>
      <w:pPr>
        <w:pStyle w:val="BodyText"/>
      </w:pPr>
      <w:r>
        <w:rPr>
          <w:bCs/>
          <w:b/>
        </w:rPr>
        <w:t xml:space="preserve">5.2 — HIC question numbering was broken (HIC).</w:t>
      </w:r>
      <w:r>
        <w:t xml:space="preserve"> </w:t>
      </w:r>
      <w:r>
        <w:t xml:space="preserve">Three notes on one branch each opened at</w:t>
      </w:r>
      <w:r>
        <w:t xml:space="preserve"> </w:t>
      </w:r>
      <w:r>
        <w:t xml:space="preserve">“</w:t>
      </w:r>
      <w:r>
        <w:t xml:space="preserve">Q1</w:t>
      </w:r>
      <w:r>
        <w:t xml:space="preserve">”</w:t>
      </w:r>
      <w:r>
        <w:t xml:space="preserve">, so three distinct decisions shared one label and could not be answered by reference.</w:t>
      </w:r>
      <w:r>
        <w:t xml:space="preserve"> </w:t>
      </w:r>
      <w:r>
        <w:rPr>
          <w:rStyle w:val="VerbatimChar"/>
        </w:rPr>
        <w:t xml:space="preserve">DWS_LEARNING_STANDARD.md</w:t>
      </w:r>
      <w:r>
        <w:t xml:space="preserve"> </w:t>
      </w:r>
      <w:r>
        <w:t xml:space="preserve">§10 fixed the</w:t>
      </w:r>
      <w:r>
        <w:t xml:space="preserve"> </w:t>
      </w:r>
      <w:r>
        <w:rPr>
          <w:iCs/>
          <w:i/>
        </w:rPr>
        <w:t xml:space="preserve">form</w:t>
      </w:r>
      <w:r>
        <w:t xml:space="preserve"> </w:t>
      </w:r>
      <w:r>
        <w:t xml:space="preserve">of a decision point and left the</w:t>
      </w:r>
      <w:r>
        <w:t xml:space="preserve"> </w:t>
      </w:r>
      <w:r>
        <w:rPr>
          <w:iCs/>
          <w:i/>
        </w:rPr>
        <w:t xml:space="preserve">counter</w:t>
      </w:r>
      <w:r>
        <w:t xml:space="preserve"> </w:t>
      </w:r>
      <w:r>
        <w:t xml:space="preserve">undefined. Fixed as §10.1.1 (v1.4): branch-scoped, never restarting, with the running counter carried in the handoff. The three notes were retro-labelled Q1/Q2/Q3 — labels only, questions unchanged.</w:t>
      </w:r>
    </w:p>
    <w:p>
      <w:pPr>
        <w:pStyle w:val="BodyText"/>
      </w:pPr>
      <w:r>
        <w:rPr>
          <w:bCs/>
          <w:b/>
        </w:rPr>
        <w:t xml:space="preserve">What both have in common:</w:t>
      </w:r>
      <w:r>
        <w:t xml:space="preserve"> </w:t>
      </w:r>
      <w:r>
        <w:t xml:space="preserve">the harness caught neither. A hook checks that a field note exists, not whether its claims are true or its questions answerable. Both corrections came from a human and a second model reading the output.</w:t>
      </w:r>
    </w:p>
    <w:bookmarkEnd w:id="24"/>
    <w:bookmarkStart w:id="25" w:name="the-five-step-learning-standard-record"/>
    <w:p>
      <w:pPr>
        <w:pStyle w:val="Heading2"/>
      </w:pPr>
      <w:r>
        <w:t xml:space="preserve">6. The five-step Learning Standard record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3168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kb/wiki/concepts/bounded-not-zero-sovereign-compute-economics.md</w:t>
            </w:r>
            <w:r>
              <w:t xml:space="preserve"> </w:t>
            </w:r>
            <w:r>
              <w:t xml:space="preserve">(new),</w:t>
            </w:r>
            <w:r>
              <w:t xml:space="preserve"> </w:t>
            </w:r>
            <w:r>
              <w:rPr>
                <w:rStyle w:val="VerbatimChar"/>
              </w:rPr>
              <w:t xml:space="preserve">harness-cost-is-a-pl-line-item.md</w:t>
            </w:r>
            <w:r>
              <w:t xml:space="preserve"> </w:t>
            </w:r>
            <w:r>
              <w:t xml:space="preserve">(new, earlier today),</w:t>
            </w:r>
            <w:r>
              <w:t xml:space="preserve"> </w:t>
            </w:r>
            <w:r>
              <w:rPr>
                <w:rStyle w:val="VerbatimChar"/>
              </w:rPr>
              <w:t xml:space="preserve">adopt-the-base-own-the-loop.md</w:t>
            </w:r>
            <w:r>
              <w:t xml:space="preserve"> </w:t>
            </w:r>
            <w:r>
              <w:t xml:space="preserve">→ v1.1, plus three</w:t>
            </w:r>
            <w:r>
              <w:t xml:space="preserve"> </w:t>
            </w:r>
            <w:r>
              <w:rPr>
                <w:rStyle w:val="VerbatimChar"/>
              </w:rPr>
              <w:t xml:space="preserve">kb/raw/signals/</w:t>
            </w:r>
            <w:r>
              <w:t xml:space="preserve"> </w:t>
            </w:r>
            <w:r>
              <w:t xml:space="preserve">captures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this file, plus the three signal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Learn/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four field notes rendered; thesis at</w:t>
            </w:r>
            <w:r>
              <w:t xml:space="preserve"> </w:t>
            </w:r>
            <w:r>
              <w:rPr>
                <w:rStyle w:val="VerbatimChar"/>
              </w:rPr>
              <w:t xml:space="preserve">PHD_FIREHORSE_{EN,FI}_v3.94.html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V3Thesis_{EN,FI}_v3.94.html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Drive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2026 DWS6</w:t>
            </w:r>
            <w:r>
              <w:t xml:space="preserve"> </w:t>
            </w:r>
            <w:r>
              <w:t xml:space="preserve">folder — three signal notes exported; this record to follow the same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HIC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Q5</w:t>
            </w:r>
            <w:r>
              <w:t xml:space="preserve">, §8</w:t>
            </w:r>
          </w:p>
        </w:tc>
      </w:tr>
    </w:tbl>
    <w:bookmarkEnd w:id="25"/>
    <w:bookmarkStart w:id="26" w:name="what-is-still-open"/>
    <w:p>
      <w:pPr>
        <w:pStyle w:val="Heading2"/>
      </w:pPr>
      <w:r>
        <w:t xml:space="preserve">7. What is still open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depth sweep has not run.</w:t>
      </w:r>
      <w:r>
        <w:t xml:space="preserve"> </w:t>
      </w:r>
      <w:r>
        <w:t xml:space="preserve">The harness exists and is scheduled; the curve does not exist. Until it does, §14.45’s argument is explicitly an architectural hypothesis — stated that way in the thesis and in the published post.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tier re-spec is half-done.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reasoning</w:t>
      </w:r>
      <w:r>
        <w:t xml:space="preserve"> </w:t>
      </w:r>
      <w:r>
        <w:t xml:space="preserve">landed (the tier was chosen on volume, the binding constraint is depth). The</w:t>
      </w:r>
      <w:r>
        <w:t xml:space="preserve"> </w:t>
      </w:r>
      <w:r>
        <w:rPr>
          <w:iCs/>
          <w:i/>
        </w:rPr>
        <w:t xml:space="preserve">code</w:t>
      </w:r>
      <w:r>
        <w:t xml:space="preserve"> </w:t>
      </w:r>
      <w:r>
        <w:t xml:space="preserve">did not:</w:t>
      </w:r>
      <w:r>
        <w:t xml:space="preserve"> </w:t>
      </w:r>
      <w:r>
        <w:rPr>
          <w:rStyle w:val="VerbatimChar"/>
        </w:rPr>
        <w:t xml:space="preserve">contextWindow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src/agents/model-selector.ts</w:t>
      </w:r>
      <w:r>
        <w:t xml:space="preserve"> </w:t>
      </w:r>
      <w:r>
        <w:t xml:space="preserve">is still a dead field, read by nothing.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Four-way local-model drift</w:t>
      </w:r>
      <w:r>
        <w:t xml:space="preserve">, unreconciled and deliberately out of scope:</w:t>
      </w:r>
      <w:r>
        <w:t xml:space="preserve"> </w:t>
      </w:r>
      <w:r>
        <w:rPr>
          <w:rStyle w:val="VerbatimChar"/>
        </w:rPr>
        <w:t xml:space="preserve">MODEL_CATALOG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qwen2.5:7b</w:t>
      </w:r>
      <w:r>
        <w:t xml:space="preserve">/</w:t>
      </w:r>
      <w:r>
        <w:rPr>
          <w:rStyle w:val="VerbatimChar"/>
        </w:rPr>
        <w:t xml:space="preserve">32b</w:t>
      </w:r>
      <w:r>
        <w:t xml:space="preserve">, the DGX deploy path says</w:t>
      </w:r>
      <w:r>
        <w:t xml:space="preserve"> </w:t>
      </w:r>
      <w:r>
        <w:rPr>
          <w:rStyle w:val="VerbatimChar"/>
        </w:rPr>
        <w:t xml:space="preserve">nemotron-3-super</w:t>
      </w:r>
      <w:r>
        <w:t xml:space="preserve">/</w:t>
      </w:r>
      <w:r>
        <w:rPr>
          <w:rStyle w:val="VerbatimChar"/>
        </w:rPr>
        <w:t xml:space="preserve">qwen3-coder:30b</w:t>
      </w:r>
      <w:r>
        <w:t xml:space="preserve">, the ollama-boss note says</w:t>
      </w:r>
      <w:r>
        <w:t xml:space="preserve"> </w:t>
      </w:r>
      <w:r>
        <w:rPr>
          <w:rStyle w:val="VerbatimChar"/>
        </w:rPr>
        <w:t xml:space="preserve">qwen2.5:72b</w:t>
      </w:r>
      <w:r>
        <w:t xml:space="preserve"> </w:t>
      </w:r>
      <w:r>
        <w:t xml:space="preserve">(which exists in no code), and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says</w:t>
      </w:r>
      <w:r>
        <w:t xml:space="preserve"> </w:t>
      </w:r>
      <w:r>
        <w:rPr>
          <w:rStyle w:val="VerbatimChar"/>
        </w:rPr>
        <w:t xml:space="preserve">llama3.3:70b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harness-language exposure pack</w:t>
      </w:r>
      <w:r>
        <w:t xml:space="preserve"> </w:t>
      </w:r>
      <w:r>
        <w:t xml:space="preserve">was never written — 37 files across the public sites use</w:t>
      </w:r>
      <w:r>
        <w:t xml:space="preserve"> </w:t>
      </w:r>
      <w:r>
        <w:rPr>
          <w:rStyle w:val="VerbatimChar"/>
        </w:rPr>
        <w:t xml:space="preserve">harness</w:t>
      </w:r>
      <w:r>
        <w:t xml:space="preserve">/</w:t>
      </w:r>
      <w:r>
        <w:rPr>
          <w:rStyle w:val="VerbatimChar"/>
        </w:rPr>
        <w:t xml:space="preserve">swappable</w:t>
      </w:r>
      <w:r>
        <w:t xml:space="preserve">, including an investor note calling harness engineering</w:t>
      </w:r>
      <w:r>
        <w:t xml:space="preserve"> </w:t>
      </w:r>
      <w:r>
        <w:t xml:space="preserve">“</w:t>
      </w:r>
      <w:r>
        <w:t xml:space="preserve">the architectural moat behind DWS IQ 6</w:t>
      </w:r>
      <w:r>
        <w:t xml:space="preserve">”</w:t>
      </w:r>
      <w:r>
        <w:t xml:space="preserve">. Q4 resolved the</w:t>
      </w:r>
      <w:r>
        <w:t xml:space="preserve"> </w:t>
      </w:r>
      <w:r>
        <w:rPr>
          <w:iCs/>
          <w:i/>
        </w:rPr>
        <w:t xml:space="preserve">claim</w:t>
      </w:r>
      <w:r>
        <w:t xml:space="preserve">; whether those surfaces need the narrower wording is undecided.</w:t>
      </w:r>
    </w:p>
    <w:bookmarkEnd w:id="26"/>
    <w:bookmarkStart w:id="27" w:name="X94e054b46e9d2e328860814bbd75d1529f1a63c"/>
    <w:p>
      <w:pPr>
        <w:pStyle w:val="Heading2"/>
      </w:pPr>
      <w:r>
        <w:t xml:space="preserve">8. HIC question Q5 (EU AI Act Art. 14 intervention point)</w:t>
      </w:r>
    </w:p>
    <w:p>
      <w:pPr>
        <w:pStyle w:val="FirstParagraph"/>
      </w:pPr>
      <w:r>
        <w:rPr>
          <w:bCs/>
          <w:b/>
        </w:rPr>
        <w:t xml:space="preserve">Q5. Two external reviewers caught what the harness did not. Do we build a check for claim-level truth, or accept that this is what human and peer review are for?</w:t>
      </w:r>
    </w:p>
    <w:p>
      <w:pPr>
        <w:pStyle w:val="BodyText"/>
      </w:pPr>
      <w:r>
        <w:rPr>
          <w:bCs/>
          <w:b/>
        </w:rPr>
        <w:t xml:space="preserve">Options: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Extend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/truth-check</w:t>
      </w:r>
      <w:r>
        <w:rPr>
          <w:bCs/>
          <w:b/>
        </w:rPr>
        <w:t xml:space="preserve"> </w:t>
      </w:r>
      <w:r>
        <w:rPr>
          <w:bCs/>
          <w:b/>
        </w:rPr>
        <w:t xml:space="preserve">to claim patterns, not just phrases.</w:t>
      </w:r>
      <w:r>
        <w:t xml:space="preserve"> </w:t>
      </w:r>
      <w:r>
        <w:t xml:space="preserve">It currently lints a deprecated-phrase deny-list. Add the banned cost formulations from the new KB concept (</w:t>
      </w:r>
      <w:r>
        <w:rPr>
          <w:rStyle w:val="VerbatimChar"/>
        </w:rPr>
        <w:t xml:space="preserve">€0/token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zero marginal 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 tokens</w:t>
      </w:r>
      <w:r>
        <w:t xml:space="preserve">) as blocking patterns, and wire it into the pre-publish path so a false cost claim cannot reach a public surface or a thesis section. Narrow, mechanical, catches exactly this class.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Accept the limit and formalise the review instead.</w:t>
      </w:r>
      <w:r>
        <w:t xml:space="preserve"> </w:t>
      </w:r>
      <w:r>
        <w:t xml:space="preserve">Do not grow the harness; instead make</w:t>
      </w:r>
      <w:r>
        <w:t xml:space="preserve"> </w:t>
      </w:r>
      <w:r>
        <w:t xml:space="preserve">“</w:t>
      </w:r>
      <w:r>
        <w:t xml:space="preserve">second reader before any outward-facing claim</w:t>
      </w:r>
      <w:r>
        <w:t xml:space="preserve">”</w:t>
      </w:r>
      <w:r>
        <w:t xml:space="preserve"> </w:t>
      </w:r>
      <w:r>
        <w:t xml:space="preserve">an explicit step in the learning outcome, naming who (HIC, Boardy, another model). Cheaper to run, no false confidence in automation.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Both, sequenced</w:t>
      </w:r>
      <w:r>
        <w:t xml:space="preserve"> </w:t>
      </w:r>
      <w:r>
        <w:t xml:space="preserve">— pattern lint now for the known-false strings, review step for everything a lint cannot see.</w:t>
      </w:r>
    </w:p>
    <w:p>
      <w:pPr>
        <w:pStyle w:val="FirstParagraph"/>
      </w:pPr>
      <w:r>
        <w:rPr>
          <w:bCs/>
          <w:b/>
        </w:rPr>
        <w:t xml:space="preserve">(RECOMMEND: 1, and only 1 for now.</w:t>
      </w:r>
      <w:r>
        <w:t xml:space="preserve"> </w:t>
      </w:r>
      <w:r>
        <w:t xml:space="preserve">The €0 error was a</w:t>
      </w:r>
      <w:r>
        <w:t xml:space="preserve"> </w:t>
      </w:r>
      <w:r>
        <w:rPr>
          <w:iCs/>
          <w:i/>
        </w:rPr>
        <w:t xml:space="preserve">known-false string</w:t>
      </w:r>
      <w:r>
        <w:t xml:space="preserve">, which is exactly what a lint catches — and it propagated to six files precisely because nothing mechanical stood between drafting and committing. Option 2 sounds more thorough and is in practice what already happened: two reviewers caught it, unprompted, and codifying that into a checklist step is unlikely to make it happen more reliably. Option 3 is 1 plus a process nobody will follow. Do the narrow mechanical thing that would have worked, and leave review as the thing humans already do well.)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Reversibility:</w:t>
      </w:r>
      <w:r>
        <w:t xml:space="preserve"> </w:t>
      </w:r>
      <w:r>
        <w:t xml:space="preserve">two-way door. A lint rule is one file and revertible; a false negative costs nothing beyond the status quo.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Unblocks:</w:t>
      </w:r>
      <w:r>
        <w:t xml:space="preserve"> </w:t>
      </w:r>
      <w:r>
        <w:t xml:space="preserve">the pre-publish gate for the harness-language exposure pack (§7.4), and any future cost claim reaching the store or investor pages.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Cost of delay:</w:t>
      </w:r>
      <w:r>
        <w:t xml:space="preserve"> </w:t>
      </w:r>
      <w:r>
        <w:t xml:space="preserve">low but sharp-edged. The next €0-shaped claim is cheap to write and expensive to retract once it is on an investor surface.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Rests on: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— the six-file propagation is in this session’s own git history; the KB concept naming the banned strings already exists. Nothing here depends on a claim from outside the repo.</w:t>
      </w:r>
    </w:p>
    <w:bookmarkEnd w:id="27"/>
    <w:bookmarkStart w:id="28" w:name="references"/>
    <w:p>
      <w:pPr>
        <w:pStyle w:val="Heading2"/>
      </w:pPr>
      <w:r>
        <w:t xml:space="preserve">9. References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docs/PHD_FIREHORSE_{EN,FI}.md</w:t>
      </w:r>
      <w:r>
        <w:t xml:space="preserve"> </w:t>
      </w:r>
      <w:r>
        <w:t xml:space="preserve">§14.45 / Key Contribution #50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kb/wiki/concepts/bounded-not-zero-sovereign-compute-economics.md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kb/wiki/concepts/harness-cost-is-a-pl-line-item.md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DWS_LEARNING_STANDARD.md</w:t>
      </w:r>
      <w:r>
        <w:t xml:space="preserve"> </w:t>
      </w:r>
      <w:r>
        <w:t xml:space="preserve">§10.1.1 (v1.4)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docs/blog-drafts/harness-paywall-depth-arbitrage.md</w:t>
      </w:r>
      <w:r>
        <w:t xml:space="preserve"> </w:t>
      </w:r>
      <w:r>
        <w:t xml:space="preserve">(Status: APPROVED)</w:t>
      </w:r>
      <w:r>
        <w:t xml:space="preserve"> </w:t>
      </w:r>
      <w:r>
        <w:rPr>
          <w:iCs/>
          <w:i/>
        </w:rPr>
        <w:t xml:space="preserve">(DWS internal)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onelifetime.world/posts/harness-paywall-depth-arbitrage.html</w:t>
      </w:r>
      <w:r>
        <w:t xml:space="preserve"> </w:t>
      </w:r>
      <w:r>
        <w:t xml:space="preserve">(published 30.07.2026)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scripts/record-session-tokens.mjs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scripts/weekly/depth-curve-sweep.mjs</w:t>
      </w:r>
      <w:r>
        <w:t xml:space="preserve"> </w:t>
      </w:r>
      <w:r>
        <w:rPr>
          <w:iCs/>
          <w:i/>
        </w:rPr>
        <w:t xml:space="preserve">(DWS internal)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follows DWS Document Standard and DWS Learning Standard (EU AI Act Article 14).</w:t>
      </w:r>
      <w:r>
        <w:t xml:space="preserve"> </w:t>
      </w:r>
      <w:r>
        <w:rPr>
          <w:iCs/>
          <w:i/>
        </w:rPr>
        <w:t xml:space="preserve">Ontology: Governance &gt; Human Oversight &gt; Session Learning Outcome &gt; Claim-Level Truth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2026-07-30T19:09:01Z</dcterms:created>
  <dcterms:modified xsi:type="dcterms:W3CDTF">2026-07-30T19:09:01Z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