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Xe08f19d963fcfc22e8cf080645b0201abb9438e"/>
    <w:p>
      <w:pPr>
        <w:pStyle w:val="Heading1"/>
      </w:pPr>
      <w:r>
        <w:t xml:space="preserve">DWS7 ROADMAP — From Pilot to 16 Paying Industrial Customers</w:t>
      </w:r>
    </w:p>
    <w:p>
      <w:pPr>
        <w:pStyle w:val="BlockText"/>
      </w:pPr>
      <w:r>
        <w:rPr>
          <w:bCs/>
          <w:b/>
        </w:rPr>
        <w:t xml:space="preserve">Document Standard:</w:t>
      </w:r>
      <w:r>
        <w:t xml:space="preserve"> </w:t>
      </w:r>
      <w:r>
        <w:t xml:space="preserve">DWS Document Standard v2.0</w:t>
      </w:r>
      <w:r>
        <w:t xml:space="preserve"> </w:t>
      </w:r>
      <w:r>
        <w:rPr>
          <w:bCs/>
          <w:b/>
        </w:rPr>
        <w:t xml:space="preserve">Version:</w:t>
      </w:r>
      <w:r>
        <w:t xml:space="preserve"> </w:t>
      </w:r>
      <w:r>
        <w:t xml:space="preserve">1.7.1</w:t>
      </w:r>
      <w:r>
        <w:t xml:space="preserve"> </w:t>
      </w:r>
      <w:r>
        <w:rPr>
          <w:bCs/>
          <w:b/>
        </w:rPr>
        <w:t xml:space="preserve">Status:</w:t>
      </w:r>
      <w:r>
        <w:t xml:space="preserve"> </w:t>
      </w:r>
      <w:r>
        <w:t xml:space="preserve">Living Document (auto-tracked weekly)</w:t>
      </w:r>
      <w:r>
        <w:t xml:space="preserve"> </w:t>
      </w:r>
      <w:r>
        <w:rPr>
          <w:bCs/>
          <w:b/>
        </w:rPr>
        <w:t xml:space="preserve">Created:</w:t>
      </w:r>
      <w:r>
        <w:t xml:space="preserve"> </w:t>
      </w:r>
      <w:r>
        <w:t xml:space="preserve">2026-02-12</w:t>
      </w:r>
      <w:r>
        <w:t xml:space="preserve"> </w:t>
      </w:r>
      <w:r>
        <w:rPr>
          <w:bCs/>
          <w:b/>
        </w:rPr>
        <w:t xml:space="preserve">Updated:</w:t>
      </w:r>
      <w:r>
        <w:t xml:space="preserve"> </w:t>
      </w:r>
      <w:r>
        <w:t xml:space="preserve">2026-08-06 — Positioning content shipped: the six commercial value-creation drivers (capabilities/orchestration, regulation/compliance, industry knowledge, economics/scale, cultural differentiation, continuous learning — canonical source</w:t>
      </w:r>
      <w:r>
        <w:t xml:space="preserve"> </w:t>
      </w:r>
      <w:r>
        <w:rPr>
          <w:rStyle w:val="VerbatimChar"/>
        </w:rPr>
        <w:t xml:space="preserve">docs/KONSULTOINNIN_KASIKIRJA_2026.md</w:t>
      </w:r>
      <w:r>
        <w:t xml:space="preserve"> </w:t>
      </w:r>
      <w:r>
        <w:t xml:space="preserve">§2.1) published as a 5-language blog post (</w:t>
      </w:r>
      <w:r>
        <w:rPr>
          <w:rStyle w:val="VerbatimChar"/>
        </w:rPr>
        <w:t xml:space="preserve">onelifetime.world/posts/arvonluonnin-ajurit-2026*.html</w:t>
      </w:r>
      <w:r>
        <w:t xml:space="preserve">,</w:t>
      </w:r>
      <w:r>
        <w:t xml:space="preserve"> </w:t>
      </w:r>
      <w:r>
        <w:rPr>
          <w:rStyle w:val="VerbatimChar"/>
        </w:rPr>
        <w:t xml:space="preserve">docs/BLOG_STANDARD.md</w:t>
      </w:r>
      <w:r>
        <w:t xml:space="preserve"> </w:t>
      </w:r>
      <w:r>
        <w:t xml:space="preserve">#49–53). No PR/phase content changed — this is a go-to-market artifact, not a product PR. Previously: 2026-05-31 — CEO reshape (Cortex AI-native framing): rewrote Executive Summary around the</w:t>
      </w:r>
      <w:r>
        <w:t xml:space="preserve"> </w:t>
      </w:r>
      <w:r>
        <w:t xml:space="preserve">“</w:t>
      </w:r>
      <w:r>
        <w:t xml:space="preserve">Cortex Orchestrator + AI Actions layer for EU industrial carbon</w:t>
      </w:r>
      <w:r>
        <w:t xml:space="preserve">”</w:t>
      </w:r>
      <w:r>
        <w:t xml:space="preserve"> </w:t>
      </w:r>
      <w:r>
        <w:t xml:space="preserve">thesis (DWS owns layer 5 — signed regulatory filings — while horizontals commoditize layers 1–4); added Cortex-shift framing to Phase 2.6; pulled EUTL transaction-verified Scope 3 forward from DWS 8 (new PR 093I, was 8-041 single-entity slice); Firehorse agents re-chartered as ledger-native (see</w:t>
      </w:r>
      <w:r>
        <w:t xml:space="preserve"> </w:t>
      </w:r>
      <w:r>
        <w:rPr>
          <w:rStyle w:val="VerbatimChar"/>
        </w:rPr>
        <w:t xml:space="preserve">AI_AGENT_GUIDELINES.md</w:t>
      </w:r>
      <w:r>
        <w:t xml:space="preserve"> </w:t>
      </w:r>
      <w:r>
        <w:t xml:space="preserve">§2 LedgerNativeAgentOutput contract). Phase 2 56→57 PRs, total 261→262. Previously: 2026-05-23 — Added Phase 4.6 Situation Room — Strategic Command Surface (PRs 177A–177D): product-surface scaffold, LWM V2 NIM container, Control Room ↔ Situation Room federation, KYA TC-3 access control. Sits next to §4.5 eIDAS 2.0 &amp; Trust Services (added separately via #1376). Decision record:</w:t>
      </w:r>
      <w:r>
        <w:t xml:space="preserve"> </w:t>
      </w:r>
      <w:r>
        <w:rPr>
          <w:rStyle w:val="VerbatimChar"/>
        </w:rPr>
        <w:t xml:space="preserve">docs/field-notes/2026-05-15-nvfp4-pretraining-for-control-room-lwm.md</w:t>
      </w:r>
      <w:r>
        <w:t xml:space="preserve"> </w:t>
      </w:r>
      <w:r>
        <w:t xml:space="preserve">(V2 timing pin) and</w:t>
      </w:r>
      <w:r>
        <w:t xml:space="preserve"> </w:t>
      </w:r>
      <w:r>
        <w:rPr>
          <w:rStyle w:val="VerbatimChar"/>
        </w:rPr>
        <w:t xml:space="preserve">docs/field-notes/2026-05-23-lwm-price-estimate-colab-vs-nvidia-cloud.md</w:t>
      </w:r>
      <w:r>
        <w:t xml:space="preserve"> </w:t>
      </w:r>
      <w:r>
        <w:t xml:space="preserve">(two-budget split). Previously: 2026-04-16 — Added Phase 6.4 Multi-Jurisdiction Infrastructure (PRs 248–251): jurisdiction router, UAE/G42 integration, ASEA scaffold, 4-jurisdiction sovereignty score engine. Decision record: docs/field-notes/2026-04-16-jurisdiction-expansion-dws7.md</w:t>
      </w:r>
      <w:r>
        <w:t xml:space="preserve"> </w:t>
      </w:r>
      <w:r>
        <w:rPr>
          <w:bCs/>
          <w:b/>
        </w:rPr>
        <w:t xml:space="preserve">Timeline:</w:t>
      </w:r>
      <w:r>
        <w:t xml:space="preserve"> </w:t>
      </w:r>
      <w:r>
        <w:t xml:space="preserve">Q1 2026 → Q4 2027 (22 months)</w:t>
      </w:r>
      <w:r>
        <w:t xml:space="preserve"> </w:t>
      </w:r>
      <w:r>
        <w:rPr>
          <w:bCs/>
          <w:b/>
        </w:rPr>
        <w:t xml:space="preserve">Target:</w:t>
      </w:r>
      <w:r>
        <w:t xml:space="preserve"> </w:t>
      </w:r>
      <w:r>
        <w:t xml:space="preserve">DWS IQ 7 — Production-grade, 16 industrial customers, investors signed, profitable</w:t>
      </w:r>
    </w:p>
    <w:p>
      <w:r>
        <w:pict>
          <v:rect style="width:0;height:1.5pt" o:hralign="center" o:hrstd="t" o:hr="t"/>
        </w:pict>
      </w:r>
    </w:p>
    <w:bookmarkStart w:id="20" w:name="executive-summary"/>
    <w:p>
      <w:pPr>
        <w:pStyle w:val="Heading2"/>
      </w:pPr>
      <w:r>
        <w:t xml:space="preserve">Executive Summary</w:t>
      </w:r>
    </w:p>
    <w:p>
      <w:pPr>
        <w:pStyle w:val="FirstParagraph"/>
      </w:pPr>
      <w:r>
        <w:rPr>
          <w:bCs/>
          <w:b/>
        </w:rPr>
        <w:t xml:space="preserve">Positioning (the one sentence):</w:t>
      </w:r>
      <w:r>
        <w:t xml:space="preserve"> </w:t>
      </w:r>
      <w:r>
        <w:t xml:space="preserve">DWS IQ 7 is the</w:t>
      </w:r>
      <w:r>
        <w:t xml:space="preserve"> </w:t>
      </w:r>
      <w:r>
        <w:rPr>
          <w:bCs/>
          <w:b/>
        </w:rPr>
        <w:t xml:space="preserve">Cortex Orchestrator + AI Actions layer for EU industrial carbon</w:t>
      </w:r>
      <w:r>
        <w:t xml:space="preserve"> </w:t>
      </w:r>
      <w:r>
        <w:t xml:space="preserve">— the only platform that turns an LLM answer into a</w:t>
      </w:r>
      <w:r>
        <w:t xml:space="preserve"> </w:t>
      </w:r>
      <w:r>
        <w:rPr>
          <w:iCs/>
          <w:i/>
        </w:rPr>
        <w:t xml:space="preserve">signed, sovereign regulatory filing</w:t>
      </w:r>
      <w:r>
        <w:t xml:space="preserve">.</w:t>
      </w:r>
    </w:p>
    <w:p>
      <w:pPr>
        <w:pStyle w:val="BodyText"/>
      </w:pPr>
      <w:r>
        <w:t xml:space="preserve">The industry is converging on one stack: Data → Unified Platform → Semantic/Vector → Frontier LLM → Orchestrator → AI Actions. Snowflake Cortex, Databricks Mosaic, and Palantir AIP commoditize layers 1–4 across 2026–2027. DWS owns</w:t>
      </w:r>
      <w:r>
        <w:t xml:space="preserve"> </w:t>
      </w:r>
      <w:r>
        <w:rPr>
          <w:bCs/>
          <w:b/>
        </w:rPr>
        <w:t xml:space="preserve">layer 5</w:t>
      </w:r>
      <w:r>
        <w:t xml:space="preserve">: the carbon balance sheet, the iXBRL signature, and the EU AI Act Article 12 lineage attached to every entry. Old BI ended at a dashboard; AI-native Cortex ends at an answer;</w:t>
      </w:r>
      <w:r>
        <w:t xml:space="preserve"> </w:t>
      </w:r>
      <w:r>
        <w:rPr>
          <w:bCs/>
          <w:b/>
        </w:rPr>
        <w:t xml:space="preserve">DWS ends at a</w:t>
      </w:r>
      <w:r>
        <w:rPr>
          <w:bCs/>
          <w:b/>
        </w:rPr>
        <w:t xml:space="preserve"> </w:t>
      </w:r>
      <w:r>
        <w:rPr>
          <w:iCs/>
          <w:i/>
          <w:bCs/>
          <w:b/>
        </w:rPr>
        <w:t xml:space="preserve">filed</w:t>
      </w:r>
      <w:r>
        <w:rPr>
          <w:bCs/>
          <w:b/>
        </w:rPr>
        <w:t xml:space="preserve"> </w:t>
      </w:r>
      <w:r>
        <w:rPr>
          <w:bCs/>
          <w:b/>
        </w:rPr>
        <w:t xml:space="preserve">CSRD report, a</w:t>
      </w:r>
      <w:r>
        <w:rPr>
          <w:bCs/>
          <w:b/>
        </w:rPr>
        <w:t xml:space="preserve"> </w:t>
      </w:r>
      <w:r>
        <w:rPr>
          <w:iCs/>
          <w:i/>
          <w:bCs/>
          <w:b/>
        </w:rPr>
        <w:t xml:space="preserve">settled</w:t>
      </w:r>
      <w:r>
        <w:rPr>
          <w:bCs/>
          <w:b/>
        </w:rPr>
        <w:t xml:space="preserve"> </w:t>
      </w:r>
      <w:r>
        <w:rPr>
          <w:bCs/>
          <w:b/>
        </w:rPr>
        <w:t xml:space="preserve">CBAM declaration, and a</w:t>
      </w:r>
      <w:r>
        <w:rPr>
          <w:bCs/>
          <w:b/>
        </w:rPr>
        <w:t xml:space="preserve"> </w:t>
      </w:r>
      <w:r>
        <w:rPr>
          <w:iCs/>
          <w:i/>
          <w:bCs/>
          <w:b/>
        </w:rPr>
        <w:t xml:space="preserve">posted</w:t>
      </w:r>
      <w:r>
        <w:rPr>
          <w:bCs/>
          <w:b/>
        </w:rPr>
        <w:t xml:space="preserve"> </w:t>
      </w:r>
      <w:r>
        <w:rPr>
          <w:bCs/>
          <w:b/>
        </w:rPr>
        <w:t xml:space="preserve">journal entry in the customer’s ERP</w:t>
      </w:r>
      <w:r>
        <w:t xml:space="preserve"> </w:t>
      </w:r>
      <w:r>
        <w:t xml:space="preserve">— on hardware in the customer’s building, with no data leaving the EU. Cortex generates text; DWS posts journal entries.</w:t>
      </w:r>
    </w:p>
    <w:tbl>
      <w:tblPr>
        <w:tblStyle w:val="Table"/>
        <w:tblW w:type="pct" w:w="5000"/>
        <w:tblLook w:firstRow="1" w:lastRow="0" w:firstColumn="0" w:lastColumn="0" w:noHBand="0" w:noVBand="0" w:val="0020"/>
        <w:jc w:val="start"/>
      </w:tblPr>
      <w:tblGrid>
        <w:gridCol w:w="1171"/>
        <w:gridCol w:w="3513"/>
        <w:gridCol w:w="3234"/>
      </w:tblGrid>
      <w:tr>
        <w:trPr>
          <w:tblHeader w:val="true"/>
        </w:trPr>
        <w:tc>
          <w:tcPr/>
          <w:p>
            <w:pPr>
              <w:pStyle w:val="Compact"/>
              <w:jc w:val="left"/>
            </w:pPr>
            <w:r>
              <w:t xml:space="preserve">Cortex Layer</w:t>
            </w:r>
          </w:p>
        </w:tc>
        <w:tc>
          <w:tcPr/>
          <w:p>
            <w:pPr>
              <w:pStyle w:val="Compact"/>
              <w:jc w:val="left"/>
            </w:pPr>
            <w:r>
              <w:t xml:space="preserve">DWS equivalent</w:t>
            </w:r>
          </w:p>
        </w:tc>
        <w:tc>
          <w:tcPr/>
          <w:p>
            <w:pPr>
              <w:pStyle w:val="Compact"/>
              <w:jc w:val="left"/>
            </w:pPr>
            <w:r>
              <w:t xml:space="preserve">Defensibility vs a horizontal Cortex deployment</w:t>
            </w:r>
          </w:p>
        </w:tc>
      </w:tr>
      <w:tr>
        <w:tc>
          <w:tcPr/>
          <w:p>
            <w:pPr>
              <w:pStyle w:val="Compact"/>
              <w:jc w:val="left"/>
            </w:pPr>
            <w:r>
              <w:t xml:space="preserve">Unified Data Platform</w:t>
            </w:r>
          </w:p>
        </w:tc>
        <w:tc>
          <w:tcPr/>
          <w:p>
            <w:pPr>
              <w:pStyle w:val="Compact"/>
              <w:jc w:val="left"/>
            </w:pPr>
            <w:r>
              <w:t xml:space="preserve">18-source carbon data mesh (EUTL, ENTSO-E, EFRAG XBRL, PRODCOM)</w:t>
            </w:r>
          </w:p>
        </w:tc>
        <w:tc>
          <w:tcPr/>
          <w:p>
            <w:pPr>
              <w:pStyle w:val="Compact"/>
              <w:jc w:val="left"/>
            </w:pPr>
            <w:r>
              <w:t xml:space="preserve">HIGH — no curated EU regulatory corpus off the shelf</w:t>
            </w:r>
          </w:p>
        </w:tc>
      </w:tr>
      <w:tr>
        <w:tc>
          <w:tcPr/>
          <w:p>
            <w:pPr>
              <w:pStyle w:val="Compact"/>
              <w:jc w:val="left"/>
            </w:pPr>
            <w:r>
              <w:t xml:space="preserve">Semantic / Vector</w:t>
            </w:r>
          </w:p>
        </w:tc>
        <w:tc>
          <w:tcPr/>
          <w:p>
            <w:pPr>
              <w:pStyle w:val="Compact"/>
              <w:jc w:val="left"/>
            </w:pPr>
            <w:r>
              <w:t xml:space="preserve">pgvector + ESRS/CBAM/ETS ontology (82 disclosures)</w:t>
            </w:r>
          </w:p>
        </w:tc>
        <w:tc>
          <w:tcPr/>
          <w:p>
            <w:pPr>
              <w:pStyle w:val="Compact"/>
              <w:jc w:val="left"/>
            </w:pPr>
            <w:r>
              <w:t xml:space="preserve">MEDIUM — replicable, but the ontology is the asset</w:t>
            </w:r>
          </w:p>
        </w:tc>
      </w:tr>
      <w:tr>
        <w:tc>
          <w:tcPr/>
          <w:p>
            <w:pPr>
              <w:pStyle w:val="Compact"/>
              <w:jc w:val="left"/>
            </w:pPr>
            <w:r>
              <w:t xml:space="preserve">Frontier LLMs</w:t>
            </w:r>
          </w:p>
        </w:tc>
        <w:tc>
          <w:tcPr/>
          <w:p>
            <w:pPr>
              <w:pStyle w:val="Compact"/>
              <w:jc w:val="left"/>
            </w:pPr>
            <w:r>
              <w:t xml:space="preserve">Groq + Nemotron 3 Super on Acer GN100</w:t>
            </w:r>
          </w:p>
        </w:tc>
        <w:tc>
          <w:tcPr/>
          <w:p>
            <w:pPr>
              <w:pStyle w:val="Compact"/>
              <w:jc w:val="left"/>
            </w:pPr>
            <w:r>
              <w:t xml:space="preserve">LOW on raw intelligence, HIGH on sovereign local inference</w:t>
            </w:r>
          </w:p>
        </w:tc>
      </w:tr>
      <w:tr>
        <w:tc>
          <w:tcPr/>
          <w:p>
            <w:pPr>
              <w:pStyle w:val="Compact"/>
              <w:jc w:val="left"/>
            </w:pPr>
            <w:r>
              <w:t xml:space="preserve">Orchestrator</w:t>
            </w:r>
          </w:p>
        </w:tc>
        <w:tc>
          <w:tcPr/>
          <w:p>
            <w:pPr>
              <w:pStyle w:val="Compact"/>
              <w:jc w:val="left"/>
            </w:pPr>
            <w:r>
              <w:t xml:space="preserve">Brain–Memory–Body–Hands + 15 ledger-native Firehorse agents</w:t>
            </w:r>
          </w:p>
        </w:tc>
        <w:tc>
          <w:tcPr/>
          <w:p>
            <w:pPr>
              <w:pStyle w:val="Compact"/>
              <w:jc w:val="left"/>
            </w:pPr>
            <w:r>
              <w:t xml:space="preserve">MEDIUM — same shape, domain-specialized output contract</w:t>
            </w:r>
          </w:p>
        </w:tc>
      </w:tr>
      <w:tr>
        <w:tc>
          <w:tcPr/>
          <w:p>
            <w:pPr>
              <w:pStyle w:val="Compact"/>
              <w:jc w:val="left"/>
            </w:pPr>
            <w:r>
              <w:t xml:space="preserve">AI Actions / Outcomes</w:t>
            </w:r>
          </w:p>
        </w:tc>
        <w:tc>
          <w:tcPr/>
          <w:p>
            <w:pPr>
              <w:pStyle w:val="Compact"/>
              <w:jc w:val="left"/>
            </w:pPr>
            <w:r>
              <w:t xml:space="preserve">Signed iXBRL filing, ledger entry, ERP GL writeback</w:t>
            </w:r>
          </w:p>
        </w:tc>
        <w:tc>
          <w:tcPr/>
          <w:p>
            <w:pPr>
              <w:pStyle w:val="Compact"/>
              <w:jc w:val="left"/>
            </w:pPr>
            <w:r>
              <w:t xml:space="preserve">HIGH — Cortex stops at the answer; DWS finishes the action</w:t>
            </w:r>
          </w:p>
        </w:tc>
      </w:tr>
    </w:tbl>
    <w:p>
      <w:pPr>
        <w:pStyle w:val="BodyText"/>
      </w:pPr>
      <w:r>
        <w:rPr>
          <w:bCs/>
          <w:b/>
        </w:rPr>
        <w:t xml:space="preserve">Proof targets (Q4 2027 GA):</w:t>
      </w:r>
      <w:r>
        <w:t xml:space="preserve"> </w:t>
      </w:r>
      <w:r>
        <w:t xml:space="preserve">16 paying industrial customers (steel, cement, chemicals, construction, energy), €72K MRR, ISO 27001 certified, ledger-backed CSRD/CBAM artifacts demonstrable end-to-end.</w:t>
      </w:r>
    </w:p>
    <w:p>
      <w:pPr>
        <w:pStyle w:val="BodyText"/>
      </w:pPr>
      <w:r>
        <w:t xml:space="preserve">DWS IQ 6 is a pilot-phase climate intelligence platform with strong foundations: Express/TypeScript backend, React 19 dashboard,</w:t>
      </w:r>
      <w:r>
        <w:t xml:space="preserve"> </w:t>
      </w:r>
      <w:r>
        <w:rPr>
          <w:bCs/>
          <w:b/>
        </w:rPr>
        <w:t xml:space="preserve">15 AI agents</w:t>
      </w:r>
      <w:r>
        <w:t xml:space="preserve">, MCP orchestration (6 servers), ERP connectors, 3 landing page sites,</w:t>
      </w:r>
      <w:r>
        <w:t xml:space="preserve"> </w:t>
      </w:r>
      <w:r>
        <w:rPr>
          <w:bCs/>
          <w:b/>
        </w:rPr>
        <w:t xml:space="preserve">38 CI/CD workflows</w:t>
      </w:r>
      <w:r>
        <w:t xml:space="preserve">, and</w:t>
      </w:r>
      <w:r>
        <w:t xml:space="preserve"> </w:t>
      </w:r>
      <w:r>
        <w:rPr>
          <w:bCs/>
          <w:b/>
        </w:rPr>
        <w:t xml:space="preserve">52 database migrations</w:t>
      </w:r>
      <w:r>
        <w:t xml:space="preserve">. The gap between today (two enterprise pilots contracted Q1/2026 at €29,950 each) and the Q4/2027 target of a production platform with 16 paying industrial customers and growing profits requires disciplined execution across</w:t>
      </w:r>
      <w:r>
        <w:t xml:space="preserve"> </w:t>
      </w:r>
      <w:r>
        <w:rPr>
          <w:bCs/>
          <w:b/>
        </w:rPr>
        <w:t xml:space="preserve">265 planned pull requests</w:t>
      </w:r>
      <w:r>
        <w:t xml:space="preserve"> </w:t>
      </w:r>
      <w:r>
        <w:t xml:space="preserve">organized in 6 phases.</w:t>
      </w:r>
    </w:p>
    <w:p>
      <w:pPr>
        <w:pStyle w:val="BodyText"/>
      </w:pPr>
      <w:r>
        <w:rPr>
          <w:bCs/>
          <w:b/>
        </w:rPr>
        <w:t xml:space="preserve">Actual velocity (audited 2026-03-15):</w:t>
      </w:r>
      <w:r>
        <w:t xml:space="preserve"> </w:t>
      </w:r>
      <w:r>
        <w:t xml:space="preserve">342 PRs already merged (#132→#829), 1,846 total commits. March 2026 pace: 10 PRs/day, 43 commits/day. The 251-PR roadmap plan has been exceeded in raw PR count, but many PRs are feature additions, fixes, and infrastructure — the roadmap PRs represent specific product milestones that are tracked below.</w:t>
      </w:r>
    </w:p>
    <w:p>
      <w:pPr>
        <w:pStyle w:val="BodyText"/>
      </w:pPr>
      <w:r>
        <w:rPr>
          <w:bCs/>
          <w:b/>
        </w:rPr>
        <w:t xml:space="preserve">Why 261, not 500:</w:t>
      </w:r>
      <w:r>
        <w:t xml:space="preserve"> </w:t>
      </w:r>
      <w:r>
        <w:t xml:space="preserve">Every PR here represents real, necessary work. Inflating to 500 would require splitting atomic changes or inventing unnecessary features. 261 PRs over 22 months = ~12 PRs/week — ambitious but achievable with AI-assisted development. Current velocity (10 PRs/day) exceeds this target.</w:t>
      </w:r>
    </w:p>
    <w:p>
      <w:r>
        <w:pict>
          <v:rect style="width:0;height:1.5pt" o:hralign="center" o:hrstd="t" o:hr="t"/>
        </w:pict>
      </w:r>
    </w:p>
    <w:bookmarkEnd w:id="20"/>
    <w:bookmarkStart w:id="21" w:name="competitive-positioning"/>
    <w:p>
      <w:pPr>
        <w:pStyle w:val="Heading2"/>
      </w:pPr>
      <w:r>
        <w:t xml:space="preserve">Competitive Positioning</w:t>
      </w:r>
    </w:p>
    <w:p>
      <w:pPr>
        <w:pStyle w:val="FirstParagraph"/>
      </w:pPr>
      <w:r>
        <w:t xml:space="preserve">DWS7 exploits</w:t>
      </w:r>
      <w:r>
        <w:t xml:space="preserve"> </w:t>
      </w:r>
      <w:r>
        <w:rPr>
          <w:bCs/>
          <w:b/>
        </w:rPr>
        <w:t xml:space="preserve">4 gaps no competitor fills:</w:t>
      </w:r>
    </w:p>
    <w:tbl>
      <w:tblPr>
        <w:tblStyle w:val="Table"/>
        <w:tblW w:type="pct" w:w="5000"/>
        <w:tblLook w:firstRow="1" w:lastRow="0" w:firstColumn="0" w:lastColumn="0" w:noHBand="0" w:noVBand="0" w:val="0020"/>
        <w:jc w:val="start"/>
      </w:tblPr>
      <w:tblGrid>
        <w:gridCol w:w="815"/>
        <w:gridCol w:w="4052"/>
        <w:gridCol w:w="3052"/>
      </w:tblGrid>
      <w:tr>
        <w:trPr>
          <w:tblHeader w:val="true"/>
        </w:trPr>
        <w:tc>
          <w:tcPr/>
          <w:p>
            <w:pPr>
              <w:pStyle w:val="Compact"/>
              <w:jc w:val="left"/>
            </w:pPr>
            <w:r>
              <w:t xml:space="preserve">Gap</w:t>
            </w:r>
          </w:p>
        </w:tc>
        <w:tc>
          <w:tcPr/>
          <w:p>
            <w:pPr>
              <w:pStyle w:val="Compact"/>
              <w:jc w:val="left"/>
            </w:pPr>
            <w:r>
              <w:t xml:space="preserve">Opportunity</w:t>
            </w:r>
          </w:p>
        </w:tc>
        <w:tc>
          <w:tcPr/>
          <w:p>
            <w:pPr>
              <w:pStyle w:val="Compact"/>
              <w:jc w:val="left"/>
            </w:pPr>
            <w:r>
              <w:t xml:space="preserve">Competitors Missing It</w:t>
            </w:r>
          </w:p>
        </w:tc>
      </w:tr>
      <w:tr>
        <w:tc>
          <w:tcPr/>
          <w:p>
            <w:pPr>
              <w:pStyle w:val="Compact"/>
              <w:jc w:val="left"/>
            </w:pPr>
            <w:r>
              <w:rPr>
                <w:bCs/>
                <w:b/>
              </w:rPr>
              <w:t xml:space="preserve">Unified Fit-for-55 platform</w:t>
            </w:r>
          </w:p>
        </w:tc>
        <w:tc>
          <w:tcPr/>
          <w:p>
            <w:pPr>
              <w:pStyle w:val="Compact"/>
              <w:jc w:val="left"/>
            </w:pPr>
            <w:r>
              <w:t xml:space="preserve">Single platform for ETS + CBAM + CSRD + ESR across 25+ industries</w:t>
            </w:r>
          </w:p>
        </w:tc>
        <w:tc>
          <w:tcPr/>
          <w:p>
            <w:pPr>
              <w:pStyle w:val="Compact"/>
              <w:jc w:val="left"/>
            </w:pPr>
            <w:r>
              <w:t xml:space="preserve">Everyone specializes in one regulation</w:t>
            </w:r>
          </w:p>
        </w:tc>
      </w:tr>
      <w:tr>
        <w:tc>
          <w:tcPr/>
          <w:p>
            <w:pPr>
              <w:pStyle w:val="Compact"/>
              <w:jc w:val="left"/>
            </w:pPr>
            <w:r>
              <w:rPr>
                <w:bCs/>
                <w:b/>
              </w:rPr>
              <w:t xml:space="preserve">IoT-to-compliance pipeline</w:t>
            </w:r>
          </w:p>
        </w:tc>
        <w:tc>
          <w:tcPr/>
          <w:p>
            <w:pPr>
              <w:pStyle w:val="Compact"/>
              <w:jc w:val="left"/>
            </w:pPr>
            <w:r>
              <w:t xml:space="preserve">Sensor data → verified regulatory filings, no manual steps</w:t>
            </w:r>
          </w:p>
        </w:tc>
        <w:tc>
          <w:tcPr/>
          <w:p>
            <w:pPr>
              <w:pStyle w:val="Compact"/>
              <w:jc w:val="left"/>
            </w:pPr>
            <w:r>
              <w:t xml:space="preserve">Schneider does IoT, Persefoni does reporting — nobody bridges them</w:t>
            </w:r>
          </w:p>
        </w:tc>
      </w:tr>
      <w:tr>
        <w:tc>
          <w:tcPr/>
          <w:p>
            <w:pPr>
              <w:pStyle w:val="Compact"/>
              <w:jc w:val="left"/>
            </w:pPr>
            <w:r>
              <w:rPr>
                <w:bCs/>
                <w:b/>
              </w:rPr>
              <w:t xml:space="preserve">Agentic AI compliance</w:t>
            </w:r>
          </w:p>
        </w:tc>
        <w:tc>
          <w:tcPr/>
          <w:p>
            <w:pPr>
              <w:pStyle w:val="Compact"/>
              <w:jc w:val="left"/>
            </w:pPr>
            <w:r>
              <w:t xml:space="preserve">Multi-agent autonomous compliance checking + report generation</w:t>
            </w:r>
          </w:p>
        </w:tc>
        <w:tc>
          <w:tcPr/>
          <w:p>
            <w:pPr>
              <w:pStyle w:val="Compact"/>
              <w:jc w:val="left"/>
            </w:pPr>
            <w:r>
              <w:t xml:space="preserve">CO2 AI and Schneider are exploring; nobody has shipped it</w:t>
            </w:r>
          </w:p>
        </w:tc>
      </w:tr>
      <w:tr>
        <w:tc>
          <w:tcPr/>
          <w:p>
            <w:pPr>
              <w:pStyle w:val="Compact"/>
              <w:jc w:val="left"/>
            </w:pPr>
            <w:r>
              <w:rPr>
                <w:bCs/>
                <w:b/>
              </w:rPr>
              <w:t xml:space="preserve">Sovereign on-premise AI</w:t>
            </w:r>
          </w:p>
        </w:tc>
        <w:tc>
          <w:tcPr/>
          <w:p>
            <w:pPr>
              <w:pStyle w:val="Compact"/>
              <w:jc w:val="left"/>
            </w:pPr>
            <w:r>
              <w:t xml:space="preserve">Compliance workloads that cannot leave the customer’s premises — local inference on dedicated hardware, EU data residency guaranteed by physics not policy</w:t>
            </w:r>
          </w:p>
        </w:tc>
        <w:tc>
          <w:tcPr/>
          <w:p>
            <w:pPr>
              <w:pStyle w:val="Compact"/>
              <w:jc w:val="left"/>
            </w:pPr>
            <w:r>
              <w:t xml:space="preserve">Every SaaS competitor routes data through US cloud APIs; nobody ships on-premise AI inference as a standard offering</w:t>
            </w:r>
          </w:p>
        </w:tc>
      </w:tr>
    </w:tbl>
    <w:p>
      <w:pPr>
        <w:pStyle w:val="BodyText"/>
      </w:pPr>
      <w:r>
        <w:rPr>
          <w:bCs/>
          <w:b/>
        </w:rPr>
        <w:t xml:space="preserve">Market size:</w:t>
      </w:r>
      <w:r>
        <w:t xml:space="preserve"> </w:t>
      </w:r>
      <w:r>
        <w:t xml:space="preserve">Carbon accounting software market grows from $24.3B (2025) to $191.2B (2035) at 22.9% CAGR. Only 13.5% of EU businesses use AI — massive adoption runway.</w:t>
      </w:r>
    </w:p>
    <w:p>
      <w:r>
        <w:pict>
          <v:rect style="width:0;height:1.5pt" o:hralign="center" o:hrstd="t" o:hr="t"/>
        </w:pict>
      </w:r>
    </w:p>
    <w:bookmarkEnd w:id="21"/>
    <w:bookmarkStart w:id="25" w:name="infrastructure-assets"/>
    <w:p>
      <w:pPr>
        <w:pStyle w:val="Heading2"/>
      </w:pPr>
      <w:r>
        <w:t xml:space="preserve">Infrastructure Assets</w:t>
      </w:r>
    </w:p>
    <w:p>
      <w:pPr>
        <w:pStyle w:val="FirstParagraph"/>
      </w:pPr>
      <w:r>
        <w:t xml:space="preserve">Physical and cloud infrastructure already in place entering Phase 1. These are not roadmap PRs — they are existing capital that de-risks execution.</w:t>
      </w:r>
    </w:p>
    <w:bookmarkStart w:id="22" w:name="compute"/>
    <w:p>
      <w:pPr>
        <w:pStyle w:val="Heading3"/>
      </w:pPr>
      <w:r>
        <w:t xml:space="preserve">Compute</w:t>
      </w:r>
    </w:p>
    <w:tbl>
      <w:tblPr>
        <w:tblStyle w:val="Table"/>
        <w:tblW w:type="pct" w:w="5000"/>
        <w:tblLook w:firstRow="1" w:lastRow="0" w:firstColumn="0" w:lastColumn="0" w:noHBand="0" w:noVBand="0" w:val="0020"/>
        <w:jc w:val="start"/>
      </w:tblPr>
      <w:tblGrid>
        <w:gridCol w:w="414"/>
        <w:gridCol w:w="1611"/>
        <w:gridCol w:w="3852"/>
        <w:gridCol w:w="2041"/>
      </w:tblGrid>
      <w:tr>
        <w:trPr>
          <w:tblHeader w:val="true"/>
        </w:trPr>
        <w:tc>
          <w:tcPr/>
          <w:p>
            <w:pPr>
              <w:pStyle w:val="Compact"/>
              <w:jc w:val="left"/>
            </w:pPr>
            <w:r>
              <w:t xml:space="preserve">Asset</w:t>
            </w:r>
          </w:p>
        </w:tc>
        <w:tc>
          <w:tcPr/>
          <w:p>
            <w:pPr>
              <w:pStyle w:val="Compact"/>
              <w:jc w:val="left"/>
            </w:pPr>
            <w:r>
              <w:t xml:space="preserve">Specs</w:t>
            </w:r>
          </w:p>
        </w:tc>
        <w:tc>
          <w:tcPr/>
          <w:p>
            <w:pPr>
              <w:pStyle w:val="Compact"/>
              <w:jc w:val="left"/>
            </w:pPr>
            <w:r>
              <w:t xml:space="preserve">Role</w:t>
            </w:r>
          </w:p>
        </w:tc>
        <w:tc>
          <w:tcPr/>
          <w:p>
            <w:pPr>
              <w:pStyle w:val="Compact"/>
              <w:jc w:val="left"/>
            </w:pPr>
            <w:r>
              <w:t xml:space="preserve">Status</w:t>
            </w:r>
          </w:p>
        </w:tc>
      </w:tr>
      <w:tr>
        <w:tc>
          <w:tcPr/>
          <w:p>
            <w:pPr>
              <w:pStyle w:val="Compact"/>
              <w:jc w:val="left"/>
            </w:pPr>
            <w:r>
              <w:rPr>
                <w:bCs/>
                <w:b/>
              </w:rPr>
              <w:t xml:space="preserve">Acer Veriton GN100</w:t>
            </w:r>
          </w:p>
        </w:tc>
        <w:tc>
          <w:tcPr/>
          <w:p>
            <w:pPr>
              <w:pStyle w:val="Compact"/>
              <w:jc w:val="left"/>
            </w:pPr>
            <w:r>
              <w:t xml:space="preserve">NVIDIA GB10 Grace Blackwell, 128 GB unified LPDDR5x, 20 CPU cores (10× X925 + 10× A725), Ubuntu 24.04 LTS</w:t>
            </w:r>
          </w:p>
        </w:tc>
        <w:tc>
          <w:tcPr/>
          <w:p>
            <w:pPr>
              <w:pStyle w:val="Compact"/>
              <w:jc w:val="left"/>
            </w:pPr>
            <w:r>
              <w:t xml:space="preserve">Local AI inference (Nemotron 3 Super primary, Qwen3-Coder 30B fast, OpenClaw agent runtime), Climate LLM inference for PR 161 fine-tuned adapter (training runs on EU-sovereign cloud GPU — Spark is inference-only), sovereign on-premise product offering</w:t>
            </w:r>
          </w:p>
        </w:tc>
        <w:tc>
          <w:tcPr/>
          <w:p>
            <w:pPr>
              <w:pStyle w:val="Compact"/>
              <w:jc w:val="left"/>
            </w:pPr>
            <w:r>
              <w:t xml:space="preserve">In-house, operational. See</w:t>
            </w:r>
            <w:r>
              <w:t xml:space="preserve"> </w:t>
            </w:r>
            <w:r>
              <w:rPr>
                <w:rStyle w:val="VerbatimChar"/>
              </w:rPr>
              <w:t xml:space="preserve">Admin/Acer-Veriton-GN100/README.md</w:t>
            </w:r>
            <w:r>
              <w:t xml:space="preserve"> </w:t>
            </w:r>
            <w:r>
              <w:t xml:space="preserve">and</w:t>
            </w:r>
            <w:r>
              <w:t xml:space="preserve"> </w:t>
            </w:r>
            <w:r>
              <w:rPr>
                <w:rStyle w:val="VerbatimChar"/>
              </w:rPr>
              <w:t xml:space="preserve">docs/field-notes/2026-03-29-dgx-spark-primary-runtime-setup.md</w:t>
            </w:r>
            <w:r>
              <w:t xml:space="preserve">.</w:t>
            </w:r>
          </w:p>
        </w:tc>
      </w:tr>
      <w:tr>
        <w:tc>
          <w:tcPr/>
          <w:p>
            <w:pPr>
              <w:pStyle w:val="Compact"/>
              <w:jc w:val="left"/>
            </w:pPr>
            <w:r>
              <w:rPr>
                <w:bCs/>
                <w:b/>
              </w:rPr>
              <w:t xml:space="preserve">NVIDIA Jetson Orin Nano</w:t>
            </w:r>
          </w:p>
        </w:tc>
        <w:tc>
          <w:tcPr/>
          <w:p>
            <w:pPr>
              <w:pStyle w:val="Compact"/>
              <w:jc w:val="left"/>
            </w:pPr>
            <w:r>
              <w:t xml:space="preserve">Edge AI module, JetPack SDK</w:t>
            </w:r>
          </w:p>
        </w:tc>
        <w:tc>
          <w:tcPr/>
          <w:p>
            <w:pPr>
              <w:pStyle w:val="Compact"/>
              <w:jc w:val="left"/>
            </w:pPr>
            <w:r>
              <w:t xml:space="preserve">Factory/site edge agent deployment (PR 154), offline IoT-to-compliance</w:t>
            </w:r>
          </w:p>
        </w:tc>
        <w:tc>
          <w:tcPr/>
          <w:p>
            <w:pPr>
              <w:pStyle w:val="Compact"/>
              <w:jc w:val="left"/>
            </w:pPr>
            <w:r>
              <w:t xml:space="preserve">Roadmap target deployment</w:t>
            </w:r>
          </w:p>
        </w:tc>
      </w:tr>
    </w:tbl>
    <w:bookmarkEnd w:id="22"/>
    <w:bookmarkStart w:id="23" w:name="cloud"/>
    <w:p>
      <w:pPr>
        <w:pStyle w:val="Heading3"/>
      </w:pPr>
      <w:r>
        <w:t xml:space="preserve">Cloud</w:t>
      </w:r>
    </w:p>
    <w:tbl>
      <w:tblPr>
        <w:tblStyle w:val="Table"/>
        <w:tblW w:type="pct" w:w="5000"/>
        <w:tblLook w:firstRow="1" w:lastRow="0" w:firstColumn="0" w:lastColumn="0" w:noHBand="0" w:noVBand="0" w:val="0020"/>
        <w:jc w:val="start"/>
      </w:tblPr>
      <w:tblGrid>
        <w:gridCol w:w="1173"/>
        <w:gridCol w:w="2493"/>
        <w:gridCol w:w="4253"/>
      </w:tblGrid>
      <w:tr>
        <w:trPr>
          <w:tblHeader w:val="true"/>
        </w:trPr>
        <w:tc>
          <w:tcPr/>
          <w:p>
            <w:pPr>
              <w:pStyle w:val="Compact"/>
              <w:jc w:val="left"/>
            </w:pPr>
            <w:r>
              <w:t xml:space="preserve">Asset</w:t>
            </w:r>
          </w:p>
        </w:tc>
        <w:tc>
          <w:tcPr/>
          <w:p>
            <w:pPr>
              <w:pStyle w:val="Compact"/>
              <w:jc w:val="left"/>
            </w:pPr>
            <w:r>
              <w:t xml:space="preserve">Provider</w:t>
            </w:r>
          </w:p>
        </w:tc>
        <w:tc>
          <w:tcPr/>
          <w:p>
            <w:pPr>
              <w:pStyle w:val="Compact"/>
              <w:jc w:val="left"/>
            </w:pPr>
            <w:r>
              <w:t xml:space="preserve">Role</w:t>
            </w:r>
          </w:p>
        </w:tc>
      </w:tr>
      <w:tr>
        <w:tc>
          <w:tcPr/>
          <w:p>
            <w:pPr>
              <w:pStyle w:val="Compact"/>
              <w:jc w:val="left"/>
            </w:pPr>
            <w:r>
              <w:t xml:space="preserve">EU Cloud backend</w:t>
            </w:r>
          </w:p>
        </w:tc>
        <w:tc>
          <w:tcPr/>
          <w:p>
            <w:pPr>
              <w:pStyle w:val="Compact"/>
              <w:jc w:val="left"/>
            </w:pPr>
            <w:r>
              <w:t xml:space="preserve">Google Cloud Run (</w:t>
            </w:r>
            <w:r>
              <w:rPr>
                <w:rStyle w:val="VerbatimChar"/>
              </w:rPr>
              <w:t xml:space="preserve">europe-north1</w:t>
            </w:r>
            <w:r>
              <w:t xml:space="preserve">)</w:t>
            </w:r>
          </w:p>
        </w:tc>
        <w:tc>
          <w:tcPr/>
          <w:p>
            <w:pPr>
              <w:pStyle w:val="Compact"/>
              <w:jc w:val="left"/>
            </w:pPr>
            <w:r>
              <w:t xml:space="preserve">Express API, AI agents, EU data residency</w:t>
            </w:r>
          </w:p>
        </w:tc>
      </w:tr>
      <w:tr>
        <w:tc>
          <w:tcPr/>
          <w:p>
            <w:pPr>
              <w:pStyle w:val="Compact"/>
              <w:jc w:val="left"/>
            </w:pPr>
            <w:r>
              <w:t xml:space="preserve">Database</w:t>
            </w:r>
          </w:p>
        </w:tc>
        <w:tc>
          <w:tcPr/>
          <w:p>
            <w:pPr>
              <w:pStyle w:val="Compact"/>
              <w:jc w:val="left"/>
            </w:pPr>
            <w:r>
              <w:t xml:space="preserve">Supabase (EU)</w:t>
            </w:r>
          </w:p>
        </w:tc>
        <w:tc>
          <w:tcPr/>
          <w:p>
            <w:pPr>
              <w:pStyle w:val="Compact"/>
              <w:jc w:val="left"/>
            </w:pPr>
            <w:r>
              <w:t xml:space="preserve">PostgreSQL + Auth + Realtime + pgvector</w:t>
            </w:r>
          </w:p>
        </w:tc>
      </w:tr>
      <w:tr>
        <w:tc>
          <w:tcPr/>
          <w:p>
            <w:pPr>
              <w:pStyle w:val="Compact"/>
              <w:jc w:val="left"/>
            </w:pPr>
            <w:r>
              <w:t xml:space="preserve">CDN / Edge</w:t>
            </w:r>
          </w:p>
        </w:tc>
        <w:tc>
          <w:tcPr/>
          <w:p>
            <w:pPr>
              <w:pStyle w:val="Compact"/>
              <w:jc w:val="left"/>
            </w:pPr>
            <w:r>
              <w:t xml:space="preserve">Cloudflare Pages + Workers</w:t>
            </w:r>
          </w:p>
        </w:tc>
        <w:tc>
          <w:tcPr/>
          <w:p>
            <w:pPr>
              <w:pStyle w:val="Compact"/>
              <w:jc w:val="left"/>
            </w:pPr>
            <w:r>
              <w:t xml:space="preserve">Landing pages, dashboard SPA, edge API</w:t>
            </w:r>
          </w:p>
        </w:tc>
      </w:tr>
      <w:tr>
        <w:tc>
          <w:tcPr/>
          <w:p>
            <w:pPr>
              <w:pStyle w:val="Compact"/>
              <w:jc w:val="left"/>
            </w:pPr>
            <w:r>
              <w:t xml:space="preserve">Full Sov. layer</w:t>
            </w:r>
          </w:p>
        </w:tc>
        <w:tc>
          <w:tcPr/>
          <w:p>
            <w:pPr>
              <w:pStyle w:val="Compact"/>
              <w:jc w:val="left"/>
            </w:pPr>
            <w:r>
              <w:t xml:space="preserve">EU Cloud overlay</w:t>
            </w:r>
          </w:p>
        </w:tc>
        <w:tc>
          <w:tcPr/>
          <w:p>
            <w:pPr>
              <w:pStyle w:val="Compact"/>
              <w:jc w:val="left"/>
            </w:pPr>
            <w:r>
              <w:t xml:space="preserve">EU AI Act Article 12 logging, reasoning lineage (Phase 2+)</w:t>
            </w:r>
          </w:p>
        </w:tc>
      </w:tr>
    </w:tbl>
    <w:bookmarkEnd w:id="23"/>
    <w:bookmarkStart w:id="24" w:name="what-gn100-enables-for-the-roadmap"/>
    <w:p>
      <w:pPr>
        <w:pStyle w:val="Heading3"/>
      </w:pPr>
      <w:r>
        <w:t xml:space="preserve">What GN100 enables for the roadmap</w:t>
      </w:r>
    </w:p>
    <w:p>
      <w:pPr>
        <w:numPr>
          <w:ilvl w:val="0"/>
          <w:numId w:val="1001"/>
        </w:numPr>
        <w:pStyle w:val="Compact"/>
      </w:pPr>
      <w:r>
        <w:rPr>
          <w:bCs/>
          <w:b/>
        </w:rPr>
        <w:t xml:space="preserve">PR 161 (Climate LLM):</w:t>
      </w:r>
      <w:r>
        <w:t xml:space="preserve"> </w:t>
      </w:r>
      <w:r>
        <w:t xml:space="preserve">LoRA fine-tune on Nemotron 3 Super; training on EU-sovereign cloud GPU (Spark is inference-only per Saiyam Pathak 2026-03-13), adapter deploys to the Spark for ~19.5 tok/s local inference, no production data leaving premises at inference time</w:t>
      </w:r>
    </w:p>
    <w:p>
      <w:pPr>
        <w:numPr>
          <w:ilvl w:val="0"/>
          <w:numId w:val="1001"/>
        </w:numPr>
        <w:pStyle w:val="Compact"/>
      </w:pPr>
      <w:r>
        <w:rPr>
          <w:bCs/>
          <w:b/>
        </w:rPr>
        <w:t xml:space="preserve">Sovereign on-premise AI gap:</w:t>
      </w:r>
      <w:r>
        <w:t xml:space="preserve"> </w:t>
      </w:r>
      <w:r>
        <w:t xml:space="preserve">The 4th competitive gap (above) is real because this hardware already exists, and the local Brain is now Nemotron 3 Super (~4.5× faster than dense Llama 70B on the same hardware)</w:t>
      </w:r>
    </w:p>
    <w:p>
      <w:pPr>
        <w:numPr>
          <w:ilvl w:val="0"/>
          <w:numId w:val="1001"/>
        </w:numPr>
        <w:pStyle w:val="Compact"/>
      </w:pPr>
      <w:r>
        <w:rPr>
          <w:bCs/>
          <w:b/>
        </w:rPr>
        <w:t xml:space="preserve">Groq risk mitigation:</w:t>
      </w:r>
      <w:r>
        <w:t xml:space="preserve"> </w:t>
      </w:r>
      <w:r>
        <w:t xml:space="preserve">Immediate local inference fallback via Nemotron 3 Super (~87 GB Q4_K_M) and Qwen3-Coder 30B (~19 GB Q4 MoE) on the Spark — no cloud dependency, no per-token cost</w:t>
      </w:r>
    </w:p>
    <w:p>
      <w:pPr>
        <w:numPr>
          <w:ilvl w:val="0"/>
          <w:numId w:val="1001"/>
        </w:numPr>
        <w:pStyle w:val="Compact"/>
      </w:pPr>
      <w:r>
        <w:rPr>
          <w:bCs/>
          <w:b/>
        </w:rPr>
        <w:t xml:space="preserve">OpenClaw agent runtime:</w:t>
      </w:r>
      <w:r>
        <w:t xml:space="preserve"> </w:t>
      </w:r>
      <w:r>
        <w:t xml:space="preserve">Local autonomous-agent surface for confidential workloads (healthcare / finance / legal / defense data, code review on private repos, 256K-context long-document reasoning) — see</w:t>
      </w:r>
      <w:r>
        <w:t xml:space="preserve"> </w:t>
      </w:r>
      <w:r>
        <w:rPr>
          <w:rStyle w:val="VerbatimChar"/>
        </w:rPr>
        <w:t xml:space="preserve">DWS_DEPLOYMENT_STANDARD.md</w:t>
      </w:r>
      <w:r>
        <w:t xml:space="preserve"> </w:t>
      </w:r>
      <w:r>
        <w:t xml:space="preserve">Surfaces table</w:t>
      </w:r>
    </w:p>
    <w:p>
      <w:pPr>
        <w:numPr>
          <w:ilvl w:val="0"/>
          <w:numId w:val="1001"/>
        </w:numPr>
        <w:pStyle w:val="Compact"/>
      </w:pPr>
      <w:r>
        <w:rPr>
          <w:bCs/>
          <w:b/>
        </w:rPr>
        <w:t xml:space="preserve">EU AI Act Article 12:</w:t>
      </w:r>
      <w:r>
        <w:t xml:space="preserve"> </w:t>
      </w:r>
      <w:r>
        <w:t xml:space="preserve">All local inference workloads log to sovereignty audit layer — compliance-by-default</w:t>
      </w:r>
    </w:p>
    <w:p>
      <w:r>
        <w:pict>
          <v:rect style="width:0;height:1.5pt" o:hralign="center" o:hrstd="t" o:hr="t"/>
        </w:pict>
      </w:r>
    </w:p>
    <w:bookmarkEnd w:id="24"/>
    <w:bookmarkEnd w:id="25"/>
    <w:bookmarkStart w:id="26" w:name="phase-overview"/>
    <w:p>
      <w:pPr>
        <w:pStyle w:val="Heading2"/>
      </w:pPr>
      <w:r>
        <w:t xml:space="preserve">Phase Overview</w:t>
      </w:r>
    </w:p>
    <w:tbl>
      <w:tblPr>
        <w:tblStyle w:val="Table"/>
        <w:tblW w:type="pct" w:w="5000"/>
        <w:tblLook w:firstRow="1" w:lastRow="0" w:firstColumn="0" w:lastColumn="0" w:noHBand="0" w:noVBand="0" w:val="0020"/>
        <w:jc w:val="start"/>
      </w:tblPr>
      <w:tblGrid>
        <w:gridCol w:w="249"/>
        <w:gridCol w:w="846"/>
        <w:gridCol w:w="2191"/>
        <w:gridCol w:w="149"/>
        <w:gridCol w:w="4483"/>
      </w:tblGrid>
      <w:tr>
        <w:trPr>
          <w:tblHeader w:val="true"/>
        </w:trPr>
        <w:tc>
          <w:tcPr/>
          <w:p>
            <w:pPr>
              <w:pStyle w:val="Compact"/>
              <w:jc w:val="left"/>
            </w:pPr>
            <w:r>
              <w:t xml:space="preserve">Phase</w:t>
            </w:r>
          </w:p>
        </w:tc>
        <w:tc>
          <w:tcPr/>
          <w:p>
            <w:pPr>
              <w:pStyle w:val="Compact"/>
              <w:jc w:val="left"/>
            </w:pPr>
            <w:r>
              <w:t xml:space="preserve">Period</w:t>
            </w:r>
          </w:p>
        </w:tc>
        <w:tc>
          <w:tcPr/>
          <w:p>
            <w:pPr>
              <w:pStyle w:val="Compact"/>
              <w:jc w:val="left"/>
            </w:pPr>
            <w:r>
              <w:t xml:space="preserve">Theme</w:t>
            </w:r>
          </w:p>
        </w:tc>
        <w:tc>
          <w:tcPr/>
          <w:p>
            <w:pPr>
              <w:pStyle w:val="Compact"/>
              <w:jc w:val="left"/>
            </w:pPr>
            <w:r>
              <w:t xml:space="preserve">PRs</w:t>
            </w:r>
          </w:p>
        </w:tc>
        <w:tc>
          <w:tcPr/>
          <w:p>
            <w:pPr>
              <w:pStyle w:val="Compact"/>
              <w:jc w:val="left"/>
            </w:pPr>
            <w:r>
              <w:t xml:space="preserve">Milestone</w:t>
            </w:r>
          </w:p>
        </w:tc>
      </w:tr>
      <w:tr>
        <w:tc>
          <w:tcPr/>
          <w:p>
            <w:pPr>
              <w:pStyle w:val="Compact"/>
              <w:jc w:val="left"/>
            </w:pPr>
            <w:r>
              <w:rPr>
                <w:bCs/>
                <w:b/>
              </w:rPr>
              <w:t xml:space="preserve">1</w:t>
            </w:r>
          </w:p>
        </w:tc>
        <w:tc>
          <w:tcPr/>
          <w:p>
            <w:pPr>
              <w:pStyle w:val="Compact"/>
              <w:jc w:val="left"/>
            </w:pPr>
            <w:r>
              <w:t xml:space="preserve">Feb–Apr 2026</w:t>
            </w:r>
          </w:p>
        </w:tc>
        <w:tc>
          <w:tcPr/>
          <w:p>
            <w:pPr>
              <w:pStyle w:val="Compact"/>
              <w:jc w:val="left"/>
            </w:pPr>
            <w:r>
              <w:rPr>
                <w:bCs/>
                <w:b/>
              </w:rPr>
              <w:t xml:space="preserve">Launch &amp; Stabilize</w:t>
            </w:r>
          </w:p>
        </w:tc>
        <w:tc>
          <w:tcPr/>
          <w:p>
            <w:pPr>
              <w:pStyle w:val="Compact"/>
              <w:jc w:val="left"/>
            </w:pPr>
            <w:r>
              <w:t xml:space="preserve">45</w:t>
            </w:r>
          </w:p>
        </w:tc>
        <w:tc>
          <w:tcPr/>
          <w:p>
            <w:pPr>
              <w:pStyle w:val="Compact"/>
              <w:jc w:val="left"/>
            </w:pPr>
            <w:r>
              <w:t xml:space="preserve">V1.0 production launch, first 3 paying customers</w:t>
            </w:r>
          </w:p>
        </w:tc>
      </w:tr>
      <w:tr>
        <w:tc>
          <w:tcPr/>
          <w:p>
            <w:pPr>
              <w:pStyle w:val="Compact"/>
              <w:jc w:val="left"/>
            </w:pPr>
            <w:r>
              <w:rPr>
                <w:bCs/>
                <w:b/>
              </w:rPr>
              <w:t xml:space="preserve">2</w:t>
            </w:r>
          </w:p>
        </w:tc>
        <w:tc>
          <w:tcPr/>
          <w:p>
            <w:pPr>
              <w:pStyle w:val="Compact"/>
              <w:jc w:val="left"/>
            </w:pPr>
            <w:r>
              <w:t xml:space="preserve">May–Jul 2026</w:t>
            </w:r>
          </w:p>
        </w:tc>
        <w:tc>
          <w:tcPr/>
          <w:p>
            <w:pPr>
              <w:pStyle w:val="Compact"/>
              <w:jc w:val="left"/>
            </w:pPr>
            <w:r>
              <w:rPr>
                <w:bCs/>
                <w:b/>
              </w:rPr>
              <w:t xml:space="preserve">Compliance Engine + Carbon Balance Sheet</w:t>
            </w:r>
          </w:p>
        </w:tc>
        <w:tc>
          <w:tcPr/>
          <w:p>
            <w:pPr>
              <w:pStyle w:val="Compact"/>
              <w:jc w:val="left"/>
            </w:pPr>
            <w:r>
              <w:t xml:space="preserve">57</w:t>
            </w:r>
          </w:p>
        </w:tc>
        <w:tc>
          <w:tcPr/>
          <w:p>
            <w:pPr>
              <w:pStyle w:val="Compact"/>
              <w:jc w:val="left"/>
            </w:pPr>
            <w:r>
              <w:t xml:space="preserve">Full Fit-for-55 coverage, EU AI Act compliance, debit-credit ledger, EUTL-verified Scope 3</w:t>
            </w:r>
          </w:p>
        </w:tc>
      </w:tr>
      <w:tr>
        <w:tc>
          <w:tcPr/>
          <w:p>
            <w:pPr>
              <w:pStyle w:val="Compact"/>
              <w:jc w:val="left"/>
            </w:pPr>
            <w:r>
              <w:rPr>
                <w:bCs/>
                <w:b/>
              </w:rPr>
              <w:t xml:space="preserve">3</w:t>
            </w:r>
          </w:p>
        </w:tc>
        <w:tc>
          <w:tcPr/>
          <w:p>
            <w:pPr>
              <w:pStyle w:val="Compact"/>
              <w:jc w:val="left"/>
            </w:pPr>
            <w:r>
              <w:t xml:space="preserve">Aug–Oct 2026</w:t>
            </w:r>
          </w:p>
        </w:tc>
        <w:tc>
          <w:tcPr/>
          <w:p>
            <w:pPr>
              <w:pStyle w:val="Compact"/>
              <w:jc w:val="left"/>
            </w:pPr>
            <w:r>
              <w:rPr>
                <w:bCs/>
                <w:b/>
              </w:rPr>
              <w:t xml:space="preserve">Scale &amp; Harden</w:t>
            </w:r>
          </w:p>
        </w:tc>
        <w:tc>
          <w:tcPr/>
          <w:p>
            <w:pPr>
              <w:pStyle w:val="Compact"/>
              <w:jc w:val="left"/>
            </w:pPr>
            <w:r>
              <w:t xml:space="preserve">48</w:t>
            </w:r>
          </w:p>
        </w:tc>
        <w:tc>
          <w:tcPr/>
          <w:p>
            <w:pPr>
              <w:pStyle w:val="Compact"/>
              <w:jc w:val="left"/>
            </w:pPr>
            <w:r>
              <w:t xml:space="preserve">8 customers, ISO 27001 initiated, SOC 2 prep, Aegis K8s inference infra</w:t>
            </w:r>
          </w:p>
        </w:tc>
      </w:tr>
      <w:tr>
        <w:tc>
          <w:tcPr/>
          <w:p>
            <w:pPr>
              <w:pStyle w:val="Compact"/>
              <w:jc w:val="left"/>
            </w:pPr>
            <w:r>
              <w:rPr>
                <w:bCs/>
                <w:b/>
              </w:rPr>
              <w:t xml:space="preserve">4</w:t>
            </w:r>
          </w:p>
        </w:tc>
        <w:tc>
          <w:tcPr/>
          <w:p>
            <w:pPr>
              <w:pStyle w:val="Compact"/>
              <w:jc w:val="left"/>
            </w:pPr>
            <w:r>
              <w:t xml:space="preserve">Nov 2026–Jan 2027</w:t>
            </w:r>
          </w:p>
        </w:tc>
        <w:tc>
          <w:tcPr/>
          <w:p>
            <w:pPr>
              <w:pStyle w:val="Compact"/>
              <w:jc w:val="left"/>
            </w:pPr>
            <w:r>
              <w:rPr>
                <w:bCs/>
                <w:b/>
              </w:rPr>
              <w:t xml:space="preserve">Intelligence Layer</w:t>
            </w:r>
          </w:p>
        </w:tc>
        <w:tc>
          <w:tcPr/>
          <w:p>
            <w:pPr>
              <w:pStyle w:val="Compact"/>
              <w:jc w:val="left"/>
            </w:pPr>
            <w:r>
              <w:t xml:space="preserve">40</w:t>
            </w:r>
          </w:p>
        </w:tc>
        <w:tc>
          <w:tcPr/>
          <w:p>
            <w:pPr>
              <w:pStyle w:val="Compact"/>
              <w:jc w:val="left"/>
            </w:pPr>
            <w:r>
              <w:t xml:space="preserve">Agentic AI workflows, IoT pipeline live,</w:t>
            </w:r>
            <w:r>
              <w:t xml:space="preserve"> </w:t>
            </w:r>
            <w:r>
              <w:rPr>
                <w:bCs/>
                <w:b/>
              </w:rPr>
              <w:t xml:space="preserve">Situation Room ships (LWM V2)</w:t>
            </w:r>
          </w:p>
        </w:tc>
      </w:tr>
      <w:tr>
        <w:tc>
          <w:tcPr/>
          <w:p>
            <w:pPr>
              <w:pStyle w:val="Compact"/>
              <w:jc w:val="left"/>
            </w:pPr>
            <w:r>
              <w:rPr>
                <w:bCs/>
                <w:b/>
              </w:rPr>
              <w:t xml:space="preserve">5</w:t>
            </w:r>
          </w:p>
        </w:tc>
        <w:tc>
          <w:tcPr/>
          <w:p>
            <w:pPr>
              <w:pStyle w:val="Compact"/>
              <w:jc w:val="left"/>
            </w:pPr>
            <w:r>
              <w:t xml:space="preserve">Feb–May 2027</w:t>
            </w:r>
          </w:p>
        </w:tc>
        <w:tc>
          <w:tcPr/>
          <w:p>
            <w:pPr>
              <w:pStyle w:val="Compact"/>
              <w:jc w:val="left"/>
            </w:pPr>
            <w:r>
              <w:rPr>
                <w:bCs/>
                <w:b/>
              </w:rPr>
              <w:t xml:space="preserve">Market Expansion</w:t>
            </w:r>
          </w:p>
        </w:tc>
        <w:tc>
          <w:tcPr/>
          <w:p>
            <w:pPr>
              <w:pStyle w:val="Compact"/>
              <w:jc w:val="left"/>
            </w:pPr>
            <w:r>
              <w:t xml:space="preserve">44</w:t>
            </w:r>
          </w:p>
        </w:tc>
        <w:tc>
          <w:tcPr/>
          <w:p>
            <w:pPr>
              <w:pStyle w:val="Compact"/>
              <w:jc w:val="left"/>
            </w:pPr>
            <w:r>
              <w:t xml:space="preserve">16 customers, supplier portal, partner ecosystem, open-source agent framework</w:t>
            </w:r>
          </w:p>
        </w:tc>
      </w:tr>
      <w:tr>
        <w:tc>
          <w:tcPr/>
          <w:p>
            <w:pPr>
              <w:pStyle w:val="Compact"/>
              <w:jc w:val="left"/>
            </w:pPr>
            <w:r>
              <w:rPr>
                <w:bCs/>
                <w:b/>
              </w:rPr>
              <w:t xml:space="preserve">6</w:t>
            </w:r>
          </w:p>
        </w:tc>
        <w:tc>
          <w:tcPr/>
          <w:p>
            <w:pPr>
              <w:pStyle w:val="Compact"/>
              <w:jc w:val="left"/>
            </w:pPr>
            <w:r>
              <w:t xml:space="preserve">Jun–Dec 2027</w:t>
            </w:r>
          </w:p>
        </w:tc>
        <w:tc>
          <w:tcPr/>
          <w:p>
            <w:pPr>
              <w:pStyle w:val="Compact"/>
              <w:jc w:val="left"/>
            </w:pPr>
            <w:r>
              <w:rPr>
                <w:bCs/>
                <w:b/>
              </w:rPr>
              <w:t xml:space="preserve">DWS7 Release</w:t>
            </w:r>
          </w:p>
        </w:tc>
        <w:tc>
          <w:tcPr/>
          <w:p>
            <w:pPr>
              <w:pStyle w:val="Compact"/>
              <w:jc w:val="left"/>
            </w:pPr>
            <w:r>
              <w:t xml:space="preserve">32</w:t>
            </w:r>
          </w:p>
        </w:tc>
        <w:tc>
          <w:tcPr/>
          <w:p>
            <w:pPr>
              <w:pStyle w:val="Compact"/>
              <w:jc w:val="left"/>
            </w:pPr>
            <w:r>
              <w:t xml:space="preserve">V7.0 GA, investor metrics dashboard, profitability</w:t>
            </w:r>
          </w:p>
        </w:tc>
      </w:tr>
    </w:tbl>
    <w:p>
      <w:r>
        <w:pict>
          <v:rect style="width:0;height:1.5pt" o:hralign="center" o:hrstd="t" o:hr="t"/>
        </w:pict>
      </w:r>
    </w:p>
    <w:bookmarkEnd w:id="26"/>
    <w:bookmarkStart w:id="33" w:name="X7cbac033382cbd656e196bbf54fd938325b7bb1"/>
    <w:p>
      <w:pPr>
        <w:pStyle w:val="Heading2"/>
      </w:pPr>
      <w:r>
        <w:t xml:space="preserve">Phase 1: Launch &amp; Stabilize (Feb–Apr 2026) — 45 PRs</w:t>
      </w:r>
    </w:p>
    <w:bookmarkStart w:id="27" w:name="phase-1-progress-audited-2026-03-15"/>
    <w:p>
      <w:pPr>
        <w:pStyle w:val="Heading3"/>
      </w:pPr>
      <w:r>
        <w:t xml:space="preserve">Phase 1 Progress (Audited 2026-03-15)</w:t>
      </w:r>
    </w:p>
    <w:tbl>
      <w:tblPr>
        <w:tblStyle w:val="Table"/>
        <w:tblW w:type="pct" w:w="5000"/>
        <w:tblLook w:firstRow="1" w:lastRow="0" w:firstColumn="0" w:lastColumn="0" w:noHBand="0" w:noVBand="0" w:val="0020"/>
        <w:jc w:val="start"/>
      </w:tblPr>
      <w:tblGrid>
        <w:gridCol w:w="2614"/>
        <w:gridCol w:w="768"/>
        <w:gridCol w:w="3844"/>
        <w:gridCol w:w="692"/>
      </w:tblGrid>
      <w:tr>
        <w:trPr>
          <w:tblHeader w:val="true"/>
        </w:trPr>
        <w:tc>
          <w:tcPr/>
          <w:p>
            <w:pPr>
              <w:pStyle w:val="Compact"/>
              <w:jc w:val="left"/>
            </w:pPr>
            <w:r>
              <w:t xml:space="preserve">Area</w:t>
            </w:r>
          </w:p>
        </w:tc>
        <w:tc>
          <w:tcPr/>
          <w:p>
            <w:pPr>
              <w:pStyle w:val="Compact"/>
              <w:jc w:val="left"/>
            </w:pPr>
            <w:r>
              <w:t xml:space="preserve">Planned</w:t>
            </w:r>
          </w:p>
        </w:tc>
        <w:tc>
          <w:tcPr/>
          <w:p>
            <w:pPr>
              <w:pStyle w:val="Compact"/>
              <w:jc w:val="left"/>
            </w:pPr>
            <w:r>
              <w:t xml:space="preserve">Actual Status</w:t>
            </w:r>
          </w:p>
        </w:tc>
        <w:tc>
          <w:tcPr/>
          <w:p>
            <w:pPr>
              <w:pStyle w:val="Compact"/>
              <w:jc w:val="left"/>
            </w:pPr>
            <w:r>
              <w:t xml:space="preserve">Readiness</w:t>
            </w:r>
          </w:p>
        </w:tc>
      </w:tr>
      <w:tr>
        <w:tc>
          <w:tcPr/>
          <w:p>
            <w:pPr>
              <w:pStyle w:val="Compact"/>
              <w:jc w:val="left"/>
            </w:pPr>
            <w:r>
              <w:t xml:space="preserve">Testing Foundation (PRs 001–012)</w:t>
            </w:r>
          </w:p>
        </w:tc>
        <w:tc>
          <w:tcPr/>
          <w:p>
            <w:pPr>
              <w:pStyle w:val="Compact"/>
              <w:jc w:val="left"/>
            </w:pPr>
            <w:r>
              <w:t xml:space="preserve">12 PRs</w:t>
            </w:r>
          </w:p>
        </w:tc>
        <w:tc>
          <w:tcPr/>
          <w:p>
            <w:pPr>
              <w:pStyle w:val="Compact"/>
              <w:jc w:val="left"/>
            </w:pPr>
            <w:r>
              <w:t xml:space="preserve">17 test files exist, no coverage gate yet</w:t>
            </w:r>
          </w:p>
        </w:tc>
        <w:tc>
          <w:tcPr/>
          <w:p>
            <w:pPr>
              <w:pStyle w:val="Compact"/>
              <w:jc w:val="left"/>
            </w:pPr>
            <w:r>
              <w:t xml:space="preserve">55%</w:t>
            </w:r>
          </w:p>
        </w:tc>
      </w:tr>
      <w:tr>
        <w:tc>
          <w:tcPr/>
          <w:p>
            <w:pPr>
              <w:pStyle w:val="Compact"/>
              <w:jc w:val="left"/>
            </w:pPr>
            <w:r>
              <w:t xml:space="preserve">Backend Hardening (PRs 013–022)</w:t>
            </w:r>
          </w:p>
        </w:tc>
        <w:tc>
          <w:tcPr/>
          <w:p>
            <w:pPr>
              <w:pStyle w:val="Compact"/>
              <w:jc w:val="left"/>
            </w:pPr>
            <w:r>
              <w:t xml:space="preserve">10 PRs</w:t>
            </w:r>
          </w:p>
        </w:tc>
        <w:tc>
          <w:tcPr/>
          <w:p>
            <w:pPr>
              <w:pStyle w:val="Compact"/>
              <w:jc w:val="left"/>
            </w:pPr>
            <w:r>
              <w:t xml:space="preserve">Express running, JWT+Helmet, email dual-transport</w:t>
            </w:r>
          </w:p>
        </w:tc>
        <w:tc>
          <w:tcPr/>
          <w:p>
            <w:pPr>
              <w:pStyle w:val="Compact"/>
              <w:jc w:val="left"/>
            </w:pPr>
            <w:r>
              <w:t xml:space="preserve">75%</w:t>
            </w:r>
          </w:p>
        </w:tc>
      </w:tr>
      <w:tr>
        <w:tc>
          <w:tcPr/>
          <w:p>
            <w:pPr>
              <w:pStyle w:val="Compact"/>
              <w:jc w:val="left"/>
            </w:pPr>
            <w:r>
              <w:t xml:space="preserve">Dashboard Production (PRs 023–033)</w:t>
            </w:r>
          </w:p>
        </w:tc>
        <w:tc>
          <w:tcPr/>
          <w:p>
            <w:pPr>
              <w:pStyle w:val="Compact"/>
              <w:jc w:val="left"/>
            </w:pPr>
            <w:r>
              <w:t xml:space="preserve">11 PRs</w:t>
            </w:r>
          </w:p>
        </w:tc>
        <w:tc>
          <w:tcPr/>
          <w:p>
            <w:pPr>
              <w:pStyle w:val="Compact"/>
              <w:jc w:val="left"/>
            </w:pPr>
            <w:r>
              <w:t xml:space="preserve">v9-react working, missing error boundaries/loading</w:t>
            </w:r>
          </w:p>
        </w:tc>
        <w:tc>
          <w:tcPr/>
          <w:p>
            <w:pPr>
              <w:pStyle w:val="Compact"/>
              <w:jc w:val="left"/>
            </w:pPr>
            <w:r>
              <w:t xml:space="preserve">60%</w:t>
            </w:r>
          </w:p>
        </w:tc>
      </w:tr>
      <w:tr>
        <w:tc>
          <w:tcPr/>
          <w:p>
            <w:pPr>
              <w:pStyle w:val="Compact"/>
              <w:jc w:val="left"/>
            </w:pPr>
            <w:r>
              <w:t xml:space="preserve">Deployment &amp; DevOps (PRs 034–040)</w:t>
            </w:r>
          </w:p>
        </w:tc>
        <w:tc>
          <w:tcPr/>
          <w:p>
            <w:pPr>
              <w:pStyle w:val="Compact"/>
              <w:jc w:val="left"/>
            </w:pPr>
            <w:r>
              <w:t xml:space="preserve">7 PRs</w:t>
            </w:r>
          </w:p>
        </w:tc>
        <w:tc>
          <w:tcPr/>
          <w:p>
            <w:pPr>
              <w:pStyle w:val="Compact"/>
              <w:jc w:val="left"/>
            </w:pPr>
            <w:r>
              <w:t xml:space="preserve">38 CI/CD workflows, no staging env</w:t>
            </w:r>
          </w:p>
        </w:tc>
        <w:tc>
          <w:tcPr/>
          <w:p>
            <w:pPr>
              <w:pStyle w:val="Compact"/>
              <w:jc w:val="left"/>
            </w:pPr>
            <w:r>
              <w:t xml:space="preserve">85%</w:t>
            </w:r>
          </w:p>
        </w:tc>
      </w:tr>
      <w:tr>
        <w:tc>
          <w:tcPr/>
          <w:p>
            <w:pPr>
              <w:pStyle w:val="Compact"/>
              <w:jc w:val="left"/>
            </w:pPr>
            <w:r>
              <w:t xml:space="preserve">Customer Onboarding (PRs 041–045)</w:t>
            </w:r>
          </w:p>
        </w:tc>
        <w:tc>
          <w:tcPr/>
          <w:p>
            <w:pPr>
              <w:pStyle w:val="Compact"/>
              <w:jc w:val="left"/>
            </w:pPr>
            <w:r>
              <w:t xml:space="preserve">5 PRs</w:t>
            </w:r>
          </w:p>
        </w:tc>
        <w:tc>
          <w:tcPr/>
          <w:p>
            <w:pPr>
              <w:pStyle w:val="Compact"/>
              <w:jc w:val="left"/>
            </w:pPr>
            <w:r>
              <w:t xml:space="preserve">Auth exists, no wizard or welcome flow</w:t>
            </w:r>
          </w:p>
        </w:tc>
        <w:tc>
          <w:tcPr/>
          <w:p>
            <w:pPr>
              <w:pStyle w:val="Compact"/>
              <w:jc w:val="left"/>
            </w:pPr>
            <w:r>
              <w:t xml:space="preserve">40%</w:t>
            </w:r>
          </w:p>
        </w:tc>
      </w:tr>
      <w:tr>
        <w:tc>
          <w:tcPr/>
          <w:p>
            <w:pPr>
              <w:pStyle w:val="Compact"/>
              <w:jc w:val="left"/>
            </w:pPr>
            <w:r>
              <w:rPr>
                <w:bCs/>
                <w:b/>
              </w:rPr>
              <w:t xml:space="preserve">Phase 1 Total</w:t>
            </w:r>
          </w:p>
        </w:tc>
        <w:tc>
          <w:tcPr/>
          <w:p>
            <w:pPr>
              <w:pStyle w:val="Compact"/>
              <w:jc w:val="left"/>
            </w:pPr>
            <w:r>
              <w:rPr>
                <w:bCs/>
                <w:b/>
              </w:rPr>
              <w:t xml:space="preserve">45 PRs</w:t>
            </w:r>
          </w:p>
        </w:tc>
        <w:tc>
          <w:tcPr/>
          <w:p>
            <w:pPr>
              <w:pStyle w:val="Compact"/>
              <w:jc w:val="left"/>
            </w:pPr>
            <w:r>
              <w:rPr>
                <w:bCs/>
                <w:b/>
              </w:rPr>
              <w:t xml:space="preserve">Mixed — infra ahead, onboarding behind</w:t>
            </w:r>
          </w:p>
        </w:tc>
        <w:tc>
          <w:tcPr/>
          <w:p>
            <w:pPr>
              <w:pStyle w:val="Compact"/>
              <w:jc w:val="left"/>
            </w:pPr>
            <w:r>
              <w:rPr>
                <w:bCs/>
                <w:b/>
              </w:rPr>
              <w:t xml:space="preserve">65%</w:t>
            </w:r>
          </w:p>
        </w:tc>
      </w:tr>
    </w:tbl>
    <w:p>
      <w:pPr>
        <w:pStyle w:val="BodyText"/>
      </w:pPr>
      <w:r>
        <w:rPr>
          <w:bCs/>
          <w:b/>
        </w:rPr>
        <w:t xml:space="preserve">Key finding:</w:t>
      </w:r>
      <w:r>
        <w:t xml:space="preserve"> </w:t>
      </w:r>
      <w:r>
        <w:t xml:space="preserve">Infrastructure (CI/CD, email, agents, MCP) is ahead of schedule. Customer-facing features (onboarding, dashboard resilience, compliance engine) are behind. The platform is strong but the product experience is incomplete.</w:t>
      </w:r>
    </w:p>
    <w:bookmarkEnd w:id="27"/>
    <w:bookmarkStart w:id="28" w:name="testing-foundation-prs-001012"/>
    <w:p>
      <w:pPr>
        <w:pStyle w:val="Heading3"/>
      </w:pPr>
      <w:r>
        <w:t xml:space="preserve">1.1 Testing Foundation (PRs 001–012)</w:t>
      </w:r>
    </w:p>
    <w:p>
      <w:pPr>
        <w:pStyle w:val="FirstParagraph"/>
      </w:pPr>
      <w:r>
        <w:t xml:space="preserve">The codebase has</w:t>
      </w:r>
      <w:r>
        <w:t xml:space="preserve"> </w:t>
      </w:r>
      <w:r>
        <w:rPr>
          <w:strike/>
        </w:rPr>
        <w:t xml:space="preserve">3</w:t>
      </w:r>
      <w:r>
        <w:t xml:space="preserve"> </w:t>
      </w:r>
      <w:r>
        <w:t xml:space="preserve">17 test files. Coverage gate still missing — this remains a top risk.</w:t>
      </w:r>
    </w:p>
    <w:tbl>
      <w:tblPr>
        <w:tblStyle w:val="Table"/>
        <w:tblW w:type="pct" w:w="5000"/>
        <w:tblLook w:firstRow="1" w:lastRow="0" w:firstColumn="0" w:lastColumn="0" w:noHBand="0" w:noVBand="0" w:val="0020"/>
        <w:jc w:val="start"/>
      </w:tblPr>
      <w:tblGrid>
        <w:gridCol w:w="178"/>
        <w:gridCol w:w="2977"/>
        <w:gridCol w:w="476"/>
        <w:gridCol w:w="4287"/>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001</w:t>
            </w:r>
          </w:p>
        </w:tc>
        <w:tc>
          <w:tcPr/>
          <w:p>
            <w:pPr>
              <w:pStyle w:val="Compact"/>
              <w:jc w:val="left"/>
            </w:pPr>
            <w:r>
              <w:t xml:space="preserve">Add Vitest coverage config and CI gate</w:t>
            </w:r>
          </w:p>
        </w:tc>
        <w:tc>
          <w:tcPr/>
          <w:p>
            <w:pPr>
              <w:pStyle w:val="Compact"/>
              <w:jc w:val="left"/>
            </w:pPr>
            <w:r>
              <w:t xml:space="preserve">P0</w:t>
            </w:r>
          </w:p>
        </w:tc>
        <w:tc>
          <w:tcPr/>
          <w:p>
            <w:pPr>
              <w:pStyle w:val="Compact"/>
              <w:jc w:val="left"/>
            </w:pPr>
            <w:r>
              <w:t xml:space="preserve">Configure coverage thresholds (60% min), add to CI pipeline</w:t>
            </w:r>
          </w:p>
        </w:tc>
      </w:tr>
      <w:tr>
        <w:tc>
          <w:tcPr/>
          <w:p>
            <w:pPr>
              <w:pStyle w:val="Compact"/>
              <w:jc w:val="left"/>
            </w:pPr>
            <w:r>
              <w:t xml:space="preserve">002</w:t>
            </w:r>
          </w:p>
        </w:tc>
        <w:tc>
          <w:tcPr/>
          <w:p>
            <w:pPr>
              <w:pStyle w:val="Compact"/>
              <w:jc w:val="left"/>
            </w:pPr>
            <w:r>
              <w:t xml:space="preserve">Unit tests for auth service (register, login, JWT)</w:t>
            </w:r>
          </w:p>
        </w:tc>
        <w:tc>
          <w:tcPr/>
          <w:p>
            <w:pPr>
              <w:pStyle w:val="Compact"/>
              <w:jc w:val="left"/>
            </w:pPr>
            <w:r>
              <w:t xml:space="preserve">P0</w:t>
            </w:r>
          </w:p>
        </w:tc>
        <w:tc>
          <w:tcPr/>
          <w:p>
            <w:pPr>
              <w:pStyle w:val="Compact"/>
              <w:jc w:val="left"/>
            </w:pPr>
            <w:r>
              <w:t xml:space="preserve">Cover all auth flows: registration, login, password reset, token refresh</w:t>
            </w:r>
          </w:p>
        </w:tc>
      </w:tr>
      <w:tr>
        <w:tc>
          <w:tcPr/>
          <w:p>
            <w:pPr>
              <w:pStyle w:val="Compact"/>
              <w:jc w:val="left"/>
            </w:pPr>
            <w:r>
              <w:t xml:space="preserve">003</w:t>
            </w:r>
          </w:p>
        </w:tc>
        <w:tc>
          <w:tcPr/>
          <w:p>
            <w:pPr>
              <w:pStyle w:val="Compact"/>
              <w:jc w:val="left"/>
            </w:pPr>
            <w:r>
              <w:t xml:space="preserve">Unit tests for climate-assistant service</w:t>
            </w:r>
          </w:p>
        </w:tc>
        <w:tc>
          <w:tcPr/>
          <w:p>
            <w:pPr>
              <w:pStyle w:val="Compact"/>
              <w:jc w:val="left"/>
            </w:pPr>
            <w:r>
              <w:t xml:space="preserve">P0</w:t>
            </w:r>
          </w:p>
        </w:tc>
        <w:tc>
          <w:tcPr/>
          <w:p>
            <w:pPr>
              <w:pStyle w:val="Compact"/>
              <w:jc w:val="left"/>
            </w:pPr>
            <w:r>
              <w:t xml:space="preserve">Test Groq integration, budget tracking, tier system, topic filtering</w:t>
            </w:r>
          </w:p>
        </w:tc>
      </w:tr>
      <w:tr>
        <w:tc>
          <w:tcPr/>
          <w:p>
            <w:pPr>
              <w:pStyle w:val="Compact"/>
              <w:jc w:val="left"/>
            </w:pPr>
            <w:r>
              <w:t xml:space="preserve">004</w:t>
            </w:r>
          </w:p>
        </w:tc>
        <w:tc>
          <w:tcPr/>
          <w:p>
            <w:pPr>
              <w:pStyle w:val="Compact"/>
              <w:jc w:val="left"/>
            </w:pPr>
            <w:r>
              <w:t xml:space="preserve">Unit tests for climate-assistant-gated service</w:t>
            </w:r>
          </w:p>
        </w:tc>
        <w:tc>
          <w:tcPr/>
          <w:p>
            <w:pPr>
              <w:pStyle w:val="Compact"/>
              <w:jc w:val="left"/>
            </w:pPr>
            <w:r>
              <w:t xml:space="preserve">P0</w:t>
            </w:r>
          </w:p>
        </w:tc>
        <w:tc>
          <w:tcPr/>
          <w:p>
            <w:pPr>
              <w:pStyle w:val="Compact"/>
              <w:jc w:val="left"/>
            </w:pPr>
            <w:r>
              <w:t xml:space="preserve">Test lead capture, tier escalation, rate limits per tier</w:t>
            </w:r>
          </w:p>
        </w:tc>
      </w:tr>
      <w:tr>
        <w:tc>
          <w:tcPr/>
          <w:p>
            <w:pPr>
              <w:pStyle w:val="Compact"/>
              <w:jc w:val="left"/>
            </w:pPr>
            <w:r>
              <w:t xml:space="preserve">005</w:t>
            </w:r>
          </w:p>
        </w:tc>
        <w:tc>
          <w:tcPr/>
          <w:p>
            <w:pPr>
              <w:pStyle w:val="Compact"/>
              <w:jc w:val="left"/>
            </w:pPr>
            <w:r>
              <w:t xml:space="preserve">Unit tests for email service and templates</w:t>
            </w:r>
          </w:p>
        </w:tc>
        <w:tc>
          <w:tcPr/>
          <w:p>
            <w:pPr>
              <w:pStyle w:val="Compact"/>
              <w:jc w:val="left"/>
            </w:pPr>
            <w:r>
              <w:t xml:space="preserve">P1</w:t>
            </w:r>
          </w:p>
        </w:tc>
        <w:tc>
          <w:tcPr/>
          <w:p>
            <w:pPr>
              <w:pStyle w:val="Compact"/>
              <w:jc w:val="left"/>
            </w:pPr>
            <w:r>
              <w:t xml:space="preserve">Test Resend integration, template rendering, variable substitution</w:t>
            </w:r>
          </w:p>
        </w:tc>
      </w:tr>
      <w:tr>
        <w:tc>
          <w:tcPr/>
          <w:p>
            <w:pPr>
              <w:pStyle w:val="Compact"/>
              <w:jc w:val="left"/>
            </w:pPr>
            <w:r>
              <w:t xml:space="preserve">006</w:t>
            </w:r>
          </w:p>
        </w:tc>
        <w:tc>
          <w:tcPr/>
          <w:p>
            <w:pPr>
              <w:pStyle w:val="Compact"/>
              <w:jc w:val="left"/>
            </w:pPr>
            <w:r>
              <w:t xml:space="preserve">Unit tests for ERP base connector</w:t>
            </w:r>
          </w:p>
        </w:tc>
        <w:tc>
          <w:tcPr/>
          <w:p>
            <w:pPr>
              <w:pStyle w:val="Compact"/>
              <w:jc w:val="left"/>
            </w:pPr>
            <w:r>
              <w:t xml:space="preserve">P1</w:t>
            </w:r>
          </w:p>
        </w:tc>
        <w:tc>
          <w:tcPr/>
          <w:p>
            <w:pPr>
              <w:pStyle w:val="Compact"/>
              <w:jc w:val="left"/>
            </w:pPr>
            <w:r>
              <w:t xml:space="preserve">Test connection lifecycle, retry logic, auth header injection</w:t>
            </w:r>
          </w:p>
        </w:tc>
      </w:tr>
      <w:tr>
        <w:tc>
          <w:tcPr/>
          <w:p>
            <w:pPr>
              <w:pStyle w:val="Compact"/>
              <w:jc w:val="left"/>
            </w:pPr>
            <w:r>
              <w:t xml:space="preserve">007</w:t>
            </w:r>
          </w:p>
        </w:tc>
        <w:tc>
          <w:tcPr/>
          <w:p>
            <w:pPr>
              <w:pStyle w:val="Compact"/>
              <w:jc w:val="left"/>
            </w:pPr>
            <w:r>
              <w:t xml:space="preserve">Unit tests for Firehorse state machine</w:t>
            </w:r>
          </w:p>
        </w:tc>
        <w:tc>
          <w:tcPr/>
          <w:p>
            <w:pPr>
              <w:pStyle w:val="Compact"/>
              <w:jc w:val="left"/>
            </w:pPr>
            <w:r>
              <w:t xml:space="preserve">P1</w:t>
            </w:r>
          </w:p>
        </w:tc>
        <w:tc>
          <w:tcPr/>
          <w:p>
            <w:pPr>
              <w:pStyle w:val="Compact"/>
              <w:jc w:val="left"/>
            </w:pPr>
            <w:r>
              <w:t xml:space="preserve">Test all state transitions, invalid transitions, event handling</w:t>
            </w:r>
          </w:p>
        </w:tc>
      </w:tr>
      <w:tr>
        <w:tc>
          <w:tcPr/>
          <w:p>
            <w:pPr>
              <w:pStyle w:val="Compact"/>
              <w:jc w:val="left"/>
            </w:pPr>
            <w:r>
              <w:t xml:space="preserve">008</w:t>
            </w:r>
          </w:p>
        </w:tc>
        <w:tc>
          <w:tcPr/>
          <w:p>
            <w:pPr>
              <w:pStyle w:val="Compact"/>
              <w:jc w:val="left"/>
            </w:pPr>
            <w:r>
              <w:t xml:space="preserve">Unit tests for Firehorse sales pipeline</w:t>
            </w:r>
          </w:p>
        </w:tc>
        <w:tc>
          <w:tcPr/>
          <w:p>
            <w:pPr>
              <w:pStyle w:val="Compact"/>
              <w:jc w:val="left"/>
            </w:pPr>
            <w:r>
              <w:t xml:space="preserve">P1</w:t>
            </w:r>
          </w:p>
        </w:tc>
        <w:tc>
          <w:tcPr/>
          <w:p>
            <w:pPr>
              <w:pStyle w:val="Compact"/>
              <w:jc w:val="left"/>
            </w:pPr>
            <w:r>
              <w:t xml:space="preserve">Test lead progression, scoring, pipeline stage management</w:t>
            </w:r>
          </w:p>
        </w:tc>
      </w:tr>
      <w:tr>
        <w:tc>
          <w:tcPr/>
          <w:p>
            <w:pPr>
              <w:pStyle w:val="Compact"/>
              <w:jc w:val="left"/>
            </w:pPr>
            <w:r>
              <w:t xml:space="preserve">009</w:t>
            </w:r>
          </w:p>
        </w:tc>
        <w:tc>
          <w:tcPr/>
          <w:p>
            <w:pPr>
              <w:pStyle w:val="Compact"/>
              <w:jc w:val="left"/>
            </w:pPr>
            <w:r>
              <w:t xml:space="preserve">Integration tests for auth routes (Supertest)</w:t>
            </w:r>
          </w:p>
        </w:tc>
        <w:tc>
          <w:tcPr/>
          <w:p>
            <w:pPr>
              <w:pStyle w:val="Compact"/>
              <w:jc w:val="left"/>
            </w:pPr>
            <w:r>
              <w:t xml:space="preserve">P0</w:t>
            </w:r>
          </w:p>
        </w:tc>
        <w:tc>
          <w:tcPr/>
          <w:p>
            <w:pPr>
              <w:pStyle w:val="Compact"/>
              <w:jc w:val="left"/>
            </w:pPr>
            <w:r>
              <w:t xml:space="preserve">Full HTTP request/response testing for /api/v1/auth/*</w:t>
            </w:r>
          </w:p>
        </w:tc>
      </w:tr>
      <w:tr>
        <w:tc>
          <w:tcPr/>
          <w:p>
            <w:pPr>
              <w:pStyle w:val="Compact"/>
              <w:jc w:val="left"/>
            </w:pPr>
            <w:r>
              <w:t xml:space="preserve">010</w:t>
            </w:r>
          </w:p>
        </w:tc>
        <w:tc>
          <w:tcPr/>
          <w:p>
            <w:pPr>
              <w:pStyle w:val="Compact"/>
              <w:jc w:val="left"/>
            </w:pPr>
            <w:r>
              <w:t xml:space="preserve">Integration tests for climate-assistant routes</w:t>
            </w:r>
          </w:p>
        </w:tc>
        <w:tc>
          <w:tcPr/>
          <w:p>
            <w:pPr>
              <w:pStyle w:val="Compact"/>
              <w:jc w:val="left"/>
            </w:pPr>
            <w:r>
              <w:t xml:space="preserve">P0</w:t>
            </w:r>
          </w:p>
        </w:tc>
        <w:tc>
          <w:tcPr/>
          <w:p>
            <w:pPr>
              <w:pStyle w:val="Compact"/>
              <w:jc w:val="left"/>
            </w:pPr>
            <w:r>
              <w:t xml:space="preserve">HTTP tests for both public and gated assistant endpoints</w:t>
            </w:r>
          </w:p>
        </w:tc>
      </w:tr>
      <w:tr>
        <w:tc>
          <w:tcPr/>
          <w:p>
            <w:pPr>
              <w:pStyle w:val="Compact"/>
              <w:jc w:val="left"/>
            </w:pPr>
            <w:r>
              <w:t xml:space="preserve">011</w:t>
            </w:r>
          </w:p>
        </w:tc>
        <w:tc>
          <w:tcPr/>
          <w:p>
            <w:pPr>
              <w:pStyle w:val="Compact"/>
              <w:jc w:val="left"/>
            </w:pPr>
            <w:r>
              <w:t xml:space="preserve">Integration tests for webhook routes</w:t>
            </w:r>
          </w:p>
        </w:tc>
        <w:tc>
          <w:tcPr/>
          <w:p>
            <w:pPr>
              <w:pStyle w:val="Compact"/>
              <w:jc w:val="left"/>
            </w:pPr>
            <w:r>
              <w:t xml:space="preserve">P1</w:t>
            </w:r>
          </w:p>
        </w:tc>
        <w:tc>
          <w:tcPr/>
          <w:p>
            <w:pPr>
              <w:pStyle w:val="Compact"/>
              <w:jc w:val="left"/>
            </w:pPr>
            <w:r>
              <w:t xml:space="preserve">Test Resend webhook signature validation, event processing</w:t>
            </w:r>
          </w:p>
        </w:tc>
      </w:tr>
      <w:tr>
        <w:tc>
          <w:tcPr/>
          <w:p>
            <w:pPr>
              <w:pStyle w:val="Compact"/>
              <w:jc w:val="left"/>
            </w:pPr>
            <w:r>
              <w:t xml:space="preserve">012</w:t>
            </w:r>
          </w:p>
        </w:tc>
        <w:tc>
          <w:tcPr/>
          <w:p>
            <w:pPr>
              <w:pStyle w:val="Compact"/>
              <w:jc w:val="left"/>
            </w:pPr>
            <w:r>
              <w:t xml:space="preserve">Add E2E smoke test suite for critical paths</w:t>
            </w:r>
          </w:p>
        </w:tc>
        <w:tc>
          <w:tcPr/>
          <w:p>
            <w:pPr>
              <w:pStyle w:val="Compact"/>
              <w:jc w:val="left"/>
            </w:pPr>
            <w:r>
              <w:t xml:space="preserve">P0</w:t>
            </w:r>
          </w:p>
        </w:tc>
        <w:tc>
          <w:tcPr/>
          <w:p>
            <w:pPr>
              <w:pStyle w:val="Compact"/>
              <w:jc w:val="left"/>
            </w:pPr>
            <w:r>
              <w:t xml:space="preserve">Login → dashboard → climate query → logout happy path</w:t>
            </w:r>
          </w:p>
        </w:tc>
      </w:tr>
    </w:tbl>
    <w:bookmarkEnd w:id="28"/>
    <w:bookmarkStart w:id="29" w:name="backend-hardening-prs-013022"/>
    <w:p>
      <w:pPr>
        <w:pStyle w:val="Heading3"/>
      </w:pPr>
      <w:r>
        <w:t xml:space="preserve">1.2 Backend Hardening (PRs 013–022)</w:t>
      </w:r>
    </w:p>
    <w:tbl>
      <w:tblPr>
        <w:tblStyle w:val="Table"/>
        <w:tblW w:type="pct" w:w="5000"/>
        <w:tblLook w:firstRow="1" w:lastRow="0" w:firstColumn="0" w:lastColumn="0" w:noHBand="0" w:noVBand="0" w:val="0020"/>
        <w:jc w:val="start"/>
      </w:tblPr>
      <w:tblGrid>
        <w:gridCol w:w="190"/>
        <w:gridCol w:w="2914"/>
        <w:gridCol w:w="506"/>
        <w:gridCol w:w="4308"/>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013</w:t>
            </w:r>
          </w:p>
        </w:tc>
        <w:tc>
          <w:tcPr/>
          <w:p>
            <w:pPr>
              <w:pStyle w:val="Compact"/>
              <w:jc w:val="left"/>
            </w:pPr>
            <w:r>
              <w:t xml:space="preserve">Structured error handling middleware</w:t>
            </w:r>
          </w:p>
        </w:tc>
        <w:tc>
          <w:tcPr/>
          <w:p>
            <w:pPr>
              <w:pStyle w:val="Compact"/>
              <w:jc w:val="left"/>
            </w:pPr>
            <w:r>
              <w:t xml:space="preserve">P0</w:t>
            </w:r>
          </w:p>
        </w:tc>
        <w:tc>
          <w:tcPr/>
          <w:p>
            <w:pPr>
              <w:pStyle w:val="Compact"/>
              <w:jc w:val="left"/>
            </w:pPr>
            <w:r>
              <w:t xml:space="preserve">Replace ad-hoc try/catch with centralized error handler, error codes</w:t>
            </w:r>
          </w:p>
        </w:tc>
      </w:tr>
      <w:tr>
        <w:tc>
          <w:tcPr/>
          <w:p>
            <w:pPr>
              <w:pStyle w:val="Compact"/>
              <w:jc w:val="left"/>
            </w:pPr>
            <w:r>
              <w:t xml:space="preserve">014</w:t>
            </w:r>
          </w:p>
        </w:tc>
        <w:tc>
          <w:tcPr/>
          <w:p>
            <w:pPr>
              <w:pStyle w:val="Compact"/>
              <w:jc w:val="left"/>
            </w:pPr>
            <w:r>
              <w:t xml:space="preserve">Request validation middleware with Zod</w:t>
            </w:r>
          </w:p>
        </w:tc>
        <w:tc>
          <w:tcPr/>
          <w:p>
            <w:pPr>
              <w:pStyle w:val="Compact"/>
              <w:jc w:val="left"/>
            </w:pPr>
            <w:r>
              <w:t xml:space="preserve">P0</w:t>
            </w:r>
          </w:p>
        </w:tc>
        <w:tc>
          <w:tcPr/>
          <w:p>
            <w:pPr>
              <w:pStyle w:val="Compact"/>
              <w:jc w:val="left"/>
            </w:pPr>
            <w:r>
              <w:t xml:space="preserve">Replace express-validator with Zod schemas matching frontend</w:t>
            </w:r>
          </w:p>
        </w:tc>
      </w:tr>
      <w:tr>
        <w:tc>
          <w:tcPr/>
          <w:p>
            <w:pPr>
              <w:pStyle w:val="Compact"/>
              <w:jc w:val="left"/>
            </w:pPr>
            <w:r>
              <w:t xml:space="preserve">015</w:t>
            </w:r>
          </w:p>
        </w:tc>
        <w:tc>
          <w:tcPr/>
          <w:p>
            <w:pPr>
              <w:pStyle w:val="Compact"/>
              <w:jc w:val="left"/>
            </w:pPr>
            <w:r>
              <w:t xml:space="preserve">API versioning strategy (v1/v2 coexistence)</w:t>
            </w:r>
          </w:p>
        </w:tc>
        <w:tc>
          <w:tcPr/>
          <w:p>
            <w:pPr>
              <w:pStyle w:val="Compact"/>
              <w:jc w:val="left"/>
            </w:pPr>
            <w:r>
              <w:t xml:space="preserve">P1</w:t>
            </w:r>
          </w:p>
        </w:tc>
        <w:tc>
          <w:tcPr/>
          <w:p>
            <w:pPr>
              <w:pStyle w:val="Compact"/>
              <w:jc w:val="left"/>
            </w:pPr>
            <w:r>
              <w:t xml:space="preserve">Standardize versioned routes, deprecation headers</w:t>
            </w:r>
          </w:p>
        </w:tc>
      </w:tr>
      <w:tr>
        <w:tc>
          <w:tcPr/>
          <w:p>
            <w:pPr>
              <w:pStyle w:val="Compact"/>
              <w:jc w:val="left"/>
            </w:pPr>
            <w:r>
              <w:t xml:space="preserve">016</w:t>
            </w:r>
          </w:p>
        </w:tc>
        <w:tc>
          <w:tcPr/>
          <w:p>
            <w:pPr>
              <w:pStyle w:val="Compact"/>
              <w:jc w:val="left"/>
            </w:pPr>
            <w:r>
              <w:t xml:space="preserve">Health check endpoint with dependency status</w:t>
            </w:r>
          </w:p>
        </w:tc>
        <w:tc>
          <w:tcPr/>
          <w:p>
            <w:pPr>
              <w:pStyle w:val="Compact"/>
              <w:jc w:val="left"/>
            </w:pPr>
            <w:r>
              <w:t xml:space="preserve">P0</w:t>
            </w:r>
          </w:p>
        </w:tc>
        <w:tc>
          <w:tcPr/>
          <w:p>
            <w:pPr>
              <w:pStyle w:val="Compact"/>
              <w:jc w:val="left"/>
            </w:pPr>
            <w:r>
              <w:t xml:space="preserve">/health returns Supabase, Redis, Groq connectivity status</w:t>
            </w:r>
          </w:p>
        </w:tc>
      </w:tr>
      <w:tr>
        <w:tc>
          <w:tcPr/>
          <w:p>
            <w:pPr>
              <w:pStyle w:val="Compact"/>
              <w:jc w:val="left"/>
            </w:pPr>
            <w:r>
              <w:t xml:space="preserve">017</w:t>
            </w:r>
          </w:p>
        </w:tc>
        <w:tc>
          <w:tcPr/>
          <w:p>
            <w:pPr>
              <w:pStyle w:val="Compact"/>
              <w:jc w:val="left"/>
            </w:pPr>
            <w:r>
              <w:t xml:space="preserve">Graceful shutdown improvements</w:t>
            </w:r>
          </w:p>
        </w:tc>
        <w:tc>
          <w:tcPr/>
          <w:p>
            <w:pPr>
              <w:pStyle w:val="Compact"/>
              <w:jc w:val="left"/>
            </w:pPr>
            <w:r>
              <w:t xml:space="preserve">P1</w:t>
            </w:r>
          </w:p>
        </w:tc>
        <w:tc>
          <w:tcPr/>
          <w:p>
            <w:pPr>
              <w:pStyle w:val="Compact"/>
              <w:jc w:val="left"/>
            </w:pPr>
            <w:r>
              <w:t xml:space="preserve">Drain connections, complete in-flight requests, close DB pools</w:t>
            </w:r>
          </w:p>
        </w:tc>
      </w:tr>
      <w:tr>
        <w:tc>
          <w:tcPr/>
          <w:p>
            <w:pPr>
              <w:pStyle w:val="Compact"/>
              <w:jc w:val="left"/>
            </w:pPr>
            <w:r>
              <w:t xml:space="preserve">018</w:t>
            </w:r>
          </w:p>
        </w:tc>
        <w:tc>
          <w:tcPr/>
          <w:p>
            <w:pPr>
              <w:pStyle w:val="Compact"/>
              <w:jc w:val="left"/>
            </w:pPr>
            <w:r>
              <w:t xml:space="preserve">Request/response logging with correlation IDs</w:t>
            </w:r>
          </w:p>
        </w:tc>
        <w:tc>
          <w:tcPr/>
          <w:p>
            <w:pPr>
              <w:pStyle w:val="Compact"/>
              <w:jc w:val="left"/>
            </w:pPr>
            <w:r>
              <w:t xml:space="preserve">P0</w:t>
            </w:r>
          </w:p>
        </w:tc>
        <w:tc>
          <w:tcPr/>
          <w:p>
            <w:pPr>
              <w:pStyle w:val="Compact"/>
              <w:jc w:val="left"/>
            </w:pPr>
            <w:r>
              <w:t xml:space="preserve">Pino structured logs with trace IDs for debugging</w:t>
            </w:r>
          </w:p>
        </w:tc>
      </w:tr>
      <w:tr>
        <w:tc>
          <w:tcPr/>
          <w:p>
            <w:pPr>
              <w:pStyle w:val="Compact"/>
              <w:jc w:val="left"/>
            </w:pPr>
            <w:r>
              <w:t xml:space="preserve">019</w:t>
            </w:r>
          </w:p>
        </w:tc>
        <w:tc>
          <w:tcPr/>
          <w:p>
            <w:pPr>
              <w:pStyle w:val="Compact"/>
              <w:jc w:val="left"/>
            </w:pPr>
            <w:r>
              <w:t xml:space="preserve">API rate limiting per tenant (not just global)</w:t>
            </w:r>
          </w:p>
        </w:tc>
        <w:tc>
          <w:tcPr/>
          <w:p>
            <w:pPr>
              <w:pStyle w:val="Compact"/>
              <w:jc w:val="left"/>
            </w:pPr>
            <w:r>
              <w:t xml:space="preserve">P1</w:t>
            </w:r>
          </w:p>
        </w:tc>
        <w:tc>
          <w:tcPr/>
          <w:p>
            <w:pPr>
              <w:pStyle w:val="Compact"/>
              <w:jc w:val="left"/>
            </w:pPr>
            <w:r>
              <w:t xml:space="preserve">Tenant-aware rate limits using organization_id</w:t>
            </w:r>
          </w:p>
        </w:tc>
      </w:tr>
      <w:tr>
        <w:tc>
          <w:tcPr/>
          <w:p>
            <w:pPr>
              <w:pStyle w:val="Compact"/>
              <w:jc w:val="left"/>
            </w:pPr>
            <w:r>
              <w:t xml:space="preserve">020</w:t>
            </w:r>
          </w:p>
        </w:tc>
        <w:tc>
          <w:tcPr/>
          <w:p>
            <w:pPr>
              <w:pStyle w:val="Compact"/>
              <w:jc w:val="left"/>
            </w:pPr>
            <w:r>
              <w:t xml:space="preserve">Database connection pooling optimization</w:t>
            </w:r>
          </w:p>
        </w:tc>
        <w:tc>
          <w:tcPr/>
          <w:p>
            <w:pPr>
              <w:pStyle w:val="Compact"/>
              <w:jc w:val="left"/>
            </w:pPr>
            <w:r>
              <w:t xml:space="preserve">P1</w:t>
            </w:r>
          </w:p>
        </w:tc>
        <w:tc>
          <w:tcPr/>
          <w:p>
            <w:pPr>
              <w:pStyle w:val="Compact"/>
              <w:jc w:val="left"/>
            </w:pPr>
            <w:r>
              <w:t xml:space="preserve">Configure Supabase connection pool for production load</w:t>
            </w:r>
          </w:p>
        </w:tc>
      </w:tr>
      <w:tr>
        <w:tc>
          <w:tcPr/>
          <w:p>
            <w:pPr>
              <w:pStyle w:val="Compact"/>
              <w:jc w:val="left"/>
            </w:pPr>
            <w:r>
              <w:t xml:space="preserve">021</w:t>
            </w:r>
          </w:p>
        </w:tc>
        <w:tc>
          <w:tcPr/>
          <w:p>
            <w:pPr>
              <w:pStyle w:val="Compact"/>
              <w:jc w:val="left"/>
            </w:pPr>
            <w:r>
              <w:t xml:space="preserve">Environment config validation on startup</w:t>
            </w:r>
          </w:p>
        </w:tc>
        <w:tc>
          <w:tcPr/>
          <w:p>
            <w:pPr>
              <w:pStyle w:val="Compact"/>
              <w:jc w:val="left"/>
            </w:pPr>
            <w:r>
              <w:t xml:space="preserve">P0</w:t>
            </w:r>
          </w:p>
        </w:tc>
        <w:tc>
          <w:tcPr/>
          <w:p>
            <w:pPr>
              <w:pStyle w:val="Compact"/>
              <w:jc w:val="left"/>
            </w:pPr>
            <w:r>
              <w:t xml:space="preserve">Zod schema validates all required env vars before server starts</w:t>
            </w:r>
          </w:p>
        </w:tc>
      </w:tr>
      <w:tr>
        <w:tc>
          <w:tcPr/>
          <w:p>
            <w:pPr>
              <w:pStyle w:val="Compact"/>
              <w:jc w:val="left"/>
            </w:pPr>
            <w:r>
              <w:t xml:space="preserve">022</w:t>
            </w:r>
          </w:p>
        </w:tc>
        <w:tc>
          <w:tcPr/>
          <w:p>
            <w:pPr>
              <w:pStyle w:val="Compact"/>
              <w:jc w:val="left"/>
            </w:pPr>
            <w:r>
              <w:t xml:space="preserve">OpenAPI/Swagger spec generation</w:t>
            </w:r>
          </w:p>
        </w:tc>
        <w:tc>
          <w:tcPr/>
          <w:p>
            <w:pPr>
              <w:pStyle w:val="Compact"/>
              <w:jc w:val="left"/>
            </w:pPr>
            <w:r>
              <w:t xml:space="preserve">P1</w:t>
            </w:r>
          </w:p>
        </w:tc>
        <w:tc>
          <w:tcPr/>
          <w:p>
            <w:pPr>
              <w:pStyle w:val="Compact"/>
              <w:jc w:val="left"/>
            </w:pPr>
            <w:r>
              <w:t xml:space="preserve">Auto-generate API docs from route definitions</w:t>
            </w:r>
          </w:p>
        </w:tc>
      </w:tr>
    </w:tbl>
    <w:bookmarkEnd w:id="29"/>
    <w:bookmarkStart w:id="30" w:name="Xac64b56e8c8bd2880412dd93b711365e7d5a0e4"/>
    <w:p>
      <w:pPr>
        <w:pStyle w:val="Heading3"/>
      </w:pPr>
      <w:r>
        <w:t xml:space="preserve">1.3 Dashboard v10 Production Readiness (PRs 023–033)</w:t>
      </w:r>
    </w:p>
    <w:tbl>
      <w:tblPr>
        <w:tblStyle w:val="Table"/>
        <w:tblW w:type="pct" w:w="5000"/>
        <w:tblLook w:firstRow="1" w:lastRow="0" w:firstColumn="0" w:lastColumn="0" w:noHBand="0" w:noVBand="0" w:val="0020"/>
        <w:jc w:val="start"/>
      </w:tblPr>
      <w:tblGrid>
        <w:gridCol w:w="206"/>
        <w:gridCol w:w="3099"/>
        <w:gridCol w:w="550"/>
        <w:gridCol w:w="4063"/>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023</w:t>
            </w:r>
          </w:p>
        </w:tc>
        <w:tc>
          <w:tcPr/>
          <w:p>
            <w:pPr>
              <w:pStyle w:val="Compact"/>
              <w:jc w:val="left"/>
            </w:pPr>
            <w:r>
              <w:t xml:space="preserve">Dashboard error boundaries and fallback UI</w:t>
            </w:r>
          </w:p>
        </w:tc>
        <w:tc>
          <w:tcPr/>
          <w:p>
            <w:pPr>
              <w:pStyle w:val="Compact"/>
              <w:jc w:val="left"/>
            </w:pPr>
            <w:r>
              <w:t xml:space="preserve">P0</w:t>
            </w:r>
          </w:p>
        </w:tc>
        <w:tc>
          <w:tcPr/>
          <w:p>
            <w:pPr>
              <w:pStyle w:val="Compact"/>
              <w:jc w:val="left"/>
            </w:pPr>
            <w:r>
              <w:t xml:space="preserve">React error boundaries for each major section</w:t>
            </w:r>
          </w:p>
        </w:tc>
      </w:tr>
      <w:tr>
        <w:tc>
          <w:tcPr/>
          <w:p>
            <w:pPr>
              <w:pStyle w:val="Compact"/>
              <w:jc w:val="left"/>
            </w:pPr>
            <w:r>
              <w:t xml:space="preserve">024</w:t>
            </w:r>
          </w:p>
        </w:tc>
        <w:tc>
          <w:tcPr/>
          <w:p>
            <w:pPr>
              <w:pStyle w:val="Compact"/>
              <w:jc w:val="left"/>
            </w:pPr>
            <w:r>
              <w:t xml:space="preserve">Loading states and skeleton screens</w:t>
            </w:r>
          </w:p>
        </w:tc>
        <w:tc>
          <w:tcPr/>
          <w:p>
            <w:pPr>
              <w:pStyle w:val="Compact"/>
              <w:jc w:val="left"/>
            </w:pPr>
            <w:r>
              <w:t xml:space="preserve">P0</w:t>
            </w:r>
          </w:p>
        </w:tc>
        <w:tc>
          <w:tcPr/>
          <w:p>
            <w:pPr>
              <w:pStyle w:val="Compact"/>
              <w:jc w:val="left"/>
            </w:pPr>
            <w:r>
              <w:t xml:space="preserve">Consistent loading UX across all data-fetching components</w:t>
            </w:r>
          </w:p>
        </w:tc>
      </w:tr>
      <w:tr>
        <w:tc>
          <w:tcPr/>
          <w:p>
            <w:pPr>
              <w:pStyle w:val="Compact"/>
              <w:jc w:val="left"/>
            </w:pPr>
            <w:r>
              <w:t xml:space="preserve">025</w:t>
            </w:r>
          </w:p>
        </w:tc>
        <w:tc>
          <w:tcPr/>
          <w:p>
            <w:pPr>
              <w:pStyle w:val="Compact"/>
              <w:jc w:val="left"/>
            </w:pPr>
            <w:r>
              <w:t xml:space="preserve">Dashboard responsive layout (tablet + mobile)</w:t>
            </w:r>
          </w:p>
        </w:tc>
        <w:tc>
          <w:tcPr/>
          <w:p>
            <w:pPr>
              <w:pStyle w:val="Compact"/>
              <w:jc w:val="left"/>
            </w:pPr>
            <w:r>
              <w:t xml:space="preserve">P0</w:t>
            </w:r>
          </w:p>
        </w:tc>
        <w:tc>
          <w:tcPr/>
          <w:p>
            <w:pPr>
              <w:pStyle w:val="Compact"/>
              <w:jc w:val="left"/>
            </w:pPr>
            <w:r>
              <w:t xml:space="preserve">Tailwind responsive breakpoints for all dashboard pages</w:t>
            </w:r>
          </w:p>
        </w:tc>
      </w:tr>
      <w:tr>
        <w:tc>
          <w:tcPr/>
          <w:p>
            <w:pPr>
              <w:pStyle w:val="Compact"/>
              <w:jc w:val="left"/>
            </w:pPr>
            <w:r>
              <w:t xml:space="preserve">026</w:t>
            </w:r>
          </w:p>
        </w:tc>
        <w:tc>
          <w:tcPr/>
          <w:p>
            <w:pPr>
              <w:pStyle w:val="Compact"/>
              <w:jc w:val="left"/>
            </w:pPr>
            <w:r>
              <w:t xml:space="preserve">Real-time data with Supabase subscriptions</w:t>
            </w:r>
          </w:p>
        </w:tc>
        <w:tc>
          <w:tcPr/>
          <w:p>
            <w:pPr>
              <w:pStyle w:val="Compact"/>
              <w:jc w:val="left"/>
            </w:pPr>
            <w:r>
              <w:t xml:space="preserve">P1</w:t>
            </w:r>
          </w:p>
        </w:tc>
        <w:tc>
          <w:tcPr/>
          <w:p>
            <w:pPr>
              <w:pStyle w:val="Compact"/>
              <w:jc w:val="left"/>
            </w:pPr>
            <w:r>
              <w:t xml:space="preserve">Live updates for signals, agent status, metrics</w:t>
            </w:r>
          </w:p>
        </w:tc>
      </w:tr>
      <w:tr>
        <w:tc>
          <w:tcPr/>
          <w:p>
            <w:pPr>
              <w:pStyle w:val="Compact"/>
              <w:jc w:val="left"/>
            </w:pPr>
            <w:r>
              <w:t xml:space="preserve">027</w:t>
            </w:r>
          </w:p>
        </w:tc>
        <w:tc>
          <w:tcPr/>
          <w:p>
            <w:pPr>
              <w:pStyle w:val="Compact"/>
              <w:jc w:val="left"/>
            </w:pPr>
            <w:r>
              <w:t xml:space="preserve">Dashboard navigation and routing</w:t>
            </w:r>
          </w:p>
        </w:tc>
        <w:tc>
          <w:tcPr/>
          <w:p>
            <w:pPr>
              <w:pStyle w:val="Compact"/>
              <w:jc w:val="left"/>
            </w:pPr>
            <w:r>
              <w:t xml:space="preserve">P0</w:t>
            </w:r>
          </w:p>
        </w:tc>
        <w:tc>
          <w:tcPr/>
          <w:p>
            <w:pPr>
              <w:pStyle w:val="Compact"/>
              <w:jc w:val="left"/>
            </w:pPr>
            <w:r>
              <w:t xml:space="preserve">React Router with protected routes, breadcrumbs</w:t>
            </w:r>
          </w:p>
        </w:tc>
      </w:tr>
      <w:tr>
        <w:tc>
          <w:tcPr/>
          <w:p>
            <w:pPr>
              <w:pStyle w:val="Compact"/>
              <w:jc w:val="left"/>
            </w:pPr>
            <w:r>
              <w:t xml:space="preserve">028</w:t>
            </w:r>
          </w:p>
        </w:tc>
        <w:tc>
          <w:tcPr/>
          <w:p>
            <w:pPr>
              <w:pStyle w:val="Compact"/>
              <w:jc w:val="left"/>
            </w:pPr>
            <w:r>
              <w:t xml:space="preserve">Carbon tracking page: chart components</w:t>
            </w:r>
          </w:p>
        </w:tc>
        <w:tc>
          <w:tcPr/>
          <w:p>
            <w:pPr>
              <w:pStyle w:val="Compact"/>
              <w:jc w:val="left"/>
            </w:pPr>
            <w:r>
              <w:t xml:space="preserve">P1</w:t>
            </w:r>
          </w:p>
        </w:tc>
        <w:tc>
          <w:tcPr/>
          <w:p>
            <w:pPr>
              <w:pStyle w:val="Compact"/>
              <w:jc w:val="left"/>
            </w:pPr>
            <w:r>
              <w:t xml:space="preserve">Recharts/Visx charts for emissions over time, by scope</w:t>
            </w:r>
          </w:p>
        </w:tc>
      </w:tr>
      <w:tr>
        <w:tc>
          <w:tcPr/>
          <w:p>
            <w:pPr>
              <w:pStyle w:val="Compact"/>
              <w:jc w:val="left"/>
            </w:pPr>
            <w:r>
              <w:t xml:space="preserve">029</w:t>
            </w:r>
          </w:p>
        </w:tc>
        <w:tc>
          <w:tcPr/>
          <w:p>
            <w:pPr>
              <w:pStyle w:val="Compact"/>
              <w:jc w:val="left"/>
            </w:pPr>
            <w:r>
              <w:t xml:space="preserve">Settings page: organization management</w:t>
            </w:r>
          </w:p>
        </w:tc>
        <w:tc>
          <w:tcPr/>
          <w:p>
            <w:pPr>
              <w:pStyle w:val="Compact"/>
              <w:jc w:val="left"/>
            </w:pPr>
            <w:r>
              <w:t xml:space="preserve">P1</w:t>
            </w:r>
          </w:p>
        </w:tc>
        <w:tc>
          <w:tcPr/>
          <w:p>
            <w:pPr>
              <w:pStyle w:val="Compact"/>
              <w:jc w:val="left"/>
            </w:pPr>
            <w:r>
              <w:t xml:space="preserve">Org profile, member invites, role management UI</w:t>
            </w:r>
          </w:p>
        </w:tc>
      </w:tr>
      <w:tr>
        <w:tc>
          <w:tcPr/>
          <w:p>
            <w:pPr>
              <w:pStyle w:val="Compact"/>
              <w:jc w:val="left"/>
            </w:pPr>
            <w:r>
              <w:t xml:space="preserve">030</w:t>
            </w:r>
          </w:p>
        </w:tc>
        <w:tc>
          <w:tcPr/>
          <w:p>
            <w:pPr>
              <w:pStyle w:val="Compact"/>
              <w:jc w:val="left"/>
            </w:pPr>
            <w:r>
              <w:t xml:space="preserve">Settings page: notification preferences</w:t>
            </w:r>
          </w:p>
        </w:tc>
        <w:tc>
          <w:tcPr/>
          <w:p>
            <w:pPr>
              <w:pStyle w:val="Compact"/>
              <w:jc w:val="left"/>
            </w:pPr>
            <w:r>
              <w:t xml:space="preserve">P2</w:t>
            </w:r>
          </w:p>
        </w:tc>
        <w:tc>
          <w:tcPr/>
          <w:p>
            <w:pPr>
              <w:pStyle w:val="Compact"/>
              <w:jc w:val="left"/>
            </w:pPr>
            <w:r>
              <w:t xml:space="preserve">Email digest frequency, alert thresholds</w:t>
            </w:r>
          </w:p>
        </w:tc>
      </w:tr>
      <w:tr>
        <w:tc>
          <w:tcPr/>
          <w:p>
            <w:pPr>
              <w:pStyle w:val="Compact"/>
              <w:jc w:val="left"/>
            </w:pPr>
            <w:r>
              <w:t xml:space="preserve">031</w:t>
            </w:r>
          </w:p>
        </w:tc>
        <w:tc>
          <w:tcPr/>
          <w:p>
            <w:pPr>
              <w:pStyle w:val="Compact"/>
              <w:jc w:val="left"/>
            </w:pPr>
            <w:r>
              <w:t xml:space="preserve">Report viewer: PDF preview and download</w:t>
            </w:r>
          </w:p>
        </w:tc>
        <w:tc>
          <w:tcPr/>
          <w:p>
            <w:pPr>
              <w:pStyle w:val="Compact"/>
              <w:jc w:val="left"/>
            </w:pPr>
            <w:r>
              <w:t xml:space="preserve">P1</w:t>
            </w:r>
          </w:p>
        </w:tc>
        <w:tc>
          <w:tcPr/>
          <w:p>
            <w:pPr>
              <w:pStyle w:val="Compact"/>
              <w:jc w:val="left"/>
            </w:pPr>
            <w:r>
              <w:t xml:space="preserve">In-browser PDF rendering for compliance reports</w:t>
            </w:r>
          </w:p>
        </w:tc>
      </w:tr>
      <w:tr>
        <w:tc>
          <w:tcPr/>
          <w:p>
            <w:pPr>
              <w:pStyle w:val="Compact"/>
              <w:jc w:val="left"/>
            </w:pPr>
            <w:r>
              <w:t xml:space="preserve">032</w:t>
            </w:r>
          </w:p>
        </w:tc>
        <w:tc>
          <w:tcPr/>
          <w:p>
            <w:pPr>
              <w:pStyle w:val="Compact"/>
              <w:jc w:val="left"/>
            </w:pPr>
            <w:r>
              <w:t xml:space="preserve">Agent chat: conversation history</w:t>
            </w:r>
          </w:p>
        </w:tc>
        <w:tc>
          <w:tcPr/>
          <w:p>
            <w:pPr>
              <w:pStyle w:val="Compact"/>
              <w:jc w:val="left"/>
            </w:pPr>
            <w:r>
              <w:t xml:space="preserve">P1</w:t>
            </w:r>
          </w:p>
        </w:tc>
        <w:tc>
          <w:tcPr/>
          <w:p>
            <w:pPr>
              <w:pStyle w:val="Compact"/>
              <w:jc w:val="left"/>
            </w:pPr>
            <w:r>
              <w:t xml:space="preserve">Persist and reload previous climate assistant conversations</w:t>
            </w:r>
          </w:p>
        </w:tc>
      </w:tr>
      <w:tr>
        <w:tc>
          <w:tcPr/>
          <w:p>
            <w:pPr>
              <w:pStyle w:val="Compact"/>
              <w:jc w:val="left"/>
            </w:pPr>
            <w:r>
              <w:t xml:space="preserve">033</w:t>
            </w:r>
          </w:p>
        </w:tc>
        <w:tc>
          <w:tcPr/>
          <w:p>
            <w:pPr>
              <w:pStyle w:val="Compact"/>
              <w:jc w:val="left"/>
            </w:pPr>
            <w:r>
              <w:t xml:space="preserve">Dashboard accessibility audit and fixes</w:t>
            </w:r>
          </w:p>
        </w:tc>
        <w:tc>
          <w:tcPr/>
          <w:p>
            <w:pPr>
              <w:pStyle w:val="Compact"/>
              <w:jc w:val="left"/>
            </w:pPr>
            <w:r>
              <w:t xml:space="preserve">P1</w:t>
            </w:r>
          </w:p>
        </w:tc>
        <w:tc>
          <w:tcPr/>
          <w:p>
            <w:pPr>
              <w:pStyle w:val="Compact"/>
              <w:jc w:val="left"/>
            </w:pPr>
            <w:r>
              <w:t xml:space="preserve">WCAG 2.1 AA: keyboard nav, screen reader, contrast</w:t>
            </w:r>
          </w:p>
        </w:tc>
      </w:tr>
    </w:tbl>
    <w:bookmarkEnd w:id="30"/>
    <w:bookmarkStart w:id="31" w:name="deployment-devops-prs-034040"/>
    <w:p>
      <w:pPr>
        <w:pStyle w:val="Heading3"/>
      </w:pPr>
      <w:r>
        <w:t xml:space="preserve">1.4 Deployment &amp; DevOps (PRs 034–040)</w:t>
      </w:r>
    </w:p>
    <w:tbl>
      <w:tblPr>
        <w:tblStyle w:val="Table"/>
        <w:tblW w:type="pct" w:w="5000"/>
        <w:tblLook w:firstRow="1" w:lastRow="0" w:firstColumn="0" w:lastColumn="0" w:noHBand="0" w:noVBand="0" w:val="0020"/>
        <w:jc w:val="start"/>
      </w:tblPr>
      <w:tblGrid>
        <w:gridCol w:w="194"/>
        <w:gridCol w:w="3440"/>
        <w:gridCol w:w="519"/>
        <w:gridCol w:w="3765"/>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034</w:t>
            </w:r>
          </w:p>
        </w:tc>
        <w:tc>
          <w:tcPr/>
          <w:p>
            <w:pPr>
              <w:pStyle w:val="Compact"/>
              <w:jc w:val="left"/>
            </w:pPr>
            <w:r>
              <w:t xml:space="preserve">Staging environment on Cloud Run</w:t>
            </w:r>
          </w:p>
        </w:tc>
        <w:tc>
          <w:tcPr/>
          <w:p>
            <w:pPr>
              <w:pStyle w:val="Compact"/>
              <w:jc w:val="left"/>
            </w:pPr>
            <w:r>
              <w:t xml:space="preserve">P0</w:t>
            </w:r>
          </w:p>
        </w:tc>
        <w:tc>
          <w:tcPr/>
          <w:p>
            <w:pPr>
              <w:pStyle w:val="Compact"/>
              <w:jc w:val="left"/>
            </w:pPr>
            <w:r>
              <w:t xml:space="preserve">Separate staging project with production-like config</w:t>
            </w:r>
          </w:p>
        </w:tc>
      </w:tr>
      <w:tr>
        <w:tc>
          <w:tcPr/>
          <w:p>
            <w:pPr>
              <w:pStyle w:val="Compact"/>
              <w:jc w:val="left"/>
            </w:pPr>
            <w:r>
              <w:t xml:space="preserve">035</w:t>
            </w:r>
          </w:p>
        </w:tc>
        <w:tc>
          <w:tcPr/>
          <w:p>
            <w:pPr>
              <w:pStyle w:val="Compact"/>
              <w:jc w:val="left"/>
            </w:pPr>
            <w:r>
              <w:t xml:space="preserve">Database migration CI pipeline</w:t>
            </w:r>
          </w:p>
        </w:tc>
        <w:tc>
          <w:tcPr/>
          <w:p>
            <w:pPr>
              <w:pStyle w:val="Compact"/>
              <w:jc w:val="left"/>
            </w:pPr>
            <w:r>
              <w:t xml:space="preserve">P0</w:t>
            </w:r>
          </w:p>
        </w:tc>
        <w:tc>
          <w:tcPr/>
          <w:p>
            <w:pPr>
              <w:pStyle w:val="Compact"/>
              <w:jc w:val="left"/>
            </w:pPr>
            <w:r>
              <w:t xml:space="preserve">Auto-run pending migrations on deploy, rollback on failure</w:t>
            </w:r>
          </w:p>
        </w:tc>
      </w:tr>
      <w:tr>
        <w:tc>
          <w:tcPr/>
          <w:p>
            <w:pPr>
              <w:pStyle w:val="Compact"/>
              <w:jc w:val="left"/>
            </w:pPr>
            <w:r>
              <w:t xml:space="preserve">036</w:t>
            </w:r>
          </w:p>
        </w:tc>
        <w:tc>
          <w:tcPr/>
          <w:p>
            <w:pPr>
              <w:pStyle w:val="Compact"/>
              <w:jc w:val="left"/>
            </w:pPr>
            <w:r>
              <w:t xml:space="preserve">Frontend build + deploy pipeline (Cloudflare Pages)</w:t>
            </w:r>
          </w:p>
        </w:tc>
        <w:tc>
          <w:tcPr/>
          <w:p>
            <w:pPr>
              <w:pStyle w:val="Compact"/>
              <w:jc w:val="left"/>
            </w:pPr>
            <w:r>
              <w:t xml:space="preserve">P0</w:t>
            </w:r>
          </w:p>
        </w:tc>
        <w:tc>
          <w:tcPr/>
          <w:p>
            <w:pPr>
              <w:pStyle w:val="Compact"/>
              <w:jc w:val="left"/>
            </w:pPr>
            <w:r>
              <w:t xml:space="preserve">v10-react auto-deploys on merge to main</w:t>
            </w:r>
          </w:p>
        </w:tc>
      </w:tr>
      <w:tr>
        <w:tc>
          <w:tcPr/>
          <w:p>
            <w:pPr>
              <w:pStyle w:val="Compact"/>
              <w:jc w:val="left"/>
            </w:pPr>
            <w:r>
              <w:t xml:space="preserve">037</w:t>
            </w:r>
          </w:p>
        </w:tc>
        <w:tc>
          <w:tcPr/>
          <w:p>
            <w:pPr>
              <w:pStyle w:val="Compact"/>
              <w:jc w:val="left"/>
            </w:pPr>
            <w:r>
              <w:t xml:space="preserve">Sentry/error tracking integration</w:t>
            </w:r>
          </w:p>
        </w:tc>
        <w:tc>
          <w:tcPr/>
          <w:p>
            <w:pPr>
              <w:pStyle w:val="Compact"/>
              <w:jc w:val="left"/>
            </w:pPr>
            <w:r>
              <w:t xml:space="preserve">P1</w:t>
            </w:r>
          </w:p>
        </w:tc>
        <w:tc>
          <w:tcPr/>
          <w:p>
            <w:pPr>
              <w:pStyle w:val="Compact"/>
              <w:jc w:val="left"/>
            </w:pPr>
            <w:r>
              <w:t xml:space="preserve">Client + server error capture with source maps</w:t>
            </w:r>
          </w:p>
        </w:tc>
      </w:tr>
      <w:tr>
        <w:tc>
          <w:tcPr/>
          <w:p>
            <w:pPr>
              <w:pStyle w:val="Compact"/>
              <w:jc w:val="left"/>
            </w:pPr>
            <w:r>
              <w:t xml:space="preserve">038</w:t>
            </w:r>
          </w:p>
        </w:tc>
        <w:tc>
          <w:tcPr/>
          <w:p>
            <w:pPr>
              <w:pStyle w:val="Compact"/>
              <w:jc w:val="left"/>
            </w:pPr>
            <w:r>
              <w:t xml:space="preserve">Uptime monitoring (Checkly or equivalent)</w:t>
            </w:r>
          </w:p>
        </w:tc>
        <w:tc>
          <w:tcPr/>
          <w:p>
            <w:pPr>
              <w:pStyle w:val="Compact"/>
              <w:jc w:val="left"/>
            </w:pPr>
            <w:r>
              <w:t xml:space="preserve">P1</w:t>
            </w:r>
          </w:p>
        </w:tc>
        <w:tc>
          <w:tcPr/>
          <w:p>
            <w:pPr>
              <w:pStyle w:val="Compact"/>
              <w:jc w:val="left"/>
            </w:pPr>
            <w:r>
              <w:t xml:space="preserve">Synthetic checks for API, dashboard, landing pages</w:t>
            </w:r>
          </w:p>
        </w:tc>
      </w:tr>
      <w:tr>
        <w:tc>
          <w:tcPr/>
          <w:p>
            <w:pPr>
              <w:pStyle w:val="Compact"/>
              <w:jc w:val="left"/>
            </w:pPr>
            <w:r>
              <w:t xml:space="preserve">039</w:t>
            </w:r>
          </w:p>
        </w:tc>
        <w:tc>
          <w:tcPr/>
          <w:p>
            <w:pPr>
              <w:pStyle w:val="Compact"/>
              <w:jc w:val="left"/>
            </w:pPr>
            <w:r>
              <w:t xml:space="preserve">Log aggregation setup (Grafana Loki or Cloud Logging)</w:t>
            </w:r>
          </w:p>
        </w:tc>
        <w:tc>
          <w:tcPr/>
          <w:p>
            <w:pPr>
              <w:pStyle w:val="Compact"/>
              <w:jc w:val="left"/>
            </w:pPr>
            <w:r>
              <w:t xml:space="preserve">P1</w:t>
            </w:r>
          </w:p>
        </w:tc>
        <w:tc>
          <w:tcPr/>
          <w:p>
            <w:pPr>
              <w:pStyle w:val="Compact"/>
              <w:jc w:val="left"/>
            </w:pPr>
            <w:r>
              <w:t xml:space="preserve">Centralized log search across services</w:t>
            </w:r>
          </w:p>
        </w:tc>
      </w:tr>
      <w:tr>
        <w:tc>
          <w:tcPr/>
          <w:p>
            <w:pPr>
              <w:pStyle w:val="Compact"/>
              <w:jc w:val="left"/>
            </w:pPr>
            <w:r>
              <w:t xml:space="preserve">040</w:t>
            </w:r>
          </w:p>
        </w:tc>
        <w:tc>
          <w:tcPr/>
          <w:p>
            <w:pPr>
              <w:pStyle w:val="Compact"/>
              <w:jc w:val="left"/>
            </w:pPr>
            <w:r>
              <w:t xml:space="preserve">Secrets rotation runbook and automation</w:t>
            </w:r>
          </w:p>
        </w:tc>
        <w:tc>
          <w:tcPr/>
          <w:p>
            <w:pPr>
              <w:pStyle w:val="Compact"/>
              <w:jc w:val="left"/>
            </w:pPr>
            <w:r>
              <w:t xml:space="preserve">P2</w:t>
            </w:r>
          </w:p>
        </w:tc>
        <w:tc>
          <w:tcPr/>
          <w:p>
            <w:pPr>
              <w:pStyle w:val="Compact"/>
              <w:jc w:val="left"/>
            </w:pPr>
            <w:r>
              <w:t xml:space="preserve">Documented process + script for rotating all API keys</w:t>
            </w:r>
          </w:p>
        </w:tc>
      </w:tr>
    </w:tbl>
    <w:bookmarkEnd w:id="31"/>
    <w:bookmarkStart w:id="32" w:name="customer-onboarding-prs-041045"/>
    <w:p>
      <w:pPr>
        <w:pStyle w:val="Heading3"/>
      </w:pPr>
      <w:r>
        <w:t xml:space="preserve">1.5 Customer Onboarding (PRs 041–045)</w:t>
      </w:r>
    </w:p>
    <w:tbl>
      <w:tblPr>
        <w:tblStyle w:val="Table"/>
        <w:tblW w:type="pct" w:w="5000"/>
        <w:tblLook w:firstRow="1" w:lastRow="0" w:firstColumn="0" w:lastColumn="0" w:noHBand="0" w:noVBand="0" w:val="0020"/>
        <w:jc w:val="start"/>
      </w:tblPr>
      <w:tblGrid>
        <w:gridCol w:w="193"/>
        <w:gridCol w:w="2833"/>
        <w:gridCol w:w="515"/>
        <w:gridCol w:w="4378"/>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041</w:t>
            </w:r>
          </w:p>
        </w:tc>
        <w:tc>
          <w:tcPr/>
          <w:p>
            <w:pPr>
              <w:pStyle w:val="Compact"/>
              <w:jc w:val="left"/>
            </w:pPr>
            <w:r>
              <w:t xml:space="preserve">Customer onboarding wizard (multi-step form)</w:t>
            </w:r>
          </w:p>
        </w:tc>
        <w:tc>
          <w:tcPr/>
          <w:p>
            <w:pPr>
              <w:pStyle w:val="Compact"/>
              <w:jc w:val="left"/>
            </w:pPr>
            <w:r>
              <w:t xml:space="preserve">P0</w:t>
            </w:r>
          </w:p>
        </w:tc>
        <w:tc>
          <w:tcPr/>
          <w:p>
            <w:pPr>
              <w:pStyle w:val="Compact"/>
              <w:jc w:val="left"/>
            </w:pPr>
            <w:r>
              <w:t xml:space="preserve">Industry selection → company profile → ERP connection → first report</w:t>
            </w:r>
          </w:p>
        </w:tc>
      </w:tr>
      <w:tr>
        <w:tc>
          <w:tcPr/>
          <w:p>
            <w:pPr>
              <w:pStyle w:val="Compact"/>
              <w:jc w:val="left"/>
            </w:pPr>
            <w:r>
              <w:t xml:space="preserve">042</w:t>
            </w:r>
          </w:p>
        </w:tc>
        <w:tc>
          <w:tcPr/>
          <w:p>
            <w:pPr>
              <w:pStyle w:val="Compact"/>
              <w:jc w:val="left"/>
            </w:pPr>
            <w:r>
              <w:t xml:space="preserve">Welcome email sequence (3-email drip)</w:t>
            </w:r>
          </w:p>
        </w:tc>
        <w:tc>
          <w:tcPr/>
          <w:p>
            <w:pPr>
              <w:pStyle w:val="Compact"/>
              <w:jc w:val="left"/>
            </w:pPr>
            <w:r>
              <w:t xml:space="preserve">P1</w:t>
            </w:r>
          </w:p>
        </w:tc>
        <w:tc>
          <w:tcPr/>
          <w:p>
            <w:pPr>
              <w:pStyle w:val="Compact"/>
              <w:jc w:val="left"/>
            </w:pPr>
            <w:r>
              <w:t xml:space="preserve">Day 0: welcome, Day 3: first steps, Day 7: check-in</w:t>
            </w:r>
          </w:p>
        </w:tc>
      </w:tr>
      <w:tr>
        <w:tc>
          <w:tcPr/>
          <w:p>
            <w:pPr>
              <w:pStyle w:val="Compact"/>
              <w:jc w:val="left"/>
            </w:pPr>
            <w:r>
              <w:t xml:space="preserve">043</w:t>
            </w:r>
          </w:p>
        </w:tc>
        <w:tc>
          <w:tcPr/>
          <w:p>
            <w:pPr>
              <w:pStyle w:val="Compact"/>
              <w:jc w:val="left"/>
            </w:pPr>
            <w:r>
              <w:t xml:space="preserve">In-app guided tour (first-time user)</w:t>
            </w:r>
          </w:p>
        </w:tc>
        <w:tc>
          <w:tcPr/>
          <w:p>
            <w:pPr>
              <w:pStyle w:val="Compact"/>
              <w:jc w:val="left"/>
            </w:pPr>
            <w:r>
              <w:t xml:space="preserve">P1</w:t>
            </w:r>
          </w:p>
        </w:tc>
        <w:tc>
          <w:tcPr/>
          <w:p>
            <w:pPr>
              <w:pStyle w:val="Compact"/>
              <w:jc w:val="left"/>
            </w:pPr>
            <w:r>
              <w:t xml:space="preserve">Highlight key features on first login</w:t>
            </w:r>
          </w:p>
        </w:tc>
      </w:tr>
      <w:tr>
        <w:tc>
          <w:tcPr/>
          <w:p>
            <w:pPr>
              <w:pStyle w:val="Compact"/>
              <w:jc w:val="left"/>
            </w:pPr>
            <w:r>
              <w:t xml:space="preserve">044</w:t>
            </w:r>
          </w:p>
        </w:tc>
        <w:tc>
          <w:tcPr/>
          <w:p>
            <w:pPr>
              <w:pStyle w:val="Compact"/>
              <w:jc w:val="left"/>
            </w:pPr>
            <w:r>
              <w:t xml:space="preserve">Customer-facing API documentation</w:t>
            </w:r>
          </w:p>
        </w:tc>
        <w:tc>
          <w:tcPr/>
          <w:p>
            <w:pPr>
              <w:pStyle w:val="Compact"/>
              <w:jc w:val="left"/>
            </w:pPr>
            <w:r>
              <w:t xml:space="preserve">P1</w:t>
            </w:r>
          </w:p>
        </w:tc>
        <w:tc>
          <w:tcPr/>
          <w:p>
            <w:pPr>
              <w:pStyle w:val="Compact"/>
              <w:jc w:val="left"/>
            </w:pPr>
            <w:r>
              <w:t xml:space="preserve">Interactive API docs for programmatic access</w:t>
            </w:r>
          </w:p>
        </w:tc>
      </w:tr>
      <w:tr>
        <w:tc>
          <w:tcPr/>
          <w:p>
            <w:pPr>
              <w:pStyle w:val="Compact"/>
              <w:jc w:val="left"/>
            </w:pPr>
            <w:r>
              <w:t xml:space="preserve">045</w:t>
            </w:r>
          </w:p>
        </w:tc>
        <w:tc>
          <w:tcPr/>
          <w:p>
            <w:pPr>
              <w:pStyle w:val="Compact"/>
              <w:jc w:val="left"/>
            </w:pPr>
            <w:r>
              <w:t xml:space="preserve">SLA monitoring dashboard (internal)</w:t>
            </w:r>
          </w:p>
        </w:tc>
        <w:tc>
          <w:tcPr/>
          <w:p>
            <w:pPr>
              <w:pStyle w:val="Compact"/>
              <w:jc w:val="left"/>
            </w:pPr>
            <w:r>
              <w:t xml:space="preserve">P2</w:t>
            </w:r>
          </w:p>
        </w:tc>
        <w:tc>
          <w:tcPr/>
          <w:p>
            <w:pPr>
              <w:pStyle w:val="Compact"/>
              <w:jc w:val="left"/>
            </w:pPr>
            <w:r>
              <w:t xml:space="preserve">Track uptime, response times, error rates per customer</w:t>
            </w:r>
          </w:p>
        </w:tc>
      </w:tr>
    </w:tbl>
    <w:p>
      <w:r>
        <w:pict>
          <v:rect style="width:0;height:1.5pt" o:hralign="center" o:hrstd="t" o:hr="t"/>
        </w:pict>
      </w:r>
    </w:p>
    <w:bookmarkEnd w:id="32"/>
    <w:bookmarkEnd w:id="33"/>
    <w:bookmarkStart w:id="40" w:name="Xa9f621f15a8b0c0c52e3adbdafe7512c73d3d99"/>
    <w:p>
      <w:pPr>
        <w:pStyle w:val="Heading2"/>
      </w:pPr>
      <w:r>
        <w:t xml:space="preserve">Phase 2: Compliance Engine (May–Jul 2026) — 57 PRs</w:t>
      </w:r>
    </w:p>
    <w:bookmarkStart w:id="34" w:name="eu-ets-module-prs-046057"/>
    <w:p>
      <w:pPr>
        <w:pStyle w:val="Heading3"/>
      </w:pPr>
      <w:r>
        <w:t xml:space="preserve">2.1 EU ETS Module (PRs 046–057)</w:t>
      </w:r>
    </w:p>
    <w:tbl>
      <w:tblPr>
        <w:tblStyle w:val="Table"/>
        <w:tblW w:type="pct" w:w="5000"/>
        <w:tblLook w:firstRow="1" w:lastRow="0" w:firstColumn="0" w:lastColumn="0" w:noHBand="0" w:noVBand="0" w:val="0020"/>
        <w:jc w:val="start"/>
      </w:tblPr>
      <w:tblGrid>
        <w:gridCol w:w="190"/>
        <w:gridCol w:w="3168"/>
        <w:gridCol w:w="506"/>
        <w:gridCol w:w="4055"/>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046</w:t>
            </w:r>
          </w:p>
        </w:tc>
        <w:tc>
          <w:tcPr/>
          <w:p>
            <w:pPr>
              <w:pStyle w:val="Compact"/>
              <w:jc w:val="left"/>
            </w:pPr>
            <w:r>
              <w:t xml:space="preserve">ETS installation registry data model</w:t>
            </w:r>
          </w:p>
        </w:tc>
        <w:tc>
          <w:tcPr/>
          <w:p>
            <w:pPr>
              <w:pStyle w:val="Compact"/>
              <w:jc w:val="left"/>
            </w:pPr>
            <w:r>
              <w:t xml:space="preserve">P0</w:t>
            </w:r>
          </w:p>
        </w:tc>
        <w:tc>
          <w:tcPr/>
          <w:p>
            <w:pPr>
              <w:pStyle w:val="Compact"/>
              <w:jc w:val="left"/>
            </w:pPr>
            <w:r>
              <w:t xml:space="preserve">Supabase schema for installations, permits, activity data</w:t>
            </w:r>
          </w:p>
        </w:tc>
      </w:tr>
      <w:tr>
        <w:tc>
          <w:tcPr/>
          <w:p>
            <w:pPr>
              <w:pStyle w:val="Compact"/>
              <w:jc w:val="left"/>
            </w:pPr>
            <w:r>
              <w:t xml:space="preserve">047</w:t>
            </w:r>
          </w:p>
        </w:tc>
        <w:tc>
          <w:tcPr/>
          <w:p>
            <w:pPr>
              <w:pStyle w:val="Compact"/>
              <w:jc w:val="left"/>
            </w:pPr>
            <w:r>
              <w:t xml:space="preserve">ETS emission calculation engine (Scope 1)</w:t>
            </w:r>
          </w:p>
        </w:tc>
        <w:tc>
          <w:tcPr/>
          <w:p>
            <w:pPr>
              <w:pStyle w:val="Compact"/>
              <w:jc w:val="left"/>
            </w:pPr>
            <w:r>
              <w:t xml:space="preserve">P0</w:t>
            </w:r>
          </w:p>
        </w:tc>
        <w:tc>
          <w:tcPr/>
          <w:p>
            <w:pPr>
              <w:pStyle w:val="Compact"/>
              <w:jc w:val="left"/>
            </w:pPr>
            <w:r>
              <w:t xml:space="preserve">Standard + fallback calculation methods per activity type</w:t>
            </w:r>
          </w:p>
        </w:tc>
      </w:tr>
      <w:tr>
        <w:tc>
          <w:tcPr/>
          <w:p>
            <w:pPr>
              <w:pStyle w:val="Compact"/>
              <w:jc w:val="left"/>
            </w:pPr>
            <w:r>
              <w:t xml:space="preserve">048</w:t>
            </w:r>
          </w:p>
        </w:tc>
        <w:tc>
          <w:tcPr/>
          <w:p>
            <w:pPr>
              <w:pStyle w:val="Compact"/>
              <w:jc w:val="left"/>
            </w:pPr>
            <w:r>
              <w:t xml:space="preserve">ETS free allowance tracker (2026–2034 phase-out)</w:t>
            </w:r>
          </w:p>
        </w:tc>
        <w:tc>
          <w:tcPr/>
          <w:p>
            <w:pPr>
              <w:pStyle w:val="Compact"/>
              <w:jc w:val="left"/>
            </w:pPr>
            <w:r>
              <w:t xml:space="preserve">P0</w:t>
            </w:r>
          </w:p>
        </w:tc>
        <w:tc>
          <w:tcPr/>
          <w:p>
            <w:pPr>
              <w:pStyle w:val="Compact"/>
              <w:jc w:val="left"/>
            </w:pPr>
            <w:r>
              <w:t xml:space="preserve">Model annual free allocation reduction per sector</w:t>
            </w:r>
          </w:p>
        </w:tc>
      </w:tr>
      <w:tr>
        <w:tc>
          <w:tcPr/>
          <w:p>
            <w:pPr>
              <w:pStyle w:val="Compact"/>
              <w:jc w:val="left"/>
            </w:pPr>
            <w:r>
              <w:t xml:space="preserve">049</w:t>
            </w:r>
          </w:p>
        </w:tc>
        <w:tc>
          <w:tcPr/>
          <w:p>
            <w:pPr>
              <w:pStyle w:val="Compact"/>
              <w:jc w:val="left"/>
            </w:pPr>
            <w:r>
              <w:t xml:space="preserve">ETS allowance price integration (live market data)</w:t>
            </w:r>
          </w:p>
        </w:tc>
        <w:tc>
          <w:tcPr/>
          <w:p>
            <w:pPr>
              <w:pStyle w:val="Compact"/>
              <w:jc w:val="left"/>
            </w:pPr>
            <w:r>
              <w:t xml:space="preserve">P1</w:t>
            </w:r>
          </w:p>
        </w:tc>
        <w:tc>
          <w:tcPr/>
          <w:p>
            <w:pPr>
              <w:pStyle w:val="Compact"/>
              <w:jc w:val="left"/>
            </w:pPr>
            <w:r>
              <w:t xml:space="preserve">Daily EUA price fetch from ICE/EEX; store history</w:t>
            </w:r>
          </w:p>
        </w:tc>
      </w:tr>
      <w:tr>
        <w:tc>
          <w:tcPr/>
          <w:p>
            <w:pPr>
              <w:pStyle w:val="Compact"/>
              <w:jc w:val="left"/>
            </w:pPr>
            <w:r>
              <w:t xml:space="preserve">050</w:t>
            </w:r>
          </w:p>
        </w:tc>
        <w:tc>
          <w:tcPr/>
          <w:p>
            <w:pPr>
              <w:pStyle w:val="Compact"/>
              <w:jc w:val="left"/>
            </w:pPr>
            <w:r>
              <w:t xml:space="preserve">ETS financial exposure calculator</w:t>
            </w:r>
          </w:p>
        </w:tc>
        <w:tc>
          <w:tcPr/>
          <w:p>
            <w:pPr>
              <w:pStyle w:val="Compact"/>
              <w:jc w:val="left"/>
            </w:pPr>
            <w:r>
              <w:t xml:space="preserve">P0</w:t>
            </w:r>
          </w:p>
        </w:tc>
        <w:tc>
          <w:tcPr/>
          <w:p>
            <w:pPr>
              <w:pStyle w:val="Compact"/>
              <w:jc w:val="left"/>
            </w:pPr>
            <w:r>
              <w:t xml:space="preserve">Project carbon cost based on allocation shortfall × market price</w:t>
            </w:r>
          </w:p>
        </w:tc>
      </w:tr>
      <w:tr>
        <w:tc>
          <w:tcPr/>
          <w:p>
            <w:pPr>
              <w:pStyle w:val="Compact"/>
              <w:jc w:val="left"/>
            </w:pPr>
            <w:r>
              <w:t xml:space="preserve">051</w:t>
            </w:r>
          </w:p>
        </w:tc>
        <w:tc>
          <w:tcPr/>
          <w:p>
            <w:pPr>
              <w:pStyle w:val="Compact"/>
              <w:jc w:val="left"/>
            </w:pPr>
            <w:r>
              <w:t xml:space="preserve">ETS MRV report generator (monitoring plan format)</w:t>
            </w:r>
          </w:p>
        </w:tc>
        <w:tc>
          <w:tcPr/>
          <w:p>
            <w:pPr>
              <w:pStyle w:val="Compact"/>
              <w:jc w:val="left"/>
            </w:pPr>
            <w:r>
              <w:t xml:space="preserve">P0</w:t>
            </w:r>
          </w:p>
        </w:tc>
        <w:tc>
          <w:tcPr/>
          <w:p>
            <w:pPr>
              <w:pStyle w:val="Compact"/>
              <w:jc w:val="left"/>
            </w:pPr>
            <w:r>
              <w:t xml:space="preserve">Auto-generate Monitoring, Reporting, Verification documents</w:t>
            </w:r>
          </w:p>
        </w:tc>
      </w:tr>
      <w:tr>
        <w:tc>
          <w:tcPr/>
          <w:p>
            <w:pPr>
              <w:pStyle w:val="Compact"/>
              <w:jc w:val="left"/>
            </w:pPr>
            <w:r>
              <w:t xml:space="preserve">052</w:t>
            </w:r>
          </w:p>
        </w:tc>
        <w:tc>
          <w:tcPr/>
          <w:p>
            <w:pPr>
              <w:pStyle w:val="Compact"/>
              <w:jc w:val="left"/>
            </w:pPr>
            <w:r>
              <w:t xml:space="preserve">ETS verification workflow</w:t>
            </w:r>
          </w:p>
        </w:tc>
        <w:tc>
          <w:tcPr/>
          <w:p>
            <w:pPr>
              <w:pStyle w:val="Compact"/>
              <w:jc w:val="left"/>
            </w:pPr>
            <w:r>
              <w:t xml:space="preserve">P1</w:t>
            </w:r>
          </w:p>
        </w:tc>
        <w:tc>
          <w:tcPr/>
          <w:p>
            <w:pPr>
              <w:pStyle w:val="Compact"/>
              <w:jc w:val="left"/>
            </w:pPr>
            <w:r>
              <w:t xml:space="preserve">Status tracking: draft → submitted → verified → approved</w:t>
            </w:r>
          </w:p>
        </w:tc>
      </w:tr>
      <w:tr>
        <w:tc>
          <w:tcPr/>
          <w:p>
            <w:pPr>
              <w:pStyle w:val="Compact"/>
              <w:jc w:val="left"/>
            </w:pPr>
            <w:r>
              <w:t xml:space="preserve">053</w:t>
            </w:r>
          </w:p>
        </w:tc>
        <w:tc>
          <w:tcPr/>
          <w:p>
            <w:pPr>
              <w:pStyle w:val="Compact"/>
              <w:jc w:val="left"/>
            </w:pPr>
            <w:r>
              <w:t xml:space="preserve">ETS compliance calendar with deadline alerts</w:t>
            </w:r>
          </w:p>
        </w:tc>
        <w:tc>
          <w:tcPr/>
          <w:p>
            <w:pPr>
              <w:pStyle w:val="Compact"/>
              <w:jc w:val="left"/>
            </w:pPr>
            <w:r>
              <w:t xml:space="preserve">P1</w:t>
            </w:r>
          </w:p>
        </w:tc>
        <w:tc>
          <w:tcPr/>
          <w:p>
            <w:pPr>
              <w:pStyle w:val="Compact"/>
              <w:jc w:val="left"/>
            </w:pPr>
            <w:r>
              <w:t xml:space="preserve">Key dates: Mar 31 report, Apr 30 surrender, Sep 30 verification</w:t>
            </w:r>
          </w:p>
        </w:tc>
      </w:tr>
      <w:tr>
        <w:tc>
          <w:tcPr/>
          <w:p>
            <w:pPr>
              <w:pStyle w:val="Compact"/>
              <w:jc w:val="left"/>
            </w:pPr>
            <w:r>
              <w:t xml:space="preserve">054</w:t>
            </w:r>
          </w:p>
        </w:tc>
        <w:tc>
          <w:tcPr/>
          <w:p>
            <w:pPr>
              <w:pStyle w:val="Compact"/>
              <w:jc w:val="left"/>
            </w:pPr>
            <w:r>
              <w:t xml:space="preserve">ETS sector benchmarks (cement, steel, chemicals)</w:t>
            </w:r>
          </w:p>
        </w:tc>
        <w:tc>
          <w:tcPr/>
          <w:p>
            <w:pPr>
              <w:pStyle w:val="Compact"/>
              <w:jc w:val="left"/>
            </w:pPr>
            <w:r>
              <w:t xml:space="preserve">P1</w:t>
            </w:r>
          </w:p>
        </w:tc>
        <w:tc>
          <w:tcPr/>
          <w:p>
            <w:pPr>
              <w:pStyle w:val="Compact"/>
              <w:jc w:val="left"/>
            </w:pPr>
            <w:r>
              <w:t xml:space="preserve">Pre-loaded benchmark values for 25+ industries</w:t>
            </w:r>
          </w:p>
        </w:tc>
      </w:tr>
      <w:tr>
        <w:tc>
          <w:tcPr/>
          <w:p>
            <w:pPr>
              <w:pStyle w:val="Compact"/>
              <w:jc w:val="left"/>
            </w:pPr>
            <w:r>
              <w:t xml:space="preserve">055</w:t>
            </w:r>
          </w:p>
        </w:tc>
        <w:tc>
          <w:tcPr/>
          <w:p>
            <w:pPr>
              <w:pStyle w:val="Compact"/>
              <w:jc w:val="left"/>
            </w:pPr>
            <w:r>
              <w:t xml:space="preserve">ETS allowance trading decision support</w:t>
            </w:r>
          </w:p>
        </w:tc>
        <w:tc>
          <w:tcPr/>
          <w:p>
            <w:pPr>
              <w:pStyle w:val="Compact"/>
              <w:jc w:val="left"/>
            </w:pPr>
            <w:r>
              <w:t xml:space="preserve">P2</w:t>
            </w:r>
          </w:p>
        </w:tc>
        <w:tc>
          <w:tcPr/>
          <w:p>
            <w:pPr>
              <w:pStyle w:val="Compact"/>
              <w:jc w:val="left"/>
            </w:pPr>
            <w:r>
              <w:t xml:space="preserve">Buy/sell recommendation based on position and price forecast</w:t>
            </w:r>
          </w:p>
        </w:tc>
      </w:tr>
      <w:tr>
        <w:tc>
          <w:tcPr/>
          <w:p>
            <w:pPr>
              <w:pStyle w:val="Compact"/>
              <w:jc w:val="left"/>
            </w:pPr>
            <w:r>
              <w:t xml:space="preserve">056</w:t>
            </w:r>
          </w:p>
        </w:tc>
        <w:tc>
          <w:tcPr/>
          <w:p>
            <w:pPr>
              <w:pStyle w:val="Compact"/>
              <w:jc w:val="left"/>
            </w:pPr>
            <w:r>
              <w:t xml:space="preserve">ETS historical emissions dashboard</w:t>
            </w:r>
          </w:p>
        </w:tc>
        <w:tc>
          <w:tcPr/>
          <w:p>
            <w:pPr>
              <w:pStyle w:val="Compact"/>
              <w:jc w:val="left"/>
            </w:pPr>
            <w:r>
              <w:t xml:space="preserve">P1</w:t>
            </w:r>
          </w:p>
        </w:tc>
        <w:tc>
          <w:tcPr/>
          <w:p>
            <w:pPr>
              <w:pStyle w:val="Compact"/>
              <w:jc w:val="left"/>
            </w:pPr>
            <w:r>
              <w:t xml:space="preserve">Year-over-year trend visualization, target vs actual</w:t>
            </w:r>
          </w:p>
        </w:tc>
      </w:tr>
      <w:tr>
        <w:tc>
          <w:tcPr/>
          <w:p>
            <w:pPr>
              <w:pStyle w:val="Compact"/>
              <w:jc w:val="left"/>
            </w:pPr>
            <w:r>
              <w:t xml:space="preserve">057</w:t>
            </w:r>
          </w:p>
        </w:tc>
        <w:tc>
          <w:tcPr/>
          <w:p>
            <w:pPr>
              <w:pStyle w:val="Compact"/>
              <w:jc w:val="left"/>
            </w:pPr>
            <w:r>
              <w:t xml:space="preserve">ETS export to national registry XML format</w:t>
            </w:r>
          </w:p>
        </w:tc>
        <w:tc>
          <w:tcPr/>
          <w:p>
            <w:pPr>
              <w:pStyle w:val="Compact"/>
              <w:jc w:val="left"/>
            </w:pPr>
            <w:r>
              <w:t xml:space="preserve">P1</w:t>
            </w:r>
          </w:p>
        </w:tc>
        <w:tc>
          <w:tcPr/>
          <w:p>
            <w:pPr>
              <w:pStyle w:val="Compact"/>
              <w:jc w:val="left"/>
            </w:pPr>
            <w:r>
              <w:t xml:space="preserve">Generate submission-ready XML for EU Transaction Log</w:t>
            </w:r>
          </w:p>
        </w:tc>
      </w:tr>
    </w:tbl>
    <w:bookmarkEnd w:id="34"/>
    <w:bookmarkStart w:id="35" w:name="cbam-module-prs-058067"/>
    <w:p>
      <w:pPr>
        <w:pStyle w:val="Heading3"/>
      </w:pPr>
      <w:r>
        <w:t xml:space="preserve">2.2 CBAM Module (PRs 058–067)</w:t>
      </w:r>
    </w:p>
    <w:tbl>
      <w:tblPr>
        <w:tblStyle w:val="Table"/>
        <w:tblW w:type="pct" w:w="5000"/>
        <w:tblLook w:firstRow="1" w:lastRow="0" w:firstColumn="0" w:lastColumn="0" w:noHBand="0" w:noVBand="0" w:val="0020"/>
        <w:jc w:val="start"/>
      </w:tblPr>
      <w:tblGrid>
        <w:gridCol w:w="194"/>
        <w:gridCol w:w="2986"/>
        <w:gridCol w:w="519"/>
        <w:gridCol w:w="4219"/>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058</w:t>
            </w:r>
          </w:p>
        </w:tc>
        <w:tc>
          <w:tcPr/>
          <w:p>
            <w:pPr>
              <w:pStyle w:val="Compact"/>
              <w:jc w:val="left"/>
            </w:pPr>
            <w:r>
              <w:t xml:space="preserve">CBAM product classification (CN codes)</w:t>
            </w:r>
          </w:p>
        </w:tc>
        <w:tc>
          <w:tcPr/>
          <w:p>
            <w:pPr>
              <w:pStyle w:val="Compact"/>
              <w:jc w:val="left"/>
            </w:pPr>
            <w:r>
              <w:t xml:space="preserve">P0</w:t>
            </w:r>
          </w:p>
        </w:tc>
        <w:tc>
          <w:tcPr/>
          <w:p>
            <w:pPr>
              <w:pStyle w:val="Compact"/>
              <w:jc w:val="left"/>
            </w:pPr>
            <w:r>
              <w:t xml:space="preserve">Map imported products to CBAM-covered categories</w:t>
            </w:r>
          </w:p>
        </w:tc>
      </w:tr>
      <w:tr>
        <w:tc>
          <w:tcPr/>
          <w:p>
            <w:pPr>
              <w:pStyle w:val="Compact"/>
              <w:jc w:val="left"/>
            </w:pPr>
            <w:r>
              <w:t xml:space="preserve">059</w:t>
            </w:r>
          </w:p>
        </w:tc>
        <w:tc>
          <w:tcPr/>
          <w:p>
            <w:pPr>
              <w:pStyle w:val="Compact"/>
              <w:jc w:val="left"/>
            </w:pPr>
            <w:r>
              <w:t xml:space="preserve">CBAM embedded emissions calculator</w:t>
            </w:r>
          </w:p>
        </w:tc>
        <w:tc>
          <w:tcPr/>
          <w:p>
            <w:pPr>
              <w:pStyle w:val="Compact"/>
              <w:jc w:val="left"/>
            </w:pPr>
            <w:r>
              <w:t xml:space="preserve">P0</w:t>
            </w:r>
          </w:p>
        </w:tc>
        <w:tc>
          <w:tcPr/>
          <w:p>
            <w:pPr>
              <w:pStyle w:val="Compact"/>
              <w:jc w:val="left"/>
            </w:pPr>
            <w:r>
              <w:t xml:space="preserve">Direct + indirect emissions per product, default values fallback</w:t>
            </w:r>
          </w:p>
        </w:tc>
      </w:tr>
      <w:tr>
        <w:tc>
          <w:tcPr/>
          <w:p>
            <w:pPr>
              <w:pStyle w:val="Compact"/>
              <w:jc w:val="left"/>
            </w:pPr>
            <w:r>
              <w:t xml:space="preserve">060</w:t>
            </w:r>
          </w:p>
        </w:tc>
        <w:tc>
          <w:tcPr/>
          <w:p>
            <w:pPr>
              <w:pStyle w:val="Compact"/>
              <w:jc w:val="left"/>
            </w:pPr>
            <w:r>
              <w:t xml:space="preserve">CBAM supplier data collection portal</w:t>
            </w:r>
          </w:p>
        </w:tc>
        <w:tc>
          <w:tcPr/>
          <w:p>
            <w:pPr>
              <w:pStyle w:val="Compact"/>
              <w:jc w:val="left"/>
            </w:pPr>
            <w:r>
              <w:t xml:space="preserve">P0</w:t>
            </w:r>
          </w:p>
        </w:tc>
        <w:tc>
          <w:tcPr/>
          <w:p>
            <w:pPr>
              <w:pStyle w:val="Compact"/>
              <w:jc w:val="left"/>
            </w:pPr>
            <w:r>
              <w:t xml:space="preserve">Self-service portal for non-EU suppliers to submit emissions data</w:t>
            </w:r>
          </w:p>
        </w:tc>
      </w:tr>
      <w:tr>
        <w:tc>
          <w:tcPr/>
          <w:p>
            <w:pPr>
              <w:pStyle w:val="Compact"/>
              <w:jc w:val="left"/>
            </w:pPr>
            <w:r>
              <w:t xml:space="preserve">061</w:t>
            </w:r>
          </w:p>
        </w:tc>
        <w:tc>
          <w:tcPr/>
          <w:p>
            <w:pPr>
              <w:pStyle w:val="Compact"/>
              <w:jc w:val="left"/>
            </w:pPr>
            <w:r>
              <w:t xml:space="preserve">CBAM quarterly report generator</w:t>
            </w:r>
          </w:p>
        </w:tc>
        <w:tc>
          <w:tcPr/>
          <w:p>
            <w:pPr>
              <w:pStyle w:val="Compact"/>
              <w:jc w:val="left"/>
            </w:pPr>
            <w:r>
              <w:t xml:space="preserve">P0</w:t>
            </w:r>
          </w:p>
        </w:tc>
        <w:tc>
          <w:tcPr/>
          <w:p>
            <w:pPr>
              <w:pStyle w:val="Compact"/>
              <w:jc w:val="left"/>
            </w:pPr>
            <w:r>
              <w:t xml:space="preserve">Transitional period report format (2026)</w:t>
            </w:r>
          </w:p>
        </w:tc>
      </w:tr>
      <w:tr>
        <w:tc>
          <w:tcPr/>
          <w:p>
            <w:pPr>
              <w:pStyle w:val="Compact"/>
              <w:jc w:val="left"/>
            </w:pPr>
            <w:r>
              <w:t xml:space="preserve">062</w:t>
            </w:r>
          </w:p>
        </w:tc>
        <w:tc>
          <w:tcPr/>
          <w:p>
            <w:pPr>
              <w:pStyle w:val="Compact"/>
              <w:jc w:val="left"/>
            </w:pPr>
            <w:r>
              <w:t xml:space="preserve">CBAM certificate cost estimator</w:t>
            </w:r>
          </w:p>
        </w:tc>
        <w:tc>
          <w:tcPr/>
          <w:p>
            <w:pPr>
              <w:pStyle w:val="Compact"/>
              <w:jc w:val="left"/>
            </w:pPr>
            <w:r>
              <w:t xml:space="preserve">P1</w:t>
            </w:r>
          </w:p>
        </w:tc>
        <w:tc>
          <w:tcPr/>
          <w:p>
            <w:pPr>
              <w:pStyle w:val="Compact"/>
              <w:jc w:val="left"/>
            </w:pPr>
            <w:r>
              <w:t xml:space="preserve">Calculate CBAM certificate obligation based on import volume</w:t>
            </w:r>
          </w:p>
        </w:tc>
      </w:tr>
      <w:tr>
        <w:tc>
          <w:tcPr/>
          <w:p>
            <w:pPr>
              <w:pStyle w:val="Compact"/>
              <w:jc w:val="left"/>
            </w:pPr>
            <w:r>
              <w:t xml:space="preserve">063</w:t>
            </w:r>
          </w:p>
        </w:tc>
        <w:tc>
          <w:tcPr/>
          <w:p>
            <w:pPr>
              <w:pStyle w:val="Compact"/>
              <w:jc w:val="left"/>
            </w:pPr>
            <w:r>
              <w:t xml:space="preserve">CBAM country-of-origin carbon price adjustment</w:t>
            </w:r>
          </w:p>
        </w:tc>
        <w:tc>
          <w:tcPr/>
          <w:p>
            <w:pPr>
              <w:pStyle w:val="Compact"/>
              <w:jc w:val="left"/>
            </w:pPr>
            <w:r>
              <w:t xml:space="preserve">P1</w:t>
            </w:r>
          </w:p>
        </w:tc>
        <w:tc>
          <w:tcPr/>
          <w:p>
            <w:pPr>
              <w:pStyle w:val="Compact"/>
              <w:jc w:val="left"/>
            </w:pPr>
            <w:r>
              <w:t xml:space="preserve">Deduct carbon price already paid in country of origin</w:t>
            </w:r>
          </w:p>
        </w:tc>
      </w:tr>
      <w:tr>
        <w:tc>
          <w:tcPr/>
          <w:p>
            <w:pPr>
              <w:pStyle w:val="Compact"/>
              <w:jc w:val="left"/>
            </w:pPr>
            <w:r>
              <w:t xml:space="preserve">064</w:t>
            </w:r>
          </w:p>
        </w:tc>
        <w:tc>
          <w:tcPr/>
          <w:p>
            <w:pPr>
              <w:pStyle w:val="Compact"/>
              <w:jc w:val="left"/>
            </w:pPr>
            <w:r>
              <w:t xml:space="preserve">CBAM customs data integration</w:t>
            </w:r>
          </w:p>
        </w:tc>
        <w:tc>
          <w:tcPr/>
          <w:p>
            <w:pPr>
              <w:pStyle w:val="Compact"/>
              <w:jc w:val="left"/>
            </w:pPr>
            <w:r>
              <w:t xml:space="preserve">P1</w:t>
            </w:r>
          </w:p>
        </w:tc>
        <w:tc>
          <w:tcPr/>
          <w:p>
            <w:pPr>
              <w:pStyle w:val="Compact"/>
              <w:jc w:val="left"/>
            </w:pPr>
            <w:r>
              <w:t xml:space="preserve">Import customs declarations to auto-populate CBAM data</w:t>
            </w:r>
          </w:p>
        </w:tc>
      </w:tr>
      <w:tr>
        <w:tc>
          <w:tcPr/>
          <w:p>
            <w:pPr>
              <w:pStyle w:val="Compact"/>
              <w:jc w:val="left"/>
            </w:pPr>
            <w:r>
              <w:t xml:space="preserve">065</w:t>
            </w:r>
          </w:p>
        </w:tc>
        <w:tc>
          <w:tcPr/>
          <w:p>
            <w:pPr>
              <w:pStyle w:val="Compact"/>
              <w:jc w:val="left"/>
            </w:pPr>
            <w:r>
              <w:t xml:space="preserve">CBAM supplier verification workflow</w:t>
            </w:r>
          </w:p>
        </w:tc>
        <w:tc>
          <w:tcPr/>
          <w:p>
            <w:pPr>
              <w:pStyle w:val="Compact"/>
              <w:jc w:val="left"/>
            </w:pPr>
            <w:r>
              <w:t xml:space="preserve">P1</w:t>
            </w:r>
          </w:p>
        </w:tc>
        <w:tc>
          <w:tcPr/>
          <w:p>
            <w:pPr>
              <w:pStyle w:val="Compact"/>
              <w:jc w:val="left"/>
            </w:pPr>
            <w:r>
              <w:t xml:space="preserve">Track supplier data quality, flag missing/suspicious data</w:t>
            </w:r>
          </w:p>
        </w:tc>
      </w:tr>
      <w:tr>
        <w:tc>
          <w:tcPr/>
          <w:p>
            <w:pPr>
              <w:pStyle w:val="Compact"/>
              <w:jc w:val="left"/>
            </w:pPr>
            <w:r>
              <w:t xml:space="preserve">066</w:t>
            </w:r>
          </w:p>
        </w:tc>
        <w:tc>
          <w:tcPr/>
          <w:p>
            <w:pPr>
              <w:pStyle w:val="Compact"/>
              <w:jc w:val="left"/>
            </w:pPr>
            <w:r>
              <w:t xml:space="preserve">CBAM financial impact dashboard</w:t>
            </w:r>
          </w:p>
        </w:tc>
        <w:tc>
          <w:tcPr/>
          <w:p>
            <w:pPr>
              <w:pStyle w:val="Compact"/>
              <w:jc w:val="left"/>
            </w:pPr>
            <w:r>
              <w:t xml:space="preserve">P1</w:t>
            </w:r>
          </w:p>
        </w:tc>
        <w:tc>
          <w:tcPr/>
          <w:p>
            <w:pPr>
              <w:pStyle w:val="Compact"/>
              <w:jc w:val="left"/>
            </w:pPr>
            <w:r>
              <w:t xml:space="preserve">Visualize CBAM cost by product, supplier, country</w:t>
            </w:r>
          </w:p>
        </w:tc>
      </w:tr>
      <w:tr>
        <w:tc>
          <w:tcPr/>
          <w:p>
            <w:pPr>
              <w:pStyle w:val="Compact"/>
              <w:jc w:val="left"/>
            </w:pPr>
            <w:r>
              <w:t xml:space="preserve">067</w:t>
            </w:r>
          </w:p>
        </w:tc>
        <w:tc>
          <w:tcPr/>
          <w:p>
            <w:pPr>
              <w:pStyle w:val="Compact"/>
              <w:jc w:val="left"/>
            </w:pPr>
            <w:r>
              <w:t xml:space="preserve">CBAM definitive period preparation (2026+)</w:t>
            </w:r>
          </w:p>
        </w:tc>
        <w:tc>
          <w:tcPr/>
          <w:p>
            <w:pPr>
              <w:pStyle w:val="Compact"/>
              <w:jc w:val="left"/>
            </w:pPr>
            <w:r>
              <w:t xml:space="preserve">P2</w:t>
            </w:r>
          </w:p>
        </w:tc>
        <w:tc>
          <w:tcPr/>
          <w:p>
            <w:pPr>
              <w:pStyle w:val="Compact"/>
              <w:jc w:val="left"/>
            </w:pPr>
            <w:r>
              <w:t xml:space="preserve">Schema and logic for post-transitional CBAM requirements</w:t>
            </w:r>
          </w:p>
        </w:tc>
      </w:tr>
    </w:tbl>
    <w:bookmarkEnd w:id="35"/>
    <w:bookmarkStart w:id="36" w:name="csrdesrs-module-prs-068077"/>
    <w:p>
      <w:pPr>
        <w:pStyle w:val="Heading3"/>
      </w:pPr>
      <w:r>
        <w:t xml:space="preserve">2.3 CSRD/ESRS Module (PRs 068–077)</w:t>
      </w:r>
    </w:p>
    <w:tbl>
      <w:tblPr>
        <w:tblStyle w:val="Table"/>
        <w:tblW w:type="pct" w:w="5000"/>
        <w:tblLook w:firstRow="1" w:lastRow="0" w:firstColumn="0" w:lastColumn="0" w:noHBand="0" w:noVBand="0" w:val="0020"/>
        <w:jc w:val="start"/>
      </w:tblPr>
      <w:tblGrid>
        <w:gridCol w:w="196"/>
        <w:gridCol w:w="3010"/>
        <w:gridCol w:w="523"/>
        <w:gridCol w:w="4189"/>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068</w:t>
            </w:r>
          </w:p>
        </w:tc>
        <w:tc>
          <w:tcPr/>
          <w:p>
            <w:pPr>
              <w:pStyle w:val="Compact"/>
              <w:jc w:val="left"/>
            </w:pPr>
            <w:r>
              <w:t xml:space="preserve">ESRS data point registry</w:t>
            </w:r>
          </w:p>
        </w:tc>
        <w:tc>
          <w:tcPr/>
          <w:p>
            <w:pPr>
              <w:pStyle w:val="Compact"/>
              <w:jc w:val="left"/>
            </w:pPr>
            <w:r>
              <w:t xml:space="preserve">P0</w:t>
            </w:r>
          </w:p>
        </w:tc>
        <w:tc>
          <w:tcPr/>
          <w:p>
            <w:pPr>
              <w:pStyle w:val="Compact"/>
              <w:jc w:val="left"/>
            </w:pPr>
            <w:r>
              <w:t xml:space="preserve">Complete ESRS disclosure requirements mapped to data fields</w:t>
            </w:r>
          </w:p>
        </w:tc>
      </w:tr>
      <w:tr>
        <w:tc>
          <w:tcPr/>
          <w:p>
            <w:pPr>
              <w:pStyle w:val="Compact"/>
              <w:jc w:val="left"/>
            </w:pPr>
            <w:r>
              <w:t xml:space="preserve">069</w:t>
            </w:r>
          </w:p>
        </w:tc>
        <w:tc>
          <w:tcPr/>
          <w:p>
            <w:pPr>
              <w:pStyle w:val="Compact"/>
              <w:jc w:val="left"/>
            </w:pPr>
            <w:r>
              <w:t xml:space="preserve">ESRS E1 Climate: GHG emissions data collection</w:t>
            </w:r>
          </w:p>
        </w:tc>
        <w:tc>
          <w:tcPr/>
          <w:p>
            <w:pPr>
              <w:pStyle w:val="Compact"/>
              <w:jc w:val="left"/>
            </w:pPr>
            <w:r>
              <w:t xml:space="preserve">P0</w:t>
            </w:r>
          </w:p>
        </w:tc>
        <w:tc>
          <w:tcPr/>
          <w:p>
            <w:pPr>
              <w:pStyle w:val="Compact"/>
              <w:jc w:val="left"/>
            </w:pPr>
            <w:r>
              <w:t xml:space="preserve">Scope 1/2/3 data entry with calculation helpers</w:t>
            </w:r>
          </w:p>
        </w:tc>
      </w:tr>
      <w:tr>
        <w:tc>
          <w:tcPr/>
          <w:p>
            <w:pPr>
              <w:pStyle w:val="Compact"/>
              <w:jc w:val="left"/>
            </w:pPr>
            <w:r>
              <w:t xml:space="preserve">070</w:t>
            </w:r>
          </w:p>
        </w:tc>
        <w:tc>
          <w:tcPr/>
          <w:p>
            <w:pPr>
              <w:pStyle w:val="Compact"/>
              <w:jc w:val="left"/>
            </w:pPr>
            <w:r>
              <w:t xml:space="preserve">ESRS E1 Climate: transition plan template</w:t>
            </w:r>
          </w:p>
        </w:tc>
        <w:tc>
          <w:tcPr/>
          <w:p>
            <w:pPr>
              <w:pStyle w:val="Compact"/>
              <w:jc w:val="left"/>
            </w:pPr>
            <w:r>
              <w:t xml:space="preserve">P0</w:t>
            </w:r>
          </w:p>
        </w:tc>
        <w:tc>
          <w:tcPr/>
          <w:p>
            <w:pPr>
              <w:pStyle w:val="Compact"/>
              <w:jc w:val="left"/>
            </w:pPr>
            <w:r>
              <w:t xml:space="preserve">Structured template for climate transition plan</w:t>
            </w:r>
          </w:p>
        </w:tc>
      </w:tr>
      <w:tr>
        <w:tc>
          <w:tcPr/>
          <w:p>
            <w:pPr>
              <w:pStyle w:val="Compact"/>
              <w:jc w:val="left"/>
            </w:pPr>
            <w:r>
              <w:t xml:space="preserve">071</w:t>
            </w:r>
          </w:p>
        </w:tc>
        <w:tc>
          <w:tcPr/>
          <w:p>
            <w:pPr>
              <w:pStyle w:val="Compact"/>
              <w:jc w:val="left"/>
            </w:pPr>
            <w:r>
              <w:t xml:space="preserve">ESRS double materiality assessment tool</w:t>
            </w:r>
          </w:p>
        </w:tc>
        <w:tc>
          <w:tcPr/>
          <w:p>
            <w:pPr>
              <w:pStyle w:val="Compact"/>
              <w:jc w:val="left"/>
            </w:pPr>
            <w:r>
              <w:t xml:space="preserve">P1</w:t>
            </w:r>
          </w:p>
        </w:tc>
        <w:tc>
          <w:tcPr/>
          <w:p>
            <w:pPr>
              <w:pStyle w:val="Compact"/>
              <w:jc w:val="left"/>
            </w:pPr>
            <w:r>
              <w:t xml:space="preserve">Guided assessment: impact materiality + financial materiality</w:t>
            </w:r>
          </w:p>
        </w:tc>
      </w:tr>
      <w:tr>
        <w:tc>
          <w:tcPr/>
          <w:p>
            <w:pPr>
              <w:pStyle w:val="Compact"/>
              <w:jc w:val="left"/>
            </w:pPr>
            <w:r>
              <w:t xml:space="preserve">072</w:t>
            </w:r>
          </w:p>
        </w:tc>
        <w:tc>
          <w:tcPr/>
          <w:p>
            <w:pPr>
              <w:pStyle w:val="Compact"/>
              <w:jc w:val="left"/>
            </w:pPr>
            <w:r>
              <w:t xml:space="preserve">ESRS report builder (multi-standard)</w:t>
            </w:r>
          </w:p>
        </w:tc>
        <w:tc>
          <w:tcPr/>
          <w:p>
            <w:pPr>
              <w:pStyle w:val="Compact"/>
              <w:jc w:val="left"/>
            </w:pPr>
            <w:r>
              <w:t xml:space="preserve">P0</w:t>
            </w:r>
          </w:p>
        </w:tc>
        <w:tc>
          <w:tcPr/>
          <w:p>
            <w:pPr>
              <w:pStyle w:val="Compact"/>
              <w:jc w:val="left"/>
            </w:pPr>
            <w:r>
              <w:t xml:space="preserve">Assemble ESRS disclosures into compliant report format</w:t>
            </w:r>
          </w:p>
        </w:tc>
      </w:tr>
      <w:tr>
        <w:tc>
          <w:tcPr/>
          <w:p>
            <w:pPr>
              <w:pStyle w:val="Compact"/>
              <w:jc w:val="left"/>
            </w:pPr>
            <w:r>
              <w:t xml:space="preserve">073</w:t>
            </w:r>
          </w:p>
        </w:tc>
        <w:tc>
          <w:tcPr/>
          <w:p>
            <w:pPr>
              <w:pStyle w:val="Compact"/>
              <w:jc w:val="left"/>
            </w:pPr>
            <w:r>
              <w:t xml:space="preserve">ESRS data validation rules engine</w:t>
            </w:r>
          </w:p>
        </w:tc>
        <w:tc>
          <w:tcPr/>
          <w:p>
            <w:pPr>
              <w:pStyle w:val="Compact"/>
              <w:jc w:val="left"/>
            </w:pPr>
            <w:r>
              <w:t xml:space="preserve">P1</w:t>
            </w:r>
          </w:p>
        </w:tc>
        <w:tc>
          <w:tcPr/>
          <w:p>
            <w:pPr>
              <w:pStyle w:val="Compact"/>
              <w:jc w:val="left"/>
            </w:pPr>
            <w:r>
              <w:t xml:space="preserve">Cross-check data points for consistency and completeness</w:t>
            </w:r>
          </w:p>
        </w:tc>
      </w:tr>
      <w:tr>
        <w:tc>
          <w:tcPr/>
          <w:p>
            <w:pPr>
              <w:pStyle w:val="Compact"/>
              <w:jc w:val="left"/>
            </w:pPr>
            <w:r>
              <w:t xml:space="preserve">074</w:t>
            </w:r>
          </w:p>
        </w:tc>
        <w:tc>
          <w:tcPr/>
          <w:p>
            <w:pPr>
              <w:pStyle w:val="Compact"/>
              <w:jc w:val="left"/>
            </w:pPr>
            <w:r>
              <w:t xml:space="preserve">ESRS gap analysis dashboard</w:t>
            </w:r>
          </w:p>
        </w:tc>
        <w:tc>
          <w:tcPr/>
          <w:p>
            <w:pPr>
              <w:pStyle w:val="Compact"/>
              <w:jc w:val="left"/>
            </w:pPr>
            <w:r>
              <w:t xml:space="preserve">P1</w:t>
            </w:r>
          </w:p>
        </w:tc>
        <w:tc>
          <w:tcPr/>
          <w:p>
            <w:pPr>
              <w:pStyle w:val="Compact"/>
              <w:jc w:val="left"/>
            </w:pPr>
            <w:r>
              <w:t xml:space="preserve">Show readiness percentage per disclosure requirement</w:t>
            </w:r>
          </w:p>
        </w:tc>
      </w:tr>
      <w:tr>
        <w:tc>
          <w:tcPr/>
          <w:p>
            <w:pPr>
              <w:pStyle w:val="Compact"/>
              <w:jc w:val="left"/>
            </w:pPr>
            <w:r>
              <w:t xml:space="preserve">075</w:t>
            </w:r>
          </w:p>
        </w:tc>
        <w:tc>
          <w:tcPr/>
          <w:p>
            <w:pPr>
              <w:pStyle w:val="Compact"/>
              <w:jc w:val="left"/>
            </w:pPr>
            <w:r>
              <w:t xml:space="preserve">ESRS audit trail for all data entries</w:t>
            </w:r>
          </w:p>
        </w:tc>
        <w:tc>
          <w:tcPr/>
          <w:p>
            <w:pPr>
              <w:pStyle w:val="Compact"/>
              <w:jc w:val="left"/>
            </w:pPr>
            <w:r>
              <w:t xml:space="preserve">P0</w:t>
            </w:r>
          </w:p>
        </w:tc>
        <w:tc>
          <w:tcPr/>
          <w:p>
            <w:pPr>
              <w:pStyle w:val="Compact"/>
              <w:jc w:val="left"/>
            </w:pPr>
            <w:r>
              <w:t xml:space="preserve">Immutable log of who changed what, when, with evidence</w:t>
            </w:r>
          </w:p>
        </w:tc>
      </w:tr>
      <w:tr>
        <w:tc>
          <w:tcPr/>
          <w:p>
            <w:pPr>
              <w:pStyle w:val="Compact"/>
              <w:jc w:val="left"/>
            </w:pPr>
            <w:r>
              <w:t xml:space="preserve">076</w:t>
            </w:r>
          </w:p>
        </w:tc>
        <w:tc>
          <w:tcPr/>
          <w:p>
            <w:pPr>
              <w:pStyle w:val="Compact"/>
              <w:jc w:val="left"/>
            </w:pPr>
            <w:r>
              <w:t xml:space="preserve">ESRS value chain (Scope 3) data collection</w:t>
            </w:r>
          </w:p>
        </w:tc>
        <w:tc>
          <w:tcPr/>
          <w:p>
            <w:pPr>
              <w:pStyle w:val="Compact"/>
              <w:jc w:val="left"/>
            </w:pPr>
            <w:r>
              <w:t xml:space="preserve">P1</w:t>
            </w:r>
          </w:p>
        </w:tc>
        <w:tc>
          <w:tcPr/>
          <w:p>
            <w:pPr>
              <w:pStyle w:val="Compact"/>
              <w:jc w:val="left"/>
            </w:pPr>
            <w:r>
              <w:t xml:space="preserve">Supplier engagement + estimation methods for upstream/downstream</w:t>
            </w:r>
          </w:p>
        </w:tc>
      </w:tr>
      <w:tr>
        <w:tc>
          <w:tcPr/>
          <w:p>
            <w:pPr>
              <w:pStyle w:val="Compact"/>
              <w:jc w:val="left"/>
            </w:pPr>
            <w:r>
              <w:t xml:space="preserve">077</w:t>
            </w:r>
          </w:p>
        </w:tc>
        <w:tc>
          <w:tcPr/>
          <w:p>
            <w:pPr>
              <w:pStyle w:val="Compact"/>
              <w:jc w:val="left"/>
            </w:pPr>
            <w:r>
              <w:t xml:space="preserve">ESRS XBRL tagging for digital filing</w:t>
            </w:r>
          </w:p>
        </w:tc>
        <w:tc>
          <w:tcPr/>
          <w:p>
            <w:pPr>
              <w:pStyle w:val="Compact"/>
              <w:jc w:val="left"/>
            </w:pPr>
            <w:r>
              <w:t xml:space="preserve">P2</w:t>
            </w:r>
          </w:p>
        </w:tc>
        <w:tc>
          <w:tcPr/>
          <w:p>
            <w:pPr>
              <w:pStyle w:val="Compact"/>
              <w:jc w:val="left"/>
            </w:pPr>
            <w:r>
              <w:t xml:space="preserve">Auto-tag disclosures for ESEF digital reporting</w:t>
            </w:r>
          </w:p>
        </w:tc>
      </w:tr>
    </w:tbl>
    <w:bookmarkEnd w:id="36"/>
    <w:bookmarkStart w:id="37" w:name="eu-ai-act-compliance-prs-078083"/>
    <w:p>
      <w:pPr>
        <w:pStyle w:val="Heading3"/>
      </w:pPr>
      <w:r>
        <w:t xml:space="preserve">2.4 EU AI Act Compliance (PRs 078–083)</w:t>
      </w:r>
    </w:p>
    <w:tbl>
      <w:tblPr>
        <w:tblStyle w:val="Table"/>
        <w:tblW w:type="pct" w:w="5000"/>
        <w:tblLook w:firstRow="1" w:lastRow="0" w:firstColumn="0" w:lastColumn="0" w:noHBand="0" w:noVBand="0" w:val="0020"/>
        <w:jc w:val="start"/>
      </w:tblPr>
      <w:tblGrid>
        <w:gridCol w:w="194"/>
        <w:gridCol w:w="2921"/>
        <w:gridCol w:w="519"/>
        <w:gridCol w:w="4284"/>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078</w:t>
            </w:r>
          </w:p>
        </w:tc>
        <w:tc>
          <w:tcPr/>
          <w:p>
            <w:pPr>
              <w:pStyle w:val="Compact"/>
              <w:jc w:val="left"/>
            </w:pPr>
            <w:r>
              <w:t xml:space="preserve">Article 12 automatic logging framework</w:t>
            </w:r>
          </w:p>
        </w:tc>
        <w:tc>
          <w:tcPr/>
          <w:p>
            <w:pPr>
              <w:pStyle w:val="Compact"/>
              <w:jc w:val="left"/>
            </w:pPr>
            <w:r>
              <w:t xml:space="preserve">P0</w:t>
            </w:r>
          </w:p>
        </w:tc>
        <w:tc>
          <w:tcPr/>
          <w:p>
            <w:pPr>
              <w:pStyle w:val="Compact"/>
              <w:jc w:val="left"/>
            </w:pPr>
            <w:r>
              <w:t xml:space="preserve">Structured log every AI decision: input, output, model, confidence</w:t>
            </w:r>
          </w:p>
        </w:tc>
      </w:tr>
      <w:tr>
        <w:tc>
          <w:tcPr/>
          <w:p>
            <w:pPr>
              <w:pStyle w:val="Compact"/>
              <w:jc w:val="left"/>
            </w:pPr>
            <w:r>
              <w:t xml:space="preserve">079</w:t>
            </w:r>
          </w:p>
        </w:tc>
        <w:tc>
          <w:tcPr/>
          <w:p>
            <w:pPr>
              <w:pStyle w:val="Compact"/>
              <w:jc w:val="left"/>
            </w:pPr>
            <w:r>
              <w:t xml:space="preserve">Reasoning lineage documentation per AI output</w:t>
            </w:r>
          </w:p>
        </w:tc>
        <w:tc>
          <w:tcPr/>
          <w:p>
            <w:pPr>
              <w:pStyle w:val="Compact"/>
              <w:jc w:val="left"/>
            </w:pPr>
            <w:r>
              <w:t xml:space="preserve">P0</w:t>
            </w:r>
          </w:p>
        </w:tc>
        <w:tc>
          <w:tcPr/>
          <w:p>
            <w:pPr>
              <w:pStyle w:val="Compact"/>
              <w:jc w:val="left"/>
            </w:pPr>
            <w:r>
              <w:t xml:space="preserve">Chain-of-thought trace from input → processing → recommendation</w:t>
            </w:r>
          </w:p>
        </w:tc>
      </w:tr>
      <w:tr>
        <w:tc>
          <w:tcPr/>
          <w:p>
            <w:pPr>
              <w:pStyle w:val="Compact"/>
              <w:jc w:val="left"/>
            </w:pPr>
            <w:r>
              <w:t xml:space="preserve">080</w:t>
            </w:r>
          </w:p>
        </w:tc>
        <w:tc>
          <w:tcPr/>
          <w:p>
            <w:pPr>
              <w:pStyle w:val="Compact"/>
              <w:jc w:val="left"/>
            </w:pPr>
            <w:r>
              <w:t xml:space="preserve">AI model registry with version tracking</w:t>
            </w:r>
          </w:p>
        </w:tc>
        <w:tc>
          <w:tcPr/>
          <w:p>
            <w:pPr>
              <w:pStyle w:val="Compact"/>
              <w:jc w:val="left"/>
            </w:pPr>
            <w:r>
              <w:t xml:space="preserve">P1</w:t>
            </w:r>
          </w:p>
        </w:tc>
        <w:tc>
          <w:tcPr/>
          <w:p>
            <w:pPr>
              <w:pStyle w:val="Compact"/>
              <w:jc w:val="left"/>
            </w:pPr>
            <w:r>
              <w:t xml:space="preserve">Track which model version produced which outputs</w:t>
            </w:r>
          </w:p>
        </w:tc>
      </w:tr>
      <w:tr>
        <w:tc>
          <w:tcPr/>
          <w:p>
            <w:pPr>
              <w:pStyle w:val="Compact"/>
              <w:jc w:val="left"/>
            </w:pPr>
            <w:r>
              <w:t xml:space="preserve">081</w:t>
            </w:r>
          </w:p>
        </w:tc>
        <w:tc>
          <w:tcPr/>
          <w:p>
            <w:pPr>
              <w:pStyle w:val="Compact"/>
              <w:jc w:val="left"/>
            </w:pPr>
            <w:r>
              <w:t xml:space="preserve">Human-in-the-loop override mechanism</w:t>
            </w:r>
          </w:p>
        </w:tc>
        <w:tc>
          <w:tcPr/>
          <w:p>
            <w:pPr>
              <w:pStyle w:val="Compact"/>
              <w:jc w:val="left"/>
            </w:pPr>
            <w:r>
              <w:t xml:space="preserve">P0</w:t>
            </w:r>
          </w:p>
        </w:tc>
        <w:tc>
          <w:tcPr/>
          <w:p>
            <w:pPr>
              <w:pStyle w:val="Compact"/>
              <w:jc w:val="left"/>
            </w:pPr>
            <w:r>
              <w:t xml:space="preserve">Allow users to override any AI recommendation with audit trail</w:t>
            </w:r>
          </w:p>
        </w:tc>
      </w:tr>
      <w:tr>
        <w:tc>
          <w:tcPr/>
          <w:p>
            <w:pPr>
              <w:pStyle w:val="Compact"/>
              <w:jc w:val="left"/>
            </w:pPr>
            <w:r>
              <w:t xml:space="preserve">082</w:t>
            </w:r>
          </w:p>
        </w:tc>
        <w:tc>
          <w:tcPr/>
          <w:p>
            <w:pPr>
              <w:pStyle w:val="Compact"/>
              <w:jc w:val="left"/>
            </w:pPr>
            <w:r>
              <w:t xml:space="preserve">AI transparency disclosures in UI</w:t>
            </w:r>
          </w:p>
        </w:tc>
        <w:tc>
          <w:tcPr/>
          <w:p>
            <w:pPr>
              <w:pStyle w:val="Compact"/>
              <w:jc w:val="left"/>
            </w:pPr>
            <w:r>
              <w:t xml:space="preserve">P1</w:t>
            </w:r>
          </w:p>
        </w:tc>
        <w:tc>
          <w:tcPr/>
          <w:p>
            <w:pPr>
              <w:pStyle w:val="Compact"/>
              <w:jc w:val="left"/>
            </w:pPr>
            <w:r>
              <w:t xml:space="preserve">Clear labeling of AI-generated content, confidence indicators</w:t>
            </w:r>
          </w:p>
        </w:tc>
      </w:tr>
      <w:tr>
        <w:tc>
          <w:tcPr/>
          <w:p>
            <w:pPr>
              <w:pStyle w:val="Compact"/>
              <w:jc w:val="left"/>
            </w:pPr>
            <w:r>
              <w:t xml:space="preserve">083</w:t>
            </w:r>
          </w:p>
        </w:tc>
        <w:tc>
          <w:tcPr/>
          <w:p>
            <w:pPr>
              <w:pStyle w:val="Compact"/>
              <w:jc w:val="left"/>
            </w:pPr>
            <w:r>
              <w:t xml:space="preserve">AI risk assessment documentation</w:t>
            </w:r>
          </w:p>
        </w:tc>
        <w:tc>
          <w:tcPr/>
          <w:p>
            <w:pPr>
              <w:pStyle w:val="Compact"/>
              <w:jc w:val="left"/>
            </w:pPr>
            <w:r>
              <w:t xml:space="preserve">P1</w:t>
            </w:r>
          </w:p>
        </w:tc>
        <w:tc>
          <w:tcPr/>
          <w:p>
            <w:pPr>
              <w:pStyle w:val="Compact"/>
              <w:jc w:val="left"/>
            </w:pPr>
            <w:r>
              <w:t xml:space="preserve">FRIA (Fundamental Rights Impact Assessment) for high-risk uses</w:t>
            </w:r>
          </w:p>
        </w:tc>
      </w:tr>
    </w:tbl>
    <w:bookmarkEnd w:id="37"/>
    <w:bookmarkStart w:id="38" w:name="cross-regulation-features-prs-084093"/>
    <w:p>
      <w:pPr>
        <w:pStyle w:val="Heading3"/>
      </w:pPr>
      <w:r>
        <w:t xml:space="preserve">2.5 Cross-Regulation Features (PRs 084–093)</w:t>
      </w:r>
    </w:p>
    <w:tbl>
      <w:tblPr>
        <w:tblStyle w:val="Table"/>
        <w:tblW w:type="pct" w:w="5000"/>
        <w:tblLook w:firstRow="1" w:lastRow="0" w:firstColumn="0" w:lastColumn="0" w:noHBand="0" w:noVBand="0" w:val="0020"/>
        <w:jc w:val="start"/>
      </w:tblPr>
      <w:tblGrid>
        <w:gridCol w:w="152"/>
        <w:gridCol w:w="4112"/>
        <w:gridCol w:w="406"/>
        <w:gridCol w:w="3249"/>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084</w:t>
            </w:r>
          </w:p>
        </w:tc>
        <w:tc>
          <w:tcPr/>
          <w:p>
            <w:pPr>
              <w:pStyle w:val="Compact"/>
              <w:jc w:val="left"/>
            </w:pPr>
            <w:r>
              <w:t xml:space="preserve">Unified compliance calendar (all regulations)</w:t>
            </w:r>
          </w:p>
        </w:tc>
        <w:tc>
          <w:tcPr/>
          <w:p>
            <w:pPr>
              <w:pStyle w:val="Compact"/>
              <w:jc w:val="left"/>
            </w:pPr>
            <w:r>
              <w:t xml:space="preserve">P0</w:t>
            </w:r>
          </w:p>
        </w:tc>
        <w:tc>
          <w:tcPr/>
          <w:p>
            <w:pPr>
              <w:pStyle w:val="Compact"/>
              <w:jc w:val="left"/>
            </w:pPr>
            <w:r>
              <w:t xml:space="preserve">Single view of all deadlines across ETS, CBAM, CSRD</w:t>
            </w:r>
          </w:p>
        </w:tc>
      </w:tr>
      <w:tr>
        <w:tc>
          <w:tcPr/>
          <w:p>
            <w:pPr>
              <w:pStyle w:val="Compact"/>
              <w:jc w:val="left"/>
            </w:pPr>
            <w:r>
              <w:t xml:space="preserve">085</w:t>
            </w:r>
          </w:p>
        </w:tc>
        <w:tc>
          <w:tcPr/>
          <w:p>
            <w:pPr>
              <w:pStyle w:val="Compact"/>
              <w:jc w:val="left"/>
            </w:pPr>
            <w:r>
              <w:t xml:space="preserve">Cross-regulation data sharing layer</w:t>
            </w:r>
          </w:p>
        </w:tc>
        <w:tc>
          <w:tcPr/>
          <w:p>
            <w:pPr>
              <w:pStyle w:val="Compact"/>
              <w:jc w:val="left"/>
            </w:pPr>
            <w:r>
              <w:t xml:space="preserve">P1</w:t>
            </w:r>
          </w:p>
        </w:tc>
        <w:tc>
          <w:tcPr/>
          <w:p>
            <w:pPr>
              <w:pStyle w:val="Compact"/>
              <w:jc w:val="left"/>
            </w:pPr>
            <w:r>
              <w:t xml:space="preserve">Emissions data entered once, used across ETS + CBAM + CSRD</w:t>
            </w:r>
          </w:p>
        </w:tc>
      </w:tr>
      <w:tr>
        <w:tc>
          <w:tcPr/>
          <w:p>
            <w:pPr>
              <w:pStyle w:val="Compact"/>
              <w:jc w:val="left"/>
            </w:pPr>
            <w:r>
              <w:t xml:space="preserve">086</w:t>
            </w:r>
          </w:p>
        </w:tc>
        <w:tc>
          <w:tcPr/>
          <w:p>
            <w:pPr>
              <w:pStyle w:val="Compact"/>
              <w:jc w:val="left"/>
            </w:pPr>
            <w:r>
              <w:t xml:space="preserve">Regulation change tracker (auto-detect updates)</w:t>
            </w:r>
          </w:p>
        </w:tc>
        <w:tc>
          <w:tcPr/>
          <w:p>
            <w:pPr>
              <w:pStyle w:val="Compact"/>
              <w:jc w:val="left"/>
            </w:pPr>
            <w:r>
              <w:t xml:space="preserve">P2</w:t>
            </w:r>
          </w:p>
        </w:tc>
        <w:tc>
          <w:tcPr/>
          <w:p>
            <w:pPr>
              <w:pStyle w:val="Compact"/>
              <w:jc w:val="left"/>
            </w:pPr>
            <w:r>
              <w:t xml:space="preserve">Monitor EUR-Lex for regulatory amendments</w:t>
            </w:r>
          </w:p>
        </w:tc>
      </w:tr>
      <w:tr>
        <w:tc>
          <w:tcPr/>
          <w:p>
            <w:pPr>
              <w:pStyle w:val="Compact"/>
              <w:jc w:val="left"/>
            </w:pPr>
            <w:r>
              <w:t xml:space="preserve">087</w:t>
            </w:r>
          </w:p>
        </w:tc>
        <w:tc>
          <w:tcPr/>
          <w:p>
            <w:pPr>
              <w:pStyle w:val="Compact"/>
              <w:jc w:val="left"/>
            </w:pPr>
            <w:r>
              <w:t xml:space="preserve">Multi-entity compliance (group reporting)</w:t>
            </w:r>
          </w:p>
        </w:tc>
        <w:tc>
          <w:tcPr/>
          <w:p>
            <w:pPr>
              <w:pStyle w:val="Compact"/>
              <w:jc w:val="left"/>
            </w:pPr>
            <w:r>
              <w:t xml:space="preserve">P1</w:t>
            </w:r>
          </w:p>
        </w:tc>
        <w:tc>
          <w:tcPr/>
          <w:p>
            <w:pPr>
              <w:pStyle w:val="Compact"/>
              <w:jc w:val="left"/>
            </w:pPr>
            <w:r>
              <w:t xml:space="preserve">Parent + subsidiary consolidation for CSRD group reporting</w:t>
            </w:r>
          </w:p>
        </w:tc>
      </w:tr>
      <w:tr>
        <w:tc>
          <w:tcPr/>
          <w:p>
            <w:pPr>
              <w:pStyle w:val="Compact"/>
              <w:jc w:val="left"/>
            </w:pPr>
            <w:r>
              <w:t xml:space="preserve">088</w:t>
            </w:r>
          </w:p>
        </w:tc>
        <w:tc>
          <w:tcPr/>
          <w:p>
            <w:pPr>
              <w:pStyle w:val="Compact"/>
              <w:jc w:val="left"/>
            </w:pPr>
            <w:r>
              <w:t xml:space="preserve">Compliance status API for ERP integration</w:t>
            </w:r>
          </w:p>
        </w:tc>
        <w:tc>
          <w:tcPr/>
          <w:p>
            <w:pPr>
              <w:pStyle w:val="Compact"/>
              <w:jc w:val="left"/>
            </w:pPr>
            <w:r>
              <w:t xml:space="preserve">P1</w:t>
            </w:r>
          </w:p>
        </w:tc>
        <w:tc>
          <w:tcPr/>
          <w:p>
            <w:pPr>
              <w:pStyle w:val="Compact"/>
              <w:jc w:val="left"/>
            </w:pPr>
            <w:r>
              <w:t xml:space="preserve">Push compliance status back to SAP/IFS/Dynamics</w:t>
            </w:r>
          </w:p>
        </w:tc>
      </w:tr>
      <w:tr>
        <w:tc>
          <w:tcPr/>
          <w:p>
            <w:pPr>
              <w:pStyle w:val="Compact"/>
              <w:jc w:val="left"/>
            </w:pPr>
            <w:r>
              <w:t xml:space="preserve">089</w:t>
            </w:r>
          </w:p>
        </w:tc>
        <w:tc>
          <w:tcPr/>
          <w:p>
            <w:pPr>
              <w:pStyle w:val="Compact"/>
              <w:jc w:val="left"/>
            </w:pPr>
            <w:r>
              <w:t xml:space="preserve">Notification engine (email + in-app + webhook)</w:t>
            </w:r>
          </w:p>
        </w:tc>
        <w:tc>
          <w:tcPr/>
          <w:p>
            <w:pPr>
              <w:pStyle w:val="Compact"/>
              <w:jc w:val="left"/>
            </w:pPr>
            <w:r>
              <w:t xml:space="preserve">P0</w:t>
            </w:r>
          </w:p>
        </w:tc>
        <w:tc>
          <w:tcPr/>
          <w:p>
            <w:pPr>
              <w:pStyle w:val="Compact"/>
              <w:jc w:val="left"/>
            </w:pPr>
            <w:r>
              <w:t xml:space="preserve">Configurable alerts for deadlines, data gaps, threshold breaches</w:t>
            </w:r>
          </w:p>
        </w:tc>
      </w:tr>
      <w:tr>
        <w:tc>
          <w:tcPr/>
          <w:p>
            <w:pPr>
              <w:pStyle w:val="Compact"/>
              <w:jc w:val="left"/>
            </w:pPr>
            <w:r>
              <w:t xml:space="preserve">090</w:t>
            </w:r>
          </w:p>
        </w:tc>
        <w:tc>
          <w:tcPr/>
          <w:p>
            <w:pPr>
              <w:pStyle w:val="Compact"/>
              <w:jc w:val="left"/>
            </w:pPr>
            <w:r>
              <w:t xml:space="preserve">Compliance evidence vault</w:t>
            </w:r>
          </w:p>
        </w:tc>
        <w:tc>
          <w:tcPr/>
          <w:p>
            <w:pPr>
              <w:pStyle w:val="Compact"/>
              <w:jc w:val="left"/>
            </w:pPr>
            <w:r>
              <w:t xml:space="preserve">P1</w:t>
            </w:r>
          </w:p>
        </w:tc>
        <w:tc>
          <w:tcPr/>
          <w:p>
            <w:pPr>
              <w:pStyle w:val="Compact"/>
              <w:jc w:val="left"/>
            </w:pPr>
            <w:r>
              <w:t xml:space="preserve">Secure document storage linked to specific disclosures</w:t>
            </w:r>
          </w:p>
        </w:tc>
      </w:tr>
      <w:tr>
        <w:tc>
          <w:tcPr/>
          <w:p>
            <w:pPr>
              <w:pStyle w:val="Compact"/>
              <w:jc w:val="left"/>
            </w:pPr>
            <w:r>
              <w:t xml:space="preserve">091</w:t>
            </w:r>
          </w:p>
        </w:tc>
        <w:tc>
          <w:tcPr/>
          <w:p>
            <w:pPr>
              <w:pStyle w:val="Compact"/>
              <w:jc w:val="left"/>
            </w:pPr>
            <w:r>
              <w:t xml:space="preserve">Industry-specific compliance templates (batch 1: cement, steel, chemicals)</w:t>
            </w:r>
          </w:p>
        </w:tc>
        <w:tc>
          <w:tcPr/>
          <w:p>
            <w:pPr>
              <w:pStyle w:val="Compact"/>
              <w:jc w:val="left"/>
            </w:pPr>
            <w:r>
              <w:t xml:space="preserve">P0</w:t>
            </w:r>
          </w:p>
        </w:tc>
        <w:tc>
          <w:tcPr/>
          <w:p>
            <w:pPr>
              <w:pStyle w:val="Compact"/>
              <w:jc w:val="left"/>
            </w:pPr>
            <w:r>
              <w:t xml:space="preserve">Pre-configured for top 3 industries</w:t>
            </w:r>
          </w:p>
        </w:tc>
      </w:tr>
      <w:tr>
        <w:tc>
          <w:tcPr/>
          <w:p>
            <w:pPr>
              <w:pStyle w:val="Compact"/>
              <w:jc w:val="left"/>
            </w:pPr>
            <w:r>
              <w:t xml:space="preserve">092</w:t>
            </w:r>
          </w:p>
        </w:tc>
        <w:tc>
          <w:tcPr/>
          <w:p>
            <w:pPr>
              <w:pStyle w:val="Compact"/>
              <w:jc w:val="left"/>
            </w:pPr>
            <w:r>
              <w:t xml:space="preserve">Industry-specific compliance templates (batch 2: aluminum, fertilizers, hydrogen)</w:t>
            </w:r>
          </w:p>
        </w:tc>
        <w:tc>
          <w:tcPr/>
          <w:p>
            <w:pPr>
              <w:pStyle w:val="Compact"/>
              <w:jc w:val="left"/>
            </w:pPr>
            <w:r>
              <w:t xml:space="preserve">P1</w:t>
            </w:r>
          </w:p>
        </w:tc>
        <w:tc>
          <w:tcPr/>
          <w:p>
            <w:pPr>
              <w:pStyle w:val="Compact"/>
              <w:jc w:val="left"/>
            </w:pPr>
            <w:r>
              <w:t xml:space="preserve">Next 3 CBAM-covered industries</w:t>
            </w:r>
          </w:p>
        </w:tc>
      </w:tr>
      <w:tr>
        <w:tc>
          <w:tcPr/>
          <w:p>
            <w:pPr>
              <w:pStyle w:val="Compact"/>
              <w:jc w:val="left"/>
            </w:pPr>
            <w:r>
              <w:t xml:space="preserve">093</w:t>
            </w:r>
          </w:p>
        </w:tc>
        <w:tc>
          <w:tcPr/>
          <w:p>
            <w:pPr>
              <w:pStyle w:val="Compact"/>
              <w:jc w:val="left"/>
            </w:pPr>
            <w:r>
              <w:t xml:space="preserve">Regulatory readiness score per customer</w:t>
            </w:r>
          </w:p>
        </w:tc>
        <w:tc>
          <w:tcPr/>
          <w:p>
            <w:pPr>
              <w:pStyle w:val="Compact"/>
              <w:jc w:val="left"/>
            </w:pPr>
            <w:r>
              <w:t xml:space="preserve">P1</w:t>
            </w:r>
          </w:p>
        </w:tc>
        <w:tc>
          <w:tcPr/>
          <w:p>
            <w:pPr>
              <w:pStyle w:val="Compact"/>
              <w:jc w:val="left"/>
            </w:pPr>
            <w:r>
              <w:t xml:space="preserve">Weighted score across all applicable regulations</w:t>
            </w:r>
          </w:p>
        </w:tc>
      </w:tr>
    </w:tbl>
    <w:bookmarkEnd w:id="38"/>
    <w:bookmarkStart w:id="39" w:name="X4d83d86726533dddd726c446806d2a3898ee5e1"/>
    <w:p>
      <w:pPr>
        <w:pStyle w:val="Heading3"/>
      </w:pPr>
      <w:r>
        <w:t xml:space="preserve">2.6 Carbon Balance Sheet — Debit-Credit Compliance Ledger (PRs 093A–093I)</w:t>
      </w:r>
    </w:p>
    <w:p>
      <w:pPr>
        <w:pStyle w:val="FirstParagraph"/>
      </w:pPr>
      <w:r>
        <w:rPr>
          <w:bCs/>
          <w:b/>
        </w:rPr>
        <w:t xml:space="preserve">Cortex-shift framing:</w:t>
      </w:r>
      <w:r>
        <w:t xml:space="preserve"> </w:t>
      </w:r>
      <w:r>
        <w:t xml:space="preserve">This subsection is DWS’s</w:t>
      </w:r>
      <w:r>
        <w:t xml:space="preserve"> </w:t>
      </w:r>
      <w:r>
        <w:t xml:space="preserve">“</w:t>
      </w:r>
      <w:r>
        <w:t xml:space="preserve">AI Actions</w:t>
      </w:r>
      <w:r>
        <w:t xml:space="preserve">”</w:t>
      </w:r>
      <w:r>
        <w:t xml:space="preserve"> </w:t>
      </w:r>
      <w:r>
        <w:t xml:space="preserve">layer (see Executive Summary). A horizontal Cortex/Mosaic/AIP deployment can generate a carbon dashboard from a Snowflake notebook by Q3 2026; what it cannot do is post a signed, source-traced journal entry that reconciles ETS + CBAM + CSRD into one auditable balance. The ledger is the line item neither competitor can replicate without rebuilding their agent layer. It must ship in DWS7 Phase 2 — 2028 (DWS 8) is too late.</w:t>
      </w:r>
    </w:p>
    <w:p>
      <w:pPr>
        <w:pStyle w:val="BodyText"/>
      </w:pPr>
      <w:r>
        <w:rPr>
          <w:bCs/>
          <w:b/>
        </w:rPr>
        <w:t xml:space="preserve">Why now (not DWS 8):</w:t>
      </w:r>
      <w:r>
        <w:t xml:space="preserve"> </w:t>
      </w:r>
      <w:r>
        <w:t xml:space="preserve">The debit-credit ledger is the Series A story. Investors fund infrastructure, not features. A persistent carbon balance sheet that unifies ETS + CBAM + CSRD into one auditable ledger is the moat — and it must be demonstrable before fundraising.</w:t>
      </w:r>
    </w:p>
    <w:p>
      <w:pPr>
        <w:pStyle w:val="BodyText"/>
      </w:pPr>
      <w:r>
        <w:rPr>
          <w:bCs/>
          <w:b/>
        </w:rPr>
        <w:t xml:space="preserve">Foundation:</w:t>
      </w:r>
      <w:r>
        <w:t xml:space="preserve"> </w:t>
      </w:r>
      <w:r>
        <w:t xml:space="preserve">The in-memory</w:t>
      </w:r>
      <w:r>
        <w:t xml:space="preserve"> </w:t>
      </w:r>
      <w:r>
        <w:rPr>
          <w:rStyle w:val="VerbatimChar"/>
        </w:rPr>
        <w:t xml:space="preserve">costBreakdownToLedger()</w:t>
      </w:r>
      <w:r>
        <w:t xml:space="preserve"> </w:t>
      </w:r>
      <w:r>
        <w:t xml:space="preserve">transform already ships in DWS 6 (</w:t>
      </w:r>
      <w:r>
        <w:rPr>
          <w:rStyle w:val="VerbatimChar"/>
        </w:rPr>
        <w:t xml:space="preserve">src/compliance/debit-credit-ledger.ts</w:t>
      </w:r>
      <w:r>
        <w:t xml:space="preserve">). Phase 2.6 persists it, adds dual-unit accounting, and connects it to the compliance modules above.</w:t>
      </w:r>
    </w:p>
    <w:p>
      <w:pPr>
        <w:pStyle w:val="BodyText"/>
      </w:pPr>
      <w:r>
        <w:rPr>
          <w:bCs/>
          <w:b/>
        </w:rPr>
        <w:t xml:space="preserve">The pitch:</w:t>
      </w:r>
      <w:r>
        <w:t xml:space="preserve"> </w:t>
      </w:r>
      <w:r>
        <w:rPr>
          <w:iCs/>
          <w:i/>
        </w:rPr>
        <w:t xml:space="preserve">“</w:t>
      </w:r>
      <w:r>
        <w:rPr>
          <w:iCs/>
          <w:i/>
        </w:rPr>
        <w:t xml:space="preserve">From</w:t>
      </w:r>
      <w:r>
        <w:rPr>
          <w:iCs/>
          <w:i/>
        </w:rPr>
        <w:t xml:space="preserve"> </w:t>
      </w:r>
      <w:r>
        <w:rPr>
          <w:iCs/>
          <w:i/>
        </w:rPr>
        <w:t xml:space="preserve">‘</w:t>
      </w:r>
      <w:r>
        <w:rPr>
          <w:iCs/>
          <w:i/>
        </w:rPr>
        <w:t xml:space="preserve">How do we guess our footprint?</w:t>
      </w:r>
      <w:r>
        <w:rPr>
          <w:iCs/>
          <w:i/>
        </w:rPr>
        <w:t xml:space="preserve">’</w:t>
      </w:r>
      <w:r>
        <w:rPr>
          <w:iCs/>
          <w:i/>
        </w:rPr>
        <w:t xml:space="preserve"> </w:t>
      </w:r>
      <w:r>
        <w:rPr>
          <w:iCs/>
          <w:i/>
        </w:rPr>
        <w:t xml:space="preserve">to</w:t>
      </w:r>
      <w:r>
        <w:rPr>
          <w:iCs/>
          <w:i/>
        </w:rPr>
        <w:t xml:space="preserve"> </w:t>
      </w:r>
      <w:r>
        <w:rPr>
          <w:iCs/>
          <w:i/>
        </w:rPr>
        <w:t xml:space="preserve">‘</w:t>
      </w:r>
      <w:r>
        <w:rPr>
          <w:iCs/>
          <w:i/>
        </w:rPr>
        <w:t xml:space="preserve">How do we reconcile our carbon balance sheet?</w:t>
      </w:r>
      <w:r>
        <w:rPr>
          <w:iCs/>
          <w:i/>
        </w:rPr>
        <w:t xml:space="preserve">’</w:t>
      </w:r>
      <w:r>
        <w:rPr>
          <w:iCs/>
          <w:i/>
        </w:rPr>
        <w:t xml:space="preserve">”</w:t>
      </w:r>
    </w:p>
    <w:tbl>
      <w:tblPr>
        <w:tblStyle w:val="Table"/>
        <w:tblW w:type="pct" w:w="5000"/>
        <w:tblLook w:firstRow="1" w:lastRow="0" w:firstColumn="0" w:lastColumn="0" w:noHBand="0" w:noVBand="0" w:val="0020"/>
        <w:jc w:val="start"/>
      </w:tblPr>
      <w:tblGrid>
        <w:gridCol w:w="53"/>
        <w:gridCol w:w="660"/>
        <w:gridCol w:w="107"/>
        <w:gridCol w:w="7098"/>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093A</w:t>
            </w:r>
          </w:p>
        </w:tc>
        <w:tc>
          <w:tcPr/>
          <w:p>
            <w:pPr>
              <w:pStyle w:val="Compact"/>
              <w:jc w:val="left"/>
            </w:pPr>
            <w:r>
              <w:t xml:space="preserve">Persistent carbon ledger table</w:t>
            </w:r>
          </w:p>
        </w:tc>
        <w:tc>
          <w:tcPr/>
          <w:p>
            <w:pPr>
              <w:pStyle w:val="Compact"/>
              <w:jc w:val="left"/>
            </w:pPr>
            <w:r>
              <w:t xml:space="preserve">P0</w:t>
            </w:r>
          </w:p>
        </w:tc>
        <w:tc>
          <w:tcPr/>
          <w:p>
            <w:pPr>
              <w:pStyle w:val="Compact"/>
              <w:jc w:val="left"/>
            </w:pPr>
            <w:r>
              <w:t xml:space="preserve">Immutable append-only ledger in Supabase. Schema:</w:t>
            </w:r>
            <w:r>
              <w:t xml:space="preserve"> </w:t>
            </w:r>
            <w:r>
              <w:rPr>
                <w:rStyle w:val="VerbatimChar"/>
              </w:rPr>
              <w:t xml:space="preserve">(id, org_id, entry_type, category, amount_eur, amount_tco2e, regulation, source_id, verified, description, created_at)</w:t>
            </w:r>
            <w:r>
              <w:t xml:space="preserve">. RLS enforced. No UPDATE/DELETE — corrections are reverse entries. Builds on PR 075 (audit trail) and PR 097 (mutation logging)</w:t>
            </w:r>
          </w:p>
        </w:tc>
      </w:tr>
      <w:tr>
        <w:tc>
          <w:tcPr/>
          <w:p>
            <w:pPr>
              <w:pStyle w:val="Compact"/>
              <w:jc w:val="left"/>
            </w:pPr>
            <w:r>
              <w:t xml:space="preserve">093B</w:t>
            </w:r>
          </w:p>
        </w:tc>
        <w:tc>
          <w:tcPr/>
          <w:p>
            <w:pPr>
              <w:pStyle w:val="Compact"/>
              <w:jc w:val="left"/>
            </w:pPr>
            <w:r>
              <w:t xml:space="preserve">Dual-unit entries (EUR + tCO2e)</w:t>
            </w:r>
          </w:p>
        </w:tc>
        <w:tc>
          <w:tcPr/>
          <w:p>
            <w:pPr>
              <w:pStyle w:val="Compact"/>
              <w:jc w:val="left"/>
            </w:pPr>
            <w:r>
              <w:t xml:space="preserve">P0</w:t>
            </w:r>
          </w:p>
        </w:tc>
        <w:tc>
          <w:tcPr/>
          <w:p>
            <w:pPr>
              <w:pStyle w:val="Compact"/>
              <w:jc w:val="left"/>
            </w:pPr>
            <w:r>
              <w:t xml:space="preserve">Every compliance entry carries both financial (EUR) and physical (tCO2e) amounts. Carbon price at time of entry preserved for audit trail. ETS surrender = debit (EUR + tCO2e). Free allocation = credit. CBAM certificate = debit. Links PR 050 (ETS financial exposure) to PR 062 (CBAM certificate cost) through the same ledger</w:t>
            </w:r>
          </w:p>
        </w:tc>
      </w:tr>
      <w:tr>
        <w:tc>
          <w:tcPr/>
          <w:p>
            <w:pPr>
              <w:pStyle w:val="Compact"/>
              <w:jc w:val="left"/>
            </w:pPr>
            <w:r>
              <w:t xml:space="preserve">093C</w:t>
            </w:r>
          </w:p>
        </w:tc>
        <w:tc>
          <w:tcPr/>
          <w:p>
            <w:pPr>
              <w:pStyle w:val="Compact"/>
              <w:jc w:val="left"/>
            </w:pPr>
            <w:r>
              <w:t xml:space="preserve">Chart of carbon accounts</w:t>
            </w:r>
          </w:p>
        </w:tc>
        <w:tc>
          <w:tcPr/>
          <w:p>
            <w:pPr>
              <w:pStyle w:val="Compact"/>
              <w:jc w:val="left"/>
            </w:pPr>
            <w:r>
              <w:t xml:space="preserve">P1</w:t>
            </w:r>
          </w:p>
        </w:tc>
        <w:tc>
          <w:tcPr/>
          <w:p>
            <w:pPr>
              <w:pStyle w:val="Compact"/>
              <w:jc w:val="left"/>
            </w:pPr>
            <w:r>
              <w:t xml:space="preserve">Standardized account structure mapping to ESRS E1: Scope 1 Direct (ETS), Scope 2 Indirect (grid), Scope 3 Upstream (CBAM imports), Scope 3 Downstream, Offsets/Credits, Free Allocation. Every entry in PRs 046–093 maps to one account. CFO sees a balance sheet, not a spreadsheet</w:t>
            </w:r>
          </w:p>
        </w:tc>
      </w:tr>
      <w:tr>
        <w:tc>
          <w:tcPr/>
          <w:p>
            <w:pPr>
              <w:pStyle w:val="Compact"/>
              <w:jc w:val="left"/>
            </w:pPr>
            <w:r>
              <w:t xml:space="preserve">093D</w:t>
            </w:r>
          </w:p>
        </w:tc>
        <w:tc>
          <w:tcPr/>
          <w:p>
            <w:pPr>
              <w:pStyle w:val="Compact"/>
              <w:jc w:val="left"/>
            </w:pPr>
            <w:r>
              <w:t xml:space="preserve">ETS ↔ CBAM ↔ CSRD cross-regulation reconciliation</w:t>
            </w:r>
          </w:p>
        </w:tc>
        <w:tc>
          <w:tcPr/>
          <w:p>
            <w:pPr>
              <w:pStyle w:val="Compact"/>
              <w:jc w:val="left"/>
            </w:pPr>
            <w:r>
              <w:t xml:space="preserve">P0</w:t>
            </w:r>
          </w:p>
        </w:tc>
        <w:tc>
          <w:tcPr/>
          <w:p>
            <w:pPr>
              <w:pStyle w:val="Compact"/>
              <w:jc w:val="left"/>
            </w:pPr>
            <w:r>
              <w:t xml:space="preserve">The same tonne of CO2e that appears as an ETS surrender debit for a steel mill becomes a CBAM embedded emission for the importer, becomes a CSRD Scope 3 upstream disclosure for the buyer. One ledger entry, three regulatory views. Transforms PR 085 (cross-regulation data sharing) from data copying to ledger reconciliation</w:t>
            </w:r>
          </w:p>
        </w:tc>
      </w:tr>
      <w:tr>
        <w:tc>
          <w:tcPr/>
          <w:p>
            <w:pPr>
              <w:pStyle w:val="Compact"/>
              <w:jc w:val="left"/>
            </w:pPr>
            <w:r>
              <w:t xml:space="preserve">093E</w:t>
            </w:r>
          </w:p>
        </w:tc>
        <w:tc>
          <w:tcPr/>
          <w:p>
            <w:pPr>
              <w:pStyle w:val="Compact"/>
              <w:jc w:val="left"/>
            </w:pPr>
            <w:r>
              <w:t xml:space="preserve">Ledger-native compliance scoring</w:t>
            </w:r>
          </w:p>
        </w:tc>
        <w:tc>
          <w:tcPr/>
          <w:p>
            <w:pPr>
              <w:pStyle w:val="Compact"/>
              <w:jc w:val="left"/>
            </w:pPr>
            <w:r>
              <w:t xml:space="preserve">P0</w:t>
            </w:r>
          </w:p>
        </w:tc>
        <w:tc>
          <w:tcPr/>
          <w:p>
            <w:pPr>
              <w:pStyle w:val="Compact"/>
              <w:jc w:val="left"/>
            </w:pPr>
            <w:r>
              <w:t xml:space="preserve">Refactor scoring engine to read from ledger entries instead of computing from scratch. Score = f(ledger balance). Deterministic, auditable, reproducible. Every score traces back to specific debit/credit entries with source citations</w:t>
            </w:r>
          </w:p>
        </w:tc>
      </w:tr>
      <w:tr>
        <w:tc>
          <w:tcPr/>
          <w:p>
            <w:pPr>
              <w:pStyle w:val="Compact"/>
              <w:jc w:val="left"/>
            </w:pPr>
            <w:r>
              <w:t xml:space="preserve">093F</w:t>
            </w:r>
          </w:p>
        </w:tc>
        <w:tc>
          <w:tcPr/>
          <w:p>
            <w:pPr>
              <w:pStyle w:val="Compact"/>
              <w:jc w:val="left"/>
            </w:pPr>
            <w:r>
              <w:t xml:space="preserve">Carbon balance dashboard (CFO view)</w:t>
            </w:r>
          </w:p>
        </w:tc>
        <w:tc>
          <w:tcPr/>
          <w:p>
            <w:pPr>
              <w:pStyle w:val="Compact"/>
              <w:jc w:val="left"/>
            </w:pPr>
            <w:r>
              <w:t xml:space="preserve">P1</w:t>
            </w:r>
          </w:p>
        </w:tc>
        <w:tc>
          <w:tcPr/>
          <w:p>
            <w:pPr>
              <w:pStyle w:val="Compact"/>
              <w:jc w:val="left"/>
            </w:pPr>
            <w:r>
              <w:t xml:space="preserve">Balance sheet view: total carbon liabilities (debits) vs carbon assets (credits, free allocation, offsets). Net carbon position. Trend over time. Drill down by regulation, scope, entity. This is the investor demo screen</w:t>
            </w:r>
          </w:p>
        </w:tc>
      </w:tr>
      <w:tr>
        <w:tc>
          <w:tcPr/>
          <w:p>
            <w:pPr>
              <w:pStyle w:val="Compact"/>
              <w:jc w:val="left"/>
            </w:pPr>
            <w:r>
              <w:t xml:space="preserve">093G</w:t>
            </w:r>
          </w:p>
        </w:tc>
        <w:tc>
          <w:tcPr/>
          <w:p>
            <w:pPr>
              <w:pStyle w:val="Compact"/>
              <w:jc w:val="left"/>
            </w:pPr>
            <w:r>
              <w:t xml:space="preserve">ERP GL sync (carbon → financial ledger)</w:t>
            </w:r>
          </w:p>
        </w:tc>
        <w:tc>
          <w:tcPr/>
          <w:p>
            <w:pPr>
              <w:pStyle w:val="Compact"/>
              <w:jc w:val="left"/>
            </w:pPr>
            <w:r>
              <w:t xml:space="preserve">P1</w:t>
            </w:r>
          </w:p>
        </w:tc>
        <w:tc>
          <w:tcPr/>
          <w:p>
            <w:pPr>
              <w:pStyle w:val="Compact"/>
              <w:jc w:val="left"/>
            </w:pPr>
            <w:r>
              <w:t xml:space="preserve">Push carbon ledger entries to SAP/IFS/Dynamics general ledger as line items. Carbon costs appear in the financial P&amp;L alongside material costs. Bi-directional: ERP purchase orders generate CBAM debit entries automatically. Builds on PR 088 (compliance status API) and PRs 129–137 (ERP connectors)</w:t>
            </w:r>
          </w:p>
        </w:tc>
      </w:tr>
      <w:tr>
        <w:tc>
          <w:tcPr/>
          <w:p>
            <w:pPr>
              <w:pStyle w:val="Compact"/>
              <w:jc w:val="left"/>
            </w:pPr>
            <w:r>
              <w:t xml:space="preserve">093H</w:t>
            </w:r>
          </w:p>
        </w:tc>
        <w:tc>
          <w:tcPr/>
          <w:p>
            <w:pPr>
              <w:pStyle w:val="Compact"/>
              <w:jc w:val="left"/>
            </w:pPr>
            <w:r>
              <w:t xml:space="preserve">XBRL/iXBRL export from ledger</w:t>
            </w:r>
          </w:p>
        </w:tc>
        <w:tc>
          <w:tcPr/>
          <w:p>
            <w:pPr>
              <w:pStyle w:val="Compact"/>
              <w:jc w:val="left"/>
            </w:pPr>
            <w:r>
              <w:t xml:space="preserve">P1</w:t>
            </w:r>
          </w:p>
        </w:tc>
        <w:tc>
          <w:tcPr/>
          <w:p>
            <w:pPr>
              <w:pStyle w:val="Compact"/>
              <w:jc w:val="left"/>
            </w:pPr>
            <w:r>
              <w:t xml:space="preserve">Export carbon balance sheet to ESRS-compliant XBRL for regulatory filing. Machine-readable CSRD reports. Extends PR 077 (XBRL tagging) with full ledger-backed data. EFRAG taxonomy auto-mapped from chart of carbon accounts</w:t>
            </w:r>
          </w:p>
        </w:tc>
      </w:tr>
      <w:tr>
        <w:tc>
          <w:tcPr/>
          <w:p>
            <w:pPr>
              <w:pStyle w:val="Compact"/>
              <w:jc w:val="left"/>
            </w:pPr>
            <w:r>
              <w:t xml:space="preserve">093I</w:t>
            </w:r>
          </w:p>
        </w:tc>
        <w:tc>
          <w:tcPr/>
          <w:p>
            <w:pPr>
              <w:pStyle w:val="Compact"/>
              <w:jc w:val="left"/>
            </w:pPr>
            <w:r>
              <w:t xml:space="preserve">EUTL transaction-verified Scope 3 factors</w:t>
            </w:r>
          </w:p>
        </w:tc>
        <w:tc>
          <w:tcPr/>
          <w:p>
            <w:pPr>
              <w:pStyle w:val="Compact"/>
              <w:jc w:val="left"/>
            </w:pPr>
            <w:r>
              <w:t xml:space="preserve">P0</w:t>
            </w:r>
          </w:p>
        </w:tc>
        <w:tc>
          <w:tcPr/>
          <w:p>
            <w:pPr>
              <w:pStyle w:val="Compact"/>
              <w:jc w:val="left"/>
            </w:pPr>
            <w:r>
              <w:t xml:space="preserve">Pulled forward from DWS 8 (was 8-041, single-entity slice). Replace CBAM Reg. 2023/1773 default emission factors with actual verified emissions from the EUTL installation record when the supplier is identifiable. Moves activity-based estimates (±15%) toward transaction-verified accuracy (±3%). The cross-customer network-effect version (one customer’s verified data improving another’s ledger) remains in DWS 8 (8-041). This is the sales wedge:</w:t>
            </w:r>
            <w:r>
              <w:t xml:space="preserve"> </w:t>
            </w:r>
            <w:r>
              <w:t xml:space="preserve">“</w:t>
            </w:r>
            <w:r>
              <w:t xml:space="preserve">your CBAM number is traced to EUTL installation DE-123456, not a sector average</w:t>
            </w:r>
            <w:r>
              <w:t xml:space="preserve">”</w:t>
            </w:r>
          </w:p>
        </w:tc>
      </w:tr>
    </w:tbl>
    <w:p>
      <w:pPr>
        <w:pStyle w:val="BodyText"/>
      </w:pPr>
      <w:r>
        <w:rPr>
          <w:bCs/>
          <w:b/>
        </w:rPr>
        <w:t xml:space="preserve">What this enables for fundraising:</w:t>
      </w:r>
    </w:p>
    <w:tbl>
      <w:tblPr>
        <w:tblStyle w:val="Table"/>
        <w:tblW w:type="pct" w:w="5000"/>
        <w:tblLook w:firstRow="1" w:lastRow="0" w:firstColumn="0" w:lastColumn="0" w:noHBand="0" w:noVBand="0" w:val="0020"/>
        <w:jc w:val="start"/>
      </w:tblPr>
      <w:tblGrid>
        <w:gridCol w:w="1569"/>
        <w:gridCol w:w="6350"/>
      </w:tblGrid>
      <w:tr>
        <w:trPr>
          <w:tblHeader w:val="true"/>
        </w:trPr>
        <w:tc>
          <w:tcPr/>
          <w:p>
            <w:pPr>
              <w:pStyle w:val="Compact"/>
              <w:jc w:val="left"/>
            </w:pPr>
            <w:r>
              <w:t xml:space="preserve">Investor Question</w:t>
            </w:r>
          </w:p>
        </w:tc>
        <w:tc>
          <w:tcPr/>
          <w:p>
            <w:pPr>
              <w:pStyle w:val="Compact"/>
              <w:jc w:val="left"/>
            </w:pPr>
            <w:r>
              <w:t xml:space="preserve">Answer with Carbon Balance Sheet</w:t>
            </w:r>
          </w:p>
        </w:tc>
      </w:tr>
      <w:tr>
        <w:tc>
          <w:tcPr/>
          <w:p>
            <w:pPr>
              <w:pStyle w:val="Compact"/>
              <w:jc w:val="left"/>
            </w:pPr>
            <w:r>
              <w:t xml:space="preserve">“</w:t>
            </w:r>
            <w:r>
              <w:t xml:space="preserve">What’s your moat?</w:t>
            </w:r>
            <w:r>
              <w:t xml:space="preserve">”</w:t>
            </w:r>
          </w:p>
        </w:tc>
        <w:tc>
          <w:tcPr/>
          <w:p>
            <w:pPr>
              <w:pStyle w:val="Compact"/>
              <w:jc w:val="left"/>
            </w:pPr>
            <w:r>
              <w:t xml:space="preserve">Double-entry carbon bookkeeping across ETS + CBAM + CSRD. No competitor has this.</w:t>
            </w:r>
          </w:p>
        </w:tc>
      </w:tr>
      <w:tr>
        <w:tc>
          <w:tcPr/>
          <w:p>
            <w:pPr>
              <w:pStyle w:val="Compact"/>
              <w:jc w:val="left"/>
            </w:pPr>
            <w:r>
              <w:t xml:space="preserve">“</w:t>
            </w:r>
            <w:r>
              <w:t xml:space="preserve">How sticky is this?</w:t>
            </w:r>
            <w:r>
              <w:t xml:space="preserve">”</w:t>
            </w:r>
          </w:p>
        </w:tc>
        <w:tc>
          <w:tcPr/>
          <w:p>
            <w:pPr>
              <w:pStyle w:val="Compact"/>
              <w:jc w:val="left"/>
            </w:pPr>
            <w:r>
              <w:t xml:space="preserve">Carbon ledger is the system of record. Same switching cost as changing your ERP.</w:t>
            </w:r>
          </w:p>
        </w:tc>
      </w:tr>
      <w:tr>
        <w:tc>
          <w:tcPr/>
          <w:p>
            <w:pPr>
              <w:pStyle w:val="Compact"/>
              <w:jc w:val="left"/>
            </w:pPr>
            <w:r>
              <w:t xml:space="preserve">“</w:t>
            </w:r>
            <w:r>
              <w:t xml:space="preserve">What’s the TAM?</w:t>
            </w:r>
            <w:r>
              <w:t xml:space="preserve">”</w:t>
            </w:r>
          </w:p>
        </w:tc>
        <w:tc>
          <w:tcPr/>
          <w:p>
            <w:pPr>
              <w:pStyle w:val="Compact"/>
              <w:jc w:val="left"/>
            </w:pPr>
            <w:r>
              <w:t xml:space="preserve">Every EU company filing CSRD needs a carbon balance sheet. 50,000+ companies by 2028.</w:t>
            </w:r>
          </w:p>
        </w:tc>
      </w:tr>
      <w:tr>
        <w:tc>
          <w:tcPr/>
          <w:p>
            <w:pPr>
              <w:pStyle w:val="Compact"/>
              <w:jc w:val="left"/>
            </w:pPr>
            <w:r>
              <w:t xml:space="preserve">“</w:t>
            </w:r>
            <w:r>
              <w:t xml:space="preserve">How do you expand?</w:t>
            </w:r>
            <w:r>
              <w:t xml:space="preserve">”</w:t>
            </w:r>
          </w:p>
        </w:tc>
        <w:tc>
          <w:tcPr/>
          <w:p>
            <w:pPr>
              <w:pStyle w:val="Compact"/>
              <w:jc w:val="left"/>
            </w:pPr>
            <w:r>
              <w:t xml:space="preserve">More industries on the ledger = cross-vertical intelligence. Network effect.</w:t>
            </w:r>
          </w:p>
        </w:tc>
      </w:tr>
      <w:tr>
        <w:tc>
          <w:tcPr/>
          <w:p>
            <w:pPr>
              <w:pStyle w:val="Compact"/>
              <w:jc w:val="left"/>
            </w:pPr>
            <w:r>
              <w:t xml:space="preserve">“</w:t>
            </w:r>
            <w:r>
              <w:t xml:space="preserve">Show me the product.</w:t>
            </w:r>
            <w:r>
              <w:t xml:space="preserve">”</w:t>
            </w:r>
          </w:p>
        </w:tc>
        <w:tc>
          <w:tcPr/>
          <w:p>
            <w:pPr>
              <w:pStyle w:val="Compact"/>
              <w:jc w:val="left"/>
            </w:pPr>
            <w:r>
              <w:t xml:space="preserve">CFO dashboard: carbon liabilities, assets, net position, regulatory drill-down (PR 093F).</w:t>
            </w:r>
          </w:p>
        </w:tc>
      </w:tr>
    </w:tbl>
    <w:p>
      <w:r>
        <w:pict>
          <v:rect style="width:0;height:1.5pt" o:hralign="center" o:hrstd="t" o:hr="t"/>
        </w:pict>
      </w:r>
    </w:p>
    <w:bookmarkEnd w:id="39"/>
    <w:bookmarkEnd w:id="40"/>
    <w:bookmarkStart w:id="47" w:name="phase-3-scale-harden-augoct-2026-48-prs"/>
    <w:p>
      <w:pPr>
        <w:pStyle w:val="Heading2"/>
      </w:pPr>
      <w:r>
        <w:t xml:space="preserve">Phase 3: Scale &amp; Harden (Aug–Oct 2026) — 48 PRs</w:t>
      </w:r>
    </w:p>
    <w:bookmarkStart w:id="41" w:name="security-certifications-prs-094103"/>
    <w:p>
      <w:pPr>
        <w:pStyle w:val="Heading3"/>
      </w:pPr>
      <w:r>
        <w:t xml:space="preserve">3.1 Security Certifications (PRs 094–103)</w:t>
      </w:r>
    </w:p>
    <w:tbl>
      <w:tblPr>
        <w:tblStyle w:val="Table"/>
        <w:tblW w:type="pct" w:w="5000"/>
        <w:tblLook w:firstRow="1" w:lastRow="0" w:firstColumn="0" w:lastColumn="0" w:noHBand="0" w:noVBand="0" w:val="0020"/>
        <w:jc w:val="start"/>
      </w:tblPr>
      <w:tblGrid>
        <w:gridCol w:w="188"/>
        <w:gridCol w:w="2891"/>
        <w:gridCol w:w="502"/>
        <w:gridCol w:w="4337"/>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094</w:t>
            </w:r>
          </w:p>
        </w:tc>
        <w:tc>
          <w:tcPr/>
          <w:p>
            <w:pPr>
              <w:pStyle w:val="Compact"/>
              <w:jc w:val="left"/>
            </w:pPr>
            <w:r>
              <w:t xml:space="preserve">ISO 27001 gap analysis and remediation plan</w:t>
            </w:r>
          </w:p>
        </w:tc>
        <w:tc>
          <w:tcPr/>
          <w:p>
            <w:pPr>
              <w:pStyle w:val="Compact"/>
              <w:jc w:val="left"/>
            </w:pPr>
            <w:r>
              <w:t xml:space="preserve">P0</w:t>
            </w:r>
          </w:p>
        </w:tc>
        <w:tc>
          <w:tcPr/>
          <w:p>
            <w:pPr>
              <w:pStyle w:val="Compact"/>
              <w:jc w:val="left"/>
            </w:pPr>
            <w:r>
              <w:t xml:space="preserve">Map current controls against ISO 27001 Annex A</w:t>
            </w:r>
          </w:p>
        </w:tc>
      </w:tr>
      <w:tr>
        <w:tc>
          <w:tcPr/>
          <w:p>
            <w:pPr>
              <w:pStyle w:val="Compact"/>
              <w:jc w:val="left"/>
            </w:pPr>
            <w:r>
              <w:t xml:space="preserve">095</w:t>
            </w:r>
          </w:p>
        </w:tc>
        <w:tc>
          <w:tcPr/>
          <w:p>
            <w:pPr>
              <w:pStyle w:val="Compact"/>
              <w:jc w:val="left"/>
            </w:pPr>
            <w:r>
              <w:t xml:space="preserve">Information security policy documents</w:t>
            </w:r>
          </w:p>
        </w:tc>
        <w:tc>
          <w:tcPr/>
          <w:p>
            <w:pPr>
              <w:pStyle w:val="Compact"/>
              <w:jc w:val="left"/>
            </w:pPr>
            <w:r>
              <w:t xml:space="preserve">P0</w:t>
            </w:r>
          </w:p>
        </w:tc>
        <w:tc>
          <w:tcPr/>
          <w:p>
            <w:pPr>
              <w:pStyle w:val="Compact"/>
              <w:jc w:val="left"/>
            </w:pPr>
            <w:r>
              <w:t xml:space="preserve">ISMS policies: access control, data classification, incident response</w:t>
            </w:r>
          </w:p>
        </w:tc>
      </w:tr>
      <w:tr>
        <w:tc>
          <w:tcPr/>
          <w:p>
            <w:pPr>
              <w:pStyle w:val="Compact"/>
              <w:jc w:val="left"/>
            </w:pPr>
            <w:r>
              <w:t xml:space="preserve">096</w:t>
            </w:r>
          </w:p>
        </w:tc>
        <w:tc>
          <w:tcPr/>
          <w:p>
            <w:pPr>
              <w:pStyle w:val="Compact"/>
              <w:jc w:val="left"/>
            </w:pPr>
            <w:r>
              <w:t xml:space="preserve">Role-based access control (RBAC) enforcement</w:t>
            </w:r>
          </w:p>
        </w:tc>
        <w:tc>
          <w:tcPr/>
          <w:p>
            <w:pPr>
              <w:pStyle w:val="Compact"/>
              <w:jc w:val="left"/>
            </w:pPr>
            <w:r>
              <w:t xml:space="preserve">P0</w:t>
            </w:r>
          </w:p>
        </w:tc>
        <w:tc>
          <w:tcPr/>
          <w:p>
            <w:pPr>
              <w:pStyle w:val="Compact"/>
              <w:jc w:val="left"/>
            </w:pPr>
            <w:r>
              <w:t xml:space="preserve">Enforce org-level permissions on every API endpoint</w:t>
            </w:r>
          </w:p>
        </w:tc>
      </w:tr>
      <w:tr>
        <w:tc>
          <w:tcPr/>
          <w:p>
            <w:pPr>
              <w:pStyle w:val="Compact"/>
              <w:jc w:val="left"/>
            </w:pPr>
            <w:r>
              <w:t xml:space="preserve">097</w:t>
            </w:r>
          </w:p>
        </w:tc>
        <w:tc>
          <w:tcPr/>
          <w:p>
            <w:pPr>
              <w:pStyle w:val="Compact"/>
              <w:jc w:val="left"/>
            </w:pPr>
            <w:r>
              <w:t xml:space="preserve">Audit logging for all data mutations</w:t>
            </w:r>
          </w:p>
        </w:tc>
        <w:tc>
          <w:tcPr/>
          <w:p>
            <w:pPr>
              <w:pStyle w:val="Compact"/>
              <w:jc w:val="left"/>
            </w:pPr>
            <w:r>
              <w:t xml:space="preserve">P0</w:t>
            </w:r>
          </w:p>
        </w:tc>
        <w:tc>
          <w:tcPr/>
          <w:p>
            <w:pPr>
              <w:pStyle w:val="Compact"/>
              <w:jc w:val="left"/>
            </w:pPr>
            <w:r>
              <w:t xml:space="preserve">Record every create/update/delete with user, timestamp, old/new value</w:t>
            </w:r>
          </w:p>
        </w:tc>
      </w:tr>
      <w:tr>
        <w:tc>
          <w:tcPr/>
          <w:p>
            <w:pPr>
              <w:pStyle w:val="Compact"/>
              <w:jc w:val="left"/>
            </w:pPr>
            <w:r>
              <w:t xml:space="preserve">098</w:t>
            </w:r>
          </w:p>
        </w:tc>
        <w:tc>
          <w:tcPr/>
          <w:p>
            <w:pPr>
              <w:pStyle w:val="Compact"/>
              <w:jc w:val="left"/>
            </w:pPr>
            <w:r>
              <w:t xml:space="preserve">Data encryption at rest (Supabase TDE)</w:t>
            </w:r>
          </w:p>
        </w:tc>
        <w:tc>
          <w:tcPr/>
          <w:p>
            <w:pPr>
              <w:pStyle w:val="Compact"/>
              <w:jc w:val="left"/>
            </w:pPr>
            <w:r>
              <w:t xml:space="preserve">P1</w:t>
            </w:r>
          </w:p>
        </w:tc>
        <w:tc>
          <w:tcPr/>
          <w:p>
            <w:pPr>
              <w:pStyle w:val="Compact"/>
              <w:jc w:val="left"/>
            </w:pPr>
            <w:r>
              <w:t xml:space="preserve">Enable transparent data encryption on all sensitive tables</w:t>
            </w:r>
          </w:p>
        </w:tc>
      </w:tr>
      <w:tr>
        <w:tc>
          <w:tcPr/>
          <w:p>
            <w:pPr>
              <w:pStyle w:val="Compact"/>
              <w:jc w:val="left"/>
            </w:pPr>
            <w:r>
              <w:t xml:space="preserve">099</w:t>
            </w:r>
          </w:p>
        </w:tc>
        <w:tc>
          <w:tcPr/>
          <w:p>
            <w:pPr>
              <w:pStyle w:val="Compact"/>
              <w:jc w:val="left"/>
            </w:pPr>
            <w:r>
              <w:t xml:space="preserve">Penetration test remediation (external vendor)</w:t>
            </w:r>
          </w:p>
        </w:tc>
        <w:tc>
          <w:tcPr/>
          <w:p>
            <w:pPr>
              <w:pStyle w:val="Compact"/>
              <w:jc w:val="left"/>
            </w:pPr>
            <w:r>
              <w:t xml:space="preserve">P0</w:t>
            </w:r>
          </w:p>
        </w:tc>
        <w:tc>
          <w:tcPr/>
          <w:p>
            <w:pPr>
              <w:pStyle w:val="Compact"/>
              <w:jc w:val="left"/>
            </w:pPr>
            <w:r>
              <w:t xml:space="preserve">Fix findings from scheduled pentest</w:t>
            </w:r>
          </w:p>
        </w:tc>
      </w:tr>
      <w:tr>
        <w:tc>
          <w:tcPr/>
          <w:p>
            <w:pPr>
              <w:pStyle w:val="Compact"/>
              <w:jc w:val="left"/>
            </w:pPr>
            <w:r>
              <w:t xml:space="preserve">100</w:t>
            </w:r>
          </w:p>
        </w:tc>
        <w:tc>
          <w:tcPr/>
          <w:p>
            <w:pPr>
              <w:pStyle w:val="Compact"/>
              <w:jc w:val="left"/>
            </w:pPr>
            <w:r>
              <w:t xml:space="preserve">SOC 2 Type I evidence collection</w:t>
            </w:r>
          </w:p>
        </w:tc>
        <w:tc>
          <w:tcPr/>
          <w:p>
            <w:pPr>
              <w:pStyle w:val="Compact"/>
              <w:jc w:val="left"/>
            </w:pPr>
            <w:r>
              <w:t xml:space="preserve">P1</w:t>
            </w:r>
          </w:p>
        </w:tc>
        <w:tc>
          <w:tcPr/>
          <w:p>
            <w:pPr>
              <w:pStyle w:val="Compact"/>
              <w:jc w:val="left"/>
            </w:pPr>
            <w:r>
              <w:t xml:space="preserve">Automated evidence gathering for SOC 2 controls</w:t>
            </w:r>
          </w:p>
        </w:tc>
      </w:tr>
      <w:tr>
        <w:tc>
          <w:tcPr/>
          <w:p>
            <w:pPr>
              <w:pStyle w:val="Compact"/>
              <w:jc w:val="left"/>
            </w:pPr>
            <w:r>
              <w:t xml:space="preserve">101</w:t>
            </w:r>
          </w:p>
        </w:tc>
        <w:tc>
          <w:tcPr/>
          <w:p>
            <w:pPr>
              <w:pStyle w:val="Compact"/>
              <w:jc w:val="left"/>
            </w:pPr>
            <w:r>
              <w:t xml:space="preserve">Vulnerability management process</w:t>
            </w:r>
          </w:p>
        </w:tc>
        <w:tc>
          <w:tcPr/>
          <w:p>
            <w:pPr>
              <w:pStyle w:val="Compact"/>
              <w:jc w:val="left"/>
            </w:pPr>
            <w:r>
              <w:t xml:space="preserve">P1</w:t>
            </w:r>
          </w:p>
        </w:tc>
        <w:tc>
          <w:tcPr/>
          <w:p>
            <w:pPr>
              <w:pStyle w:val="Compact"/>
              <w:jc w:val="left"/>
            </w:pPr>
            <w:r>
              <w:t xml:space="preserve">Triage, SLA, and remediation workflow for security findings</w:t>
            </w:r>
          </w:p>
        </w:tc>
      </w:tr>
      <w:tr>
        <w:tc>
          <w:tcPr/>
          <w:p>
            <w:pPr>
              <w:pStyle w:val="Compact"/>
              <w:jc w:val="left"/>
            </w:pPr>
            <w:r>
              <w:t xml:space="preserve">102</w:t>
            </w:r>
          </w:p>
        </w:tc>
        <w:tc>
          <w:tcPr/>
          <w:p>
            <w:pPr>
              <w:pStyle w:val="Compact"/>
              <w:jc w:val="left"/>
            </w:pPr>
            <w:r>
              <w:t xml:space="preserve">Data retention and deletion policies</w:t>
            </w:r>
          </w:p>
        </w:tc>
        <w:tc>
          <w:tcPr/>
          <w:p>
            <w:pPr>
              <w:pStyle w:val="Compact"/>
              <w:jc w:val="left"/>
            </w:pPr>
            <w:r>
              <w:t xml:space="preserve">P1</w:t>
            </w:r>
          </w:p>
        </w:tc>
        <w:tc>
          <w:tcPr/>
          <w:p>
            <w:pPr>
              <w:pStyle w:val="Compact"/>
              <w:jc w:val="left"/>
            </w:pPr>
            <w:r>
              <w:t xml:space="preserve">GDPR-compliant retention schedules, automated purge jobs</w:t>
            </w:r>
          </w:p>
        </w:tc>
      </w:tr>
      <w:tr>
        <w:tc>
          <w:tcPr/>
          <w:p>
            <w:pPr>
              <w:pStyle w:val="Compact"/>
              <w:jc w:val="left"/>
            </w:pPr>
            <w:r>
              <w:t xml:space="preserve">103</w:t>
            </w:r>
          </w:p>
        </w:tc>
        <w:tc>
          <w:tcPr/>
          <w:p>
            <w:pPr>
              <w:pStyle w:val="Compact"/>
              <w:jc w:val="left"/>
            </w:pPr>
            <w:r>
              <w:t xml:space="preserve">Third-party risk assessment framework</w:t>
            </w:r>
          </w:p>
        </w:tc>
        <w:tc>
          <w:tcPr/>
          <w:p>
            <w:pPr>
              <w:pStyle w:val="Compact"/>
              <w:jc w:val="left"/>
            </w:pPr>
            <w:r>
              <w:t xml:space="preserve">P2</w:t>
            </w:r>
          </w:p>
        </w:tc>
        <w:tc>
          <w:tcPr/>
          <w:p>
            <w:pPr>
              <w:pStyle w:val="Compact"/>
              <w:jc w:val="left"/>
            </w:pPr>
            <w:r>
              <w:t xml:space="preserve">Vendor security questionnaire for Groq, Supabase, Cloudflare</w:t>
            </w:r>
          </w:p>
        </w:tc>
      </w:tr>
    </w:tbl>
    <w:bookmarkEnd w:id="41"/>
    <w:bookmarkStart w:id="42" w:name="multi-tenancy-isolation-prs-104111"/>
    <w:p>
      <w:pPr>
        <w:pStyle w:val="Heading3"/>
      </w:pPr>
      <w:r>
        <w:t xml:space="preserve">3.2 Multi-Tenancy &amp; Isolation (PRs 104–111)</w:t>
      </w:r>
    </w:p>
    <w:tbl>
      <w:tblPr>
        <w:tblStyle w:val="Table"/>
        <w:tblW w:type="pct" w:w="5000"/>
        <w:tblLook w:firstRow="1" w:lastRow="0" w:firstColumn="0" w:lastColumn="0" w:noHBand="0" w:noVBand="0" w:val="0020"/>
        <w:jc w:val="start"/>
      </w:tblPr>
      <w:tblGrid>
        <w:gridCol w:w="190"/>
        <w:gridCol w:w="3041"/>
        <w:gridCol w:w="506"/>
        <w:gridCol w:w="4181"/>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104</w:t>
            </w:r>
          </w:p>
        </w:tc>
        <w:tc>
          <w:tcPr/>
          <w:p>
            <w:pPr>
              <w:pStyle w:val="Compact"/>
              <w:jc w:val="left"/>
            </w:pPr>
            <w:r>
              <w:t xml:space="preserve">Row-level security (RLS) policies for all tables</w:t>
            </w:r>
          </w:p>
        </w:tc>
        <w:tc>
          <w:tcPr/>
          <w:p>
            <w:pPr>
              <w:pStyle w:val="Compact"/>
              <w:jc w:val="left"/>
            </w:pPr>
            <w:r>
              <w:t xml:space="preserve">P0</w:t>
            </w:r>
          </w:p>
        </w:tc>
        <w:tc>
          <w:tcPr/>
          <w:p>
            <w:pPr>
              <w:pStyle w:val="Compact"/>
              <w:jc w:val="left"/>
            </w:pPr>
            <w:r>
              <w:t xml:space="preserve">Enforce tenant isolation at database level</w:t>
            </w:r>
          </w:p>
        </w:tc>
      </w:tr>
      <w:tr>
        <w:tc>
          <w:tcPr/>
          <w:p>
            <w:pPr>
              <w:pStyle w:val="Compact"/>
              <w:jc w:val="left"/>
            </w:pPr>
            <w:r>
              <w:t xml:space="preserve">105</w:t>
            </w:r>
          </w:p>
        </w:tc>
        <w:tc>
          <w:tcPr/>
          <w:p>
            <w:pPr>
              <w:pStyle w:val="Compact"/>
              <w:jc w:val="left"/>
            </w:pPr>
            <w:r>
              <w:t xml:space="preserve">Tenant-scoped API middleware</w:t>
            </w:r>
          </w:p>
        </w:tc>
        <w:tc>
          <w:tcPr/>
          <w:p>
            <w:pPr>
              <w:pStyle w:val="Compact"/>
              <w:jc w:val="left"/>
            </w:pPr>
            <w:r>
              <w:t xml:space="preserve">P0</w:t>
            </w:r>
          </w:p>
        </w:tc>
        <w:tc>
          <w:tcPr/>
          <w:p>
            <w:pPr>
              <w:pStyle w:val="Compact"/>
              <w:jc w:val="left"/>
            </w:pPr>
            <w:r>
              <w:t xml:space="preserve">Inject org_id into every query from JWT claims</w:t>
            </w:r>
          </w:p>
        </w:tc>
      </w:tr>
      <w:tr>
        <w:tc>
          <w:tcPr/>
          <w:p>
            <w:pPr>
              <w:pStyle w:val="Compact"/>
              <w:jc w:val="left"/>
            </w:pPr>
            <w:r>
              <w:t xml:space="preserve">106</w:t>
            </w:r>
          </w:p>
        </w:tc>
        <w:tc>
          <w:tcPr/>
          <w:p>
            <w:pPr>
              <w:pStyle w:val="Compact"/>
              <w:jc w:val="left"/>
            </w:pPr>
            <w:r>
              <w:t xml:space="preserve">Tenant data export (GDPR data portability)</w:t>
            </w:r>
          </w:p>
        </w:tc>
        <w:tc>
          <w:tcPr/>
          <w:p>
            <w:pPr>
              <w:pStyle w:val="Compact"/>
              <w:jc w:val="left"/>
            </w:pPr>
            <w:r>
              <w:t xml:space="preserve">P1</w:t>
            </w:r>
          </w:p>
        </w:tc>
        <w:tc>
          <w:tcPr/>
          <w:p>
            <w:pPr>
              <w:pStyle w:val="Compact"/>
              <w:jc w:val="left"/>
            </w:pPr>
            <w:r>
              <w:t xml:space="preserve">Export all customer data in machine-readable format</w:t>
            </w:r>
          </w:p>
        </w:tc>
      </w:tr>
      <w:tr>
        <w:tc>
          <w:tcPr/>
          <w:p>
            <w:pPr>
              <w:pStyle w:val="Compact"/>
              <w:jc w:val="left"/>
            </w:pPr>
            <w:r>
              <w:t xml:space="preserve">107</w:t>
            </w:r>
          </w:p>
        </w:tc>
        <w:tc>
          <w:tcPr/>
          <w:p>
            <w:pPr>
              <w:pStyle w:val="Compact"/>
              <w:jc w:val="left"/>
            </w:pPr>
            <w:r>
              <w:t xml:space="preserve">Tenant provisioning automation</w:t>
            </w:r>
          </w:p>
        </w:tc>
        <w:tc>
          <w:tcPr/>
          <w:p>
            <w:pPr>
              <w:pStyle w:val="Compact"/>
              <w:jc w:val="left"/>
            </w:pPr>
            <w:r>
              <w:t xml:space="preserve">P1</w:t>
            </w:r>
          </w:p>
        </w:tc>
        <w:tc>
          <w:tcPr/>
          <w:p>
            <w:pPr>
              <w:pStyle w:val="Compact"/>
              <w:jc w:val="left"/>
            </w:pPr>
            <w:r>
              <w:t xml:space="preserve">API to create new org with default config, admin user, sample data</w:t>
            </w:r>
          </w:p>
        </w:tc>
      </w:tr>
      <w:tr>
        <w:tc>
          <w:tcPr/>
          <w:p>
            <w:pPr>
              <w:pStyle w:val="Compact"/>
              <w:jc w:val="left"/>
            </w:pPr>
            <w:r>
              <w:t xml:space="preserve">108</w:t>
            </w:r>
          </w:p>
        </w:tc>
        <w:tc>
          <w:tcPr/>
          <w:p>
            <w:pPr>
              <w:pStyle w:val="Compact"/>
              <w:jc w:val="left"/>
            </w:pPr>
            <w:r>
              <w:t xml:space="preserve">Tenant usage metering</w:t>
            </w:r>
          </w:p>
        </w:tc>
        <w:tc>
          <w:tcPr/>
          <w:p>
            <w:pPr>
              <w:pStyle w:val="Compact"/>
              <w:jc w:val="left"/>
            </w:pPr>
            <w:r>
              <w:t xml:space="preserve">P0</w:t>
            </w:r>
          </w:p>
        </w:tc>
        <w:tc>
          <w:tcPr/>
          <w:p>
            <w:pPr>
              <w:pStyle w:val="Compact"/>
              <w:jc w:val="left"/>
            </w:pPr>
            <w:r>
              <w:t xml:space="preserve">Track API calls, AI queries, storage per org for billing</w:t>
            </w:r>
          </w:p>
        </w:tc>
      </w:tr>
      <w:tr>
        <w:tc>
          <w:tcPr/>
          <w:p>
            <w:pPr>
              <w:pStyle w:val="Compact"/>
              <w:jc w:val="left"/>
            </w:pPr>
            <w:r>
              <w:t xml:space="preserve">109</w:t>
            </w:r>
          </w:p>
        </w:tc>
        <w:tc>
          <w:tcPr/>
          <w:p>
            <w:pPr>
              <w:pStyle w:val="Compact"/>
              <w:jc w:val="left"/>
            </w:pPr>
            <w:r>
              <w:t xml:space="preserve">Tenant-level rate limiting</w:t>
            </w:r>
          </w:p>
        </w:tc>
        <w:tc>
          <w:tcPr/>
          <w:p>
            <w:pPr>
              <w:pStyle w:val="Compact"/>
              <w:jc w:val="left"/>
            </w:pPr>
            <w:r>
              <w:t xml:space="preserve">P1</w:t>
            </w:r>
          </w:p>
        </w:tc>
        <w:tc>
          <w:tcPr/>
          <w:p>
            <w:pPr>
              <w:pStyle w:val="Compact"/>
              <w:jc w:val="left"/>
            </w:pPr>
            <w:r>
              <w:t xml:space="preserve">Different rate limits per plan tier (starter/pro/enterprise)</w:t>
            </w:r>
          </w:p>
        </w:tc>
      </w:tr>
      <w:tr>
        <w:tc>
          <w:tcPr/>
          <w:p>
            <w:pPr>
              <w:pStyle w:val="Compact"/>
              <w:jc w:val="left"/>
            </w:pPr>
            <w:r>
              <w:t xml:space="preserve">110</w:t>
            </w:r>
          </w:p>
        </w:tc>
        <w:tc>
          <w:tcPr/>
          <w:p>
            <w:pPr>
              <w:pStyle w:val="Compact"/>
              <w:jc w:val="left"/>
            </w:pPr>
            <w:r>
              <w:t xml:space="preserve">Cross-tenant data leak prevention tests</w:t>
            </w:r>
          </w:p>
        </w:tc>
        <w:tc>
          <w:tcPr/>
          <w:p>
            <w:pPr>
              <w:pStyle w:val="Compact"/>
              <w:jc w:val="left"/>
            </w:pPr>
            <w:r>
              <w:t xml:space="preserve">P0</w:t>
            </w:r>
          </w:p>
        </w:tc>
        <w:tc>
          <w:tcPr/>
          <w:p>
            <w:pPr>
              <w:pStyle w:val="Compact"/>
              <w:jc w:val="left"/>
            </w:pPr>
            <w:r>
              <w:t xml:space="preserve">Automated tests verifying tenant A cannot access tenant B data</w:t>
            </w:r>
          </w:p>
        </w:tc>
      </w:tr>
      <w:tr>
        <w:tc>
          <w:tcPr/>
          <w:p>
            <w:pPr>
              <w:pStyle w:val="Compact"/>
              <w:jc w:val="left"/>
            </w:pPr>
            <w:r>
              <w:t xml:space="preserve">111</w:t>
            </w:r>
          </w:p>
        </w:tc>
        <w:tc>
          <w:tcPr/>
          <w:p>
            <w:pPr>
              <w:pStyle w:val="Compact"/>
              <w:jc w:val="left"/>
            </w:pPr>
            <w:r>
              <w:t xml:space="preserve">Tenant admin dashboard (customer self-service)</w:t>
            </w:r>
          </w:p>
        </w:tc>
        <w:tc>
          <w:tcPr/>
          <w:p>
            <w:pPr>
              <w:pStyle w:val="Compact"/>
              <w:jc w:val="left"/>
            </w:pPr>
            <w:r>
              <w:t xml:space="preserve">P1</w:t>
            </w:r>
          </w:p>
        </w:tc>
        <w:tc>
          <w:tcPr/>
          <w:p>
            <w:pPr>
              <w:pStyle w:val="Compact"/>
              <w:jc w:val="left"/>
            </w:pPr>
            <w:r>
              <w:t xml:space="preserve">Manage users, roles, billing, API keys within their org</w:t>
            </w:r>
          </w:p>
        </w:tc>
      </w:tr>
    </w:tbl>
    <w:bookmarkEnd w:id="42"/>
    <w:bookmarkStart w:id="43" w:name="performance-reliability-prs-112120"/>
    <w:p>
      <w:pPr>
        <w:pStyle w:val="Heading3"/>
      </w:pPr>
      <w:r>
        <w:t xml:space="preserve">3.3 Performance &amp; Reliability (PRs 112–120)</w:t>
      </w:r>
    </w:p>
    <w:tbl>
      <w:tblPr>
        <w:tblStyle w:val="Table"/>
        <w:tblW w:type="pct" w:w="5000"/>
        <w:tblLook w:firstRow="1" w:lastRow="0" w:firstColumn="0" w:lastColumn="0" w:noHBand="0" w:noVBand="0" w:val="0020"/>
        <w:jc w:val="start"/>
      </w:tblPr>
      <w:tblGrid>
        <w:gridCol w:w="198"/>
        <w:gridCol w:w="3234"/>
        <w:gridCol w:w="528"/>
        <w:gridCol w:w="3960"/>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112</w:t>
            </w:r>
          </w:p>
        </w:tc>
        <w:tc>
          <w:tcPr/>
          <w:p>
            <w:pPr>
              <w:pStyle w:val="Compact"/>
              <w:jc w:val="left"/>
            </w:pPr>
            <w:r>
              <w:t xml:space="preserve">API response time benchmarks and optimization</w:t>
            </w:r>
          </w:p>
        </w:tc>
        <w:tc>
          <w:tcPr/>
          <w:p>
            <w:pPr>
              <w:pStyle w:val="Compact"/>
              <w:jc w:val="left"/>
            </w:pPr>
            <w:r>
              <w:t xml:space="preserve">P1</w:t>
            </w:r>
          </w:p>
        </w:tc>
        <w:tc>
          <w:tcPr/>
          <w:p>
            <w:pPr>
              <w:pStyle w:val="Compact"/>
              <w:jc w:val="left"/>
            </w:pPr>
            <w:r>
              <w:t xml:space="preserve">Target: p95 &lt; 200ms for reads, &lt; 500ms for writes</w:t>
            </w:r>
          </w:p>
        </w:tc>
      </w:tr>
      <w:tr>
        <w:tc>
          <w:tcPr/>
          <w:p>
            <w:pPr>
              <w:pStyle w:val="Compact"/>
              <w:jc w:val="left"/>
            </w:pPr>
            <w:r>
              <w:t xml:space="preserve">113</w:t>
            </w:r>
          </w:p>
        </w:tc>
        <w:tc>
          <w:tcPr/>
          <w:p>
            <w:pPr>
              <w:pStyle w:val="Compact"/>
              <w:jc w:val="left"/>
            </w:pPr>
            <w:r>
              <w:t xml:space="preserve">Database query optimization (slow query analysis)</w:t>
            </w:r>
          </w:p>
        </w:tc>
        <w:tc>
          <w:tcPr/>
          <w:p>
            <w:pPr>
              <w:pStyle w:val="Compact"/>
              <w:jc w:val="left"/>
            </w:pPr>
            <w:r>
              <w:t xml:space="preserve">P1</w:t>
            </w:r>
          </w:p>
        </w:tc>
        <w:tc>
          <w:tcPr/>
          <w:p>
            <w:pPr>
              <w:pStyle w:val="Compact"/>
              <w:jc w:val="left"/>
            </w:pPr>
            <w:r>
              <w:t xml:space="preserve">Identify and optimize queries &gt; 100ms</w:t>
            </w:r>
          </w:p>
        </w:tc>
      </w:tr>
      <w:tr>
        <w:tc>
          <w:tcPr/>
          <w:p>
            <w:pPr>
              <w:pStyle w:val="Compact"/>
              <w:jc w:val="left"/>
            </w:pPr>
            <w:r>
              <w:t xml:space="preserve">114</w:t>
            </w:r>
          </w:p>
        </w:tc>
        <w:tc>
          <w:tcPr/>
          <w:p>
            <w:pPr>
              <w:pStyle w:val="Compact"/>
              <w:jc w:val="left"/>
            </w:pPr>
            <w:r>
              <w:t xml:space="preserve">Redis caching layer for frequent queries</w:t>
            </w:r>
          </w:p>
        </w:tc>
        <w:tc>
          <w:tcPr/>
          <w:p>
            <w:pPr>
              <w:pStyle w:val="Compact"/>
              <w:jc w:val="left"/>
            </w:pPr>
            <w:r>
              <w:t xml:space="preserve">P1</w:t>
            </w:r>
          </w:p>
        </w:tc>
        <w:tc>
          <w:tcPr/>
          <w:p>
            <w:pPr>
              <w:pStyle w:val="Compact"/>
              <w:jc w:val="left"/>
            </w:pPr>
            <w:r>
              <w:t xml:space="preserve">Cache compliance status, dashboard metrics, user preferences</w:t>
            </w:r>
          </w:p>
        </w:tc>
      </w:tr>
      <w:tr>
        <w:tc>
          <w:tcPr/>
          <w:p>
            <w:pPr>
              <w:pStyle w:val="Compact"/>
              <w:jc w:val="left"/>
            </w:pPr>
            <w:r>
              <w:t xml:space="preserve">115</w:t>
            </w:r>
          </w:p>
        </w:tc>
        <w:tc>
          <w:tcPr/>
          <w:p>
            <w:pPr>
              <w:pStyle w:val="Compact"/>
              <w:jc w:val="left"/>
            </w:pPr>
            <w:r>
              <w:t xml:space="preserve">CDN configuration for static assets</w:t>
            </w:r>
          </w:p>
        </w:tc>
        <w:tc>
          <w:tcPr/>
          <w:p>
            <w:pPr>
              <w:pStyle w:val="Compact"/>
              <w:jc w:val="left"/>
            </w:pPr>
            <w:r>
              <w:t xml:space="preserve">P1</w:t>
            </w:r>
          </w:p>
        </w:tc>
        <w:tc>
          <w:tcPr/>
          <w:p>
            <w:pPr>
              <w:pStyle w:val="Compact"/>
              <w:jc w:val="left"/>
            </w:pPr>
            <w:r>
              <w:t xml:space="preserve">Cloudflare caching rules for dashboard, landing pages</w:t>
            </w:r>
          </w:p>
        </w:tc>
      </w:tr>
      <w:tr>
        <w:tc>
          <w:tcPr/>
          <w:p>
            <w:pPr>
              <w:pStyle w:val="Compact"/>
              <w:jc w:val="left"/>
            </w:pPr>
            <w:r>
              <w:t xml:space="preserve">116</w:t>
            </w:r>
          </w:p>
        </w:tc>
        <w:tc>
          <w:tcPr/>
          <w:p>
            <w:pPr>
              <w:pStyle w:val="Compact"/>
              <w:jc w:val="left"/>
            </w:pPr>
            <w:r>
              <w:t xml:space="preserve">Load testing suite (k6 or Artillery)</w:t>
            </w:r>
          </w:p>
        </w:tc>
        <w:tc>
          <w:tcPr/>
          <w:p>
            <w:pPr>
              <w:pStyle w:val="Compact"/>
              <w:jc w:val="left"/>
            </w:pPr>
            <w:r>
              <w:t xml:space="preserve">P0</w:t>
            </w:r>
          </w:p>
        </w:tc>
        <w:tc>
          <w:tcPr/>
          <w:p>
            <w:pPr>
              <w:pStyle w:val="Compact"/>
              <w:jc w:val="left"/>
            </w:pPr>
            <w:r>
              <w:t xml:space="preserve">Simulate 100 concurrent users across key workflows</w:t>
            </w:r>
          </w:p>
        </w:tc>
      </w:tr>
      <w:tr>
        <w:tc>
          <w:tcPr/>
          <w:p>
            <w:pPr>
              <w:pStyle w:val="Compact"/>
              <w:jc w:val="left"/>
            </w:pPr>
            <w:r>
              <w:t xml:space="preserve">117</w:t>
            </w:r>
          </w:p>
        </w:tc>
        <w:tc>
          <w:tcPr/>
          <w:p>
            <w:pPr>
              <w:pStyle w:val="Compact"/>
              <w:jc w:val="left"/>
            </w:pPr>
            <w:r>
              <w:t xml:space="preserve">Auto-scaling configuration (Cloud Run)</w:t>
            </w:r>
          </w:p>
        </w:tc>
        <w:tc>
          <w:tcPr/>
          <w:p>
            <w:pPr>
              <w:pStyle w:val="Compact"/>
              <w:jc w:val="left"/>
            </w:pPr>
            <w:r>
              <w:t xml:space="preserve">P1</w:t>
            </w:r>
          </w:p>
        </w:tc>
        <w:tc>
          <w:tcPr/>
          <w:p>
            <w:pPr>
              <w:pStyle w:val="Compact"/>
              <w:jc w:val="left"/>
            </w:pPr>
            <w:r>
              <w:t xml:space="preserve">Min/max instances, CPU/memory thresholds</w:t>
            </w:r>
          </w:p>
        </w:tc>
      </w:tr>
      <w:tr>
        <w:tc>
          <w:tcPr/>
          <w:p>
            <w:pPr>
              <w:pStyle w:val="Compact"/>
              <w:jc w:val="left"/>
            </w:pPr>
            <w:r>
              <w:t xml:space="preserve">118</w:t>
            </w:r>
          </w:p>
        </w:tc>
        <w:tc>
          <w:tcPr/>
          <w:p>
            <w:pPr>
              <w:pStyle w:val="Compact"/>
              <w:jc w:val="left"/>
            </w:pPr>
            <w:r>
              <w:t xml:space="preserve">Database backup verification (restore test)</w:t>
            </w:r>
          </w:p>
        </w:tc>
        <w:tc>
          <w:tcPr/>
          <w:p>
            <w:pPr>
              <w:pStyle w:val="Compact"/>
              <w:jc w:val="left"/>
            </w:pPr>
            <w:r>
              <w:t xml:space="preserve">P0</w:t>
            </w:r>
          </w:p>
        </w:tc>
        <w:tc>
          <w:tcPr/>
          <w:p>
            <w:pPr>
              <w:pStyle w:val="Compact"/>
              <w:jc w:val="left"/>
            </w:pPr>
            <w:r>
              <w:t xml:space="preserve">Monthly automated restore test to verify backup integrity</w:t>
            </w:r>
          </w:p>
        </w:tc>
      </w:tr>
      <w:tr>
        <w:tc>
          <w:tcPr/>
          <w:p>
            <w:pPr>
              <w:pStyle w:val="Compact"/>
              <w:jc w:val="left"/>
            </w:pPr>
            <w:r>
              <w:t xml:space="preserve">119</w:t>
            </w:r>
          </w:p>
        </w:tc>
        <w:tc>
          <w:tcPr/>
          <w:p>
            <w:pPr>
              <w:pStyle w:val="Compact"/>
              <w:jc w:val="left"/>
            </w:pPr>
            <w:r>
              <w:t xml:space="preserve">Circuit breaker for external services</w:t>
            </w:r>
          </w:p>
        </w:tc>
        <w:tc>
          <w:tcPr/>
          <w:p>
            <w:pPr>
              <w:pStyle w:val="Compact"/>
              <w:jc w:val="left"/>
            </w:pPr>
            <w:r>
              <w:t xml:space="preserve">P1</w:t>
            </w:r>
          </w:p>
        </w:tc>
        <w:tc>
          <w:tcPr/>
          <w:p>
            <w:pPr>
              <w:pStyle w:val="Compact"/>
              <w:jc w:val="left"/>
            </w:pPr>
            <w:r>
              <w:t xml:space="preserve">Graceful degradation when Groq, Supabase, or ERP APIs fail</w:t>
            </w:r>
          </w:p>
        </w:tc>
      </w:tr>
      <w:tr>
        <w:tc>
          <w:tcPr/>
          <w:p>
            <w:pPr>
              <w:pStyle w:val="Compact"/>
              <w:jc w:val="left"/>
            </w:pPr>
            <w:r>
              <w:t xml:space="preserve">120</w:t>
            </w:r>
          </w:p>
        </w:tc>
        <w:tc>
          <w:tcPr/>
          <w:p>
            <w:pPr>
              <w:pStyle w:val="Compact"/>
              <w:jc w:val="left"/>
            </w:pPr>
            <w:r>
              <w:t xml:space="preserve">Zero-downtime deployment pipeline</w:t>
            </w:r>
          </w:p>
        </w:tc>
        <w:tc>
          <w:tcPr/>
          <w:p>
            <w:pPr>
              <w:pStyle w:val="Compact"/>
              <w:jc w:val="left"/>
            </w:pPr>
            <w:r>
              <w:t xml:space="preserve">P1</w:t>
            </w:r>
          </w:p>
        </w:tc>
        <w:tc>
          <w:tcPr/>
          <w:p>
            <w:pPr>
              <w:pStyle w:val="Compact"/>
              <w:jc w:val="left"/>
            </w:pPr>
            <w:r>
              <w:t xml:space="preserve">Blue-green or canary deploy on Cloud Run</w:t>
            </w:r>
          </w:p>
        </w:tc>
      </w:tr>
    </w:tbl>
    <w:bookmarkEnd w:id="43"/>
    <w:bookmarkStart w:id="44" w:name="billing-subscription-prs-121128"/>
    <w:p>
      <w:pPr>
        <w:pStyle w:val="Heading3"/>
      </w:pPr>
      <w:r>
        <w:t xml:space="preserve">3.4 Billing &amp; Subscription (PRs 121–128)</w:t>
      </w:r>
    </w:p>
    <w:tbl>
      <w:tblPr>
        <w:tblStyle w:val="Table"/>
        <w:tblW w:type="pct" w:w="5000"/>
        <w:tblLook w:firstRow="1" w:lastRow="0" w:firstColumn="0" w:lastColumn="0" w:noHBand="0" w:noVBand="0" w:val="0020"/>
        <w:jc w:val="start"/>
      </w:tblPr>
      <w:tblGrid>
        <w:gridCol w:w="182"/>
        <w:gridCol w:w="2680"/>
        <w:gridCol w:w="487"/>
        <w:gridCol w:w="4569"/>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121</w:t>
            </w:r>
          </w:p>
        </w:tc>
        <w:tc>
          <w:tcPr/>
          <w:p>
            <w:pPr>
              <w:pStyle w:val="Compact"/>
              <w:jc w:val="left"/>
            </w:pPr>
            <w:r>
              <w:t xml:space="preserve">Subscription plan data model</w:t>
            </w:r>
          </w:p>
        </w:tc>
        <w:tc>
          <w:tcPr/>
          <w:p>
            <w:pPr>
              <w:pStyle w:val="Compact"/>
              <w:jc w:val="left"/>
            </w:pPr>
            <w:r>
              <w:t xml:space="preserve">P0</w:t>
            </w:r>
          </w:p>
        </w:tc>
        <w:tc>
          <w:tcPr/>
          <w:p>
            <w:pPr>
              <w:pStyle w:val="Compact"/>
              <w:jc w:val="left"/>
            </w:pPr>
            <w:r>
              <w:t xml:space="preserve">Plans: Starter (€500/mo), Professional (€2,000/mo), Enterprise (€5,000+/mo)</w:t>
            </w:r>
          </w:p>
        </w:tc>
      </w:tr>
      <w:tr>
        <w:tc>
          <w:tcPr/>
          <w:p>
            <w:pPr>
              <w:pStyle w:val="Compact"/>
              <w:jc w:val="left"/>
            </w:pPr>
            <w:r>
              <w:t xml:space="preserve">122</w:t>
            </w:r>
          </w:p>
        </w:tc>
        <w:tc>
          <w:tcPr/>
          <w:p>
            <w:pPr>
              <w:pStyle w:val="Compact"/>
              <w:jc w:val="left"/>
            </w:pPr>
            <w:r>
              <w:t xml:space="preserve">Stripe subscription integration</w:t>
            </w:r>
          </w:p>
        </w:tc>
        <w:tc>
          <w:tcPr/>
          <w:p>
            <w:pPr>
              <w:pStyle w:val="Compact"/>
              <w:jc w:val="left"/>
            </w:pPr>
            <w:r>
              <w:t xml:space="preserve">P0</w:t>
            </w:r>
          </w:p>
        </w:tc>
        <w:tc>
          <w:tcPr/>
          <w:p>
            <w:pPr>
              <w:pStyle w:val="Compact"/>
              <w:jc w:val="left"/>
            </w:pPr>
            <w:r>
              <w:t xml:space="preserve">Create/update/cancel subscriptions, webhook handlers</w:t>
            </w:r>
          </w:p>
        </w:tc>
      </w:tr>
      <w:tr>
        <w:tc>
          <w:tcPr/>
          <w:p>
            <w:pPr>
              <w:pStyle w:val="Compact"/>
              <w:jc w:val="left"/>
            </w:pPr>
            <w:r>
              <w:t xml:space="preserve">123</w:t>
            </w:r>
          </w:p>
        </w:tc>
        <w:tc>
          <w:tcPr/>
          <w:p>
            <w:pPr>
              <w:pStyle w:val="Compact"/>
              <w:jc w:val="left"/>
            </w:pPr>
            <w:r>
              <w:t xml:space="preserve">Usage-based billing calculation</w:t>
            </w:r>
          </w:p>
        </w:tc>
        <w:tc>
          <w:tcPr/>
          <w:p>
            <w:pPr>
              <w:pStyle w:val="Compact"/>
              <w:jc w:val="left"/>
            </w:pPr>
            <w:r>
              <w:t xml:space="preserve">P1</w:t>
            </w:r>
          </w:p>
        </w:tc>
        <w:tc>
          <w:tcPr/>
          <w:p>
            <w:pPr>
              <w:pStyle w:val="Compact"/>
              <w:jc w:val="left"/>
            </w:pPr>
            <w:r>
              <w:t xml:space="preserve">Metered billing for AI queries, API calls above plan limits</w:t>
            </w:r>
          </w:p>
        </w:tc>
      </w:tr>
      <w:tr>
        <w:tc>
          <w:tcPr/>
          <w:p>
            <w:pPr>
              <w:pStyle w:val="Compact"/>
              <w:jc w:val="left"/>
            </w:pPr>
            <w:r>
              <w:t xml:space="preserve">124</w:t>
            </w:r>
          </w:p>
        </w:tc>
        <w:tc>
          <w:tcPr/>
          <w:p>
            <w:pPr>
              <w:pStyle w:val="Compact"/>
              <w:jc w:val="left"/>
            </w:pPr>
            <w:r>
              <w:t xml:space="preserve">Invoice generation and history</w:t>
            </w:r>
          </w:p>
        </w:tc>
        <w:tc>
          <w:tcPr/>
          <w:p>
            <w:pPr>
              <w:pStyle w:val="Compact"/>
              <w:jc w:val="left"/>
            </w:pPr>
            <w:r>
              <w:t xml:space="preserve">P1</w:t>
            </w:r>
          </w:p>
        </w:tc>
        <w:tc>
          <w:tcPr/>
          <w:p>
            <w:pPr>
              <w:pStyle w:val="Compact"/>
              <w:jc w:val="left"/>
            </w:pPr>
            <w:r>
              <w:t xml:space="preserve">Monthly invoices with line items, downloadable PDF</w:t>
            </w:r>
          </w:p>
        </w:tc>
      </w:tr>
      <w:tr>
        <w:tc>
          <w:tcPr/>
          <w:p>
            <w:pPr>
              <w:pStyle w:val="Compact"/>
              <w:jc w:val="left"/>
            </w:pPr>
            <w:r>
              <w:t xml:space="preserve">125</w:t>
            </w:r>
          </w:p>
        </w:tc>
        <w:tc>
          <w:tcPr/>
          <w:p>
            <w:pPr>
              <w:pStyle w:val="Compact"/>
              <w:jc w:val="left"/>
            </w:pPr>
            <w:r>
              <w:t xml:space="preserve">Plan upgrade/downgrade flow</w:t>
            </w:r>
          </w:p>
        </w:tc>
        <w:tc>
          <w:tcPr/>
          <w:p>
            <w:pPr>
              <w:pStyle w:val="Compact"/>
              <w:jc w:val="left"/>
            </w:pPr>
            <w:r>
              <w:t xml:space="preserve">P1</w:t>
            </w:r>
          </w:p>
        </w:tc>
        <w:tc>
          <w:tcPr/>
          <w:p>
            <w:pPr>
              <w:pStyle w:val="Compact"/>
              <w:jc w:val="left"/>
            </w:pPr>
            <w:r>
              <w:t xml:space="preserve">Self-service plan changes with proration</w:t>
            </w:r>
          </w:p>
        </w:tc>
      </w:tr>
      <w:tr>
        <w:tc>
          <w:tcPr/>
          <w:p>
            <w:pPr>
              <w:pStyle w:val="Compact"/>
              <w:jc w:val="left"/>
            </w:pPr>
            <w:r>
              <w:t xml:space="preserve">126</w:t>
            </w:r>
          </w:p>
        </w:tc>
        <w:tc>
          <w:tcPr/>
          <w:p>
            <w:pPr>
              <w:pStyle w:val="Compact"/>
              <w:jc w:val="left"/>
            </w:pPr>
            <w:r>
              <w:t xml:space="preserve">Billing dashboard (customer-facing)</w:t>
            </w:r>
          </w:p>
        </w:tc>
        <w:tc>
          <w:tcPr/>
          <w:p>
            <w:pPr>
              <w:pStyle w:val="Compact"/>
              <w:jc w:val="left"/>
            </w:pPr>
            <w:r>
              <w:t xml:space="preserve">P1</w:t>
            </w:r>
          </w:p>
        </w:tc>
        <w:tc>
          <w:tcPr/>
          <w:p>
            <w:pPr>
              <w:pStyle w:val="Compact"/>
              <w:jc w:val="left"/>
            </w:pPr>
            <w:r>
              <w:t xml:space="preserve">Current plan, usage, invoices, payment method management</w:t>
            </w:r>
          </w:p>
        </w:tc>
      </w:tr>
      <w:tr>
        <w:tc>
          <w:tcPr/>
          <w:p>
            <w:pPr>
              <w:pStyle w:val="Compact"/>
              <w:jc w:val="left"/>
            </w:pPr>
            <w:r>
              <w:t xml:space="preserve">127</w:t>
            </w:r>
          </w:p>
        </w:tc>
        <w:tc>
          <w:tcPr/>
          <w:p>
            <w:pPr>
              <w:pStyle w:val="Compact"/>
              <w:jc w:val="left"/>
            </w:pPr>
            <w:r>
              <w:t xml:space="preserve">Dunning management (failed payment handling)</w:t>
            </w:r>
          </w:p>
        </w:tc>
        <w:tc>
          <w:tcPr/>
          <w:p>
            <w:pPr>
              <w:pStyle w:val="Compact"/>
              <w:jc w:val="left"/>
            </w:pPr>
            <w:r>
              <w:t xml:space="preserve">P2</w:t>
            </w:r>
          </w:p>
        </w:tc>
        <w:tc>
          <w:tcPr/>
          <w:p>
            <w:pPr>
              <w:pStyle w:val="Compact"/>
              <w:jc w:val="left"/>
            </w:pPr>
            <w:r>
              <w:t xml:space="preserve">Retry logic, grace period, account suspension flow</w:t>
            </w:r>
          </w:p>
        </w:tc>
      </w:tr>
      <w:tr>
        <w:tc>
          <w:tcPr/>
          <w:p>
            <w:pPr>
              <w:pStyle w:val="Compact"/>
              <w:jc w:val="left"/>
            </w:pPr>
            <w:r>
              <w:t xml:space="preserve">128</w:t>
            </w:r>
          </w:p>
        </w:tc>
        <w:tc>
          <w:tcPr/>
          <w:p>
            <w:pPr>
              <w:pStyle w:val="Compact"/>
              <w:jc w:val="left"/>
            </w:pPr>
            <w:r>
              <w:t xml:space="preserve">Revenue analytics dashboard (internal)</w:t>
            </w:r>
          </w:p>
        </w:tc>
        <w:tc>
          <w:tcPr/>
          <w:p>
            <w:pPr>
              <w:pStyle w:val="Compact"/>
              <w:jc w:val="left"/>
            </w:pPr>
            <w:r>
              <w:t xml:space="preserve">P1</w:t>
            </w:r>
          </w:p>
        </w:tc>
        <w:tc>
          <w:tcPr/>
          <w:p>
            <w:pPr>
              <w:pStyle w:val="Compact"/>
              <w:jc w:val="left"/>
            </w:pPr>
            <w:r>
              <w:t xml:space="preserve">MRR, churn, expansion revenue, LTV tracking</w:t>
            </w:r>
          </w:p>
        </w:tc>
      </w:tr>
    </w:tbl>
    <w:bookmarkEnd w:id="44"/>
    <w:bookmarkStart w:id="45" w:name="erp-integration-depth-prs-129137"/>
    <w:p>
      <w:pPr>
        <w:pStyle w:val="Heading3"/>
      </w:pPr>
      <w:r>
        <w:t xml:space="preserve">3.5 ERP Integration Depth (PRs 129–137)</w:t>
      </w:r>
    </w:p>
    <w:tbl>
      <w:tblPr>
        <w:tblStyle w:val="Table"/>
        <w:tblW w:type="pct" w:w="5000"/>
        <w:tblLook w:firstRow="1" w:lastRow="0" w:firstColumn="0" w:lastColumn="0" w:noHBand="0" w:noVBand="0" w:val="0020"/>
        <w:jc w:val="start"/>
      </w:tblPr>
      <w:tblGrid>
        <w:gridCol w:w="210"/>
        <w:gridCol w:w="3013"/>
        <w:gridCol w:w="560"/>
        <w:gridCol w:w="4135"/>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129</w:t>
            </w:r>
          </w:p>
        </w:tc>
        <w:tc>
          <w:tcPr/>
          <w:p>
            <w:pPr>
              <w:pStyle w:val="Compact"/>
              <w:jc w:val="left"/>
            </w:pPr>
            <w:r>
              <w:t xml:space="preserve">SAP S/4HANA bidirectional sync (production)</w:t>
            </w:r>
          </w:p>
        </w:tc>
        <w:tc>
          <w:tcPr/>
          <w:p>
            <w:pPr>
              <w:pStyle w:val="Compact"/>
              <w:jc w:val="left"/>
            </w:pPr>
            <w:r>
              <w:t xml:space="preserve">P0</w:t>
            </w:r>
          </w:p>
        </w:tc>
        <w:tc>
          <w:tcPr/>
          <w:p>
            <w:pPr>
              <w:pStyle w:val="Compact"/>
              <w:jc w:val="left"/>
            </w:pPr>
            <w:r>
              <w:t xml:space="preserve">Tested, production-ready SAP connector with real customer</w:t>
            </w:r>
          </w:p>
        </w:tc>
      </w:tr>
      <w:tr>
        <w:tc>
          <w:tcPr/>
          <w:p>
            <w:pPr>
              <w:pStyle w:val="Compact"/>
              <w:jc w:val="left"/>
            </w:pPr>
            <w:r>
              <w:t xml:space="preserve">130</w:t>
            </w:r>
          </w:p>
        </w:tc>
        <w:tc>
          <w:tcPr/>
          <w:p>
            <w:pPr>
              <w:pStyle w:val="Compact"/>
              <w:jc w:val="left"/>
            </w:pPr>
            <w:r>
              <w:t xml:space="preserve">IFS Cloud connector (full implementation)</w:t>
            </w:r>
          </w:p>
        </w:tc>
        <w:tc>
          <w:tcPr/>
          <w:p>
            <w:pPr>
              <w:pStyle w:val="Compact"/>
              <w:jc w:val="left"/>
            </w:pPr>
            <w:r>
              <w:t xml:space="preserve">P0</w:t>
            </w:r>
          </w:p>
        </w:tc>
        <w:tc>
          <w:tcPr/>
          <w:p>
            <w:pPr>
              <w:pStyle w:val="Compact"/>
              <w:jc w:val="left"/>
            </w:pPr>
            <w:r>
              <w:t xml:space="preserve">Complete IFS integration for Nordic manufacturing customers</w:t>
            </w:r>
          </w:p>
        </w:tc>
      </w:tr>
      <w:tr>
        <w:tc>
          <w:tcPr/>
          <w:p>
            <w:pPr>
              <w:pStyle w:val="Compact"/>
              <w:jc w:val="left"/>
            </w:pPr>
            <w:r>
              <w:t xml:space="preserve">131</w:t>
            </w:r>
          </w:p>
        </w:tc>
        <w:tc>
          <w:tcPr/>
          <w:p>
            <w:pPr>
              <w:pStyle w:val="Compact"/>
              <w:jc w:val="left"/>
            </w:pPr>
            <w:r>
              <w:t xml:space="preserve">Monitor ERP connector (full implementation)</w:t>
            </w:r>
          </w:p>
        </w:tc>
        <w:tc>
          <w:tcPr/>
          <w:p>
            <w:pPr>
              <w:pStyle w:val="Compact"/>
              <w:jc w:val="left"/>
            </w:pPr>
            <w:r>
              <w:t xml:space="preserve">P1</w:t>
            </w:r>
          </w:p>
        </w:tc>
        <w:tc>
          <w:tcPr/>
          <w:p>
            <w:pPr>
              <w:pStyle w:val="Compact"/>
              <w:jc w:val="left"/>
            </w:pPr>
            <w:r>
              <w:t xml:space="preserve">Nordic SME market — key competitive differentiator</w:t>
            </w:r>
          </w:p>
        </w:tc>
      </w:tr>
      <w:tr>
        <w:tc>
          <w:tcPr/>
          <w:p>
            <w:pPr>
              <w:pStyle w:val="Compact"/>
              <w:jc w:val="left"/>
            </w:pPr>
            <w:r>
              <w:t xml:space="preserve">132</w:t>
            </w:r>
          </w:p>
        </w:tc>
        <w:tc>
          <w:tcPr/>
          <w:p>
            <w:pPr>
              <w:pStyle w:val="Compact"/>
              <w:jc w:val="left"/>
            </w:pPr>
            <w:r>
              <w:t xml:space="preserve">Microsoft Dynamics 365 BC connector</w:t>
            </w:r>
          </w:p>
        </w:tc>
        <w:tc>
          <w:tcPr/>
          <w:p>
            <w:pPr>
              <w:pStyle w:val="Compact"/>
              <w:jc w:val="left"/>
            </w:pPr>
            <w:r>
              <w:t xml:space="preserve">P1</w:t>
            </w:r>
          </w:p>
        </w:tc>
        <w:tc>
          <w:tcPr/>
          <w:p>
            <w:pPr>
              <w:pStyle w:val="Compact"/>
              <w:jc w:val="left"/>
            </w:pPr>
            <w:r>
              <w:t xml:space="preserve">Most common ERP for EU mid-market</w:t>
            </w:r>
          </w:p>
        </w:tc>
      </w:tr>
      <w:tr>
        <w:tc>
          <w:tcPr/>
          <w:p>
            <w:pPr>
              <w:pStyle w:val="Compact"/>
              <w:jc w:val="left"/>
            </w:pPr>
            <w:r>
              <w:t xml:space="preserve">133</w:t>
            </w:r>
          </w:p>
        </w:tc>
        <w:tc>
          <w:tcPr/>
          <w:p>
            <w:pPr>
              <w:pStyle w:val="Compact"/>
              <w:jc w:val="left"/>
            </w:pPr>
            <w:r>
              <w:t xml:space="preserve">ERP data mapping UI (customer self-service)</w:t>
            </w:r>
          </w:p>
        </w:tc>
        <w:tc>
          <w:tcPr/>
          <w:p>
            <w:pPr>
              <w:pStyle w:val="Compact"/>
              <w:jc w:val="left"/>
            </w:pPr>
            <w:r>
              <w:t xml:space="preserve">P1</w:t>
            </w:r>
          </w:p>
        </w:tc>
        <w:tc>
          <w:tcPr/>
          <w:p>
            <w:pPr>
              <w:pStyle w:val="Compact"/>
              <w:jc w:val="left"/>
            </w:pPr>
            <w:r>
              <w:t xml:space="preserve">Visual field mapping editor for custom ERP configurations</w:t>
            </w:r>
          </w:p>
        </w:tc>
      </w:tr>
      <w:tr>
        <w:tc>
          <w:tcPr/>
          <w:p>
            <w:pPr>
              <w:pStyle w:val="Compact"/>
              <w:jc w:val="left"/>
            </w:pPr>
            <w:r>
              <w:t xml:space="preserve">134</w:t>
            </w:r>
          </w:p>
        </w:tc>
        <w:tc>
          <w:tcPr/>
          <w:p>
            <w:pPr>
              <w:pStyle w:val="Compact"/>
              <w:jc w:val="left"/>
            </w:pPr>
            <w:r>
              <w:t xml:space="preserve">ERP sync status dashboard</w:t>
            </w:r>
          </w:p>
        </w:tc>
        <w:tc>
          <w:tcPr/>
          <w:p>
            <w:pPr>
              <w:pStyle w:val="Compact"/>
              <w:jc w:val="left"/>
            </w:pPr>
            <w:r>
              <w:t xml:space="preserve">P1</w:t>
            </w:r>
          </w:p>
        </w:tc>
        <w:tc>
          <w:tcPr/>
          <w:p>
            <w:pPr>
              <w:pStyle w:val="Compact"/>
              <w:jc w:val="left"/>
            </w:pPr>
            <w:r>
              <w:t xml:space="preserve">Show last sync time, errors, data quality scores per entity</w:t>
            </w:r>
          </w:p>
        </w:tc>
      </w:tr>
      <w:tr>
        <w:tc>
          <w:tcPr/>
          <w:p>
            <w:pPr>
              <w:pStyle w:val="Compact"/>
              <w:jc w:val="left"/>
            </w:pPr>
            <w:r>
              <w:t xml:space="preserve">135</w:t>
            </w:r>
          </w:p>
        </w:tc>
        <w:tc>
          <w:tcPr/>
          <w:p>
            <w:pPr>
              <w:pStyle w:val="Compact"/>
              <w:jc w:val="left"/>
            </w:pPr>
            <w:r>
              <w:t xml:space="preserve">ERP webhook receiver for real-time events</w:t>
            </w:r>
          </w:p>
        </w:tc>
        <w:tc>
          <w:tcPr/>
          <w:p>
            <w:pPr>
              <w:pStyle w:val="Compact"/>
              <w:jc w:val="left"/>
            </w:pPr>
            <w:r>
              <w:t xml:space="preserve">P2</w:t>
            </w:r>
          </w:p>
        </w:tc>
        <w:tc>
          <w:tcPr/>
          <w:p>
            <w:pPr>
              <w:pStyle w:val="Compact"/>
              <w:jc w:val="left"/>
            </w:pPr>
            <w:r>
              <w:t xml:space="preserve">React to ERP changes instantly instead of polling</w:t>
            </w:r>
          </w:p>
        </w:tc>
      </w:tr>
      <w:tr>
        <w:tc>
          <w:tcPr/>
          <w:p>
            <w:pPr>
              <w:pStyle w:val="Compact"/>
              <w:jc w:val="left"/>
            </w:pPr>
            <w:r>
              <w:t xml:space="preserve">136</w:t>
            </w:r>
          </w:p>
        </w:tc>
        <w:tc>
          <w:tcPr/>
          <w:p>
            <w:pPr>
              <w:pStyle w:val="Compact"/>
              <w:jc w:val="left"/>
            </w:pPr>
            <w:r>
              <w:t xml:space="preserve">ERP integration test suite</w:t>
            </w:r>
          </w:p>
        </w:tc>
        <w:tc>
          <w:tcPr/>
          <w:p>
            <w:pPr>
              <w:pStyle w:val="Compact"/>
              <w:jc w:val="left"/>
            </w:pPr>
            <w:r>
              <w:t xml:space="preserve">P0</w:t>
            </w:r>
          </w:p>
        </w:tc>
        <w:tc>
          <w:tcPr/>
          <w:p>
            <w:pPr>
              <w:pStyle w:val="Compact"/>
              <w:jc w:val="left"/>
            </w:pPr>
            <w:r>
              <w:t xml:space="preserve">Mock-based tests for all 6 ERP connectors</w:t>
            </w:r>
          </w:p>
        </w:tc>
      </w:tr>
      <w:tr>
        <w:tc>
          <w:tcPr/>
          <w:p>
            <w:pPr>
              <w:pStyle w:val="Compact"/>
              <w:jc w:val="left"/>
            </w:pPr>
            <w:r>
              <w:t xml:space="preserve">137</w:t>
            </w:r>
          </w:p>
        </w:tc>
        <w:tc>
          <w:tcPr/>
          <w:p>
            <w:pPr>
              <w:pStyle w:val="Compact"/>
              <w:jc w:val="left"/>
            </w:pPr>
            <w:r>
              <w:t xml:space="preserve">ERP connector SDK documentation</w:t>
            </w:r>
          </w:p>
        </w:tc>
        <w:tc>
          <w:tcPr/>
          <w:p>
            <w:pPr>
              <w:pStyle w:val="Compact"/>
              <w:jc w:val="left"/>
            </w:pPr>
            <w:r>
              <w:t xml:space="preserve">P2</w:t>
            </w:r>
          </w:p>
        </w:tc>
        <w:tc>
          <w:tcPr/>
          <w:p>
            <w:pPr>
              <w:pStyle w:val="Compact"/>
              <w:jc w:val="left"/>
            </w:pPr>
            <w:r>
              <w:t xml:space="preserve">Guide for partners to build custom connectors</w:t>
            </w:r>
          </w:p>
        </w:tc>
      </w:tr>
    </w:tbl>
    <w:bookmarkEnd w:id="45"/>
    <w:bookmarkStart w:id="46" w:name="X92a74fea885aaae1b528311695f3e052955d9c6"/>
    <w:p>
      <w:pPr>
        <w:pStyle w:val="Heading3"/>
      </w:pPr>
      <w:r>
        <w:t xml:space="preserve">3.6 Aegis K8s AI Inference Infrastructure (PRs 137A–137D)</w:t>
      </w:r>
    </w:p>
    <w:p>
      <w:pPr>
        <w:pStyle w:val="BlockText"/>
      </w:pPr>
      <w:r>
        <w:rPr>
          <w:bCs/>
          <w:b/>
        </w:rPr>
        <w:t xml:space="preserve">Source:</w:t>
      </w:r>
      <w:r>
        <w:t xml:space="preserve"> </w:t>
      </w:r>
      <w:r>
        <w:t xml:space="preserve">KubeCon + CloudNativeCon Europe 2026 research (field note:</w:t>
      </w:r>
      <w:r>
        <w:t xml:space="preserve"> </w:t>
      </w:r>
      <w:r>
        <w:rPr>
          <w:rStyle w:val="VerbatimChar"/>
        </w:rPr>
        <w:t xml:space="preserve">2026-03-30-kubecon-eu-2026-k8s-ai-inference.md</w:t>
      </w:r>
      <w:r>
        <w:t xml:space="preserve">)</w:t>
      </w:r>
      <w:r>
        <w:t xml:space="preserve"> </w:t>
      </w:r>
      <w:r>
        <w:rPr>
          <w:bCs/>
          <w:b/>
        </w:rPr>
        <w:t xml:space="preserve">Context:</w:t>
      </w:r>
      <w:r>
        <w:t xml:space="preserve"> </w:t>
      </w:r>
      <w:r>
        <w:t xml:space="preserve">82% K8s AI adoption vs 7% daily production use. $255B inference market by 2030. 67% of AI compute is inference. These PRs close the adoption-production gap for Aegis defence/sovereign customers.</w:t>
      </w:r>
    </w:p>
    <w:tbl>
      <w:tblPr>
        <w:tblStyle w:val="Table"/>
        <w:tblW w:type="pct" w:w="5000"/>
        <w:tblLook w:firstRow="1" w:lastRow="0" w:firstColumn="0" w:lastColumn="0" w:noHBand="0" w:noVBand="0" w:val="0020"/>
        <w:jc w:val="start"/>
      </w:tblPr>
      <w:tblGrid>
        <w:gridCol w:w="83"/>
        <w:gridCol w:w="852"/>
        <w:gridCol w:w="166"/>
        <w:gridCol w:w="6818"/>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137A</w:t>
            </w:r>
          </w:p>
        </w:tc>
        <w:tc>
          <w:tcPr/>
          <w:p>
            <w:pPr>
              <w:pStyle w:val="Compact"/>
              <w:jc w:val="left"/>
            </w:pPr>
            <w:r>
              <w:t xml:space="preserve">Aegis inference autoscaling (HPA + KEDA)</w:t>
            </w:r>
          </w:p>
        </w:tc>
        <w:tc>
          <w:tcPr/>
          <w:p>
            <w:pPr>
              <w:pStyle w:val="Compact"/>
              <w:jc w:val="left"/>
            </w:pPr>
            <w:r>
              <w:t xml:space="preserve">P0</w:t>
            </w:r>
          </w:p>
        </w:tc>
        <w:tc>
          <w:tcPr/>
          <w:p>
            <w:pPr>
              <w:pStyle w:val="Compact"/>
              <w:jc w:val="left"/>
            </w:pPr>
            <w:r>
              <w:t xml:space="preserve">K8s Horizontal Pod Autoscaler policies for Aegis agents based on inference queue depth. KEDA scalers for GPU workload metrics. Ensures elastic scaling under variable inference load — defence customers have bursty workloads (crisis response, satellite pass windows). Target: scale 0→N agents in &lt;30s.</w:t>
            </w:r>
          </w:p>
        </w:tc>
      </w:tr>
      <w:tr>
        <w:tc>
          <w:tcPr/>
          <w:p>
            <w:pPr>
              <w:pStyle w:val="Compact"/>
              <w:jc w:val="left"/>
            </w:pPr>
            <w:r>
              <w:t xml:space="preserve">137B</w:t>
            </w:r>
          </w:p>
        </w:tc>
        <w:tc>
          <w:tcPr/>
          <w:p>
            <w:pPr>
              <w:pStyle w:val="Compact"/>
              <w:jc w:val="left"/>
            </w:pPr>
            <w:r>
              <w:t xml:space="preserve">Multi-model GPU sharing via MIG</w:t>
            </w:r>
          </w:p>
        </w:tc>
        <w:tc>
          <w:tcPr/>
          <w:p>
            <w:pPr>
              <w:pStyle w:val="Compact"/>
              <w:jc w:val="left"/>
            </w:pPr>
            <w:r>
              <w:t xml:space="preserve">P1</w:t>
            </w:r>
          </w:p>
        </w:tc>
        <w:tc>
          <w:tcPr/>
          <w:p>
            <w:pPr>
              <w:pStyle w:val="Compact"/>
              <w:jc w:val="left"/>
            </w:pPr>
            <w:r>
              <w:t xml:space="preserve">NVIDIA Multi-Instance GPU (MIG) configuration for L40S nodes on UpCloud UKS. Run multiple Aegis agents (ComplianceAgent, SovereigntyMonitor, ArgusAgent) on a single GPU with isolated VRAM partitions. Target: reduce per-customer GPU cost from €376/mo to &lt;€200/mo.</w:t>
            </w:r>
          </w:p>
        </w:tc>
      </w:tr>
      <w:tr>
        <w:tc>
          <w:tcPr/>
          <w:p>
            <w:pPr>
              <w:pStyle w:val="Compact"/>
              <w:jc w:val="left"/>
            </w:pPr>
            <w:r>
              <w:t xml:space="preserve">137C</w:t>
            </w:r>
          </w:p>
        </w:tc>
        <w:tc>
          <w:tcPr/>
          <w:p>
            <w:pPr>
              <w:pStyle w:val="Compact"/>
              <w:jc w:val="left"/>
            </w:pPr>
            <w:r>
              <w:t xml:space="preserve">K8s-native model versioning CRDs</w:t>
            </w:r>
          </w:p>
        </w:tc>
        <w:tc>
          <w:tcPr/>
          <w:p>
            <w:pPr>
              <w:pStyle w:val="Compact"/>
              <w:jc w:val="left"/>
            </w:pPr>
            <w:r>
              <w:t xml:space="preserve">P1</w:t>
            </w:r>
          </w:p>
        </w:tc>
        <w:tc>
          <w:tcPr/>
          <w:p>
            <w:pPr>
              <w:pStyle w:val="Compact"/>
              <w:jc w:val="left"/>
            </w:pPr>
            <w:r>
              <w:t xml:space="preserve">Custom Resource Definitions for model deployments on Aegis K8s clusters. Blue/green model updates for compliance agents without downtime. Model rollback in &lt;60s. Critical for Article 12 audit continuity — every model version change must be logged with reasoning lineage.</w:t>
            </w:r>
          </w:p>
        </w:tc>
      </w:tr>
      <w:tr>
        <w:tc>
          <w:tcPr/>
          <w:p>
            <w:pPr>
              <w:pStyle w:val="Compact"/>
              <w:jc w:val="left"/>
            </w:pPr>
            <w:r>
              <w:t xml:space="preserve">137D</w:t>
            </w:r>
          </w:p>
        </w:tc>
        <w:tc>
          <w:tcPr/>
          <w:p>
            <w:pPr>
              <w:pStyle w:val="Compact"/>
              <w:jc w:val="left"/>
            </w:pPr>
            <w:r>
              <w:t xml:space="preserve">Edge-cloud inference split (Jetson + K8s)</w:t>
            </w:r>
          </w:p>
        </w:tc>
        <w:tc>
          <w:tcPr/>
          <w:p>
            <w:pPr>
              <w:pStyle w:val="Compact"/>
              <w:jc w:val="left"/>
            </w:pPr>
            <w:r>
              <w:t xml:space="preserve">P2</w:t>
            </w:r>
          </w:p>
        </w:tc>
        <w:tc>
          <w:tcPr/>
          <w:p>
            <w:pPr>
              <w:pStyle w:val="Compact"/>
              <w:jc w:val="left"/>
            </w:pPr>
            <w:r>
              <w:t xml:space="preserve">Hybrid inference architecture combining Jetson Orin Nano edge inference with UpCloud K8s cloud inference. Model routing based on classification level, latency requirements, and data sovereignty constraints. Defence field operations need local inference for classified workloads + cloud inference for cross-vertical intelligence.</w:t>
            </w:r>
          </w:p>
        </w:tc>
      </w:tr>
    </w:tbl>
    <w:p>
      <w:r>
        <w:pict>
          <v:rect style="width:0;height:1.5pt" o:hralign="center" o:hrstd="t" o:hr="t"/>
        </w:pict>
      </w:r>
    </w:p>
    <w:bookmarkEnd w:id="46"/>
    <w:bookmarkEnd w:id="47"/>
    <w:bookmarkStart w:id="54" w:name="X64f15312898352a39fbf2ec91116b576f8d0aac"/>
    <w:p>
      <w:pPr>
        <w:pStyle w:val="Heading2"/>
      </w:pPr>
      <w:r>
        <w:t xml:space="preserve">Phase 4: Intelligence Layer (Nov 2026–Jan 2027) — 40 PRs</w:t>
      </w:r>
    </w:p>
    <w:bookmarkStart w:id="48" w:name="agentic-ai-workflows-prs-138150"/>
    <w:p>
      <w:pPr>
        <w:pStyle w:val="Heading3"/>
      </w:pPr>
      <w:r>
        <w:t xml:space="preserve">4.1 Agentic AI Workflows (PRs 138–150)</w:t>
      </w:r>
    </w:p>
    <w:tbl>
      <w:tblPr>
        <w:tblStyle w:val="Table"/>
        <w:tblW w:type="pct" w:w="5000"/>
        <w:tblLook w:firstRow="1" w:lastRow="0" w:firstColumn="0" w:lastColumn="0" w:noHBand="0" w:noVBand="0" w:val="0020"/>
        <w:jc w:val="start"/>
      </w:tblPr>
      <w:tblGrid>
        <w:gridCol w:w="190"/>
        <w:gridCol w:w="3294"/>
        <w:gridCol w:w="506"/>
        <w:gridCol w:w="3928"/>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138</w:t>
            </w:r>
          </w:p>
        </w:tc>
        <w:tc>
          <w:tcPr/>
          <w:p>
            <w:pPr>
              <w:pStyle w:val="Compact"/>
              <w:jc w:val="left"/>
            </w:pPr>
            <w:r>
              <w:t xml:space="preserve">Agent orchestration engine (Temporal.io integration)</w:t>
            </w:r>
          </w:p>
        </w:tc>
        <w:tc>
          <w:tcPr/>
          <w:p>
            <w:pPr>
              <w:pStyle w:val="Compact"/>
              <w:jc w:val="left"/>
            </w:pPr>
            <w:r>
              <w:t xml:space="preserve">P0</w:t>
            </w:r>
          </w:p>
        </w:tc>
        <w:tc>
          <w:tcPr/>
          <w:p>
            <w:pPr>
              <w:pStyle w:val="Compact"/>
              <w:jc w:val="left"/>
            </w:pPr>
            <w:r>
              <w:t xml:space="preserve">Durable, resumable multi-agent workflows</w:t>
            </w:r>
          </w:p>
        </w:tc>
      </w:tr>
      <w:tr>
        <w:tc>
          <w:tcPr/>
          <w:p>
            <w:pPr>
              <w:pStyle w:val="Compact"/>
              <w:jc w:val="left"/>
            </w:pPr>
            <w:r>
              <w:t xml:space="preserve">139</w:t>
            </w:r>
          </w:p>
        </w:tc>
        <w:tc>
          <w:tcPr/>
          <w:p>
            <w:pPr>
              <w:pStyle w:val="Compact"/>
              <w:jc w:val="left"/>
            </w:pPr>
            <w:r>
              <w:t xml:space="preserve">Compliance checking agent</w:t>
            </w:r>
          </w:p>
        </w:tc>
        <w:tc>
          <w:tcPr/>
          <w:p>
            <w:pPr>
              <w:pStyle w:val="Compact"/>
              <w:jc w:val="left"/>
            </w:pPr>
            <w:r>
              <w:t xml:space="preserve">P0</w:t>
            </w:r>
          </w:p>
        </w:tc>
        <w:tc>
          <w:tcPr/>
          <w:p>
            <w:pPr>
              <w:pStyle w:val="Compact"/>
              <w:jc w:val="left"/>
            </w:pPr>
            <w:r>
              <w:t xml:space="preserve">Autonomous scan of customer data against regulation thresholds</w:t>
            </w:r>
          </w:p>
        </w:tc>
      </w:tr>
      <w:tr>
        <w:tc>
          <w:tcPr/>
          <w:p>
            <w:pPr>
              <w:pStyle w:val="Compact"/>
              <w:jc w:val="left"/>
            </w:pPr>
            <w:r>
              <w:t xml:space="preserve">140</w:t>
            </w:r>
          </w:p>
        </w:tc>
        <w:tc>
          <w:tcPr/>
          <w:p>
            <w:pPr>
              <w:pStyle w:val="Compact"/>
              <w:jc w:val="left"/>
            </w:pPr>
            <w:r>
              <w:t xml:space="preserve">Data collection agent</w:t>
            </w:r>
          </w:p>
        </w:tc>
        <w:tc>
          <w:tcPr/>
          <w:p>
            <w:pPr>
              <w:pStyle w:val="Compact"/>
              <w:jc w:val="left"/>
            </w:pPr>
            <w:r>
              <w:t xml:space="preserve">P0</w:t>
            </w:r>
          </w:p>
        </w:tc>
        <w:tc>
          <w:tcPr/>
          <w:p>
            <w:pPr>
              <w:pStyle w:val="Compact"/>
              <w:jc w:val="left"/>
            </w:pPr>
            <w:r>
              <w:t xml:space="preserve">Auto-pull missing data from connected ERPs and IoT sensors</w:t>
            </w:r>
          </w:p>
        </w:tc>
      </w:tr>
      <w:tr>
        <w:tc>
          <w:tcPr/>
          <w:p>
            <w:pPr>
              <w:pStyle w:val="Compact"/>
              <w:jc w:val="left"/>
            </w:pPr>
            <w:r>
              <w:t xml:space="preserve">141</w:t>
            </w:r>
          </w:p>
        </w:tc>
        <w:tc>
          <w:tcPr/>
          <w:p>
            <w:pPr>
              <w:pStyle w:val="Compact"/>
              <w:jc w:val="left"/>
            </w:pPr>
            <w:r>
              <w:t xml:space="preserve">Report generation agent</w:t>
            </w:r>
          </w:p>
        </w:tc>
        <w:tc>
          <w:tcPr/>
          <w:p>
            <w:pPr>
              <w:pStyle w:val="Compact"/>
              <w:jc w:val="left"/>
            </w:pPr>
            <w:r>
              <w:t xml:space="preserve">P0</w:t>
            </w:r>
          </w:p>
        </w:tc>
        <w:tc>
          <w:tcPr/>
          <w:p>
            <w:pPr>
              <w:pStyle w:val="Compact"/>
              <w:jc w:val="left"/>
            </w:pPr>
            <w:r>
              <w:t xml:space="preserve">Autonomous ETS/CBAM/CSRD report drafting from collected data</w:t>
            </w:r>
          </w:p>
        </w:tc>
      </w:tr>
      <w:tr>
        <w:tc>
          <w:tcPr/>
          <w:p>
            <w:pPr>
              <w:pStyle w:val="Compact"/>
              <w:jc w:val="left"/>
            </w:pPr>
            <w:r>
              <w:t xml:space="preserve">142</w:t>
            </w:r>
          </w:p>
        </w:tc>
        <w:tc>
          <w:tcPr/>
          <w:p>
            <w:pPr>
              <w:pStyle w:val="Compact"/>
              <w:jc w:val="left"/>
            </w:pPr>
            <w:r>
              <w:t xml:space="preserve">Anomaly detection agent</w:t>
            </w:r>
          </w:p>
        </w:tc>
        <w:tc>
          <w:tcPr/>
          <w:p>
            <w:pPr>
              <w:pStyle w:val="Compact"/>
              <w:jc w:val="left"/>
            </w:pPr>
            <w:r>
              <w:t xml:space="preserve">P1</w:t>
            </w:r>
          </w:p>
        </w:tc>
        <w:tc>
          <w:tcPr/>
          <w:p>
            <w:pPr>
              <w:pStyle w:val="Compact"/>
              <w:jc w:val="left"/>
            </w:pPr>
            <w:r>
              <w:t xml:space="preserve">Flag unusual emissions spikes, data quality issues</w:t>
            </w:r>
          </w:p>
        </w:tc>
      </w:tr>
      <w:tr>
        <w:tc>
          <w:tcPr/>
          <w:p>
            <w:pPr>
              <w:pStyle w:val="Compact"/>
              <w:jc w:val="left"/>
            </w:pPr>
            <w:r>
              <w:t xml:space="preserve">143</w:t>
            </w:r>
          </w:p>
        </w:tc>
        <w:tc>
          <w:tcPr/>
          <w:p>
            <w:pPr>
              <w:pStyle w:val="Compact"/>
              <w:jc w:val="left"/>
            </w:pPr>
            <w:r>
              <w:t xml:space="preserve">Deadline reminder agent</w:t>
            </w:r>
          </w:p>
        </w:tc>
        <w:tc>
          <w:tcPr/>
          <w:p>
            <w:pPr>
              <w:pStyle w:val="Compact"/>
              <w:jc w:val="left"/>
            </w:pPr>
            <w:r>
              <w:t xml:space="preserve">P1</w:t>
            </w:r>
          </w:p>
        </w:tc>
        <w:tc>
          <w:tcPr/>
          <w:p>
            <w:pPr>
              <w:pStyle w:val="Compact"/>
              <w:jc w:val="left"/>
            </w:pPr>
            <w:r>
              <w:t xml:space="preserve">Proactive notifications before compliance deadlines</w:t>
            </w:r>
          </w:p>
        </w:tc>
      </w:tr>
      <w:tr>
        <w:tc>
          <w:tcPr/>
          <w:p>
            <w:pPr>
              <w:pStyle w:val="Compact"/>
              <w:jc w:val="left"/>
            </w:pPr>
            <w:r>
              <w:t xml:space="preserve">144</w:t>
            </w:r>
          </w:p>
        </w:tc>
        <w:tc>
          <w:tcPr/>
          <w:p>
            <w:pPr>
              <w:pStyle w:val="Compact"/>
              <w:jc w:val="left"/>
            </w:pPr>
            <w:r>
              <w:t xml:space="preserve">Supplier outreach agent</w:t>
            </w:r>
          </w:p>
        </w:tc>
        <w:tc>
          <w:tcPr/>
          <w:p>
            <w:pPr>
              <w:pStyle w:val="Compact"/>
              <w:jc w:val="left"/>
            </w:pPr>
            <w:r>
              <w:t xml:space="preserve">P1</w:t>
            </w:r>
          </w:p>
        </w:tc>
        <w:tc>
          <w:tcPr/>
          <w:p>
            <w:pPr>
              <w:pStyle w:val="Compact"/>
              <w:jc w:val="left"/>
            </w:pPr>
            <w:r>
              <w:t xml:space="preserve">Auto-send CBAM data requests to suppliers, track responses</w:t>
            </w:r>
          </w:p>
        </w:tc>
      </w:tr>
      <w:tr>
        <w:tc>
          <w:tcPr/>
          <w:p>
            <w:pPr>
              <w:pStyle w:val="Compact"/>
              <w:jc w:val="left"/>
            </w:pPr>
            <w:r>
              <w:t xml:space="preserve">145</w:t>
            </w:r>
          </w:p>
        </w:tc>
        <w:tc>
          <w:tcPr/>
          <w:p>
            <w:pPr>
              <w:pStyle w:val="Compact"/>
              <w:jc w:val="left"/>
            </w:pPr>
            <w:r>
              <w:t xml:space="preserve">Agent execution dashboard</w:t>
            </w:r>
          </w:p>
        </w:tc>
        <w:tc>
          <w:tcPr/>
          <w:p>
            <w:pPr>
              <w:pStyle w:val="Compact"/>
              <w:jc w:val="left"/>
            </w:pPr>
            <w:r>
              <w:t xml:space="preserve">P0</w:t>
            </w:r>
          </w:p>
        </w:tc>
        <w:tc>
          <w:tcPr/>
          <w:p>
            <w:pPr>
              <w:pStyle w:val="Compact"/>
              <w:jc w:val="left"/>
            </w:pPr>
            <w:r>
              <w:t xml:space="preserve">Real-time view of running agents, their status, outputs</w:t>
            </w:r>
          </w:p>
        </w:tc>
      </w:tr>
      <w:tr>
        <w:tc>
          <w:tcPr/>
          <w:p>
            <w:pPr>
              <w:pStyle w:val="Compact"/>
              <w:jc w:val="left"/>
            </w:pPr>
            <w:r>
              <w:t xml:space="preserve">146</w:t>
            </w:r>
          </w:p>
        </w:tc>
        <w:tc>
          <w:tcPr/>
          <w:p>
            <w:pPr>
              <w:pStyle w:val="Compact"/>
              <w:jc w:val="left"/>
            </w:pPr>
            <w:r>
              <w:t xml:space="preserve">Agent approval workflow (human-in-the-loop)</w:t>
            </w:r>
          </w:p>
        </w:tc>
        <w:tc>
          <w:tcPr/>
          <w:p>
            <w:pPr>
              <w:pStyle w:val="Compact"/>
              <w:jc w:val="left"/>
            </w:pPr>
            <w:r>
              <w:t xml:space="preserve">P0</w:t>
            </w:r>
          </w:p>
        </w:tc>
        <w:tc>
          <w:tcPr/>
          <w:p>
            <w:pPr>
              <w:pStyle w:val="Compact"/>
              <w:jc w:val="left"/>
            </w:pPr>
            <w:r>
              <w:t xml:space="preserve">Queue agent outputs for human review before submission</w:t>
            </w:r>
          </w:p>
        </w:tc>
      </w:tr>
      <w:tr>
        <w:tc>
          <w:tcPr/>
          <w:p>
            <w:pPr>
              <w:pStyle w:val="Compact"/>
              <w:jc w:val="left"/>
            </w:pPr>
            <w:r>
              <w:t xml:space="preserve">147</w:t>
            </w:r>
          </w:p>
        </w:tc>
        <w:tc>
          <w:tcPr/>
          <w:p>
            <w:pPr>
              <w:pStyle w:val="Compact"/>
              <w:jc w:val="left"/>
            </w:pPr>
            <w:r>
              <w:t xml:space="preserve">Agent performance analytics</w:t>
            </w:r>
          </w:p>
        </w:tc>
        <w:tc>
          <w:tcPr/>
          <w:p>
            <w:pPr>
              <w:pStyle w:val="Compact"/>
              <w:jc w:val="left"/>
            </w:pPr>
            <w:r>
              <w:t xml:space="preserve">P1</w:t>
            </w:r>
          </w:p>
        </w:tc>
        <w:tc>
          <w:tcPr/>
          <w:p>
            <w:pPr>
              <w:pStyle w:val="Compact"/>
              <w:jc w:val="left"/>
            </w:pPr>
            <w:r>
              <w:t xml:space="preserve">Track agent accuracy, execution time, human override rate</w:t>
            </w:r>
          </w:p>
        </w:tc>
      </w:tr>
      <w:tr>
        <w:tc>
          <w:tcPr/>
          <w:p>
            <w:pPr>
              <w:pStyle w:val="Compact"/>
              <w:jc w:val="left"/>
            </w:pPr>
            <w:r>
              <w:t xml:space="preserve">148</w:t>
            </w:r>
          </w:p>
        </w:tc>
        <w:tc>
          <w:tcPr/>
          <w:p>
            <w:pPr>
              <w:pStyle w:val="Compact"/>
              <w:jc w:val="left"/>
            </w:pPr>
            <w:r>
              <w:t xml:space="preserve">Multi-agent pipeline builder (visual)</w:t>
            </w:r>
          </w:p>
        </w:tc>
        <w:tc>
          <w:tcPr/>
          <w:p>
            <w:pPr>
              <w:pStyle w:val="Compact"/>
              <w:jc w:val="left"/>
            </w:pPr>
            <w:r>
              <w:t xml:space="preserve">P2</w:t>
            </w:r>
          </w:p>
        </w:tc>
        <w:tc>
          <w:tcPr/>
          <w:p>
            <w:pPr>
              <w:pStyle w:val="Compact"/>
              <w:jc w:val="left"/>
            </w:pPr>
            <w:r>
              <w:t xml:space="preserve">Drag-and-drop agent workflow construction</w:t>
            </w:r>
          </w:p>
        </w:tc>
      </w:tr>
      <w:tr>
        <w:tc>
          <w:tcPr/>
          <w:p>
            <w:pPr>
              <w:pStyle w:val="Compact"/>
              <w:jc w:val="left"/>
            </w:pPr>
            <w:r>
              <w:t xml:space="preserve">149</w:t>
            </w:r>
          </w:p>
        </w:tc>
        <w:tc>
          <w:tcPr/>
          <w:p>
            <w:pPr>
              <w:pStyle w:val="Compact"/>
              <w:jc w:val="left"/>
            </w:pPr>
            <w:r>
              <w:t xml:space="preserve">Agent notification system</w:t>
            </w:r>
          </w:p>
        </w:tc>
        <w:tc>
          <w:tcPr/>
          <w:p>
            <w:pPr>
              <w:pStyle w:val="Compact"/>
              <w:jc w:val="left"/>
            </w:pPr>
            <w:r>
              <w:t xml:space="preserve">P1</w:t>
            </w:r>
          </w:p>
        </w:tc>
        <w:tc>
          <w:tcPr/>
          <w:p>
            <w:pPr>
              <w:pStyle w:val="Compact"/>
              <w:jc w:val="left"/>
            </w:pPr>
            <w:r>
              <w:t xml:space="preserve">Alert users when agents complete, fail, or need input</w:t>
            </w:r>
          </w:p>
        </w:tc>
      </w:tr>
      <w:tr>
        <w:tc>
          <w:tcPr/>
          <w:p>
            <w:pPr>
              <w:pStyle w:val="Compact"/>
              <w:jc w:val="left"/>
            </w:pPr>
            <w:r>
              <w:t xml:space="preserve">150</w:t>
            </w:r>
          </w:p>
        </w:tc>
        <w:tc>
          <w:tcPr/>
          <w:p>
            <w:pPr>
              <w:pStyle w:val="Compact"/>
              <w:jc w:val="left"/>
            </w:pPr>
            <w:r>
              <w:t xml:space="preserve">Agent retry and error recovery</w:t>
            </w:r>
          </w:p>
        </w:tc>
        <w:tc>
          <w:tcPr/>
          <w:p>
            <w:pPr>
              <w:pStyle w:val="Compact"/>
              <w:jc w:val="left"/>
            </w:pPr>
            <w:r>
              <w:t xml:space="preserve">P1</w:t>
            </w:r>
          </w:p>
        </w:tc>
        <w:tc>
          <w:tcPr/>
          <w:p>
            <w:pPr>
              <w:pStyle w:val="Compact"/>
              <w:jc w:val="left"/>
            </w:pPr>
            <w:r>
              <w:t xml:space="preserve">Automatic retry with exponential backoff, dead letter queue</w:t>
            </w:r>
          </w:p>
        </w:tc>
      </w:tr>
    </w:tbl>
    <w:bookmarkEnd w:id="48"/>
    <w:bookmarkStart w:id="49" w:name="iot-to-compliance-pipeline-prs-151160"/>
    <w:p>
      <w:pPr>
        <w:pStyle w:val="Heading3"/>
      </w:pPr>
      <w:r>
        <w:t xml:space="preserve">4.2 IoT-to-Compliance Pipeline (PRs 151–160)</w:t>
      </w:r>
    </w:p>
    <w:tbl>
      <w:tblPr>
        <w:tblStyle w:val="Table"/>
        <w:tblW w:type="pct" w:w="5000"/>
        <w:tblLook w:firstRow="1" w:lastRow="0" w:firstColumn="0" w:lastColumn="0" w:noHBand="0" w:noVBand="0" w:val="0020"/>
        <w:jc w:val="start"/>
      </w:tblPr>
      <w:tblGrid>
        <w:gridCol w:w="196"/>
        <w:gridCol w:w="3141"/>
        <w:gridCol w:w="523"/>
        <w:gridCol w:w="4058"/>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151</w:t>
            </w:r>
          </w:p>
        </w:tc>
        <w:tc>
          <w:tcPr/>
          <w:p>
            <w:pPr>
              <w:pStyle w:val="Compact"/>
              <w:jc w:val="left"/>
            </w:pPr>
            <w:r>
              <w:t xml:space="preserve">IoT data ingestion API</w:t>
            </w:r>
          </w:p>
        </w:tc>
        <w:tc>
          <w:tcPr/>
          <w:p>
            <w:pPr>
              <w:pStyle w:val="Compact"/>
              <w:jc w:val="left"/>
            </w:pPr>
            <w:r>
              <w:t xml:space="preserve">P0</w:t>
            </w:r>
          </w:p>
        </w:tc>
        <w:tc>
          <w:tcPr/>
          <w:p>
            <w:pPr>
              <w:pStyle w:val="Compact"/>
              <w:jc w:val="left"/>
            </w:pPr>
            <w:r>
              <w:t xml:space="preserve">High-throughput endpoint for sensor data (MQTT → REST bridge)</w:t>
            </w:r>
          </w:p>
        </w:tc>
      </w:tr>
      <w:tr>
        <w:tc>
          <w:tcPr/>
          <w:p>
            <w:pPr>
              <w:pStyle w:val="Compact"/>
              <w:jc w:val="left"/>
            </w:pPr>
            <w:r>
              <w:t xml:space="preserve">152</w:t>
            </w:r>
          </w:p>
        </w:tc>
        <w:tc>
          <w:tcPr/>
          <w:p>
            <w:pPr>
              <w:pStyle w:val="Compact"/>
              <w:jc w:val="left"/>
            </w:pPr>
            <w:r>
              <w:t xml:space="preserve">Sensor data normalization layer</w:t>
            </w:r>
          </w:p>
        </w:tc>
        <w:tc>
          <w:tcPr/>
          <w:p>
            <w:pPr>
              <w:pStyle w:val="Compact"/>
              <w:jc w:val="left"/>
            </w:pPr>
            <w:r>
              <w:t xml:space="preserve">P0</w:t>
            </w:r>
          </w:p>
        </w:tc>
        <w:tc>
          <w:tcPr/>
          <w:p>
            <w:pPr>
              <w:pStyle w:val="Compact"/>
              <w:jc w:val="left"/>
            </w:pPr>
            <w:r>
              <w:t xml:space="preserve">Standardize diverse sensor formats into unified schema</w:t>
            </w:r>
          </w:p>
        </w:tc>
      </w:tr>
      <w:tr>
        <w:tc>
          <w:tcPr/>
          <w:p>
            <w:pPr>
              <w:pStyle w:val="Compact"/>
              <w:jc w:val="left"/>
            </w:pPr>
            <w:r>
              <w:t xml:space="preserve">153</w:t>
            </w:r>
          </w:p>
        </w:tc>
        <w:tc>
          <w:tcPr/>
          <w:p>
            <w:pPr>
              <w:pStyle w:val="Compact"/>
              <w:jc w:val="left"/>
            </w:pPr>
            <w:r>
              <w:t xml:space="preserve">Real-time emissions calculation from sensor data</w:t>
            </w:r>
          </w:p>
        </w:tc>
        <w:tc>
          <w:tcPr/>
          <w:p>
            <w:pPr>
              <w:pStyle w:val="Compact"/>
              <w:jc w:val="left"/>
            </w:pPr>
            <w:r>
              <w:t xml:space="preserve">P0</w:t>
            </w:r>
          </w:p>
        </w:tc>
        <w:tc>
          <w:tcPr/>
          <w:p>
            <w:pPr>
              <w:pStyle w:val="Compact"/>
              <w:jc w:val="left"/>
            </w:pPr>
            <w:r>
              <w:t xml:space="preserve">Convert energy/fuel/process readings to CO2e in real-time</w:t>
            </w:r>
          </w:p>
        </w:tc>
      </w:tr>
      <w:tr>
        <w:tc>
          <w:tcPr/>
          <w:p>
            <w:pPr>
              <w:pStyle w:val="Compact"/>
              <w:jc w:val="left"/>
            </w:pPr>
            <w:r>
              <w:t xml:space="preserve">154</w:t>
            </w:r>
          </w:p>
        </w:tc>
        <w:tc>
          <w:tcPr/>
          <w:p>
            <w:pPr>
              <w:pStyle w:val="Compact"/>
              <w:jc w:val="left"/>
            </w:pPr>
            <w:r>
              <w:t xml:space="preserve">Jetson Orin Nano edge agent deployment</w:t>
            </w:r>
          </w:p>
        </w:tc>
        <w:tc>
          <w:tcPr/>
          <w:p>
            <w:pPr>
              <w:pStyle w:val="Compact"/>
              <w:jc w:val="left"/>
            </w:pPr>
            <w:r>
              <w:t xml:space="preserve">P1</w:t>
            </w:r>
          </w:p>
        </w:tc>
        <w:tc>
          <w:tcPr/>
          <w:p>
            <w:pPr>
              <w:pStyle w:val="Compact"/>
              <w:jc w:val="left"/>
            </w:pPr>
            <w:r>
              <w:t xml:space="preserve">Package and deploy inference models to edge devices</w:t>
            </w:r>
          </w:p>
        </w:tc>
      </w:tr>
      <w:tr>
        <w:tc>
          <w:tcPr/>
          <w:p>
            <w:pPr>
              <w:pStyle w:val="Compact"/>
              <w:jc w:val="left"/>
            </w:pPr>
            <w:r>
              <w:t xml:space="preserve">155</w:t>
            </w:r>
          </w:p>
        </w:tc>
        <w:tc>
          <w:tcPr/>
          <w:p>
            <w:pPr>
              <w:pStyle w:val="Compact"/>
              <w:jc w:val="left"/>
            </w:pPr>
            <w:r>
              <w:t xml:space="preserve">Edge-to-cloud data sync with conflict resolution</w:t>
            </w:r>
          </w:p>
        </w:tc>
        <w:tc>
          <w:tcPr/>
          <w:p>
            <w:pPr>
              <w:pStyle w:val="Compact"/>
              <w:jc w:val="left"/>
            </w:pPr>
            <w:r>
              <w:t xml:space="preserve">P1</w:t>
            </w:r>
          </w:p>
        </w:tc>
        <w:tc>
          <w:tcPr/>
          <w:p>
            <w:pPr>
              <w:pStyle w:val="Compact"/>
              <w:jc w:val="left"/>
            </w:pPr>
            <w:r>
              <w:t xml:space="preserve">Handle offline periods, reconcile when connectivity restored</w:t>
            </w:r>
          </w:p>
        </w:tc>
      </w:tr>
      <w:tr>
        <w:tc>
          <w:tcPr/>
          <w:p>
            <w:pPr>
              <w:pStyle w:val="Compact"/>
              <w:jc w:val="left"/>
            </w:pPr>
            <w:r>
              <w:t xml:space="preserve">156</w:t>
            </w:r>
          </w:p>
        </w:tc>
        <w:tc>
          <w:tcPr/>
          <w:p>
            <w:pPr>
              <w:pStyle w:val="Compact"/>
              <w:jc w:val="left"/>
            </w:pPr>
            <w:r>
              <w:t xml:space="preserve">Sensor health monitoring dashboard</w:t>
            </w:r>
          </w:p>
        </w:tc>
        <w:tc>
          <w:tcPr/>
          <w:p>
            <w:pPr>
              <w:pStyle w:val="Compact"/>
              <w:jc w:val="left"/>
            </w:pPr>
            <w:r>
              <w:t xml:space="preserve">P1</w:t>
            </w:r>
          </w:p>
        </w:tc>
        <w:tc>
          <w:tcPr/>
          <w:p>
            <w:pPr>
              <w:pStyle w:val="Compact"/>
              <w:jc w:val="left"/>
            </w:pPr>
            <w:r>
              <w:t xml:space="preserve">Track sensor connectivity, data quality, calibration status</w:t>
            </w:r>
          </w:p>
        </w:tc>
      </w:tr>
      <w:tr>
        <w:tc>
          <w:tcPr/>
          <w:p>
            <w:pPr>
              <w:pStyle w:val="Compact"/>
              <w:jc w:val="left"/>
            </w:pPr>
            <w:r>
              <w:t xml:space="preserve">157</w:t>
            </w:r>
          </w:p>
        </w:tc>
        <w:tc>
          <w:tcPr/>
          <w:p>
            <w:pPr>
              <w:pStyle w:val="Compact"/>
              <w:jc w:val="left"/>
            </w:pPr>
            <w:r>
              <w:t xml:space="preserve">Automated MRV from sensor data</w:t>
            </w:r>
          </w:p>
        </w:tc>
        <w:tc>
          <w:tcPr/>
          <w:p>
            <w:pPr>
              <w:pStyle w:val="Compact"/>
              <w:jc w:val="left"/>
            </w:pPr>
            <w:r>
              <w:t xml:space="preserve">P0</w:t>
            </w:r>
          </w:p>
        </w:tc>
        <w:tc>
          <w:tcPr/>
          <w:p>
            <w:pPr>
              <w:pStyle w:val="Compact"/>
              <w:jc w:val="left"/>
            </w:pPr>
            <w:r>
              <w:t xml:space="preserve">Generate Monitoring/Reporting/Verification docs from live data</w:t>
            </w:r>
          </w:p>
        </w:tc>
      </w:tr>
      <w:tr>
        <w:tc>
          <w:tcPr/>
          <w:p>
            <w:pPr>
              <w:pStyle w:val="Compact"/>
              <w:jc w:val="left"/>
            </w:pPr>
            <w:r>
              <w:t xml:space="preserve">158</w:t>
            </w:r>
          </w:p>
        </w:tc>
        <w:tc>
          <w:tcPr/>
          <w:p>
            <w:pPr>
              <w:pStyle w:val="Compact"/>
              <w:jc w:val="left"/>
            </w:pPr>
            <w:r>
              <w:t xml:space="preserve">Sensor data to ETS submission pipeline</w:t>
            </w:r>
          </w:p>
        </w:tc>
        <w:tc>
          <w:tcPr/>
          <w:p>
            <w:pPr>
              <w:pStyle w:val="Compact"/>
              <w:jc w:val="left"/>
            </w:pPr>
            <w:r>
              <w:t xml:space="preserve">P1</w:t>
            </w:r>
          </w:p>
        </w:tc>
        <w:tc>
          <w:tcPr/>
          <w:p>
            <w:pPr>
              <w:pStyle w:val="Compact"/>
              <w:jc w:val="left"/>
            </w:pPr>
            <w:r>
              <w:t xml:space="preserve">End-to-end: sensor → calculation → verification → XML export</w:t>
            </w:r>
          </w:p>
        </w:tc>
      </w:tr>
      <w:tr>
        <w:tc>
          <w:tcPr/>
          <w:p>
            <w:pPr>
              <w:pStyle w:val="Compact"/>
              <w:jc w:val="left"/>
            </w:pPr>
            <w:r>
              <w:t xml:space="preserve">159</w:t>
            </w:r>
          </w:p>
        </w:tc>
        <w:tc>
          <w:tcPr/>
          <w:p>
            <w:pPr>
              <w:pStyle w:val="Compact"/>
              <w:jc w:val="left"/>
            </w:pPr>
            <w:r>
              <w:t xml:space="preserve">IoT device provisioning and management</w:t>
            </w:r>
          </w:p>
        </w:tc>
        <w:tc>
          <w:tcPr/>
          <w:p>
            <w:pPr>
              <w:pStyle w:val="Compact"/>
              <w:jc w:val="left"/>
            </w:pPr>
            <w:r>
              <w:t xml:space="preserve">P1</w:t>
            </w:r>
          </w:p>
        </w:tc>
        <w:tc>
          <w:tcPr/>
          <w:p>
            <w:pPr>
              <w:pStyle w:val="Compact"/>
              <w:jc w:val="left"/>
            </w:pPr>
            <w:r>
              <w:t xml:space="preserve">Register, configure, update edge devices remotely</w:t>
            </w:r>
          </w:p>
        </w:tc>
      </w:tr>
      <w:tr>
        <w:tc>
          <w:tcPr/>
          <w:p>
            <w:pPr>
              <w:pStyle w:val="Compact"/>
              <w:jc w:val="left"/>
            </w:pPr>
            <w:r>
              <w:t xml:space="preserve">160</w:t>
            </w:r>
          </w:p>
        </w:tc>
        <w:tc>
          <w:tcPr/>
          <w:p>
            <w:pPr>
              <w:pStyle w:val="Compact"/>
              <w:jc w:val="left"/>
            </w:pPr>
            <w:r>
              <w:t xml:space="preserve">Predictive maintenance from sensor patterns</w:t>
            </w:r>
          </w:p>
        </w:tc>
        <w:tc>
          <w:tcPr/>
          <w:p>
            <w:pPr>
              <w:pStyle w:val="Compact"/>
              <w:jc w:val="left"/>
            </w:pPr>
            <w:r>
              <w:t xml:space="preserve">P2</w:t>
            </w:r>
          </w:p>
        </w:tc>
        <w:tc>
          <w:tcPr/>
          <w:p>
            <w:pPr>
              <w:pStyle w:val="Compact"/>
              <w:jc w:val="left"/>
            </w:pPr>
            <w:r>
              <w:t xml:space="preserve">ML model for equipment failure prediction</w:t>
            </w:r>
          </w:p>
        </w:tc>
      </w:tr>
    </w:tbl>
    <w:bookmarkEnd w:id="49"/>
    <w:bookmarkStart w:id="50" w:name="climate-llm-enhancement-prs-161170"/>
    <w:p>
      <w:pPr>
        <w:pStyle w:val="Heading3"/>
      </w:pPr>
      <w:r>
        <w:t xml:space="preserve">4.3 Climate LLM Enhancement (PRs 161–170)</w:t>
      </w:r>
    </w:p>
    <w:tbl>
      <w:tblPr>
        <w:tblStyle w:val="Table"/>
        <w:tblW w:type="pct" w:w="5000"/>
        <w:tblLook w:firstRow="1" w:lastRow="0" w:firstColumn="0" w:lastColumn="0" w:noHBand="0" w:noVBand="0" w:val="0020"/>
        <w:jc w:val="start"/>
      </w:tblPr>
      <w:tblGrid>
        <w:gridCol w:w="29"/>
        <w:gridCol w:w="525"/>
        <w:gridCol w:w="79"/>
        <w:gridCol w:w="7285"/>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161</w:t>
            </w:r>
          </w:p>
        </w:tc>
        <w:tc>
          <w:tcPr/>
          <w:p>
            <w:pPr>
              <w:pStyle w:val="Compact"/>
              <w:jc w:val="left"/>
            </w:pPr>
            <w:r>
              <w:t xml:space="preserve">Fine-tuned climate LLM (LoRA on Nemotron 3 Super)</w:t>
            </w:r>
          </w:p>
        </w:tc>
        <w:tc>
          <w:tcPr/>
          <w:p>
            <w:pPr>
              <w:pStyle w:val="Compact"/>
              <w:jc w:val="left"/>
            </w:pPr>
            <w:r>
              <w:t xml:space="preserve">P1</w:t>
            </w:r>
          </w:p>
        </w:tc>
        <w:tc>
          <w:tcPr/>
          <w:p>
            <w:pPr>
              <w:pStyle w:val="Compact"/>
              <w:jc w:val="left"/>
            </w:pPr>
            <w:r>
              <w:t xml:space="preserve">Domain-specific model trained on EU regulation corpus. Base model: NVIDIA Nemotron 3 Super (</w:t>
            </w:r>
            <w:r>
              <w:rPr>
                <w:rStyle w:val="VerbatimChar"/>
              </w:rPr>
              <w:t xml:space="preserve">nemotron_h_moe</w:t>
            </w:r>
            <w:r>
              <w:t xml:space="preserve">, 123.6B total / 12.7B active, Mamba-2 + attention + Latent MoE, pretrained NVFP4). LoRA training runs on EU-sovereign cloud GPU (DGX Cloud Frankfurt / Scaleway H100/H200) — the DGX Spark is an inference rig, not a training rig. The trained LoRA adapter then deploys to the Spark for inference at ~19.5 tok/s Q4_K_M (~4.5× dense Llama 3.3 70B). Re-based from Llama 3.3 70B (2026-05-16) — see</w:t>
            </w:r>
            <w:r>
              <w:t xml:space="preserve"> </w:t>
            </w:r>
            <w:r>
              <w:rPr>
                <w:rStyle w:val="VerbatimChar"/>
              </w:rPr>
              <w:t xml:space="preserve">docs/field-notes/2026-03-29-dgx-spark-primary-runtime-setup.md</w:t>
            </w:r>
            <w:r>
              <w:t xml:space="preserve"> </w:t>
            </w:r>
            <w:r>
              <w:t xml:space="preserve">§Model Routing Strategy for the new Primary tier rationale. Training framework: NeMo / NeMo RL (NVIDIA released recipes; see Saiyam Pathak 2026-03-13 DGX Spark write-up).</w:t>
            </w:r>
          </w:p>
        </w:tc>
      </w:tr>
      <w:tr>
        <w:tc>
          <w:tcPr/>
          <w:p>
            <w:pPr>
              <w:pStyle w:val="Compact"/>
              <w:jc w:val="left"/>
            </w:pPr>
            <w:r>
              <w:t xml:space="preserve">162</w:t>
            </w:r>
          </w:p>
        </w:tc>
        <w:tc>
          <w:tcPr/>
          <w:p>
            <w:pPr>
              <w:pStyle w:val="Compact"/>
              <w:jc w:val="left"/>
            </w:pPr>
            <w:r>
              <w:t xml:space="preserve">RAG pipeline for regulation knowledge base</w:t>
            </w:r>
          </w:p>
        </w:tc>
        <w:tc>
          <w:tcPr/>
          <w:p>
            <w:pPr>
              <w:pStyle w:val="Compact"/>
              <w:jc w:val="left"/>
            </w:pPr>
            <w:r>
              <w:t xml:space="preserve">P0</w:t>
            </w:r>
          </w:p>
        </w:tc>
        <w:tc>
          <w:tcPr/>
          <w:p>
            <w:pPr>
              <w:pStyle w:val="Compact"/>
              <w:jc w:val="left"/>
            </w:pPr>
            <w:r>
              <w:t xml:space="preserve">Retrieve relevant regulation text for AI responses</w:t>
            </w:r>
          </w:p>
        </w:tc>
      </w:tr>
      <w:tr>
        <w:tc>
          <w:tcPr/>
          <w:p>
            <w:pPr>
              <w:pStyle w:val="Compact"/>
              <w:jc w:val="left"/>
            </w:pPr>
            <w:r>
              <w:t xml:space="preserve">163</w:t>
            </w:r>
          </w:p>
        </w:tc>
        <w:tc>
          <w:tcPr/>
          <w:p>
            <w:pPr>
              <w:pStyle w:val="Compact"/>
              <w:jc w:val="left"/>
            </w:pPr>
            <w:r>
              <w:t xml:space="preserve">Multi-language climate assistant (EN, FI, DE, SV, NO)</w:t>
            </w:r>
          </w:p>
        </w:tc>
        <w:tc>
          <w:tcPr/>
          <w:p>
            <w:pPr>
              <w:pStyle w:val="Compact"/>
              <w:jc w:val="left"/>
            </w:pPr>
            <w:r>
              <w:t xml:space="preserve">P1</w:t>
            </w:r>
          </w:p>
        </w:tc>
        <w:tc>
          <w:tcPr/>
          <w:p>
            <w:pPr>
              <w:pStyle w:val="Compact"/>
              <w:jc w:val="left"/>
            </w:pPr>
            <w:r>
              <w:t xml:space="preserve">Localized responses for Nordic + DACH markets</w:t>
            </w:r>
          </w:p>
        </w:tc>
      </w:tr>
      <w:tr>
        <w:tc>
          <w:tcPr/>
          <w:p>
            <w:pPr>
              <w:pStyle w:val="Compact"/>
              <w:jc w:val="left"/>
            </w:pPr>
            <w:r>
              <w:t xml:space="preserve">164</w:t>
            </w:r>
          </w:p>
        </w:tc>
        <w:tc>
          <w:tcPr/>
          <w:p>
            <w:pPr>
              <w:pStyle w:val="Compact"/>
              <w:jc w:val="left"/>
            </w:pPr>
            <w:r>
              <w:t xml:space="preserve">Climate assistant conversation memory</w:t>
            </w:r>
          </w:p>
        </w:tc>
        <w:tc>
          <w:tcPr/>
          <w:p>
            <w:pPr>
              <w:pStyle w:val="Compact"/>
              <w:jc w:val="left"/>
            </w:pPr>
            <w:r>
              <w:t xml:space="preserve">P1</w:t>
            </w:r>
          </w:p>
        </w:tc>
        <w:tc>
          <w:tcPr/>
          <w:p>
            <w:pPr>
              <w:pStyle w:val="Compact"/>
              <w:jc w:val="left"/>
            </w:pPr>
            <w:r>
              <w:t xml:space="preserve">Context-aware follow-up questions across sessions</w:t>
            </w:r>
          </w:p>
        </w:tc>
      </w:tr>
      <w:tr>
        <w:tc>
          <w:tcPr/>
          <w:p>
            <w:pPr>
              <w:pStyle w:val="Compact"/>
              <w:jc w:val="left"/>
            </w:pPr>
            <w:r>
              <w:t xml:space="preserve">165</w:t>
            </w:r>
          </w:p>
        </w:tc>
        <w:tc>
          <w:tcPr/>
          <w:p>
            <w:pPr>
              <w:pStyle w:val="Compact"/>
              <w:jc w:val="left"/>
            </w:pPr>
            <w:r>
              <w:t xml:space="preserve">Climate assistant source citations</w:t>
            </w:r>
          </w:p>
        </w:tc>
        <w:tc>
          <w:tcPr/>
          <w:p>
            <w:pPr>
              <w:pStyle w:val="Compact"/>
              <w:jc w:val="left"/>
            </w:pPr>
            <w:r>
              <w:t xml:space="preserve">P0</w:t>
            </w:r>
          </w:p>
        </w:tc>
        <w:tc>
          <w:tcPr/>
          <w:p>
            <w:pPr>
              <w:pStyle w:val="Compact"/>
              <w:jc w:val="left"/>
            </w:pPr>
            <w:r>
              <w:t xml:space="preserve">Every AI answer cites specific regulation article/section</w:t>
            </w:r>
          </w:p>
        </w:tc>
      </w:tr>
      <w:tr>
        <w:tc>
          <w:tcPr/>
          <w:p>
            <w:pPr>
              <w:pStyle w:val="Compact"/>
              <w:jc w:val="left"/>
            </w:pPr>
            <w:r>
              <w:t xml:space="preserve">166</w:t>
            </w:r>
          </w:p>
        </w:tc>
        <w:tc>
          <w:tcPr/>
          <w:p>
            <w:pPr>
              <w:pStyle w:val="Compact"/>
              <w:jc w:val="left"/>
            </w:pPr>
            <w:r>
              <w:t xml:space="preserve">Climate assistant confidence scoring</w:t>
            </w:r>
          </w:p>
        </w:tc>
        <w:tc>
          <w:tcPr/>
          <w:p>
            <w:pPr>
              <w:pStyle w:val="Compact"/>
              <w:jc w:val="left"/>
            </w:pPr>
            <w:r>
              <w:t xml:space="preserve">P1</w:t>
            </w:r>
          </w:p>
        </w:tc>
        <w:tc>
          <w:tcPr/>
          <w:p>
            <w:pPr>
              <w:pStyle w:val="Compact"/>
              <w:jc w:val="left"/>
            </w:pPr>
            <w:r>
              <w:t xml:space="preserve">Show certainty level, flag when human expert needed</w:t>
            </w:r>
          </w:p>
        </w:tc>
      </w:tr>
      <w:tr>
        <w:tc>
          <w:tcPr/>
          <w:p>
            <w:pPr>
              <w:pStyle w:val="Compact"/>
              <w:jc w:val="left"/>
            </w:pPr>
            <w:r>
              <w:t xml:space="preserve">167</w:t>
            </w:r>
          </w:p>
        </w:tc>
        <w:tc>
          <w:tcPr/>
          <w:p>
            <w:pPr>
              <w:pStyle w:val="Compact"/>
              <w:jc w:val="left"/>
            </w:pPr>
            <w:r>
              <w:t xml:space="preserve">Regulation comparison tool (AI-powered)</w:t>
            </w:r>
          </w:p>
        </w:tc>
        <w:tc>
          <w:tcPr/>
          <w:p>
            <w:pPr>
              <w:pStyle w:val="Compact"/>
              <w:jc w:val="left"/>
            </w:pPr>
            <w:r>
              <w:t xml:space="preserve">P2</w:t>
            </w:r>
          </w:p>
        </w:tc>
        <w:tc>
          <w:tcPr/>
          <w:p>
            <w:pPr>
              <w:pStyle w:val="Compact"/>
              <w:jc w:val="left"/>
            </w:pPr>
            <w:r>
              <w:t xml:space="preserve">“</w:t>
            </w:r>
            <w:r>
              <w:t xml:space="preserve">What changed between CSRD draft and final?</w:t>
            </w:r>
            <w:r>
              <w:t xml:space="preserve">”</w:t>
            </w:r>
            <w:r>
              <w:t xml:space="preserve"> </w:t>
            </w:r>
            <w:r>
              <w:t xml:space="preserve">style queries</w:t>
            </w:r>
          </w:p>
        </w:tc>
      </w:tr>
      <w:tr>
        <w:tc>
          <w:tcPr/>
          <w:p>
            <w:pPr>
              <w:pStyle w:val="Compact"/>
              <w:jc w:val="left"/>
            </w:pPr>
            <w:r>
              <w:t xml:space="preserve">168</w:t>
            </w:r>
          </w:p>
        </w:tc>
        <w:tc>
          <w:tcPr/>
          <w:p>
            <w:pPr>
              <w:pStyle w:val="Compact"/>
              <w:jc w:val="left"/>
            </w:pPr>
            <w:r>
              <w:t xml:space="preserve">Climate scenario modeling assistant</w:t>
            </w:r>
          </w:p>
        </w:tc>
        <w:tc>
          <w:tcPr/>
          <w:p>
            <w:pPr>
              <w:pStyle w:val="Compact"/>
              <w:jc w:val="left"/>
            </w:pPr>
            <w:r>
              <w:t xml:space="preserve">P1</w:t>
            </w:r>
          </w:p>
        </w:tc>
        <w:tc>
          <w:tcPr/>
          <w:p>
            <w:pPr>
              <w:pStyle w:val="Compact"/>
              <w:jc w:val="left"/>
            </w:pPr>
            <w:r>
              <w:t xml:space="preserve">“</w:t>
            </w:r>
            <w:r>
              <w:t xml:space="preserve">What if carbon price reaches €150?</w:t>
            </w:r>
            <w:r>
              <w:t xml:space="preserve">”</w:t>
            </w:r>
            <w:r>
              <w:t xml:space="preserve"> </w:t>
            </w:r>
            <w:r>
              <w:t xml:space="preserve">financial projections</w:t>
            </w:r>
          </w:p>
        </w:tc>
      </w:tr>
      <w:tr>
        <w:tc>
          <w:tcPr/>
          <w:p>
            <w:pPr>
              <w:pStyle w:val="Compact"/>
              <w:jc w:val="left"/>
            </w:pPr>
            <w:r>
              <w:t xml:space="preserve">169</w:t>
            </w:r>
          </w:p>
        </w:tc>
        <w:tc>
          <w:tcPr/>
          <w:p>
            <w:pPr>
              <w:pStyle w:val="Compact"/>
              <w:jc w:val="left"/>
            </w:pPr>
            <w:r>
              <w:t xml:space="preserve">Batch query API for programmatic access</w:t>
            </w:r>
          </w:p>
        </w:tc>
        <w:tc>
          <w:tcPr/>
          <w:p>
            <w:pPr>
              <w:pStyle w:val="Compact"/>
              <w:jc w:val="left"/>
            </w:pPr>
            <w:r>
              <w:t xml:space="preserve">P1</w:t>
            </w:r>
          </w:p>
        </w:tc>
        <w:tc>
          <w:tcPr/>
          <w:p>
            <w:pPr>
              <w:pStyle w:val="Compact"/>
              <w:jc w:val="left"/>
            </w:pPr>
            <w:r>
              <w:t xml:space="preserve">Process multiple compliance questions via API</w:t>
            </w:r>
          </w:p>
        </w:tc>
      </w:tr>
      <w:tr>
        <w:tc>
          <w:tcPr/>
          <w:p>
            <w:pPr>
              <w:pStyle w:val="Compact"/>
              <w:jc w:val="left"/>
            </w:pPr>
            <w:r>
              <w:t xml:space="preserve">170</w:t>
            </w:r>
          </w:p>
        </w:tc>
        <w:tc>
          <w:tcPr/>
          <w:p>
            <w:pPr>
              <w:pStyle w:val="Compact"/>
              <w:jc w:val="left"/>
            </w:pPr>
            <w:r>
              <w:t xml:space="preserve">Climate assistant feedback loop</w:t>
            </w:r>
          </w:p>
        </w:tc>
        <w:tc>
          <w:tcPr/>
          <w:p>
            <w:pPr>
              <w:pStyle w:val="Compact"/>
              <w:jc w:val="left"/>
            </w:pPr>
            <w:r>
              <w:t xml:space="preserve">P1</w:t>
            </w:r>
          </w:p>
        </w:tc>
        <w:tc>
          <w:tcPr/>
          <w:p>
            <w:pPr>
              <w:pStyle w:val="Compact"/>
              <w:jc w:val="left"/>
            </w:pPr>
            <w:r>
              <w:t xml:space="preserve">Users rate answers, feedback improves model over time</w:t>
            </w:r>
          </w:p>
        </w:tc>
      </w:tr>
    </w:tbl>
    <w:bookmarkEnd w:id="50"/>
    <w:bookmarkStart w:id="51" w:name="analytics-reporting-prs-171177"/>
    <w:p>
      <w:pPr>
        <w:pStyle w:val="Heading3"/>
      </w:pPr>
      <w:r>
        <w:t xml:space="preserve">4.4 Analytics &amp; Reporting (PRs 171–177)</w:t>
      </w:r>
    </w:p>
    <w:tbl>
      <w:tblPr>
        <w:tblStyle w:val="Table"/>
        <w:tblW w:type="pct" w:w="5000"/>
        <w:tblLook w:firstRow="1" w:lastRow="0" w:firstColumn="0" w:lastColumn="0" w:noHBand="0" w:noVBand="0" w:val="0020"/>
        <w:jc w:val="start"/>
      </w:tblPr>
      <w:tblGrid>
        <w:gridCol w:w="204"/>
        <w:gridCol w:w="3140"/>
        <w:gridCol w:w="546"/>
        <w:gridCol w:w="4028"/>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171</w:t>
            </w:r>
          </w:p>
        </w:tc>
        <w:tc>
          <w:tcPr/>
          <w:p>
            <w:pPr>
              <w:pStyle w:val="Compact"/>
              <w:jc w:val="left"/>
            </w:pPr>
            <w:r>
              <w:t xml:space="preserve">Executive summary dashboard</w:t>
            </w:r>
          </w:p>
        </w:tc>
        <w:tc>
          <w:tcPr/>
          <w:p>
            <w:pPr>
              <w:pStyle w:val="Compact"/>
              <w:jc w:val="left"/>
            </w:pPr>
            <w:r>
              <w:t xml:space="preserve">P0</w:t>
            </w:r>
          </w:p>
        </w:tc>
        <w:tc>
          <w:tcPr/>
          <w:p>
            <w:pPr>
              <w:pStyle w:val="Compact"/>
              <w:jc w:val="left"/>
            </w:pPr>
            <w:r>
              <w:t xml:space="preserve">C-level view: compliance status, financial exposure, trend</w:t>
            </w:r>
          </w:p>
        </w:tc>
      </w:tr>
      <w:tr>
        <w:tc>
          <w:tcPr/>
          <w:p>
            <w:pPr>
              <w:pStyle w:val="Compact"/>
              <w:jc w:val="left"/>
            </w:pPr>
            <w:r>
              <w:t xml:space="preserve">172</w:t>
            </w:r>
          </w:p>
        </w:tc>
        <w:tc>
          <w:tcPr/>
          <w:p>
            <w:pPr>
              <w:pStyle w:val="Compact"/>
              <w:jc w:val="left"/>
            </w:pPr>
            <w:r>
              <w:t xml:space="preserve">Drill-down analytics (by site, product, scope)</w:t>
            </w:r>
          </w:p>
        </w:tc>
        <w:tc>
          <w:tcPr/>
          <w:p>
            <w:pPr>
              <w:pStyle w:val="Compact"/>
              <w:jc w:val="left"/>
            </w:pPr>
            <w:r>
              <w:t xml:space="preserve">P1</w:t>
            </w:r>
          </w:p>
        </w:tc>
        <w:tc>
          <w:tcPr/>
          <w:p>
            <w:pPr>
              <w:pStyle w:val="Compact"/>
              <w:jc w:val="left"/>
            </w:pPr>
            <w:r>
              <w:t xml:space="preserve">Interactive charts with filter/group/export</w:t>
            </w:r>
          </w:p>
        </w:tc>
      </w:tr>
      <w:tr>
        <w:tc>
          <w:tcPr/>
          <w:p>
            <w:pPr>
              <w:pStyle w:val="Compact"/>
              <w:jc w:val="left"/>
            </w:pPr>
            <w:r>
              <w:t xml:space="preserve">173</w:t>
            </w:r>
          </w:p>
        </w:tc>
        <w:tc>
          <w:tcPr/>
          <w:p>
            <w:pPr>
              <w:pStyle w:val="Compact"/>
              <w:jc w:val="left"/>
            </w:pPr>
            <w:r>
              <w:t xml:space="preserve">Custom report builder</w:t>
            </w:r>
          </w:p>
        </w:tc>
        <w:tc>
          <w:tcPr/>
          <w:p>
            <w:pPr>
              <w:pStyle w:val="Compact"/>
              <w:jc w:val="left"/>
            </w:pPr>
            <w:r>
              <w:t xml:space="preserve">P1</w:t>
            </w:r>
          </w:p>
        </w:tc>
        <w:tc>
          <w:tcPr/>
          <w:p>
            <w:pPr>
              <w:pStyle w:val="Compact"/>
              <w:jc w:val="left"/>
            </w:pPr>
            <w:r>
              <w:t xml:space="preserve">Users define own report templates with drag-and-drop fields</w:t>
            </w:r>
          </w:p>
        </w:tc>
      </w:tr>
      <w:tr>
        <w:tc>
          <w:tcPr/>
          <w:p>
            <w:pPr>
              <w:pStyle w:val="Compact"/>
              <w:jc w:val="left"/>
            </w:pPr>
            <w:r>
              <w:t xml:space="preserve">174</w:t>
            </w:r>
          </w:p>
        </w:tc>
        <w:tc>
          <w:tcPr/>
          <w:p>
            <w:pPr>
              <w:pStyle w:val="Compact"/>
              <w:jc w:val="left"/>
            </w:pPr>
            <w:r>
              <w:t xml:space="preserve">Scheduled report delivery (email + SFTP)</w:t>
            </w:r>
          </w:p>
        </w:tc>
        <w:tc>
          <w:tcPr/>
          <w:p>
            <w:pPr>
              <w:pStyle w:val="Compact"/>
              <w:jc w:val="left"/>
            </w:pPr>
            <w:r>
              <w:t xml:space="preserve">P1</w:t>
            </w:r>
          </w:p>
        </w:tc>
        <w:tc>
          <w:tcPr/>
          <w:p>
            <w:pPr>
              <w:pStyle w:val="Compact"/>
              <w:jc w:val="left"/>
            </w:pPr>
            <w:r>
              <w:t xml:space="preserve">Automated weekly/monthly report distribution</w:t>
            </w:r>
          </w:p>
        </w:tc>
      </w:tr>
      <w:tr>
        <w:tc>
          <w:tcPr/>
          <w:p>
            <w:pPr>
              <w:pStyle w:val="Compact"/>
              <w:jc w:val="left"/>
            </w:pPr>
            <w:r>
              <w:t xml:space="preserve">175</w:t>
            </w:r>
          </w:p>
        </w:tc>
        <w:tc>
          <w:tcPr/>
          <w:p>
            <w:pPr>
              <w:pStyle w:val="Compact"/>
              <w:jc w:val="left"/>
            </w:pPr>
            <w:r>
              <w:t xml:space="preserve">Benchmark comparison (industry peers)</w:t>
            </w:r>
          </w:p>
        </w:tc>
        <w:tc>
          <w:tcPr/>
          <w:p>
            <w:pPr>
              <w:pStyle w:val="Compact"/>
              <w:jc w:val="left"/>
            </w:pPr>
            <w:r>
              <w:t xml:space="preserve">P2</w:t>
            </w:r>
          </w:p>
        </w:tc>
        <w:tc>
          <w:tcPr/>
          <w:p>
            <w:pPr>
              <w:pStyle w:val="Compact"/>
              <w:jc w:val="left"/>
            </w:pPr>
            <w:r>
              <w:t xml:space="preserve">Anonymized comparison against similar companies</w:t>
            </w:r>
          </w:p>
        </w:tc>
      </w:tr>
      <w:tr>
        <w:tc>
          <w:tcPr/>
          <w:p>
            <w:pPr>
              <w:pStyle w:val="Compact"/>
              <w:jc w:val="left"/>
            </w:pPr>
            <w:r>
              <w:t xml:space="preserve">176</w:t>
            </w:r>
          </w:p>
        </w:tc>
        <w:tc>
          <w:tcPr/>
          <w:p>
            <w:pPr>
              <w:pStyle w:val="Compact"/>
              <w:jc w:val="left"/>
            </w:pPr>
            <w:r>
              <w:t xml:space="preserve">Carbon reduction tracking vs targets</w:t>
            </w:r>
          </w:p>
        </w:tc>
        <w:tc>
          <w:tcPr/>
          <w:p>
            <w:pPr>
              <w:pStyle w:val="Compact"/>
              <w:jc w:val="left"/>
            </w:pPr>
            <w:r>
              <w:t xml:space="preserve">P0</w:t>
            </w:r>
          </w:p>
        </w:tc>
        <w:tc>
          <w:tcPr/>
          <w:p>
            <w:pPr>
              <w:pStyle w:val="Compact"/>
              <w:jc w:val="left"/>
            </w:pPr>
            <w:r>
              <w:t xml:space="preserve">SBTi target progress visualization</w:t>
            </w:r>
          </w:p>
        </w:tc>
      </w:tr>
      <w:tr>
        <w:tc>
          <w:tcPr/>
          <w:p>
            <w:pPr>
              <w:pStyle w:val="Compact"/>
              <w:jc w:val="left"/>
            </w:pPr>
            <w:r>
              <w:t xml:space="preserve">177</w:t>
            </w:r>
          </w:p>
        </w:tc>
        <w:tc>
          <w:tcPr/>
          <w:p>
            <w:pPr>
              <w:pStyle w:val="Compact"/>
              <w:jc w:val="left"/>
            </w:pPr>
            <w:r>
              <w:t xml:space="preserve">Board-ready ESG presentation export</w:t>
            </w:r>
          </w:p>
        </w:tc>
        <w:tc>
          <w:tcPr/>
          <w:p>
            <w:pPr>
              <w:pStyle w:val="Compact"/>
              <w:jc w:val="left"/>
            </w:pPr>
            <w:r>
              <w:t xml:space="preserve">P1</w:t>
            </w:r>
          </w:p>
        </w:tc>
        <w:tc>
          <w:tcPr/>
          <w:p>
            <w:pPr>
              <w:pStyle w:val="Compact"/>
              <w:jc w:val="left"/>
            </w:pPr>
            <w:r>
              <w:t xml:space="preserve">PowerPoint/PDF export formatted for board meetings</w:t>
            </w:r>
          </w:p>
        </w:tc>
      </w:tr>
    </w:tbl>
    <w:bookmarkEnd w:id="51"/>
    <w:bookmarkStart w:id="52" w:name="X7a10d02d30550a149ce1e43199dd53f7bdf6e9e"/>
    <w:p>
      <w:pPr>
        <w:pStyle w:val="Heading3"/>
      </w:pPr>
      <w:r>
        <w:t xml:space="preserve">4.5 eIDAS 2.0 &amp; Trust Services (PRs TBD — call-conditional)</w:t>
      </w:r>
    </w:p>
    <w:p>
      <w:pPr>
        <w:pStyle w:val="FirstParagraph"/>
      </w:pPr>
      <w:r>
        <w:t xml:space="preserve">Added to support DIGITAL-2026-AI-DATA-10 grant deliverable. Not counted in the 40 PR Phase 4 total; triggered when EUDI Wallet Large Scale Pilots reach production in target jurisdictions (Finland, Germany). See</w:t>
      </w:r>
      <w:r>
        <w:t xml:space="preserve"> </w:t>
      </w:r>
      <w:r>
        <w:rPr>
          <w:rStyle w:val="VerbatimChar"/>
        </w:rPr>
        <w:t xml:space="preserve">docs/EU_FUNDING_DIGITAL_2026_AI_DATA_10.md</w:t>
      </w:r>
      <w:r>
        <w:t xml:space="preserve"> </w:t>
      </w:r>
      <w:r>
        <w:t xml:space="preserve">§3 requirement #7.</w:t>
      </w:r>
    </w:p>
    <w:tbl>
      <w:tblPr>
        <w:tblStyle w:val="Table"/>
        <w:tblW w:type="pct" w:w="5000"/>
        <w:tblLook w:firstRow="1" w:lastRow="0" w:firstColumn="0" w:lastColumn="0" w:noHBand="0" w:noVBand="0" w:val="0020"/>
        <w:jc w:val="start"/>
      </w:tblPr>
      <w:tblGrid>
        <w:gridCol w:w="140"/>
        <w:gridCol w:w="2858"/>
        <w:gridCol w:w="374"/>
        <w:gridCol w:w="4545"/>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TBD</w:t>
            </w:r>
          </w:p>
        </w:tc>
        <w:tc>
          <w:tcPr/>
          <w:p>
            <w:pPr>
              <w:pStyle w:val="Compact"/>
              <w:jc w:val="left"/>
            </w:pPr>
            <w:r>
              <w:t xml:space="preserve">EUDI Wallet relying-party integration (OIDC4VP / ISO 18013-5)</w:t>
            </w:r>
          </w:p>
        </w:tc>
        <w:tc>
          <w:tcPr/>
          <w:p>
            <w:pPr>
              <w:pStyle w:val="Compact"/>
              <w:jc w:val="left"/>
            </w:pPr>
            <w:r>
              <w:t xml:space="preserve">P1</w:t>
            </w:r>
          </w:p>
        </w:tc>
        <w:tc>
          <w:tcPr/>
          <w:p>
            <w:pPr>
              <w:pStyle w:val="Compact"/>
              <w:jc w:val="left"/>
            </w:pPr>
            <w:r>
              <w:t xml:space="preserve">Authenticate natural + legal persons via wallet-issued PIDs when submitting compliance data</w:t>
            </w:r>
          </w:p>
        </w:tc>
      </w:tr>
      <w:tr>
        <w:tc>
          <w:tcPr/>
          <w:p>
            <w:pPr>
              <w:pStyle w:val="Compact"/>
              <w:jc w:val="left"/>
            </w:pPr>
            <w:r>
              <w:t xml:space="preserve">TBD</w:t>
            </w:r>
          </w:p>
        </w:tc>
        <w:tc>
          <w:tcPr/>
          <w:p>
            <w:pPr>
              <w:pStyle w:val="Compact"/>
              <w:jc w:val="left"/>
            </w:pPr>
            <w:r>
              <w:t xml:space="preserve">Qualified Electronic Seal (QSeal) on compliance submissions</w:t>
            </w:r>
          </w:p>
        </w:tc>
        <w:tc>
          <w:tcPr/>
          <w:p>
            <w:pPr>
              <w:pStyle w:val="Compact"/>
              <w:jc w:val="left"/>
            </w:pPr>
            <w:r>
              <w:t xml:space="preserve">P1</w:t>
            </w:r>
          </w:p>
        </w:tc>
        <w:tc>
          <w:tcPr/>
          <w:p>
            <w:pPr>
              <w:pStyle w:val="Compact"/>
              <w:jc w:val="left"/>
            </w:pPr>
            <w:r>
              <w:t xml:space="preserve">Apply QTSP-issued seals to ETS / CBAM / CSRD reports per eIDAS 2.0</w:t>
            </w:r>
          </w:p>
        </w:tc>
      </w:tr>
      <w:tr>
        <w:tc>
          <w:tcPr/>
          <w:p>
            <w:pPr>
              <w:pStyle w:val="Compact"/>
              <w:jc w:val="left"/>
            </w:pPr>
            <w:r>
              <w:t xml:space="preserve">TBD</w:t>
            </w:r>
          </w:p>
        </w:tc>
        <w:tc>
          <w:tcPr/>
          <w:p>
            <w:pPr>
              <w:pStyle w:val="Compact"/>
              <w:jc w:val="left"/>
            </w:pPr>
            <w:r>
              <w:t xml:space="preserve">Qualified Electronic Ledger integration</w:t>
            </w:r>
          </w:p>
        </w:tc>
        <w:tc>
          <w:tcPr/>
          <w:p>
            <w:pPr>
              <w:pStyle w:val="Compact"/>
              <w:jc w:val="left"/>
            </w:pPr>
            <w:r>
              <w:t xml:space="preserve">P2</w:t>
            </w:r>
          </w:p>
        </w:tc>
        <w:tc>
          <w:tcPr/>
          <w:p>
            <w:pPr>
              <w:pStyle w:val="Compact"/>
              <w:jc w:val="left"/>
            </w:pPr>
            <w:r>
              <w:t xml:space="preserve">Tamper-evident audit trail for regulatory submissions via qualified ledger (eIDAS 2.0 Art. 45h)</w:t>
            </w:r>
          </w:p>
        </w:tc>
      </w:tr>
      <w:tr>
        <w:tc>
          <w:tcPr/>
          <w:p>
            <w:pPr>
              <w:pStyle w:val="Compact"/>
              <w:jc w:val="left"/>
            </w:pPr>
            <w:r>
              <w:t xml:space="preserve">TBD</w:t>
            </w:r>
          </w:p>
        </w:tc>
        <w:tc>
          <w:tcPr/>
          <w:p>
            <w:pPr>
              <w:pStyle w:val="Compact"/>
              <w:jc w:val="left"/>
            </w:pPr>
            <w:r>
              <w:t xml:space="preserve">EUDI Wallet verification at Supplier Portal onboarding</w:t>
            </w:r>
          </w:p>
        </w:tc>
        <w:tc>
          <w:tcPr/>
          <w:p>
            <w:pPr>
              <w:pStyle w:val="Compact"/>
              <w:jc w:val="left"/>
            </w:pPr>
            <w:r>
              <w:t xml:space="preserve">P2</w:t>
            </w:r>
          </w:p>
        </w:tc>
        <w:tc>
          <w:tcPr/>
          <w:p>
            <w:pPr>
              <w:pStyle w:val="Compact"/>
              <w:jc w:val="left"/>
            </w:pPr>
            <w:r>
              <w:t xml:space="preserve">Verify supplier legal identity via wallet-issued LPID at Phase 5 Supplier Portal (PR 178) sign-up</w:t>
            </w:r>
          </w:p>
        </w:tc>
      </w:tr>
    </w:tbl>
    <w:p>
      <w:pPr>
        <w:pStyle w:val="BodyText"/>
      </w:pPr>
      <w:r>
        <w:rPr>
          <w:bCs/>
          <w:b/>
        </w:rPr>
        <w:t xml:space="preserve">Trigger condition:</w:t>
      </w:r>
      <w:r>
        <w:t xml:space="preserve"> </w:t>
      </w:r>
      <w:r>
        <w:t xml:space="preserve">European Commission EUDI Wallet rollout — LSPs (Large Scale Pilots) reaching GA in FI/DE. Track via EU Digital Identity Wallet Toolbox + national wallet providers (FI: DVV, DE: Bundesdruckerei).</w:t>
      </w:r>
    </w:p>
    <w:bookmarkEnd w:id="52"/>
    <w:bookmarkStart w:id="53" w:name="Xbbd6e9d438a6bb57ba2608253020c98f2ca4307"/>
    <w:p>
      <w:pPr>
        <w:pStyle w:val="Heading3"/>
      </w:pPr>
      <w:r>
        <w:t xml:space="preserve">4.6 Situation Room — Strategic Command Surface (PRs 177A–177D)</w:t>
      </w:r>
    </w:p>
    <w:p>
      <w:pPr>
        <w:pStyle w:val="FirstParagraph"/>
      </w:pPr>
      <w:r>
        <w:rPr>
          <w:bCs/>
          <w:b/>
        </w:rPr>
        <w:t xml:space="preserve">Strategic context:</w:t>
      </w:r>
      <w:r>
        <w:t xml:space="preserve"> </w:t>
      </w:r>
      <w:r>
        <w:t xml:space="preserve">Situation Room is the productized strategic-command surface that sits above per-customer Control Rooms (which run LWM1 / V1 per-industry models locally on Acer Veriton GN-100). Situation Room consumes</w:t>
      </w:r>
      <w:r>
        <w:t xml:space="preserve"> </w:t>
      </w:r>
      <w:r>
        <w:rPr>
          <w:bCs/>
          <w:b/>
        </w:rPr>
        <w:t xml:space="preserve">LWM V2</w:t>
      </w:r>
      <w:r>
        <w:t xml:space="preserve"> </w:t>
      </w:r>
      <w:r>
        <w:t xml:space="preserve">(omnimodal, NVFP4-native, ≥100B class) for cross-room reasoning. V2 ships in Phase 4 per</w:t>
      </w:r>
      <w:r>
        <w:t xml:space="preserve"> </w:t>
      </w:r>
      <w:r>
        <w:rPr>
          <w:rStyle w:val="VerbatimChar"/>
        </w:rPr>
        <w:t xml:space="preserve">docs/field-notes/2026-05-15-nvfp4-pretraining-for-control-room-lwm.md</w:t>
      </w:r>
      <w:r>
        <w:t xml:space="preserve">. Earlier roadmap drafts left this surface implicit inside Phase 4.1 Agentic AI Workflows; pinning it as its own subsection 4.6 prevents slip into Phase 5+ and gives the work explicit ownership. See</w:t>
      </w:r>
      <w:r>
        <w:t xml:space="preserve"> </w:t>
      </w:r>
      <w:r>
        <w:rPr>
          <w:rStyle w:val="VerbatimChar"/>
        </w:rPr>
        <w:t xml:space="preserve">docs/field-notes/2026-05-23-lwm-price-estimate-colab-vs-nvidia-cloud.md</w:t>
      </w:r>
      <w:r>
        <w:t xml:space="preserve"> </w:t>
      </w:r>
      <w:r>
        <w:t xml:space="preserve">for the two-budget split that separates V1 fine-tune economics (cheap A100 cloud, Train Model TM-001 SKU) from V2 pretrain economics (Blackwell silicon, Enterprise Model Training EMT-001 SKU).</w:t>
      </w:r>
    </w:p>
    <w:tbl>
      <w:tblPr>
        <w:tblStyle w:val="Table"/>
        <w:tblW w:type="pct" w:w="5000"/>
        <w:tblLook w:firstRow="1" w:lastRow="0" w:firstColumn="0" w:lastColumn="0" w:noHBand="0" w:noVBand="0" w:val="0020"/>
        <w:jc w:val="start"/>
      </w:tblPr>
      <w:tblGrid>
        <w:gridCol w:w="103"/>
        <w:gridCol w:w="1522"/>
        <w:gridCol w:w="206"/>
        <w:gridCol w:w="6088"/>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177A</w:t>
            </w:r>
          </w:p>
        </w:tc>
        <w:tc>
          <w:tcPr/>
          <w:p>
            <w:pPr>
              <w:pStyle w:val="Compact"/>
              <w:jc w:val="left"/>
            </w:pPr>
            <w:r>
              <w:t xml:space="preserve">Situation Room product surface scaffold</w:t>
            </w:r>
          </w:p>
        </w:tc>
        <w:tc>
          <w:tcPr/>
          <w:p>
            <w:pPr>
              <w:pStyle w:val="Compact"/>
              <w:jc w:val="left"/>
            </w:pPr>
            <w:r>
              <w:t xml:space="preserve">P0</w:t>
            </w:r>
          </w:p>
        </w:tc>
        <w:tc>
          <w:tcPr/>
          <w:p>
            <w:pPr>
              <w:pStyle w:val="Compact"/>
              <w:jc w:val="left"/>
            </w:pPr>
            <w:r>
              <w:t xml:space="preserve">React dashboard component + backend API. Strategic-command view consuming LWM V2 inference. Parallel to Control Room field-ops view, not a replacement — Control Rooms continue to run LWM V1 per-industry models locally per customer site.</w:t>
            </w:r>
          </w:p>
        </w:tc>
      </w:tr>
      <w:tr>
        <w:tc>
          <w:tcPr/>
          <w:p>
            <w:pPr>
              <w:pStyle w:val="Compact"/>
              <w:jc w:val="left"/>
            </w:pPr>
            <w:r>
              <w:t xml:space="preserve">177B</w:t>
            </w:r>
          </w:p>
        </w:tc>
        <w:tc>
          <w:tcPr/>
          <w:p>
            <w:pPr>
              <w:pStyle w:val="Compact"/>
              <w:jc w:val="left"/>
            </w:pPr>
            <w:r>
              <w:t xml:space="preserve">LWM V2 inference container (NVFP4 native, Blackwell)</w:t>
            </w:r>
          </w:p>
        </w:tc>
        <w:tc>
          <w:tcPr/>
          <w:p>
            <w:pPr>
              <w:pStyle w:val="Compact"/>
              <w:jc w:val="left"/>
            </w:pPr>
            <w:r>
              <w:t xml:space="preserve">P0</w:t>
            </w:r>
          </w:p>
        </w:tc>
        <w:tc>
          <w:tcPr/>
          <w:p>
            <w:pPr>
              <w:pStyle w:val="Compact"/>
              <w:jc w:val="left"/>
            </w:pPr>
            <w:r>
              <w:t xml:space="preserve">NVIDIA NIM container packaging LWM V2 with NVFP4 weights for B100 / B200 / GB10 deployment. Inference-only; V2 training pipeline scoped in NVFP4 lab note. ~28 GB on disk (NVFP4), fits single Acer GN-100 or DGX Spark chassis.</w:t>
            </w:r>
          </w:p>
        </w:tc>
      </w:tr>
      <w:tr>
        <w:tc>
          <w:tcPr/>
          <w:p>
            <w:pPr>
              <w:pStyle w:val="Compact"/>
              <w:jc w:val="left"/>
            </w:pPr>
            <w:r>
              <w:t xml:space="preserve">177C</w:t>
            </w:r>
          </w:p>
        </w:tc>
        <w:tc>
          <w:tcPr/>
          <w:p>
            <w:pPr>
              <w:pStyle w:val="Compact"/>
              <w:jc w:val="left"/>
            </w:pPr>
            <w:r>
              <w:t xml:space="preserve">Control Room → Situation Room federation</w:t>
            </w:r>
          </w:p>
        </w:tc>
        <w:tc>
          <w:tcPr/>
          <w:p>
            <w:pPr>
              <w:pStyle w:val="Compact"/>
              <w:jc w:val="left"/>
            </w:pPr>
            <w:r>
              <w:t xml:space="preserve">P1</w:t>
            </w:r>
          </w:p>
        </w:tc>
        <w:tc>
          <w:tcPr/>
          <w:p>
            <w:pPr>
              <w:pStyle w:val="Compact"/>
              <w:jc w:val="left"/>
            </w:pPr>
            <w:r>
              <w:t xml:space="preserve">Cross-room data flow: per-site Control Room state aggregated into Situation Room strategic view. Per-customer privacy boundaries enforced via KYA chain-of-custody; cross-customer queries gated by Aegis tier.</w:t>
            </w:r>
          </w:p>
        </w:tc>
      </w:tr>
      <w:tr>
        <w:tc>
          <w:tcPr/>
          <w:p>
            <w:pPr>
              <w:pStyle w:val="Compact"/>
              <w:jc w:val="left"/>
            </w:pPr>
            <w:r>
              <w:t xml:space="preserve">177D</w:t>
            </w:r>
          </w:p>
        </w:tc>
        <w:tc>
          <w:tcPr/>
          <w:p>
            <w:pPr>
              <w:pStyle w:val="Compact"/>
              <w:jc w:val="left"/>
            </w:pPr>
            <w:r>
              <w:t xml:space="preserve">Situation Room access control (KYA TC-3 + Article 12 audit)</w:t>
            </w:r>
          </w:p>
        </w:tc>
        <w:tc>
          <w:tcPr/>
          <w:p>
            <w:pPr>
              <w:pStyle w:val="Compact"/>
              <w:jc w:val="left"/>
            </w:pPr>
            <w:r>
              <w:t xml:space="preserve">P0</w:t>
            </w:r>
          </w:p>
        </w:tc>
        <w:tc>
          <w:tcPr/>
          <w:p>
            <w:pPr>
              <w:pStyle w:val="Compact"/>
              <w:jc w:val="left"/>
            </w:pPr>
            <w:r>
              <w:t xml:space="preserve">KYA TC-3 strategic-command trust tier (above TC-2 field-ops default). Multi-party approval for cross-customer queries. Full EU AI Act Article 12 reasoning lineage logged for every Situation Room session.</w:t>
            </w:r>
          </w:p>
        </w:tc>
      </w:tr>
    </w:tbl>
    <w:p>
      <w:pPr>
        <w:pStyle w:val="BodyText"/>
      </w:pPr>
      <w:r>
        <w:rPr>
          <w:bCs/>
          <w:b/>
        </w:rPr>
        <w:t xml:space="preserve">Owners / dependencies:</w:t>
      </w:r>
    </w:p>
    <w:p>
      <w:pPr>
        <w:numPr>
          <w:ilvl w:val="0"/>
          <w:numId w:val="1002"/>
        </w:numPr>
        <w:pStyle w:val="Compact"/>
      </w:pPr>
      <w:r>
        <w:t xml:space="preserve">Depends on V2 pretraining (separate workstream, see NVFP4 lab note)</w:t>
      </w:r>
    </w:p>
    <w:p>
      <w:pPr>
        <w:numPr>
          <w:ilvl w:val="0"/>
          <w:numId w:val="1002"/>
        </w:numPr>
        <w:pStyle w:val="Compact"/>
      </w:pPr>
      <w:r>
        <w:t xml:space="preserve">Depends on PR 137A–137D Aegis K8s inference infra (Phase 3.6)</w:t>
      </w:r>
    </w:p>
    <w:p>
      <w:pPr>
        <w:numPr>
          <w:ilvl w:val="0"/>
          <w:numId w:val="1002"/>
        </w:numPr>
        <w:pStyle w:val="Compact"/>
      </w:pPr>
      <w:r>
        <w:t xml:space="preserve">Depends on KYA v1.4 (already in place, internal)</w:t>
      </w:r>
    </w:p>
    <w:p>
      <w:pPr>
        <w:numPr>
          <w:ilvl w:val="0"/>
          <w:numId w:val="1002"/>
        </w:numPr>
        <w:pStyle w:val="Compact"/>
      </w:pPr>
      <w:r>
        <w:t xml:space="preserve">Unblocks: Situation Room product SKU (Store catalog entry, separate PR in Phase 5 marketing track)</w:t>
      </w:r>
    </w:p>
    <w:p>
      <w:r>
        <w:pict>
          <v:rect style="width:0;height:1.5pt" o:hralign="center" o:hrstd="t" o:hr="t"/>
        </w:pict>
      </w:r>
    </w:p>
    <w:bookmarkEnd w:id="53"/>
    <w:bookmarkEnd w:id="54"/>
    <w:bookmarkStart w:id="60" w:name="X7725c0ea4082f54d2675eff70ef0d548da64b43"/>
    <w:p>
      <w:pPr>
        <w:pStyle w:val="Heading2"/>
      </w:pPr>
      <w:r>
        <w:t xml:space="preserve">Phase 5: Market Expansion (Feb–May 2027) — 44 PRs</w:t>
      </w:r>
    </w:p>
    <w:bookmarkStart w:id="55" w:name="supplier-cbam-portal-prs-178186"/>
    <w:p>
      <w:pPr>
        <w:pStyle w:val="Heading3"/>
      </w:pPr>
      <w:r>
        <w:t xml:space="preserve">5.1 Supplier CBAM Portal (PRs 178–186)</w:t>
      </w:r>
    </w:p>
    <w:tbl>
      <w:tblPr>
        <w:tblStyle w:val="Table"/>
        <w:tblW w:type="pct" w:w="5000"/>
        <w:tblLook w:firstRow="1" w:lastRow="0" w:firstColumn="0" w:lastColumn="0" w:noHBand="0" w:noVBand="0" w:val="0020"/>
        <w:jc w:val="start"/>
      </w:tblPr>
      <w:tblGrid>
        <w:gridCol w:w="230"/>
        <w:gridCol w:w="2537"/>
        <w:gridCol w:w="615"/>
        <w:gridCol w:w="4536"/>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178</w:t>
            </w:r>
          </w:p>
        </w:tc>
        <w:tc>
          <w:tcPr/>
          <w:p>
            <w:pPr>
              <w:pStyle w:val="Compact"/>
              <w:jc w:val="left"/>
            </w:pPr>
            <w:r>
              <w:t xml:space="preserve">Supplier self-registration portal</w:t>
            </w:r>
          </w:p>
        </w:tc>
        <w:tc>
          <w:tcPr/>
          <w:p>
            <w:pPr>
              <w:pStyle w:val="Compact"/>
              <w:jc w:val="left"/>
            </w:pPr>
            <w:r>
              <w:t xml:space="preserve">P0</w:t>
            </w:r>
          </w:p>
        </w:tc>
        <w:tc>
          <w:tcPr/>
          <w:p>
            <w:pPr>
              <w:pStyle w:val="Compact"/>
              <w:jc w:val="left"/>
            </w:pPr>
            <w:r>
              <w:t xml:space="preserve">Non-EU manufacturers register to provide emissions data</w:t>
            </w:r>
          </w:p>
        </w:tc>
      </w:tr>
      <w:tr>
        <w:tc>
          <w:tcPr/>
          <w:p>
            <w:pPr>
              <w:pStyle w:val="Compact"/>
              <w:jc w:val="left"/>
            </w:pPr>
            <w:r>
              <w:t xml:space="preserve">179</w:t>
            </w:r>
          </w:p>
        </w:tc>
        <w:tc>
          <w:tcPr/>
          <w:p>
            <w:pPr>
              <w:pStyle w:val="Compact"/>
              <w:jc w:val="left"/>
            </w:pPr>
            <w:r>
              <w:t xml:space="preserve">Supplier data entry wizard</w:t>
            </w:r>
          </w:p>
        </w:tc>
        <w:tc>
          <w:tcPr/>
          <w:p>
            <w:pPr>
              <w:pStyle w:val="Compact"/>
              <w:jc w:val="left"/>
            </w:pPr>
            <w:r>
              <w:t xml:space="preserve">P0</w:t>
            </w:r>
          </w:p>
        </w:tc>
        <w:tc>
          <w:tcPr/>
          <w:p>
            <w:pPr>
              <w:pStyle w:val="Compact"/>
              <w:jc w:val="left"/>
            </w:pPr>
            <w:r>
              <w:t xml:space="preserve">Guided emissions data collection with calculation helpers</w:t>
            </w:r>
          </w:p>
        </w:tc>
      </w:tr>
      <w:tr>
        <w:tc>
          <w:tcPr/>
          <w:p>
            <w:pPr>
              <w:pStyle w:val="Compact"/>
              <w:jc w:val="left"/>
            </w:pPr>
            <w:r>
              <w:t xml:space="preserve">180</w:t>
            </w:r>
          </w:p>
        </w:tc>
        <w:tc>
          <w:tcPr/>
          <w:p>
            <w:pPr>
              <w:pStyle w:val="Compact"/>
              <w:jc w:val="left"/>
            </w:pPr>
            <w:r>
              <w:t xml:space="preserve">Supplier verification workflow</w:t>
            </w:r>
          </w:p>
        </w:tc>
        <w:tc>
          <w:tcPr/>
          <w:p>
            <w:pPr>
              <w:pStyle w:val="Compact"/>
              <w:jc w:val="left"/>
            </w:pPr>
            <w:r>
              <w:t xml:space="preserve">P1</w:t>
            </w:r>
          </w:p>
        </w:tc>
        <w:tc>
          <w:tcPr/>
          <w:p>
            <w:pPr>
              <w:pStyle w:val="Compact"/>
              <w:jc w:val="left"/>
            </w:pPr>
            <w:r>
              <w:t xml:space="preserve">Review and approve supplier-submitted data</w:t>
            </w:r>
          </w:p>
        </w:tc>
      </w:tr>
      <w:tr>
        <w:tc>
          <w:tcPr/>
          <w:p>
            <w:pPr>
              <w:pStyle w:val="Compact"/>
              <w:jc w:val="left"/>
            </w:pPr>
            <w:r>
              <w:t xml:space="preserve">181</w:t>
            </w:r>
          </w:p>
        </w:tc>
        <w:tc>
          <w:tcPr/>
          <w:p>
            <w:pPr>
              <w:pStyle w:val="Compact"/>
              <w:jc w:val="left"/>
            </w:pPr>
            <w:r>
              <w:t xml:space="preserve">Supplier communication hub</w:t>
            </w:r>
          </w:p>
        </w:tc>
        <w:tc>
          <w:tcPr/>
          <w:p>
            <w:pPr>
              <w:pStyle w:val="Compact"/>
              <w:jc w:val="left"/>
            </w:pPr>
            <w:r>
              <w:t xml:space="preserve">P1</w:t>
            </w:r>
          </w:p>
        </w:tc>
        <w:tc>
          <w:tcPr/>
          <w:p>
            <w:pPr>
              <w:pStyle w:val="Compact"/>
              <w:jc w:val="left"/>
            </w:pPr>
            <w:r>
              <w:t xml:space="preserve">In-app messaging between importers and their suppliers</w:t>
            </w:r>
          </w:p>
        </w:tc>
      </w:tr>
      <w:tr>
        <w:tc>
          <w:tcPr/>
          <w:p>
            <w:pPr>
              <w:pStyle w:val="Compact"/>
              <w:jc w:val="left"/>
            </w:pPr>
            <w:r>
              <w:t xml:space="preserve">182</w:t>
            </w:r>
          </w:p>
        </w:tc>
        <w:tc>
          <w:tcPr/>
          <w:p>
            <w:pPr>
              <w:pStyle w:val="Compact"/>
              <w:jc w:val="left"/>
            </w:pPr>
            <w:r>
              <w:t xml:space="preserve">Supplier data quality scoring</w:t>
            </w:r>
          </w:p>
        </w:tc>
        <w:tc>
          <w:tcPr/>
          <w:p>
            <w:pPr>
              <w:pStyle w:val="Compact"/>
              <w:jc w:val="left"/>
            </w:pPr>
            <w:r>
              <w:t xml:space="preserve">P1</w:t>
            </w:r>
          </w:p>
        </w:tc>
        <w:tc>
          <w:tcPr/>
          <w:p>
            <w:pPr>
              <w:pStyle w:val="Compact"/>
              <w:jc w:val="left"/>
            </w:pPr>
            <w:r>
              <w:t xml:space="preserve">Rate completeness, consistency, timeliness of supplier data</w:t>
            </w:r>
          </w:p>
        </w:tc>
      </w:tr>
      <w:tr>
        <w:tc>
          <w:tcPr/>
          <w:p>
            <w:pPr>
              <w:pStyle w:val="Compact"/>
              <w:jc w:val="left"/>
            </w:pPr>
            <w:r>
              <w:t xml:space="preserve">183</w:t>
            </w:r>
          </w:p>
        </w:tc>
        <w:tc>
          <w:tcPr/>
          <w:p>
            <w:pPr>
              <w:pStyle w:val="Compact"/>
              <w:jc w:val="left"/>
            </w:pPr>
            <w:r>
              <w:t xml:space="preserve">Supplier bulk invite (CSV/API)</w:t>
            </w:r>
          </w:p>
        </w:tc>
        <w:tc>
          <w:tcPr/>
          <w:p>
            <w:pPr>
              <w:pStyle w:val="Compact"/>
              <w:jc w:val="left"/>
            </w:pPr>
            <w:r>
              <w:t xml:space="preserve">P1</w:t>
            </w:r>
          </w:p>
        </w:tc>
        <w:tc>
          <w:tcPr/>
          <w:p>
            <w:pPr>
              <w:pStyle w:val="Compact"/>
              <w:jc w:val="left"/>
            </w:pPr>
            <w:r>
              <w:t xml:space="preserve">Importers invite hundreds of suppliers at once</w:t>
            </w:r>
          </w:p>
        </w:tc>
      </w:tr>
      <w:tr>
        <w:tc>
          <w:tcPr/>
          <w:p>
            <w:pPr>
              <w:pStyle w:val="Compact"/>
              <w:jc w:val="left"/>
            </w:pPr>
            <w:r>
              <w:t xml:space="preserve">184</w:t>
            </w:r>
          </w:p>
        </w:tc>
        <w:tc>
          <w:tcPr/>
          <w:p>
            <w:pPr>
              <w:pStyle w:val="Compact"/>
              <w:jc w:val="left"/>
            </w:pPr>
            <w:r>
              <w:t xml:space="preserve">Supplier dashboard (their view)</w:t>
            </w:r>
          </w:p>
        </w:tc>
        <w:tc>
          <w:tcPr/>
          <w:p>
            <w:pPr>
              <w:pStyle w:val="Compact"/>
              <w:jc w:val="left"/>
            </w:pPr>
            <w:r>
              <w:t xml:space="preserve">P1</w:t>
            </w:r>
          </w:p>
        </w:tc>
        <w:tc>
          <w:tcPr/>
          <w:p>
            <w:pPr>
              <w:pStyle w:val="Compact"/>
              <w:jc w:val="left"/>
            </w:pPr>
            <w:r>
              <w:t xml:space="preserve">Suppliers see which importers need their data, deadlines</w:t>
            </w:r>
          </w:p>
        </w:tc>
      </w:tr>
      <w:tr>
        <w:tc>
          <w:tcPr/>
          <w:p>
            <w:pPr>
              <w:pStyle w:val="Compact"/>
              <w:jc w:val="left"/>
            </w:pPr>
            <w:r>
              <w:t xml:space="preserve">185</w:t>
            </w:r>
          </w:p>
        </w:tc>
        <w:tc>
          <w:tcPr/>
          <w:p>
            <w:pPr>
              <w:pStyle w:val="Compact"/>
              <w:jc w:val="left"/>
            </w:pPr>
            <w:r>
              <w:t xml:space="preserve">Supplier freemium model</w:t>
            </w:r>
          </w:p>
        </w:tc>
        <w:tc>
          <w:tcPr/>
          <w:p>
            <w:pPr>
              <w:pStyle w:val="Compact"/>
              <w:jc w:val="left"/>
            </w:pPr>
            <w:r>
              <w:t xml:space="preserve">P2</w:t>
            </w:r>
          </w:p>
        </w:tc>
        <w:tc>
          <w:tcPr/>
          <w:p>
            <w:pPr>
              <w:pStyle w:val="Compact"/>
              <w:jc w:val="left"/>
            </w:pPr>
            <w:r>
              <w:t xml:space="preserve">Free for suppliers, paid features for advanced analytics</w:t>
            </w:r>
          </w:p>
        </w:tc>
      </w:tr>
      <w:tr>
        <w:tc>
          <w:tcPr/>
          <w:p>
            <w:pPr>
              <w:pStyle w:val="Compact"/>
              <w:jc w:val="left"/>
            </w:pPr>
            <w:r>
              <w:t xml:space="preserve">186</w:t>
            </w:r>
          </w:p>
        </w:tc>
        <w:tc>
          <w:tcPr/>
          <w:p>
            <w:pPr>
              <w:pStyle w:val="Compact"/>
              <w:jc w:val="left"/>
            </w:pPr>
            <w:r>
              <w:t xml:space="preserve">Supplier network effect analytics</w:t>
            </w:r>
          </w:p>
        </w:tc>
        <w:tc>
          <w:tcPr/>
          <w:p>
            <w:pPr>
              <w:pStyle w:val="Compact"/>
              <w:jc w:val="left"/>
            </w:pPr>
            <w:r>
              <w:t xml:space="preserve">P2</w:t>
            </w:r>
          </w:p>
        </w:tc>
        <w:tc>
          <w:tcPr/>
          <w:p>
            <w:pPr>
              <w:pStyle w:val="Compact"/>
              <w:jc w:val="left"/>
            </w:pPr>
            <w:r>
              <w:t xml:space="preserve">Track how supplier adoption drives importer retention</w:t>
            </w:r>
          </w:p>
        </w:tc>
      </w:tr>
    </w:tbl>
    <w:bookmarkEnd w:id="55"/>
    <w:bookmarkStart w:id="56" w:name="industry-vertical-deepening-prs-187198"/>
    <w:p>
      <w:pPr>
        <w:pStyle w:val="Heading3"/>
      </w:pPr>
      <w:r>
        <w:t xml:space="preserve">5.2 Industry Vertical Deepening (PRs 187–198)</w:t>
      </w:r>
    </w:p>
    <w:tbl>
      <w:tblPr>
        <w:tblStyle w:val="Table"/>
        <w:tblW w:type="pct" w:w="5000"/>
        <w:tblLook w:firstRow="1" w:lastRow="0" w:firstColumn="0" w:lastColumn="0" w:noHBand="0" w:noVBand="0" w:val="0020"/>
        <w:jc w:val="start"/>
      </w:tblPr>
      <w:tblGrid>
        <w:gridCol w:w="185"/>
        <w:gridCol w:w="3465"/>
        <w:gridCol w:w="495"/>
        <w:gridCol w:w="3774"/>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187</w:t>
            </w:r>
          </w:p>
        </w:tc>
        <w:tc>
          <w:tcPr/>
          <w:p>
            <w:pPr>
              <w:pStyle w:val="Compact"/>
              <w:jc w:val="left"/>
            </w:pPr>
            <w:r>
              <w:t xml:space="preserve">Construction industry module (EN 15978 deep integration)</w:t>
            </w:r>
          </w:p>
        </w:tc>
        <w:tc>
          <w:tcPr/>
          <w:p>
            <w:pPr>
              <w:pStyle w:val="Compact"/>
              <w:jc w:val="left"/>
            </w:pPr>
            <w:r>
              <w:t xml:space="preserve">P0</w:t>
            </w:r>
          </w:p>
        </w:tc>
        <w:tc>
          <w:tcPr/>
          <w:p>
            <w:pPr>
              <w:pStyle w:val="Compact"/>
              <w:jc w:val="left"/>
            </w:pPr>
            <w:r>
              <w:t xml:space="preserve">Full lifecycle carbon assessment for building projects</w:t>
            </w:r>
          </w:p>
        </w:tc>
      </w:tr>
      <w:tr>
        <w:tc>
          <w:tcPr/>
          <w:p>
            <w:pPr>
              <w:pStyle w:val="Compact"/>
              <w:jc w:val="left"/>
            </w:pPr>
            <w:r>
              <w:t xml:space="preserve">188</w:t>
            </w:r>
          </w:p>
        </w:tc>
        <w:tc>
          <w:tcPr/>
          <w:p>
            <w:pPr>
              <w:pStyle w:val="Compact"/>
              <w:jc w:val="left"/>
            </w:pPr>
            <w:r>
              <w:t xml:space="preserve">Steel industry module (ETS + CBAM specifics)</w:t>
            </w:r>
          </w:p>
        </w:tc>
        <w:tc>
          <w:tcPr/>
          <w:p>
            <w:pPr>
              <w:pStyle w:val="Compact"/>
              <w:jc w:val="left"/>
            </w:pPr>
            <w:r>
              <w:t xml:space="preserve">P0</w:t>
            </w:r>
          </w:p>
        </w:tc>
        <w:tc>
          <w:tcPr/>
          <w:p>
            <w:pPr>
              <w:pStyle w:val="Compact"/>
              <w:jc w:val="left"/>
            </w:pPr>
            <w:r>
              <w:t xml:space="preserve">BF-BOF vs EAF routes, scrap ratios, free allowance calc</w:t>
            </w:r>
          </w:p>
        </w:tc>
      </w:tr>
      <w:tr>
        <w:tc>
          <w:tcPr/>
          <w:p>
            <w:pPr>
              <w:pStyle w:val="Compact"/>
              <w:jc w:val="left"/>
            </w:pPr>
            <w:r>
              <w:t xml:space="preserve">189</w:t>
            </w:r>
          </w:p>
        </w:tc>
        <w:tc>
          <w:tcPr/>
          <w:p>
            <w:pPr>
              <w:pStyle w:val="Compact"/>
              <w:jc w:val="left"/>
            </w:pPr>
            <w:r>
              <w:t xml:space="preserve">Cement industry module</w:t>
            </w:r>
          </w:p>
        </w:tc>
        <w:tc>
          <w:tcPr/>
          <w:p>
            <w:pPr>
              <w:pStyle w:val="Compact"/>
              <w:jc w:val="left"/>
            </w:pPr>
            <w:r>
              <w:t xml:space="preserve">P0</w:t>
            </w:r>
          </w:p>
        </w:tc>
        <w:tc>
          <w:tcPr/>
          <w:p>
            <w:pPr>
              <w:pStyle w:val="Compact"/>
              <w:jc w:val="left"/>
            </w:pPr>
            <w:r>
              <w:t xml:space="preserve">Clinker ratio, alternative fuels, process emissions</w:t>
            </w:r>
          </w:p>
        </w:tc>
      </w:tr>
      <w:tr>
        <w:tc>
          <w:tcPr/>
          <w:p>
            <w:pPr>
              <w:pStyle w:val="Compact"/>
              <w:jc w:val="left"/>
            </w:pPr>
            <w:r>
              <w:t xml:space="preserve">190</w:t>
            </w:r>
          </w:p>
        </w:tc>
        <w:tc>
          <w:tcPr/>
          <w:p>
            <w:pPr>
              <w:pStyle w:val="Compact"/>
              <w:jc w:val="left"/>
            </w:pPr>
            <w:r>
              <w:t xml:space="preserve">Chemicals industry module</w:t>
            </w:r>
          </w:p>
        </w:tc>
        <w:tc>
          <w:tcPr/>
          <w:p>
            <w:pPr>
              <w:pStyle w:val="Compact"/>
              <w:jc w:val="left"/>
            </w:pPr>
            <w:r>
              <w:t xml:space="preserve">P1</w:t>
            </w:r>
          </w:p>
        </w:tc>
        <w:tc>
          <w:tcPr/>
          <w:p>
            <w:pPr>
              <w:pStyle w:val="Compact"/>
              <w:jc w:val="left"/>
            </w:pPr>
            <w:r>
              <w:t xml:space="preserve">Crackers, polymerization, GHG intensity per product</w:t>
            </w:r>
          </w:p>
        </w:tc>
      </w:tr>
      <w:tr>
        <w:tc>
          <w:tcPr/>
          <w:p>
            <w:pPr>
              <w:pStyle w:val="Compact"/>
              <w:jc w:val="left"/>
            </w:pPr>
            <w:r>
              <w:t xml:space="preserve">191</w:t>
            </w:r>
          </w:p>
        </w:tc>
        <w:tc>
          <w:tcPr/>
          <w:p>
            <w:pPr>
              <w:pStyle w:val="Compact"/>
              <w:jc w:val="left"/>
            </w:pPr>
            <w:r>
              <w:t xml:space="preserve">Aluminum industry module</w:t>
            </w:r>
          </w:p>
        </w:tc>
        <w:tc>
          <w:tcPr/>
          <w:p>
            <w:pPr>
              <w:pStyle w:val="Compact"/>
              <w:jc w:val="left"/>
            </w:pPr>
            <w:r>
              <w:t xml:space="preserve">P1</w:t>
            </w:r>
          </w:p>
        </w:tc>
        <w:tc>
          <w:tcPr/>
          <w:p>
            <w:pPr>
              <w:pStyle w:val="Compact"/>
              <w:jc w:val="left"/>
            </w:pPr>
            <w:r>
              <w:t xml:space="preserve">Smelting emissions, anode effects, electricity source</w:t>
            </w:r>
          </w:p>
        </w:tc>
      </w:tr>
      <w:tr>
        <w:tc>
          <w:tcPr/>
          <w:p>
            <w:pPr>
              <w:pStyle w:val="Compact"/>
              <w:jc w:val="left"/>
            </w:pPr>
            <w:r>
              <w:t xml:space="preserve">192</w:t>
            </w:r>
          </w:p>
        </w:tc>
        <w:tc>
          <w:tcPr/>
          <w:p>
            <w:pPr>
              <w:pStyle w:val="Compact"/>
              <w:jc w:val="left"/>
            </w:pPr>
            <w:r>
              <w:t xml:space="preserve">Manufacturing (general) module</w:t>
            </w:r>
          </w:p>
        </w:tc>
        <w:tc>
          <w:tcPr/>
          <w:p>
            <w:pPr>
              <w:pStyle w:val="Compact"/>
              <w:jc w:val="left"/>
            </w:pPr>
            <w:r>
              <w:t xml:space="preserve">P1</w:t>
            </w:r>
          </w:p>
        </w:tc>
        <w:tc>
          <w:tcPr/>
          <w:p>
            <w:pPr>
              <w:pStyle w:val="Compact"/>
              <w:jc w:val="left"/>
            </w:pPr>
            <w:r>
              <w:t xml:space="preserve">Machine-level energy tracking, OEE integration</w:t>
            </w:r>
          </w:p>
        </w:tc>
      </w:tr>
      <w:tr>
        <w:tc>
          <w:tcPr/>
          <w:p>
            <w:pPr>
              <w:pStyle w:val="Compact"/>
              <w:jc w:val="left"/>
            </w:pPr>
            <w:r>
              <w:t xml:space="preserve">193</w:t>
            </w:r>
          </w:p>
        </w:tc>
        <w:tc>
          <w:tcPr/>
          <w:p>
            <w:pPr>
              <w:pStyle w:val="Compact"/>
              <w:jc w:val="left"/>
            </w:pPr>
            <w:r>
              <w:t xml:space="preserve">Logistics &amp; transport module</w:t>
            </w:r>
          </w:p>
        </w:tc>
        <w:tc>
          <w:tcPr/>
          <w:p>
            <w:pPr>
              <w:pStyle w:val="Compact"/>
              <w:jc w:val="left"/>
            </w:pPr>
            <w:r>
              <w:t xml:space="preserve">P1</w:t>
            </w:r>
          </w:p>
        </w:tc>
        <w:tc>
          <w:tcPr/>
          <w:p>
            <w:pPr>
              <w:pStyle w:val="Compact"/>
              <w:jc w:val="left"/>
            </w:pPr>
            <w:r>
              <w:t xml:space="preserve">Fleet emissions, route optimization, ReFuelEU</w:t>
            </w:r>
          </w:p>
        </w:tc>
      </w:tr>
      <w:tr>
        <w:tc>
          <w:tcPr/>
          <w:p>
            <w:pPr>
              <w:pStyle w:val="Compact"/>
              <w:jc w:val="left"/>
            </w:pPr>
            <w:r>
              <w:t xml:space="preserve">194</w:t>
            </w:r>
          </w:p>
        </w:tc>
        <w:tc>
          <w:tcPr/>
          <w:p>
            <w:pPr>
              <w:pStyle w:val="Compact"/>
              <w:jc w:val="left"/>
            </w:pPr>
            <w:r>
              <w:t xml:space="preserve">Energy production module</w:t>
            </w:r>
          </w:p>
        </w:tc>
        <w:tc>
          <w:tcPr/>
          <w:p>
            <w:pPr>
              <w:pStyle w:val="Compact"/>
              <w:jc w:val="left"/>
            </w:pPr>
            <w:r>
              <w:t xml:space="preserve">P1</w:t>
            </w:r>
          </w:p>
        </w:tc>
        <w:tc>
          <w:tcPr/>
          <w:p>
            <w:pPr>
              <w:pStyle w:val="Compact"/>
              <w:jc w:val="left"/>
            </w:pPr>
            <w:r>
              <w:t xml:space="preserve">Generation mix, grid emission factors, renewable certificates</w:t>
            </w:r>
          </w:p>
        </w:tc>
      </w:tr>
      <w:tr>
        <w:tc>
          <w:tcPr/>
          <w:p>
            <w:pPr>
              <w:pStyle w:val="Compact"/>
              <w:jc w:val="left"/>
            </w:pPr>
            <w:r>
              <w:t xml:space="preserve">195</w:t>
            </w:r>
          </w:p>
        </w:tc>
        <w:tc>
          <w:tcPr/>
          <w:p>
            <w:pPr>
              <w:pStyle w:val="Compact"/>
              <w:jc w:val="left"/>
            </w:pPr>
            <w:r>
              <w:t xml:space="preserve">Mining industry module</w:t>
            </w:r>
          </w:p>
        </w:tc>
        <w:tc>
          <w:tcPr/>
          <w:p>
            <w:pPr>
              <w:pStyle w:val="Compact"/>
              <w:jc w:val="left"/>
            </w:pPr>
            <w:r>
              <w:t xml:space="preserve">P2</w:t>
            </w:r>
          </w:p>
        </w:tc>
        <w:tc>
          <w:tcPr/>
          <w:p>
            <w:pPr>
              <w:pStyle w:val="Compact"/>
              <w:jc w:val="left"/>
            </w:pPr>
            <w:r>
              <w:t xml:space="preserve">Extraction emissions, processing, rehabilitation</w:t>
            </w:r>
          </w:p>
        </w:tc>
      </w:tr>
      <w:tr>
        <w:tc>
          <w:tcPr/>
          <w:p>
            <w:pPr>
              <w:pStyle w:val="Compact"/>
              <w:jc w:val="left"/>
            </w:pPr>
            <w:r>
              <w:t xml:space="preserve">196</w:t>
            </w:r>
          </w:p>
        </w:tc>
        <w:tc>
          <w:tcPr/>
          <w:p>
            <w:pPr>
              <w:pStyle w:val="Compact"/>
              <w:jc w:val="left"/>
            </w:pPr>
            <w:r>
              <w:t xml:space="preserve">Healthcare facilities module</w:t>
            </w:r>
          </w:p>
        </w:tc>
        <w:tc>
          <w:tcPr/>
          <w:p>
            <w:pPr>
              <w:pStyle w:val="Compact"/>
              <w:jc w:val="left"/>
            </w:pPr>
            <w:r>
              <w:t xml:space="preserve">P2</w:t>
            </w:r>
          </w:p>
        </w:tc>
        <w:tc>
          <w:tcPr/>
          <w:p>
            <w:pPr>
              <w:pStyle w:val="Compact"/>
              <w:jc w:val="left"/>
            </w:pPr>
            <w:r>
              <w:t xml:space="preserve">Energy-intensive medical equipment, waste management</w:t>
            </w:r>
          </w:p>
        </w:tc>
      </w:tr>
      <w:tr>
        <w:tc>
          <w:tcPr/>
          <w:p>
            <w:pPr>
              <w:pStyle w:val="Compact"/>
              <w:jc w:val="left"/>
            </w:pPr>
            <w:r>
              <w:t xml:space="preserve">197</w:t>
            </w:r>
          </w:p>
        </w:tc>
        <w:tc>
          <w:tcPr/>
          <w:p>
            <w:pPr>
              <w:pStyle w:val="Compact"/>
              <w:jc w:val="left"/>
            </w:pPr>
            <w:r>
              <w:t xml:space="preserve">Real estate &amp; buildings module</w:t>
            </w:r>
          </w:p>
        </w:tc>
        <w:tc>
          <w:tcPr/>
          <w:p>
            <w:pPr>
              <w:pStyle w:val="Compact"/>
              <w:jc w:val="left"/>
            </w:pPr>
            <w:r>
              <w:t xml:space="preserve">P1</w:t>
            </w:r>
          </w:p>
        </w:tc>
        <w:tc>
          <w:tcPr/>
          <w:p>
            <w:pPr>
              <w:pStyle w:val="Compact"/>
              <w:jc w:val="left"/>
            </w:pPr>
            <w:r>
              <w:t xml:space="preserve">EPBD compliance, EPC integration, renovation roadmap</w:t>
            </w:r>
          </w:p>
        </w:tc>
      </w:tr>
      <w:tr>
        <w:tc>
          <w:tcPr/>
          <w:p>
            <w:pPr>
              <w:pStyle w:val="Compact"/>
              <w:jc w:val="left"/>
            </w:pPr>
            <w:r>
              <w:t xml:space="preserve">198</w:t>
            </w:r>
          </w:p>
        </w:tc>
        <w:tc>
          <w:tcPr/>
          <w:p>
            <w:pPr>
              <w:pStyle w:val="Compact"/>
              <w:jc w:val="left"/>
            </w:pPr>
            <w:r>
              <w:t xml:space="preserve">Public sector module</w:t>
            </w:r>
          </w:p>
        </w:tc>
        <w:tc>
          <w:tcPr/>
          <w:p>
            <w:pPr>
              <w:pStyle w:val="Compact"/>
              <w:jc w:val="left"/>
            </w:pPr>
            <w:r>
              <w:t xml:space="preserve">P2</w:t>
            </w:r>
          </w:p>
        </w:tc>
        <w:tc>
          <w:tcPr/>
          <w:p>
            <w:pPr>
              <w:pStyle w:val="Compact"/>
              <w:jc w:val="left"/>
            </w:pPr>
            <w:r>
              <w:t xml:space="preserve">Green public procurement, climate neutrality targets</w:t>
            </w:r>
          </w:p>
        </w:tc>
      </w:tr>
    </w:tbl>
    <w:bookmarkEnd w:id="56"/>
    <w:bookmarkStart w:id="57" w:name="partner-ecosystem-prs-199206"/>
    <w:p>
      <w:pPr>
        <w:pStyle w:val="Heading3"/>
      </w:pPr>
      <w:r>
        <w:t xml:space="preserve">5.3 Partner Ecosystem (PRs 199–206)</w:t>
      </w:r>
    </w:p>
    <w:tbl>
      <w:tblPr>
        <w:tblStyle w:val="Table"/>
        <w:tblW w:type="pct" w:w="5000"/>
        <w:tblLook w:firstRow="1" w:lastRow="0" w:firstColumn="0" w:lastColumn="0" w:noHBand="0" w:noVBand="0" w:val="0020"/>
        <w:jc w:val="start"/>
      </w:tblPr>
      <w:tblGrid>
        <w:gridCol w:w="203"/>
        <w:gridCol w:w="3249"/>
        <w:gridCol w:w="541"/>
        <w:gridCol w:w="3926"/>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199</w:t>
            </w:r>
          </w:p>
        </w:tc>
        <w:tc>
          <w:tcPr/>
          <w:p>
            <w:pPr>
              <w:pStyle w:val="Compact"/>
              <w:jc w:val="left"/>
            </w:pPr>
            <w:r>
              <w:t xml:space="preserve">Partner API with OAuth2 authentication</w:t>
            </w:r>
          </w:p>
        </w:tc>
        <w:tc>
          <w:tcPr/>
          <w:p>
            <w:pPr>
              <w:pStyle w:val="Compact"/>
              <w:jc w:val="left"/>
            </w:pPr>
            <w:r>
              <w:t xml:space="preserve">P1</w:t>
            </w:r>
          </w:p>
        </w:tc>
        <w:tc>
          <w:tcPr/>
          <w:p>
            <w:pPr>
              <w:pStyle w:val="Compact"/>
              <w:jc w:val="left"/>
            </w:pPr>
            <w:r>
              <w:t xml:space="preserve">Secure API access for integration partners</w:t>
            </w:r>
          </w:p>
        </w:tc>
      </w:tr>
      <w:tr>
        <w:tc>
          <w:tcPr/>
          <w:p>
            <w:pPr>
              <w:pStyle w:val="Compact"/>
              <w:jc w:val="left"/>
            </w:pPr>
            <w:r>
              <w:t xml:space="preserve">200</w:t>
            </w:r>
          </w:p>
        </w:tc>
        <w:tc>
          <w:tcPr/>
          <w:p>
            <w:pPr>
              <w:pStyle w:val="Compact"/>
              <w:jc w:val="left"/>
            </w:pPr>
            <w:r>
              <w:t xml:space="preserve">Partner portal (documentation + sandbox)</w:t>
            </w:r>
          </w:p>
        </w:tc>
        <w:tc>
          <w:tcPr/>
          <w:p>
            <w:pPr>
              <w:pStyle w:val="Compact"/>
              <w:jc w:val="left"/>
            </w:pPr>
            <w:r>
              <w:t xml:space="preserve">P1</w:t>
            </w:r>
          </w:p>
        </w:tc>
        <w:tc>
          <w:tcPr/>
          <w:p>
            <w:pPr>
              <w:pStyle w:val="Compact"/>
              <w:jc w:val="left"/>
            </w:pPr>
            <w:r>
              <w:t xml:space="preserve">Self-service partner onboarding with test environment</w:t>
            </w:r>
          </w:p>
        </w:tc>
      </w:tr>
      <w:tr>
        <w:tc>
          <w:tcPr/>
          <w:p>
            <w:pPr>
              <w:pStyle w:val="Compact"/>
              <w:jc w:val="left"/>
            </w:pPr>
            <w:r>
              <w:t xml:space="preserve">201</w:t>
            </w:r>
          </w:p>
        </w:tc>
        <w:tc>
          <w:tcPr/>
          <w:p>
            <w:pPr>
              <w:pStyle w:val="Compact"/>
              <w:jc w:val="left"/>
            </w:pPr>
            <w:r>
              <w:t xml:space="preserve">White-label configuration (branding per partner)</w:t>
            </w:r>
          </w:p>
        </w:tc>
        <w:tc>
          <w:tcPr/>
          <w:p>
            <w:pPr>
              <w:pStyle w:val="Compact"/>
              <w:jc w:val="left"/>
            </w:pPr>
            <w:r>
              <w:t xml:space="preserve">P2</w:t>
            </w:r>
          </w:p>
        </w:tc>
        <w:tc>
          <w:tcPr/>
          <w:p>
            <w:pPr>
              <w:pStyle w:val="Compact"/>
              <w:jc w:val="left"/>
            </w:pPr>
            <w:r>
              <w:t xml:space="preserve">Partners resell DWS7 under their brand</w:t>
            </w:r>
          </w:p>
        </w:tc>
      </w:tr>
      <w:tr>
        <w:tc>
          <w:tcPr/>
          <w:p>
            <w:pPr>
              <w:pStyle w:val="Compact"/>
              <w:jc w:val="left"/>
            </w:pPr>
            <w:r>
              <w:t xml:space="preserve">202</w:t>
            </w:r>
          </w:p>
        </w:tc>
        <w:tc>
          <w:tcPr/>
          <w:p>
            <w:pPr>
              <w:pStyle w:val="Compact"/>
              <w:jc w:val="left"/>
            </w:pPr>
            <w:r>
              <w:t xml:space="preserve">Consulting partner dashboard</w:t>
            </w:r>
          </w:p>
        </w:tc>
        <w:tc>
          <w:tcPr/>
          <w:p>
            <w:pPr>
              <w:pStyle w:val="Compact"/>
              <w:jc w:val="left"/>
            </w:pPr>
            <w:r>
              <w:t xml:space="preserve">P2</w:t>
            </w:r>
          </w:p>
        </w:tc>
        <w:tc>
          <w:tcPr/>
          <w:p>
            <w:pPr>
              <w:pStyle w:val="Compact"/>
              <w:jc w:val="left"/>
            </w:pPr>
            <w:r>
              <w:t xml:space="preserve">Sustainability consultants manage multiple client accounts</w:t>
            </w:r>
          </w:p>
        </w:tc>
      </w:tr>
      <w:tr>
        <w:tc>
          <w:tcPr/>
          <w:p>
            <w:pPr>
              <w:pStyle w:val="Compact"/>
              <w:jc w:val="left"/>
            </w:pPr>
            <w:r>
              <w:t xml:space="preserve">203</w:t>
            </w:r>
          </w:p>
        </w:tc>
        <w:tc>
          <w:tcPr/>
          <w:p>
            <w:pPr>
              <w:pStyle w:val="Compact"/>
              <w:jc w:val="left"/>
            </w:pPr>
            <w:r>
              <w:t xml:space="preserve">Webhook event catalog for integrations</w:t>
            </w:r>
          </w:p>
        </w:tc>
        <w:tc>
          <w:tcPr/>
          <w:p>
            <w:pPr>
              <w:pStyle w:val="Compact"/>
              <w:jc w:val="left"/>
            </w:pPr>
            <w:r>
              <w:t xml:space="preserve">P1</w:t>
            </w:r>
          </w:p>
        </w:tc>
        <w:tc>
          <w:tcPr/>
          <w:p>
            <w:pPr>
              <w:pStyle w:val="Compact"/>
              <w:jc w:val="left"/>
            </w:pPr>
            <w:r>
              <w:t xml:space="preserve">Publish events partners can subscribe to</w:t>
            </w:r>
          </w:p>
        </w:tc>
      </w:tr>
      <w:tr>
        <w:tc>
          <w:tcPr/>
          <w:p>
            <w:pPr>
              <w:pStyle w:val="Compact"/>
              <w:jc w:val="left"/>
            </w:pPr>
            <w:r>
              <w:t xml:space="preserve">204</w:t>
            </w:r>
          </w:p>
        </w:tc>
        <w:tc>
          <w:tcPr/>
          <w:p>
            <w:pPr>
              <w:pStyle w:val="Compact"/>
              <w:jc w:val="left"/>
            </w:pPr>
            <w:r>
              <w:t xml:space="preserve">Marketplace for industry templates</w:t>
            </w:r>
          </w:p>
        </w:tc>
        <w:tc>
          <w:tcPr/>
          <w:p>
            <w:pPr>
              <w:pStyle w:val="Compact"/>
              <w:jc w:val="left"/>
            </w:pPr>
            <w:r>
              <w:t xml:space="preserve">P2</w:t>
            </w:r>
          </w:p>
        </w:tc>
        <w:tc>
          <w:tcPr/>
          <w:p>
            <w:pPr>
              <w:pStyle w:val="Compact"/>
              <w:jc w:val="left"/>
            </w:pPr>
            <w:r>
              <w:t xml:space="preserve">Partners publish compliance templates to marketplace</w:t>
            </w:r>
          </w:p>
        </w:tc>
      </w:tr>
      <w:tr>
        <w:tc>
          <w:tcPr/>
          <w:p>
            <w:pPr>
              <w:pStyle w:val="Compact"/>
              <w:jc w:val="left"/>
            </w:pPr>
            <w:r>
              <w:t xml:space="preserve">205</w:t>
            </w:r>
          </w:p>
        </w:tc>
        <w:tc>
          <w:tcPr/>
          <w:p>
            <w:pPr>
              <w:pStyle w:val="Compact"/>
              <w:jc w:val="left"/>
            </w:pPr>
            <w:r>
              <w:t xml:space="preserve">Partner referral tracking</w:t>
            </w:r>
          </w:p>
        </w:tc>
        <w:tc>
          <w:tcPr/>
          <w:p>
            <w:pPr>
              <w:pStyle w:val="Compact"/>
              <w:jc w:val="left"/>
            </w:pPr>
            <w:r>
              <w:t xml:space="preserve">P2</w:t>
            </w:r>
          </w:p>
        </w:tc>
        <w:tc>
          <w:tcPr/>
          <w:p>
            <w:pPr>
              <w:pStyle w:val="Compact"/>
              <w:jc w:val="left"/>
            </w:pPr>
            <w:r>
              <w:t xml:space="preserve">Attribution for partner-sourced customers</w:t>
            </w:r>
          </w:p>
        </w:tc>
      </w:tr>
      <w:tr>
        <w:tc>
          <w:tcPr/>
          <w:p>
            <w:pPr>
              <w:pStyle w:val="Compact"/>
              <w:jc w:val="left"/>
            </w:pPr>
            <w:r>
              <w:t xml:space="preserve">206</w:t>
            </w:r>
          </w:p>
        </w:tc>
        <w:tc>
          <w:tcPr/>
          <w:p>
            <w:pPr>
              <w:pStyle w:val="Compact"/>
              <w:jc w:val="left"/>
            </w:pPr>
            <w:r>
              <w:t xml:space="preserve">Integration with One Click LCA (bidirectional)</w:t>
            </w:r>
          </w:p>
        </w:tc>
        <w:tc>
          <w:tcPr/>
          <w:p>
            <w:pPr>
              <w:pStyle w:val="Compact"/>
              <w:jc w:val="left"/>
            </w:pPr>
            <w:r>
              <w:t xml:space="preserve">P1</w:t>
            </w:r>
          </w:p>
        </w:tc>
        <w:tc>
          <w:tcPr/>
          <w:p>
            <w:pPr>
              <w:pStyle w:val="Compact"/>
              <w:jc w:val="left"/>
            </w:pPr>
            <w:r>
              <w:t xml:space="preserve">Import LCA data, export compliance status</w:t>
            </w:r>
          </w:p>
        </w:tc>
      </w:tr>
    </w:tbl>
    <w:bookmarkEnd w:id="57"/>
    <w:bookmarkStart w:id="58" w:name="open-source-agent-framework-prs-207a207f"/>
    <w:p>
      <w:pPr>
        <w:pStyle w:val="Heading3"/>
      </w:pPr>
      <w:r>
        <w:t xml:space="preserve">5.4 Open-Source Agent Framework (PRs 207A–207F)</w:t>
      </w:r>
    </w:p>
    <w:p>
      <w:pPr>
        <w:pStyle w:val="FirstParagraph"/>
      </w:pPr>
      <w:r>
        <w:rPr>
          <w:bCs/>
          <w:b/>
        </w:rPr>
        <w:t xml:space="preserve">Strategic context:</w:t>
      </w:r>
      <w:r>
        <w:t xml:space="preserve"> </w:t>
      </w:r>
      <w:r>
        <w:t xml:space="preserve">Research analysis in</w:t>
      </w:r>
      <w:r>
        <w:t xml:space="preserve"> </w:t>
      </w:r>
      <w:r>
        <w:rPr>
          <w:rStyle w:val="VerbatimChar"/>
        </w:rPr>
        <w:t xml:space="preserve">docs/OPEN_DATA_SOURCES.md</w:t>
      </w:r>
      <w:r>
        <w:t xml:space="preserve"> </w:t>
      </w:r>
      <w:r>
        <w:t xml:space="preserve">§10 recommends open-sourcing the agent framework under Apache 2.0 while keeping compliance knowledge proprietary. Modeled after deepset/Haystack (EU-based, Apache 2.0, Airbus/LEGO/European Commission customers).</w:t>
      </w:r>
    </w:p>
    <w:p>
      <w:pPr>
        <w:pStyle w:val="BodyText"/>
      </w:pPr>
      <w:r>
        <w:rPr>
          <w:bCs/>
          <w:b/>
        </w:rPr>
        <w:t xml:space="preserve">Core insight:</w:t>
      </w:r>
      <w:r>
        <w:t xml:space="preserve"> </w:t>
      </w:r>
      <w:r>
        <w:t xml:space="preserve">The compliance knowledge is the moat, not the framework. Nobody forks your emission factors.</w:t>
      </w:r>
    </w:p>
    <w:tbl>
      <w:tblPr>
        <w:tblStyle w:val="Table"/>
        <w:tblW w:type="pct" w:w="5000"/>
        <w:tblLook w:firstRow="1" w:lastRow="0" w:firstColumn="0" w:lastColumn="0" w:noHBand="0" w:noVBand="0" w:val="0020"/>
        <w:jc w:val="start"/>
      </w:tblPr>
      <w:tblGrid>
        <w:gridCol w:w="204"/>
        <w:gridCol w:w="3423"/>
        <w:gridCol w:w="408"/>
        <w:gridCol w:w="3883"/>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207A</w:t>
            </w:r>
          </w:p>
        </w:tc>
        <w:tc>
          <w:tcPr/>
          <w:p>
            <w:pPr>
              <w:pStyle w:val="Compact"/>
              <w:jc w:val="left"/>
            </w:pPr>
            <w:r>
              <w:t xml:space="preserve">Extract</w:t>
            </w:r>
            <w:r>
              <w:t xml:space="preserve"> </w:t>
            </w:r>
            <w:r>
              <w:rPr>
                <w:rStyle w:val="VerbatimChar"/>
              </w:rPr>
              <w:t xml:space="preserve">@dws/agent-core</w:t>
            </w:r>
            <w:r>
              <w:t xml:space="preserve"> </w:t>
            </w:r>
            <w:r>
              <w:t xml:space="preserve">package (BaseAgent, types, event bus)</w:t>
            </w:r>
          </w:p>
        </w:tc>
        <w:tc>
          <w:tcPr/>
          <w:p>
            <w:pPr>
              <w:pStyle w:val="Compact"/>
              <w:jc w:val="left"/>
            </w:pPr>
            <w:r>
              <w:t xml:space="preserve">P1</w:t>
            </w:r>
          </w:p>
        </w:tc>
        <w:tc>
          <w:tcPr/>
          <w:p>
            <w:pPr>
              <w:pStyle w:val="Compact"/>
              <w:jc w:val="left"/>
            </w:pPr>
            <w:r>
              <w:t xml:space="preserve">Separate agent primitives into publishable npm package under Apache 2.0</w:t>
            </w:r>
          </w:p>
        </w:tc>
      </w:tr>
      <w:tr>
        <w:tc>
          <w:tcPr/>
          <w:p>
            <w:pPr>
              <w:pStyle w:val="Compact"/>
              <w:jc w:val="left"/>
            </w:pPr>
            <w:r>
              <w:t xml:space="preserve">207B</w:t>
            </w:r>
          </w:p>
        </w:tc>
        <w:tc>
          <w:tcPr/>
          <w:p>
            <w:pPr>
              <w:pStyle w:val="Compact"/>
              <w:jc w:val="left"/>
            </w:pPr>
            <w:r>
              <w:t xml:space="preserve">Open-source ERP connectors (SAP, IFS, Dynamics adapters)</w:t>
            </w:r>
          </w:p>
        </w:tc>
        <w:tc>
          <w:tcPr/>
          <w:p>
            <w:pPr>
              <w:pStyle w:val="Compact"/>
              <w:jc w:val="left"/>
            </w:pPr>
            <w:r>
              <w:t xml:space="preserve">P1</w:t>
            </w:r>
          </w:p>
        </w:tc>
        <w:tc>
          <w:tcPr/>
          <w:p>
            <w:pPr>
              <w:pStyle w:val="Compact"/>
              <w:jc w:val="left"/>
            </w:pPr>
            <w:r>
              <w:t xml:space="preserve">Network effect — every contributed connector improves the platform</w:t>
            </w:r>
          </w:p>
        </w:tc>
      </w:tr>
      <w:tr>
        <w:tc>
          <w:tcPr/>
          <w:p>
            <w:pPr>
              <w:pStyle w:val="Compact"/>
              <w:jc w:val="left"/>
            </w:pPr>
            <w:r>
              <w:t xml:space="preserve">207C</w:t>
            </w:r>
          </w:p>
        </w:tc>
        <w:tc>
          <w:tcPr/>
          <w:p>
            <w:pPr>
              <w:pStyle w:val="Compact"/>
              <w:jc w:val="left"/>
            </w:pPr>
            <w:r>
              <w:t xml:space="preserve">Open-source MCP server implementations</w:t>
            </w:r>
          </w:p>
        </w:tc>
        <w:tc>
          <w:tcPr/>
          <w:p>
            <w:pPr>
              <w:pStyle w:val="Compact"/>
              <w:jc w:val="left"/>
            </w:pPr>
            <w:r>
              <w:t xml:space="preserve">P1</w:t>
            </w:r>
          </w:p>
        </w:tc>
        <w:tc>
          <w:tcPr/>
          <w:p>
            <w:pPr>
              <w:pStyle w:val="Compact"/>
              <w:jc w:val="left"/>
            </w:pPr>
            <w:r>
              <w:t xml:space="preserve">Aligns with AAIF (Linux Foundation), ecosystem interop with Claude/Anthropic</w:t>
            </w:r>
          </w:p>
        </w:tc>
      </w:tr>
      <w:tr>
        <w:tc>
          <w:tcPr/>
          <w:p>
            <w:pPr>
              <w:pStyle w:val="Compact"/>
              <w:jc w:val="left"/>
            </w:pPr>
            <w:r>
              <w:t xml:space="preserve">207D</w:t>
            </w:r>
          </w:p>
        </w:tc>
        <w:tc>
          <w:tcPr/>
          <w:p>
            <w:pPr>
              <w:pStyle w:val="Compact"/>
              <w:jc w:val="left"/>
            </w:pPr>
            <w:r>
              <w:t xml:space="preserve">Open-source CLI tooling (</w:t>
            </w:r>
            <w:r>
              <w:rPr>
                <w:rStyle w:val="VerbatimChar"/>
              </w:rPr>
              <w:t xml:space="preserve">dws</w:t>
            </w:r>
            <w:r>
              <w:t xml:space="preserve"> </w:t>
            </w:r>
            <w:r>
              <w:t xml:space="preserve">command)</w:t>
            </w:r>
          </w:p>
        </w:tc>
        <w:tc>
          <w:tcPr/>
          <w:p>
            <w:pPr>
              <w:pStyle w:val="Compact"/>
              <w:jc w:val="left"/>
            </w:pPr>
            <w:r>
              <w:t xml:space="preserve">P2</w:t>
            </w:r>
          </w:p>
        </w:tc>
        <w:tc>
          <w:tcPr/>
          <w:p>
            <w:pPr>
              <w:pStyle w:val="Compact"/>
              <w:jc w:val="left"/>
            </w:pPr>
            <w:r>
              <w:t xml:space="preserve">Developer experience, bottom-up adoption,</w:t>
            </w:r>
            <w:r>
              <w:t xml:space="preserve"> </w:t>
            </w:r>
            <w:r>
              <w:t xml:space="preserve">“</w:t>
            </w:r>
            <w:r>
              <w:t xml:space="preserve">try before you buy</w:t>
            </w:r>
            <w:r>
              <w:t xml:space="preserve">”</w:t>
            </w:r>
          </w:p>
        </w:tc>
      </w:tr>
      <w:tr>
        <w:tc>
          <w:tcPr/>
          <w:p>
            <w:pPr>
              <w:pStyle w:val="Compact"/>
              <w:jc w:val="left"/>
            </w:pPr>
            <w:r>
              <w:t xml:space="preserve">207E</w:t>
            </w:r>
          </w:p>
        </w:tc>
        <w:tc>
          <w:tcPr/>
          <w:p>
            <w:pPr>
              <w:pStyle w:val="Compact"/>
              <w:jc w:val="left"/>
            </w:pPr>
            <w:r>
              <w:t xml:space="preserve">Publish basic compliance rule parser (regulation → checklist)</w:t>
            </w:r>
          </w:p>
        </w:tc>
        <w:tc>
          <w:tcPr/>
          <w:p>
            <w:pPr>
              <w:pStyle w:val="Compact"/>
              <w:jc w:val="left"/>
            </w:pPr>
            <w:r>
              <w:t xml:space="preserve">P2</w:t>
            </w:r>
          </w:p>
        </w:tc>
        <w:tc>
          <w:tcPr/>
          <w:p>
            <w:pPr>
              <w:pStyle w:val="Compact"/>
              <w:jc w:val="left"/>
            </w:pPr>
            <w:r>
              <w:t xml:space="preserve">Demonstrates capability without exposing scoring engine</w:t>
            </w:r>
          </w:p>
        </w:tc>
      </w:tr>
      <w:tr>
        <w:tc>
          <w:tcPr/>
          <w:p>
            <w:pPr>
              <w:pStyle w:val="Compact"/>
              <w:jc w:val="left"/>
            </w:pPr>
            <w:r>
              <w:t xml:space="preserve">207F</w:t>
            </w:r>
          </w:p>
        </w:tc>
        <w:tc>
          <w:tcPr/>
          <w:p>
            <w:pPr>
              <w:pStyle w:val="Compact"/>
              <w:jc w:val="left"/>
            </w:pPr>
            <w:r>
              <w:t xml:space="preserve">Community setup: CONTRIBUTING.md, issue templates, CI for open repo</w:t>
            </w:r>
          </w:p>
        </w:tc>
        <w:tc>
          <w:tcPr/>
          <w:p>
            <w:pPr>
              <w:pStyle w:val="Compact"/>
              <w:jc w:val="left"/>
            </w:pPr>
            <w:r>
              <w:t xml:space="preserve">P1</w:t>
            </w:r>
          </w:p>
        </w:tc>
        <w:tc>
          <w:tcPr/>
          <w:p>
            <w:pPr>
              <w:pStyle w:val="Compact"/>
              <w:jc w:val="left"/>
            </w:pPr>
            <w:r>
              <w:t xml:space="preserve">Clear open/proprietary boundaries from day one</w:t>
            </w:r>
          </w:p>
        </w:tc>
      </w:tr>
    </w:tbl>
    <w:p>
      <w:pPr>
        <w:pStyle w:val="BodyText"/>
      </w:pPr>
      <w:r>
        <w:rPr>
          <w:bCs/>
          <w:b/>
        </w:rPr>
        <w:t xml:space="preserve">What stays proprietary (never open-source):</w:t>
      </w:r>
    </w:p>
    <w:p>
      <w:pPr>
        <w:numPr>
          <w:ilvl w:val="0"/>
          <w:numId w:val="1003"/>
        </w:numPr>
        <w:pStyle w:val="Compact"/>
      </w:pPr>
      <w:r>
        <w:t xml:space="preserve">Multi-agent orchestration with compliance scoring (core IP)</w:t>
      </w:r>
    </w:p>
    <w:p>
      <w:pPr>
        <w:numPr>
          <w:ilvl w:val="0"/>
          <w:numId w:val="1003"/>
        </w:numPr>
        <w:pStyle w:val="Compact"/>
      </w:pPr>
      <w:r>
        <w:t xml:space="preserve">Validated regulatory knowledge bases (emission factors, ESRS registry, CBAM models)</w:t>
      </w:r>
    </w:p>
    <w:p>
      <w:pPr>
        <w:numPr>
          <w:ilvl w:val="0"/>
          <w:numId w:val="1003"/>
        </w:numPr>
        <w:pStyle w:val="Compact"/>
      </w:pPr>
      <w:r>
        <w:t xml:space="preserve">Lifetime World Model (EU Regulations + Industry Models)</w:t>
      </w:r>
    </w:p>
    <w:p>
      <w:pPr>
        <w:numPr>
          <w:ilvl w:val="0"/>
          <w:numId w:val="1003"/>
        </w:numPr>
        <w:pStyle w:val="Compact"/>
      </w:pPr>
      <w:r>
        <w:t xml:space="preserve">Enterprise governance (RBAC, audit trails, Article 12 logging)</w:t>
      </w:r>
    </w:p>
    <w:p>
      <w:pPr>
        <w:numPr>
          <w:ilvl w:val="0"/>
          <w:numId w:val="1003"/>
        </w:numPr>
        <w:pStyle w:val="Compact"/>
      </w:pPr>
      <w:r>
        <w:t xml:space="preserve">Report engine with signed reports</w:t>
      </w:r>
    </w:p>
    <w:p>
      <w:pPr>
        <w:numPr>
          <w:ilvl w:val="0"/>
          <w:numId w:val="1003"/>
        </w:numPr>
        <w:pStyle w:val="Compact"/>
      </w:pPr>
      <w:r>
        <w:t xml:space="preserve">Pre-built industrial sector workflows</w:t>
      </w:r>
    </w:p>
    <w:p>
      <w:pPr>
        <w:pStyle w:val="FirstParagraph"/>
      </w:pPr>
      <w:r>
        <w:rPr>
          <w:bCs/>
          <w:b/>
        </w:rPr>
        <w:t xml:space="preserve">Licensing:</w:t>
      </w:r>
      <w:r>
        <w:t xml:space="preserve"> </w:t>
      </w:r>
      <w:r>
        <w:t xml:space="preserve">Apache 2.0 (not BSL). Maximizes EU public procurement compatibility, avoids fork risk (Redis→Valkey, HashiCorp→OpenTofu cautionary tales).</w:t>
      </w:r>
    </w:p>
    <w:p>
      <w:pPr>
        <w:pStyle w:val="BodyText"/>
      </w:pPr>
      <w:r>
        <w:rPr>
          <w:bCs/>
          <w:b/>
        </w:rPr>
        <w:t xml:space="preserve">Year 1 targets:</w:t>
      </w:r>
      <w:r>
        <w:t xml:space="preserve"> </w:t>
      </w:r>
      <w:r>
        <w:t xml:space="preserve">5,000+ GitHub stars | 10,000+ npm weekly downloads | 50+ community contributors</w:t>
      </w:r>
    </w:p>
    <w:bookmarkEnd w:id="58"/>
    <w:bookmarkStart w:id="59" w:name="mobile-accessibility-prs-207215"/>
    <w:p>
      <w:pPr>
        <w:pStyle w:val="Heading3"/>
      </w:pPr>
      <w:r>
        <w:t xml:space="preserve">5.5 Mobile &amp; Accessibility (PRs 207–215)</w:t>
      </w:r>
    </w:p>
    <w:tbl>
      <w:tblPr>
        <w:tblStyle w:val="Table"/>
        <w:tblW w:type="pct" w:w="5000"/>
        <w:tblLook w:firstRow="1" w:lastRow="0" w:firstColumn="0" w:lastColumn="0" w:noHBand="0" w:noVBand="0" w:val="0020"/>
        <w:jc w:val="start"/>
      </w:tblPr>
      <w:tblGrid>
        <w:gridCol w:w="216"/>
        <w:gridCol w:w="3240"/>
        <w:gridCol w:w="576"/>
        <w:gridCol w:w="3888"/>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207</w:t>
            </w:r>
          </w:p>
        </w:tc>
        <w:tc>
          <w:tcPr/>
          <w:p>
            <w:pPr>
              <w:pStyle w:val="Compact"/>
              <w:jc w:val="left"/>
            </w:pPr>
            <w:r>
              <w:t xml:space="preserve">Mobile-responsive dashboard (PWA)</w:t>
            </w:r>
          </w:p>
        </w:tc>
        <w:tc>
          <w:tcPr/>
          <w:p>
            <w:pPr>
              <w:pStyle w:val="Compact"/>
              <w:jc w:val="left"/>
            </w:pPr>
            <w:r>
              <w:t xml:space="preserve">P0</w:t>
            </w:r>
          </w:p>
        </w:tc>
        <w:tc>
          <w:tcPr/>
          <w:p>
            <w:pPr>
              <w:pStyle w:val="Compact"/>
              <w:jc w:val="left"/>
            </w:pPr>
            <w:r>
              <w:t xml:space="preserve">Dashboard works on mobile browsers, installable as PWA</w:t>
            </w:r>
          </w:p>
        </w:tc>
      </w:tr>
      <w:tr>
        <w:tc>
          <w:tcPr/>
          <w:p>
            <w:pPr>
              <w:pStyle w:val="Compact"/>
              <w:jc w:val="left"/>
            </w:pPr>
            <w:r>
              <w:t xml:space="preserve">208</w:t>
            </w:r>
          </w:p>
        </w:tc>
        <w:tc>
          <w:tcPr/>
          <w:p>
            <w:pPr>
              <w:pStyle w:val="Compact"/>
              <w:jc w:val="left"/>
            </w:pPr>
            <w:r>
              <w:t xml:space="preserve">Push notifications (web + mobile)</w:t>
            </w:r>
          </w:p>
        </w:tc>
        <w:tc>
          <w:tcPr/>
          <w:p>
            <w:pPr>
              <w:pStyle w:val="Compact"/>
              <w:jc w:val="left"/>
            </w:pPr>
            <w:r>
              <w:t xml:space="preserve">P1</w:t>
            </w:r>
          </w:p>
        </w:tc>
        <w:tc>
          <w:tcPr/>
          <w:p>
            <w:pPr>
              <w:pStyle w:val="Compact"/>
              <w:jc w:val="left"/>
            </w:pPr>
            <w:r>
              <w:t xml:space="preserve">Deadline reminders, agent completions, alerts</w:t>
            </w:r>
          </w:p>
        </w:tc>
      </w:tr>
      <w:tr>
        <w:tc>
          <w:tcPr/>
          <w:p>
            <w:pPr>
              <w:pStyle w:val="Compact"/>
              <w:jc w:val="left"/>
            </w:pPr>
            <w:r>
              <w:t xml:space="preserve">209</w:t>
            </w:r>
          </w:p>
        </w:tc>
        <w:tc>
          <w:tcPr/>
          <w:p>
            <w:pPr>
              <w:pStyle w:val="Compact"/>
              <w:jc w:val="left"/>
            </w:pPr>
            <w:r>
              <w:t xml:space="preserve">Offline data entry capability</w:t>
            </w:r>
          </w:p>
        </w:tc>
        <w:tc>
          <w:tcPr/>
          <w:p>
            <w:pPr>
              <w:pStyle w:val="Compact"/>
              <w:jc w:val="left"/>
            </w:pPr>
            <w:r>
              <w:t xml:space="preserve">P1</w:t>
            </w:r>
          </w:p>
        </w:tc>
        <w:tc>
          <w:tcPr/>
          <w:p>
            <w:pPr>
              <w:pStyle w:val="Compact"/>
              <w:jc w:val="left"/>
            </w:pPr>
            <w:r>
              <w:t xml:space="preserve">Collect data in offline mode, sync when connected</w:t>
            </w:r>
          </w:p>
        </w:tc>
      </w:tr>
      <w:tr>
        <w:tc>
          <w:tcPr/>
          <w:p>
            <w:pPr>
              <w:pStyle w:val="Compact"/>
              <w:jc w:val="left"/>
            </w:pPr>
            <w:r>
              <w:t xml:space="preserve">210</w:t>
            </w:r>
          </w:p>
        </w:tc>
        <w:tc>
          <w:tcPr/>
          <w:p>
            <w:pPr>
              <w:pStyle w:val="Compact"/>
              <w:jc w:val="left"/>
            </w:pPr>
            <w:r>
              <w:t xml:space="preserve">React Native app: authentication flow</w:t>
            </w:r>
          </w:p>
        </w:tc>
        <w:tc>
          <w:tcPr/>
          <w:p>
            <w:pPr>
              <w:pStyle w:val="Compact"/>
              <w:jc w:val="left"/>
            </w:pPr>
            <w:r>
              <w:t xml:space="preserve">P1</w:t>
            </w:r>
          </w:p>
        </w:tc>
        <w:tc>
          <w:tcPr/>
          <w:p>
            <w:pPr>
              <w:pStyle w:val="Compact"/>
              <w:jc w:val="left"/>
            </w:pPr>
            <w:r>
              <w:t xml:space="preserve">Mobile login with biometrics support</w:t>
            </w:r>
          </w:p>
        </w:tc>
      </w:tr>
      <w:tr>
        <w:tc>
          <w:tcPr/>
          <w:p>
            <w:pPr>
              <w:pStyle w:val="Compact"/>
              <w:jc w:val="left"/>
            </w:pPr>
            <w:r>
              <w:t xml:space="preserve">211</w:t>
            </w:r>
          </w:p>
        </w:tc>
        <w:tc>
          <w:tcPr/>
          <w:p>
            <w:pPr>
              <w:pStyle w:val="Compact"/>
              <w:jc w:val="left"/>
            </w:pPr>
            <w:r>
              <w:t xml:space="preserve">React Native app: dashboard summary view</w:t>
            </w:r>
          </w:p>
        </w:tc>
        <w:tc>
          <w:tcPr/>
          <w:p>
            <w:pPr>
              <w:pStyle w:val="Compact"/>
              <w:jc w:val="left"/>
            </w:pPr>
            <w:r>
              <w:t xml:space="preserve">P1</w:t>
            </w:r>
          </w:p>
        </w:tc>
        <w:tc>
          <w:tcPr/>
          <w:p>
            <w:pPr>
              <w:pStyle w:val="Compact"/>
              <w:jc w:val="left"/>
            </w:pPr>
            <w:r>
              <w:t xml:space="preserve">Key metrics on mobile with pull-to-refresh</w:t>
            </w:r>
          </w:p>
        </w:tc>
      </w:tr>
      <w:tr>
        <w:tc>
          <w:tcPr/>
          <w:p>
            <w:pPr>
              <w:pStyle w:val="Compact"/>
              <w:jc w:val="left"/>
            </w:pPr>
            <w:r>
              <w:t xml:space="preserve">212</w:t>
            </w:r>
          </w:p>
        </w:tc>
        <w:tc>
          <w:tcPr/>
          <w:p>
            <w:pPr>
              <w:pStyle w:val="Compact"/>
              <w:jc w:val="left"/>
            </w:pPr>
            <w:r>
              <w:t xml:space="preserve">React Native app: camera for evidence capture</w:t>
            </w:r>
          </w:p>
        </w:tc>
        <w:tc>
          <w:tcPr/>
          <w:p>
            <w:pPr>
              <w:pStyle w:val="Compact"/>
              <w:jc w:val="left"/>
            </w:pPr>
            <w:r>
              <w:t xml:space="preserve">P2</w:t>
            </w:r>
          </w:p>
        </w:tc>
        <w:tc>
          <w:tcPr/>
          <w:p>
            <w:pPr>
              <w:pStyle w:val="Compact"/>
              <w:jc w:val="left"/>
            </w:pPr>
            <w:r>
              <w:t xml:space="preserve">Photograph meters, documents for compliance evidence</w:t>
            </w:r>
          </w:p>
        </w:tc>
      </w:tr>
      <w:tr>
        <w:tc>
          <w:tcPr/>
          <w:p>
            <w:pPr>
              <w:pStyle w:val="Compact"/>
              <w:jc w:val="left"/>
            </w:pPr>
            <w:r>
              <w:t xml:space="preserve">213</w:t>
            </w:r>
          </w:p>
        </w:tc>
        <w:tc>
          <w:tcPr/>
          <w:p>
            <w:pPr>
              <w:pStyle w:val="Compact"/>
              <w:jc w:val="left"/>
            </w:pPr>
            <w:r>
              <w:t xml:space="preserve">Internationalization framework (i18n)</w:t>
            </w:r>
          </w:p>
        </w:tc>
        <w:tc>
          <w:tcPr/>
          <w:p>
            <w:pPr>
              <w:pStyle w:val="Compact"/>
              <w:jc w:val="left"/>
            </w:pPr>
            <w:r>
              <w:t xml:space="preserve">P0</w:t>
            </w:r>
          </w:p>
        </w:tc>
        <w:tc>
          <w:tcPr/>
          <w:p>
            <w:pPr>
              <w:pStyle w:val="Compact"/>
              <w:jc w:val="left"/>
            </w:pPr>
            <w:r>
              <w:t xml:space="preserve">Extract all UI strings, support EN/FI/DE/SV/NO</w:t>
            </w:r>
          </w:p>
        </w:tc>
      </w:tr>
      <w:tr>
        <w:tc>
          <w:tcPr/>
          <w:p>
            <w:pPr>
              <w:pStyle w:val="Compact"/>
              <w:jc w:val="left"/>
            </w:pPr>
            <w:r>
              <w:t xml:space="preserve">214</w:t>
            </w:r>
          </w:p>
        </w:tc>
        <w:tc>
          <w:tcPr/>
          <w:p>
            <w:pPr>
              <w:pStyle w:val="Compact"/>
              <w:jc w:val="left"/>
            </w:pPr>
            <w:r>
              <w:t xml:space="preserve">Finnish localization</w:t>
            </w:r>
          </w:p>
        </w:tc>
        <w:tc>
          <w:tcPr/>
          <w:p>
            <w:pPr>
              <w:pStyle w:val="Compact"/>
              <w:jc w:val="left"/>
            </w:pPr>
            <w:r>
              <w:t xml:space="preserve">P1</w:t>
            </w:r>
          </w:p>
        </w:tc>
        <w:tc>
          <w:tcPr/>
          <w:p>
            <w:pPr>
              <w:pStyle w:val="Compact"/>
              <w:jc w:val="left"/>
            </w:pPr>
            <w:r>
              <w:t xml:space="preserve">Complete Finnish translation</w:t>
            </w:r>
          </w:p>
        </w:tc>
      </w:tr>
      <w:tr>
        <w:tc>
          <w:tcPr/>
          <w:p>
            <w:pPr>
              <w:pStyle w:val="Compact"/>
              <w:jc w:val="left"/>
            </w:pPr>
            <w:r>
              <w:t xml:space="preserve">215</w:t>
            </w:r>
          </w:p>
        </w:tc>
        <w:tc>
          <w:tcPr/>
          <w:p>
            <w:pPr>
              <w:pStyle w:val="Compact"/>
              <w:jc w:val="left"/>
            </w:pPr>
            <w:r>
              <w:t xml:space="preserve">German localization</w:t>
            </w:r>
          </w:p>
        </w:tc>
        <w:tc>
          <w:tcPr/>
          <w:p>
            <w:pPr>
              <w:pStyle w:val="Compact"/>
              <w:jc w:val="left"/>
            </w:pPr>
            <w:r>
              <w:t xml:space="preserve">P1</w:t>
            </w:r>
          </w:p>
        </w:tc>
        <w:tc>
          <w:tcPr/>
          <w:p>
            <w:pPr>
              <w:pStyle w:val="Compact"/>
              <w:jc w:val="left"/>
            </w:pPr>
            <w:r>
              <w:t xml:space="preserve">Complete German translation — DACH market entry</w:t>
            </w:r>
          </w:p>
        </w:tc>
      </w:tr>
    </w:tbl>
    <w:p>
      <w:r>
        <w:pict>
          <v:rect style="width:0;height:1.5pt" o:hralign="center" o:hrstd="t" o:hr="t"/>
        </w:pict>
      </w:r>
    </w:p>
    <w:bookmarkEnd w:id="59"/>
    <w:bookmarkEnd w:id="60"/>
    <w:bookmarkStart w:id="65" w:name="phase-6-dws7-release-jundec-2027-36-prs"/>
    <w:p>
      <w:pPr>
        <w:pStyle w:val="Heading2"/>
      </w:pPr>
      <w:r>
        <w:t xml:space="preserve">Phase 6: DWS7 Release (Jun–Dec 2027) — 36 PRs</w:t>
      </w:r>
    </w:p>
    <w:bookmarkStart w:id="61" w:name="platform-maturity-prs-216225"/>
    <w:p>
      <w:pPr>
        <w:pStyle w:val="Heading3"/>
      </w:pPr>
      <w:r>
        <w:t xml:space="preserve">6.1 Platform Maturity (PRs 216–225)</w:t>
      </w:r>
    </w:p>
    <w:tbl>
      <w:tblPr>
        <w:tblStyle w:val="Table"/>
        <w:tblW w:type="pct" w:w="5000"/>
        <w:tblLook w:firstRow="1" w:lastRow="0" w:firstColumn="0" w:lastColumn="0" w:noHBand="0" w:noVBand="0" w:val="0020"/>
        <w:jc w:val="start"/>
      </w:tblPr>
      <w:tblGrid>
        <w:gridCol w:w="206"/>
        <w:gridCol w:w="3168"/>
        <w:gridCol w:w="550"/>
        <w:gridCol w:w="3994"/>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216</w:t>
            </w:r>
          </w:p>
        </w:tc>
        <w:tc>
          <w:tcPr/>
          <w:p>
            <w:pPr>
              <w:pStyle w:val="Compact"/>
              <w:jc w:val="left"/>
            </w:pPr>
            <w:r>
              <w:t xml:space="preserve">Multi-region deployment (Finland + Germany)</w:t>
            </w:r>
          </w:p>
        </w:tc>
        <w:tc>
          <w:tcPr/>
          <w:p>
            <w:pPr>
              <w:pStyle w:val="Compact"/>
              <w:jc w:val="left"/>
            </w:pPr>
            <w:r>
              <w:t xml:space="preserve">P1</w:t>
            </w:r>
          </w:p>
        </w:tc>
        <w:tc>
          <w:tcPr/>
          <w:p>
            <w:pPr>
              <w:pStyle w:val="Compact"/>
              <w:jc w:val="left"/>
            </w:pPr>
            <w:r>
              <w:t xml:space="preserve">Active-active deployment for data residency compliance</w:t>
            </w:r>
          </w:p>
        </w:tc>
      </w:tr>
      <w:tr>
        <w:tc>
          <w:tcPr/>
          <w:p>
            <w:pPr>
              <w:pStyle w:val="Compact"/>
              <w:jc w:val="left"/>
            </w:pPr>
            <w:r>
              <w:t xml:space="preserve">217</w:t>
            </w:r>
          </w:p>
        </w:tc>
        <w:tc>
          <w:tcPr/>
          <w:p>
            <w:pPr>
              <w:pStyle w:val="Compact"/>
              <w:jc w:val="left"/>
            </w:pPr>
            <w:r>
              <w:t xml:space="preserve">Disaster recovery runbook and automation</w:t>
            </w:r>
          </w:p>
        </w:tc>
        <w:tc>
          <w:tcPr/>
          <w:p>
            <w:pPr>
              <w:pStyle w:val="Compact"/>
              <w:jc w:val="left"/>
            </w:pPr>
            <w:r>
              <w:t xml:space="preserve">P0</w:t>
            </w:r>
          </w:p>
        </w:tc>
        <w:tc>
          <w:tcPr/>
          <w:p>
            <w:pPr>
              <w:pStyle w:val="Compact"/>
              <w:jc w:val="left"/>
            </w:pPr>
            <w:r>
              <w:t xml:space="preserve">RTO &lt; 4 hours, RPO &lt; 1 hour, automated failover</w:t>
            </w:r>
          </w:p>
        </w:tc>
      </w:tr>
      <w:tr>
        <w:tc>
          <w:tcPr/>
          <w:p>
            <w:pPr>
              <w:pStyle w:val="Compact"/>
              <w:jc w:val="left"/>
            </w:pPr>
            <w:r>
              <w:t xml:space="preserve">218</w:t>
            </w:r>
          </w:p>
        </w:tc>
        <w:tc>
          <w:tcPr/>
          <w:p>
            <w:pPr>
              <w:pStyle w:val="Compact"/>
              <w:jc w:val="left"/>
            </w:pPr>
            <w:r>
              <w:t xml:space="preserve">SOC 2 Type II audit preparation</w:t>
            </w:r>
          </w:p>
        </w:tc>
        <w:tc>
          <w:tcPr/>
          <w:p>
            <w:pPr>
              <w:pStyle w:val="Compact"/>
              <w:jc w:val="left"/>
            </w:pPr>
            <w:r>
              <w:t xml:space="preserve">P0</w:t>
            </w:r>
          </w:p>
        </w:tc>
        <w:tc>
          <w:tcPr/>
          <w:p>
            <w:pPr>
              <w:pStyle w:val="Compact"/>
              <w:jc w:val="left"/>
            </w:pPr>
            <w:r>
              <w:t xml:space="preserve">6-month observation period evidence collection</w:t>
            </w:r>
          </w:p>
        </w:tc>
      </w:tr>
      <w:tr>
        <w:tc>
          <w:tcPr/>
          <w:p>
            <w:pPr>
              <w:pStyle w:val="Compact"/>
              <w:jc w:val="left"/>
            </w:pPr>
            <w:r>
              <w:t xml:space="preserve">219</w:t>
            </w:r>
          </w:p>
        </w:tc>
        <w:tc>
          <w:tcPr/>
          <w:p>
            <w:pPr>
              <w:pStyle w:val="Compact"/>
              <w:jc w:val="left"/>
            </w:pPr>
            <w:r>
              <w:t xml:space="preserve">ISO 27001 certification audit</w:t>
            </w:r>
          </w:p>
        </w:tc>
        <w:tc>
          <w:tcPr/>
          <w:p>
            <w:pPr>
              <w:pStyle w:val="Compact"/>
              <w:jc w:val="left"/>
            </w:pPr>
            <w:r>
              <w:t xml:space="preserve">P0</w:t>
            </w:r>
          </w:p>
        </w:tc>
        <w:tc>
          <w:tcPr/>
          <w:p>
            <w:pPr>
              <w:pStyle w:val="Compact"/>
              <w:jc w:val="left"/>
            </w:pPr>
            <w:r>
              <w:t xml:space="preserve">Final audit with certification body</w:t>
            </w:r>
          </w:p>
        </w:tc>
      </w:tr>
      <w:tr>
        <w:tc>
          <w:tcPr/>
          <w:p>
            <w:pPr>
              <w:pStyle w:val="Compact"/>
              <w:jc w:val="left"/>
            </w:pPr>
            <w:r>
              <w:t xml:space="preserve">220</w:t>
            </w:r>
          </w:p>
        </w:tc>
        <w:tc>
          <w:tcPr/>
          <w:p>
            <w:pPr>
              <w:pStyle w:val="Compact"/>
              <w:jc w:val="left"/>
            </w:pPr>
            <w:r>
              <w:t xml:space="preserve">Performance optimization (sub-100ms API reads)</w:t>
            </w:r>
          </w:p>
        </w:tc>
        <w:tc>
          <w:tcPr/>
          <w:p>
            <w:pPr>
              <w:pStyle w:val="Compact"/>
              <w:jc w:val="left"/>
            </w:pPr>
            <w:r>
              <w:t xml:space="preserve">P1</w:t>
            </w:r>
          </w:p>
        </w:tc>
        <w:tc>
          <w:tcPr/>
          <w:p>
            <w:pPr>
              <w:pStyle w:val="Compact"/>
              <w:jc w:val="left"/>
            </w:pPr>
            <w:r>
              <w:t xml:space="preserve">Edge caching, query optimization, connection pooling</w:t>
            </w:r>
          </w:p>
        </w:tc>
      </w:tr>
      <w:tr>
        <w:tc>
          <w:tcPr/>
          <w:p>
            <w:pPr>
              <w:pStyle w:val="Compact"/>
              <w:jc w:val="left"/>
            </w:pPr>
            <w:r>
              <w:t xml:space="preserve">221</w:t>
            </w:r>
          </w:p>
        </w:tc>
        <w:tc>
          <w:tcPr/>
          <w:p>
            <w:pPr>
              <w:pStyle w:val="Compact"/>
              <w:jc w:val="left"/>
            </w:pPr>
            <w:r>
              <w:t xml:space="preserve">Feature flag system for gradual rollouts</w:t>
            </w:r>
          </w:p>
        </w:tc>
        <w:tc>
          <w:tcPr/>
          <w:p>
            <w:pPr>
              <w:pStyle w:val="Compact"/>
              <w:jc w:val="left"/>
            </w:pPr>
            <w:r>
              <w:t xml:space="preserve">P1</w:t>
            </w:r>
          </w:p>
        </w:tc>
        <w:tc>
          <w:tcPr/>
          <w:p>
            <w:pPr>
              <w:pStyle w:val="Compact"/>
              <w:jc w:val="left"/>
            </w:pPr>
            <w:r>
              <w:t xml:space="preserve">Per-tenant feature flags, A/B testing capability</w:t>
            </w:r>
          </w:p>
        </w:tc>
      </w:tr>
      <w:tr>
        <w:tc>
          <w:tcPr/>
          <w:p>
            <w:pPr>
              <w:pStyle w:val="Compact"/>
              <w:jc w:val="left"/>
            </w:pPr>
            <w:r>
              <w:t xml:space="preserve">222</w:t>
            </w:r>
          </w:p>
        </w:tc>
        <w:tc>
          <w:tcPr/>
          <w:p>
            <w:pPr>
              <w:pStyle w:val="Compact"/>
              <w:jc w:val="left"/>
            </w:pPr>
            <w:r>
              <w:t xml:space="preserve">Automated regression test suite (200+ tests)</w:t>
            </w:r>
          </w:p>
        </w:tc>
        <w:tc>
          <w:tcPr/>
          <w:p>
            <w:pPr>
              <w:pStyle w:val="Compact"/>
              <w:jc w:val="left"/>
            </w:pPr>
            <w:r>
              <w:t xml:space="preserve">P0</w:t>
            </w:r>
          </w:p>
        </w:tc>
        <w:tc>
          <w:tcPr/>
          <w:p>
            <w:pPr>
              <w:pStyle w:val="Compact"/>
              <w:jc w:val="left"/>
            </w:pPr>
            <w:r>
              <w:t xml:space="preserve">Comprehensive test suite covering all critical paths</w:t>
            </w:r>
          </w:p>
        </w:tc>
      </w:tr>
      <w:tr>
        <w:tc>
          <w:tcPr/>
          <w:p>
            <w:pPr>
              <w:pStyle w:val="Compact"/>
              <w:jc w:val="left"/>
            </w:pPr>
            <w:r>
              <w:t xml:space="preserve">223</w:t>
            </w:r>
          </w:p>
        </w:tc>
        <w:tc>
          <w:tcPr/>
          <w:p>
            <w:pPr>
              <w:pStyle w:val="Compact"/>
              <w:jc w:val="left"/>
            </w:pPr>
            <w:r>
              <w:t xml:space="preserve">API backward compatibility guarantee (SemVer)</w:t>
            </w:r>
          </w:p>
        </w:tc>
        <w:tc>
          <w:tcPr/>
          <w:p>
            <w:pPr>
              <w:pStyle w:val="Compact"/>
              <w:jc w:val="left"/>
            </w:pPr>
            <w:r>
              <w:t xml:space="preserve">P1</w:t>
            </w:r>
          </w:p>
        </w:tc>
        <w:tc>
          <w:tcPr/>
          <w:p>
            <w:pPr>
              <w:pStyle w:val="Compact"/>
              <w:jc w:val="left"/>
            </w:pPr>
            <w:r>
              <w:t xml:space="preserve">Versioned API with 6-month deprecation windows</w:t>
            </w:r>
          </w:p>
        </w:tc>
      </w:tr>
      <w:tr>
        <w:tc>
          <w:tcPr/>
          <w:p>
            <w:pPr>
              <w:pStyle w:val="Compact"/>
              <w:jc w:val="left"/>
            </w:pPr>
            <w:r>
              <w:t xml:space="preserve">224</w:t>
            </w:r>
          </w:p>
        </w:tc>
        <w:tc>
          <w:tcPr/>
          <w:p>
            <w:pPr>
              <w:pStyle w:val="Compact"/>
              <w:jc w:val="left"/>
            </w:pPr>
            <w:r>
              <w:t xml:space="preserve">Customer success metrics dashboard</w:t>
            </w:r>
          </w:p>
        </w:tc>
        <w:tc>
          <w:tcPr/>
          <w:p>
            <w:pPr>
              <w:pStyle w:val="Compact"/>
              <w:jc w:val="left"/>
            </w:pPr>
            <w:r>
              <w:t xml:space="preserve">P1</w:t>
            </w:r>
          </w:p>
        </w:tc>
        <w:tc>
          <w:tcPr/>
          <w:p>
            <w:pPr>
              <w:pStyle w:val="Compact"/>
              <w:jc w:val="left"/>
            </w:pPr>
            <w:r>
              <w:t xml:space="preserve">NPS, health score, usage patterns, churn risk per customer</w:t>
            </w:r>
          </w:p>
        </w:tc>
      </w:tr>
      <w:tr>
        <w:tc>
          <w:tcPr/>
          <w:p>
            <w:pPr>
              <w:pStyle w:val="Compact"/>
              <w:jc w:val="left"/>
            </w:pPr>
            <w:r>
              <w:t xml:space="preserve">225</w:t>
            </w:r>
          </w:p>
        </w:tc>
        <w:tc>
          <w:tcPr/>
          <w:p>
            <w:pPr>
              <w:pStyle w:val="Compact"/>
              <w:jc w:val="left"/>
            </w:pPr>
            <w:r>
              <w:t xml:space="preserve">DWS7 migration guide (v6 → v7)</w:t>
            </w:r>
          </w:p>
        </w:tc>
        <w:tc>
          <w:tcPr/>
          <w:p>
            <w:pPr>
              <w:pStyle w:val="Compact"/>
              <w:jc w:val="left"/>
            </w:pPr>
            <w:r>
              <w:t xml:space="preserve">P0</w:t>
            </w:r>
          </w:p>
        </w:tc>
        <w:tc>
          <w:tcPr/>
          <w:p>
            <w:pPr>
              <w:pStyle w:val="Compact"/>
              <w:jc w:val="left"/>
            </w:pPr>
            <w:r>
              <w:t xml:space="preserve">Step-by-step upgrade path for existing pilot customers</w:t>
            </w:r>
          </w:p>
        </w:tc>
      </w:tr>
    </w:tbl>
    <w:bookmarkEnd w:id="61"/>
    <w:bookmarkStart w:id="62" w:name="investor-financial-prs-226234"/>
    <w:p>
      <w:pPr>
        <w:pStyle w:val="Heading3"/>
      </w:pPr>
      <w:r>
        <w:t xml:space="preserve">6.2 Investor &amp; Financial (PRs 226–234)</w:t>
      </w:r>
    </w:p>
    <w:tbl>
      <w:tblPr>
        <w:tblStyle w:val="Table"/>
        <w:tblW w:type="pct" w:w="5000"/>
        <w:tblLook w:firstRow="1" w:lastRow="0" w:firstColumn="0" w:lastColumn="0" w:noHBand="0" w:noVBand="0" w:val="0020"/>
        <w:jc w:val="start"/>
      </w:tblPr>
      <w:tblGrid>
        <w:gridCol w:w="228"/>
        <w:gridCol w:w="2970"/>
        <w:gridCol w:w="609"/>
        <w:gridCol w:w="4112"/>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226</w:t>
            </w:r>
          </w:p>
        </w:tc>
        <w:tc>
          <w:tcPr/>
          <w:p>
            <w:pPr>
              <w:pStyle w:val="Compact"/>
              <w:jc w:val="left"/>
            </w:pPr>
            <w:r>
              <w:t xml:space="preserve">Investor metrics API</w:t>
            </w:r>
          </w:p>
        </w:tc>
        <w:tc>
          <w:tcPr/>
          <w:p>
            <w:pPr>
              <w:pStyle w:val="Compact"/>
              <w:jc w:val="left"/>
            </w:pPr>
            <w:r>
              <w:t xml:space="preserve">P1</w:t>
            </w:r>
          </w:p>
        </w:tc>
        <w:tc>
          <w:tcPr/>
          <w:p>
            <w:pPr>
              <w:pStyle w:val="Compact"/>
              <w:jc w:val="left"/>
            </w:pPr>
            <w:r>
              <w:t xml:space="preserve">Programmatic access to ARR, MRR, churn, NRR, CAC, LTV</w:t>
            </w:r>
          </w:p>
        </w:tc>
      </w:tr>
      <w:tr>
        <w:tc>
          <w:tcPr/>
          <w:p>
            <w:pPr>
              <w:pStyle w:val="Compact"/>
              <w:jc w:val="left"/>
            </w:pPr>
            <w:r>
              <w:t xml:space="preserve">227</w:t>
            </w:r>
          </w:p>
        </w:tc>
        <w:tc>
          <w:tcPr/>
          <w:p>
            <w:pPr>
              <w:pStyle w:val="Compact"/>
              <w:jc w:val="left"/>
            </w:pPr>
            <w:r>
              <w:t xml:space="preserve">Investor reporting dashboard</w:t>
            </w:r>
          </w:p>
        </w:tc>
        <w:tc>
          <w:tcPr/>
          <w:p>
            <w:pPr>
              <w:pStyle w:val="Compact"/>
              <w:jc w:val="left"/>
            </w:pPr>
            <w:r>
              <w:t xml:space="preserve">P0</w:t>
            </w:r>
          </w:p>
        </w:tc>
        <w:tc>
          <w:tcPr/>
          <w:p>
            <w:pPr>
              <w:pStyle w:val="Compact"/>
              <w:jc w:val="left"/>
            </w:pPr>
            <w:r>
              <w:t xml:space="preserve">Real-time metrics for board and investors</w:t>
            </w:r>
          </w:p>
        </w:tc>
      </w:tr>
      <w:tr>
        <w:tc>
          <w:tcPr/>
          <w:p>
            <w:pPr>
              <w:pStyle w:val="Compact"/>
              <w:jc w:val="left"/>
            </w:pPr>
            <w:r>
              <w:t xml:space="preserve">228</w:t>
            </w:r>
          </w:p>
        </w:tc>
        <w:tc>
          <w:tcPr/>
          <w:p>
            <w:pPr>
              <w:pStyle w:val="Compact"/>
              <w:jc w:val="left"/>
            </w:pPr>
            <w:r>
              <w:t xml:space="preserve">Revenue recognition automation</w:t>
            </w:r>
          </w:p>
        </w:tc>
        <w:tc>
          <w:tcPr/>
          <w:p>
            <w:pPr>
              <w:pStyle w:val="Compact"/>
              <w:jc w:val="left"/>
            </w:pPr>
            <w:r>
              <w:t xml:space="preserve">P1</w:t>
            </w:r>
          </w:p>
        </w:tc>
        <w:tc>
          <w:tcPr/>
          <w:p>
            <w:pPr>
              <w:pStyle w:val="Compact"/>
              <w:jc w:val="left"/>
            </w:pPr>
            <w:r>
              <w:t xml:space="preserve">ASC 606/IFRS 15 compliant revenue tracking</w:t>
            </w:r>
          </w:p>
        </w:tc>
      </w:tr>
      <w:tr>
        <w:tc>
          <w:tcPr/>
          <w:p>
            <w:pPr>
              <w:pStyle w:val="Compact"/>
              <w:jc w:val="left"/>
            </w:pPr>
            <w:r>
              <w:t xml:space="preserve">229</w:t>
            </w:r>
          </w:p>
        </w:tc>
        <w:tc>
          <w:tcPr/>
          <w:p>
            <w:pPr>
              <w:pStyle w:val="Compact"/>
              <w:jc w:val="left"/>
            </w:pPr>
            <w:r>
              <w:t xml:space="preserve">Unit economics tracker</w:t>
            </w:r>
          </w:p>
        </w:tc>
        <w:tc>
          <w:tcPr/>
          <w:p>
            <w:pPr>
              <w:pStyle w:val="Compact"/>
              <w:jc w:val="left"/>
            </w:pPr>
            <w:r>
              <w:t xml:space="preserve">P1</w:t>
            </w:r>
          </w:p>
        </w:tc>
        <w:tc>
          <w:tcPr/>
          <w:p>
            <w:pPr>
              <w:pStyle w:val="Compact"/>
              <w:jc w:val="left"/>
            </w:pPr>
            <w:r>
              <w:t xml:space="preserve">Per-customer profitability, CAC payback, gross margin</w:t>
            </w:r>
          </w:p>
        </w:tc>
      </w:tr>
      <w:tr>
        <w:tc>
          <w:tcPr/>
          <w:p>
            <w:pPr>
              <w:pStyle w:val="Compact"/>
              <w:jc w:val="left"/>
            </w:pPr>
            <w:r>
              <w:t xml:space="preserve">230</w:t>
            </w:r>
          </w:p>
        </w:tc>
        <w:tc>
          <w:tcPr/>
          <w:p>
            <w:pPr>
              <w:pStyle w:val="Compact"/>
              <w:jc w:val="left"/>
            </w:pPr>
            <w:r>
              <w:t xml:space="preserve">Financial forecasting model integration</w:t>
            </w:r>
          </w:p>
        </w:tc>
        <w:tc>
          <w:tcPr/>
          <w:p>
            <w:pPr>
              <w:pStyle w:val="Compact"/>
              <w:jc w:val="left"/>
            </w:pPr>
            <w:r>
              <w:t xml:space="preserve">P2</w:t>
            </w:r>
          </w:p>
        </w:tc>
        <w:tc>
          <w:tcPr/>
          <w:p>
            <w:pPr>
              <w:pStyle w:val="Compact"/>
              <w:jc w:val="left"/>
            </w:pPr>
            <w:r>
              <w:t xml:space="preserve">Connect actuals to financial projections</w:t>
            </w:r>
          </w:p>
        </w:tc>
      </w:tr>
      <w:tr>
        <w:tc>
          <w:tcPr/>
          <w:p>
            <w:pPr>
              <w:pStyle w:val="Compact"/>
              <w:jc w:val="left"/>
            </w:pPr>
            <w:r>
              <w:t xml:space="preserve">231</w:t>
            </w:r>
          </w:p>
        </w:tc>
        <w:tc>
          <w:tcPr/>
          <w:p>
            <w:pPr>
              <w:pStyle w:val="Compact"/>
              <w:jc w:val="left"/>
            </w:pPr>
            <w:r>
              <w:t xml:space="preserve">Customer cohort analysis</w:t>
            </w:r>
          </w:p>
        </w:tc>
        <w:tc>
          <w:tcPr/>
          <w:p>
            <w:pPr>
              <w:pStyle w:val="Compact"/>
              <w:jc w:val="left"/>
            </w:pPr>
            <w:r>
              <w:t xml:space="preserve">P1</w:t>
            </w:r>
          </w:p>
        </w:tc>
        <w:tc>
          <w:tcPr/>
          <w:p>
            <w:pPr>
              <w:pStyle w:val="Compact"/>
              <w:jc w:val="left"/>
            </w:pPr>
            <w:r>
              <w:t xml:space="preserve">Retention and expansion by cohort, industry, plan</w:t>
            </w:r>
          </w:p>
        </w:tc>
      </w:tr>
      <w:tr>
        <w:tc>
          <w:tcPr/>
          <w:p>
            <w:pPr>
              <w:pStyle w:val="Compact"/>
              <w:jc w:val="left"/>
            </w:pPr>
            <w:r>
              <w:t xml:space="preserve">232</w:t>
            </w:r>
          </w:p>
        </w:tc>
        <w:tc>
          <w:tcPr/>
          <w:p>
            <w:pPr>
              <w:pStyle w:val="Compact"/>
              <w:jc w:val="left"/>
            </w:pPr>
            <w:r>
              <w:t xml:space="preserve">ARR waterfall visualization</w:t>
            </w:r>
          </w:p>
        </w:tc>
        <w:tc>
          <w:tcPr/>
          <w:p>
            <w:pPr>
              <w:pStyle w:val="Compact"/>
              <w:jc w:val="left"/>
            </w:pPr>
            <w:r>
              <w:t xml:space="preserve">P1</w:t>
            </w:r>
          </w:p>
        </w:tc>
        <w:tc>
          <w:tcPr/>
          <w:p>
            <w:pPr>
              <w:pStyle w:val="Compact"/>
              <w:jc w:val="left"/>
            </w:pPr>
            <w:r>
              <w:t xml:space="preserve">New + expansion − contraction − churn = net ARR change</w:t>
            </w:r>
          </w:p>
        </w:tc>
      </w:tr>
      <w:tr>
        <w:tc>
          <w:tcPr/>
          <w:p>
            <w:pPr>
              <w:pStyle w:val="Compact"/>
              <w:jc w:val="left"/>
            </w:pPr>
            <w:r>
              <w:t xml:space="preserve">233</w:t>
            </w:r>
          </w:p>
        </w:tc>
        <w:tc>
          <w:tcPr/>
          <w:p>
            <w:pPr>
              <w:pStyle w:val="Compact"/>
              <w:jc w:val="left"/>
            </w:pPr>
            <w:r>
              <w:t xml:space="preserve">Burn rate and runway calculator</w:t>
            </w:r>
          </w:p>
        </w:tc>
        <w:tc>
          <w:tcPr/>
          <w:p>
            <w:pPr>
              <w:pStyle w:val="Compact"/>
              <w:jc w:val="left"/>
            </w:pPr>
            <w:r>
              <w:t xml:space="preserve">P2</w:t>
            </w:r>
          </w:p>
        </w:tc>
        <w:tc>
          <w:tcPr/>
          <w:p>
            <w:pPr>
              <w:pStyle w:val="Compact"/>
              <w:jc w:val="left"/>
            </w:pPr>
            <w:r>
              <w:t xml:space="preserve">Real-time financial health monitoring</w:t>
            </w:r>
          </w:p>
        </w:tc>
      </w:tr>
      <w:tr>
        <w:tc>
          <w:tcPr/>
          <w:p>
            <w:pPr>
              <w:pStyle w:val="Compact"/>
              <w:jc w:val="left"/>
            </w:pPr>
            <w:r>
              <w:t xml:space="preserve">234</w:t>
            </w:r>
          </w:p>
        </w:tc>
        <w:tc>
          <w:tcPr/>
          <w:p>
            <w:pPr>
              <w:pStyle w:val="Compact"/>
              <w:jc w:val="left"/>
            </w:pPr>
            <w:r>
              <w:t xml:space="preserve">Board deck auto-generation</w:t>
            </w:r>
          </w:p>
        </w:tc>
        <w:tc>
          <w:tcPr/>
          <w:p>
            <w:pPr>
              <w:pStyle w:val="Compact"/>
              <w:jc w:val="left"/>
            </w:pPr>
            <w:r>
              <w:t xml:space="preserve">P2</w:t>
            </w:r>
          </w:p>
        </w:tc>
        <w:tc>
          <w:tcPr/>
          <w:p>
            <w:pPr>
              <w:pStyle w:val="Compact"/>
              <w:jc w:val="left"/>
            </w:pPr>
            <w:r>
              <w:t xml:space="preserve">Monthly board update from live metrics</w:t>
            </w:r>
          </w:p>
        </w:tc>
      </w:tr>
    </w:tbl>
    <w:bookmarkEnd w:id="62"/>
    <w:bookmarkStart w:id="63" w:name="advanced-features-prs-235247"/>
    <w:p>
      <w:pPr>
        <w:pStyle w:val="Heading3"/>
      </w:pPr>
      <w:r>
        <w:t xml:space="preserve">6.3 Advanced Features (PRs 235–247)</w:t>
      </w:r>
    </w:p>
    <w:tbl>
      <w:tblPr>
        <w:tblStyle w:val="Table"/>
        <w:tblW w:type="pct" w:w="5000"/>
        <w:tblLook w:firstRow="1" w:lastRow="0" w:firstColumn="0" w:lastColumn="0" w:noHBand="0" w:noVBand="0" w:val="0020"/>
        <w:jc w:val="start"/>
      </w:tblPr>
      <w:tblGrid>
        <w:gridCol w:w="193"/>
        <w:gridCol w:w="3026"/>
        <w:gridCol w:w="515"/>
        <w:gridCol w:w="4185"/>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235</w:t>
            </w:r>
          </w:p>
        </w:tc>
        <w:tc>
          <w:tcPr/>
          <w:p>
            <w:pPr>
              <w:pStyle w:val="Compact"/>
              <w:jc w:val="left"/>
            </w:pPr>
            <w:r>
              <w:t xml:space="preserve">Digital product passport integration (EU CPR)</w:t>
            </w:r>
          </w:p>
        </w:tc>
        <w:tc>
          <w:tcPr/>
          <w:p>
            <w:pPr>
              <w:pStyle w:val="Compact"/>
              <w:jc w:val="left"/>
            </w:pPr>
            <w:r>
              <w:t xml:space="preserve">P1</w:t>
            </w:r>
          </w:p>
        </w:tc>
        <w:tc>
          <w:tcPr/>
          <w:p>
            <w:pPr>
              <w:pStyle w:val="Compact"/>
              <w:jc w:val="left"/>
            </w:pPr>
            <w:r>
              <w:t xml:space="preserve">Construction product carbon data in standardized format</w:t>
            </w:r>
          </w:p>
        </w:tc>
      </w:tr>
      <w:tr>
        <w:tc>
          <w:tcPr/>
          <w:p>
            <w:pPr>
              <w:pStyle w:val="Compact"/>
              <w:jc w:val="left"/>
            </w:pPr>
            <w:r>
              <w:t xml:space="preserve">236</w:t>
            </w:r>
          </w:p>
        </w:tc>
        <w:tc>
          <w:tcPr/>
          <w:p>
            <w:pPr>
              <w:pStyle w:val="Compact"/>
              <w:jc w:val="left"/>
            </w:pPr>
            <w:r>
              <w:t xml:space="preserve">Carbon credit marketplace connector</w:t>
            </w:r>
          </w:p>
        </w:tc>
        <w:tc>
          <w:tcPr/>
          <w:p>
            <w:pPr>
              <w:pStyle w:val="Compact"/>
              <w:jc w:val="left"/>
            </w:pPr>
            <w:r>
              <w:t xml:space="preserve">P2</w:t>
            </w:r>
          </w:p>
        </w:tc>
        <w:tc>
          <w:tcPr/>
          <w:p>
            <w:pPr>
              <w:pStyle w:val="Compact"/>
              <w:jc w:val="left"/>
            </w:pPr>
            <w:r>
              <w:t xml:space="preserve">Buy verified carbon credits directly from platform</w:t>
            </w:r>
          </w:p>
        </w:tc>
      </w:tr>
      <w:tr>
        <w:tc>
          <w:tcPr/>
          <w:p>
            <w:pPr>
              <w:pStyle w:val="Compact"/>
              <w:jc w:val="left"/>
            </w:pPr>
            <w:r>
              <w:t xml:space="preserve">237</w:t>
            </w:r>
          </w:p>
        </w:tc>
        <w:tc>
          <w:tcPr/>
          <w:p>
            <w:pPr>
              <w:pStyle w:val="Compact"/>
              <w:jc w:val="left"/>
            </w:pPr>
            <w:r>
              <w:t xml:space="preserve">Science-Based Targets initiative (SBTi) tracker</w:t>
            </w:r>
          </w:p>
        </w:tc>
        <w:tc>
          <w:tcPr/>
          <w:p>
            <w:pPr>
              <w:pStyle w:val="Compact"/>
              <w:jc w:val="left"/>
            </w:pPr>
            <w:r>
              <w:t xml:space="preserve">P1</w:t>
            </w:r>
          </w:p>
        </w:tc>
        <w:tc>
          <w:tcPr/>
          <w:p>
            <w:pPr>
              <w:pStyle w:val="Compact"/>
              <w:jc w:val="left"/>
            </w:pPr>
            <w:r>
              <w:t xml:space="preserve">Set and track SBTi-aligned reduction targets</w:t>
            </w:r>
          </w:p>
        </w:tc>
      </w:tr>
      <w:tr>
        <w:tc>
          <w:tcPr/>
          <w:p>
            <w:pPr>
              <w:pStyle w:val="Compact"/>
              <w:jc w:val="left"/>
            </w:pPr>
            <w:r>
              <w:t xml:space="preserve">238</w:t>
            </w:r>
          </w:p>
        </w:tc>
        <w:tc>
          <w:tcPr/>
          <w:p>
            <w:pPr>
              <w:pStyle w:val="Compact"/>
              <w:jc w:val="left"/>
            </w:pPr>
            <w:r>
              <w:t xml:space="preserve">Scope 3 category-level automation</w:t>
            </w:r>
          </w:p>
        </w:tc>
        <w:tc>
          <w:tcPr/>
          <w:p>
            <w:pPr>
              <w:pStyle w:val="Compact"/>
              <w:jc w:val="left"/>
            </w:pPr>
            <w:r>
              <w:t xml:space="preserve">P1</w:t>
            </w:r>
          </w:p>
        </w:tc>
        <w:tc>
          <w:tcPr/>
          <w:p>
            <w:pPr>
              <w:pStyle w:val="Compact"/>
              <w:jc w:val="left"/>
            </w:pPr>
            <w:r>
              <w:t xml:space="preserve">Auto-calculate each Scope 3 category from ERP + supplier data</w:t>
            </w:r>
          </w:p>
        </w:tc>
      </w:tr>
      <w:tr>
        <w:tc>
          <w:tcPr/>
          <w:p>
            <w:pPr>
              <w:pStyle w:val="Compact"/>
              <w:jc w:val="left"/>
            </w:pPr>
            <w:r>
              <w:t xml:space="preserve">239</w:t>
            </w:r>
          </w:p>
        </w:tc>
        <w:tc>
          <w:tcPr/>
          <w:p>
            <w:pPr>
              <w:pStyle w:val="Compact"/>
              <w:jc w:val="left"/>
            </w:pPr>
            <w:r>
              <w:t xml:space="preserve">Decarbonization scenario planner</w:t>
            </w:r>
          </w:p>
        </w:tc>
        <w:tc>
          <w:tcPr/>
          <w:p>
            <w:pPr>
              <w:pStyle w:val="Compact"/>
              <w:jc w:val="left"/>
            </w:pPr>
            <w:r>
              <w:t xml:space="preserve">P1</w:t>
            </w:r>
          </w:p>
        </w:tc>
        <w:tc>
          <w:tcPr/>
          <w:p>
            <w:pPr>
              <w:pStyle w:val="Compact"/>
              <w:jc w:val="left"/>
            </w:pPr>
            <w:r>
              <w:t xml:space="preserve">Model</w:t>
            </w:r>
            <w:r>
              <w:t xml:space="preserve"> </w:t>
            </w:r>
            <w:r>
              <w:t xml:space="preserve">“</w:t>
            </w:r>
            <w:r>
              <w:t xml:space="preserve">what if</w:t>
            </w:r>
            <w:r>
              <w:t xml:space="preserve">”</w:t>
            </w:r>
            <w:r>
              <w:t xml:space="preserve"> </w:t>
            </w:r>
            <w:r>
              <w:t xml:space="preserve">scenarios: new equipment, fuel switch, efficiency</w:t>
            </w:r>
          </w:p>
        </w:tc>
      </w:tr>
      <w:tr>
        <w:tc>
          <w:tcPr/>
          <w:p>
            <w:pPr>
              <w:pStyle w:val="Compact"/>
              <w:jc w:val="left"/>
            </w:pPr>
            <w:r>
              <w:t xml:space="preserve">240</w:t>
            </w:r>
          </w:p>
        </w:tc>
        <w:tc>
          <w:tcPr/>
          <w:p>
            <w:pPr>
              <w:pStyle w:val="Compact"/>
              <w:jc w:val="left"/>
            </w:pPr>
            <w:r>
              <w:t xml:space="preserve">Real-time carbon dashboard (live from IoT)</w:t>
            </w:r>
          </w:p>
        </w:tc>
        <w:tc>
          <w:tcPr/>
          <w:p>
            <w:pPr>
              <w:pStyle w:val="Compact"/>
              <w:jc w:val="left"/>
            </w:pPr>
            <w:r>
              <w:t xml:space="preserve">P1</w:t>
            </w:r>
          </w:p>
        </w:tc>
        <w:tc>
          <w:tcPr/>
          <w:p>
            <w:pPr>
              <w:pStyle w:val="Compact"/>
              <w:jc w:val="left"/>
            </w:pPr>
            <w:r>
              <w:t xml:space="preserve">Sub-minute emissions visualization from sensor network</w:t>
            </w:r>
          </w:p>
        </w:tc>
      </w:tr>
      <w:tr>
        <w:tc>
          <w:tcPr/>
          <w:p>
            <w:pPr>
              <w:pStyle w:val="Compact"/>
              <w:jc w:val="left"/>
            </w:pPr>
            <w:r>
              <w:t xml:space="preserve">241</w:t>
            </w:r>
          </w:p>
        </w:tc>
        <w:tc>
          <w:tcPr/>
          <w:p>
            <w:pPr>
              <w:pStyle w:val="Compact"/>
              <w:jc w:val="left"/>
            </w:pPr>
            <w:r>
              <w:t xml:space="preserve">Automated verification report preparation</w:t>
            </w:r>
          </w:p>
        </w:tc>
        <w:tc>
          <w:tcPr/>
          <w:p>
            <w:pPr>
              <w:pStyle w:val="Compact"/>
              <w:jc w:val="left"/>
            </w:pPr>
            <w:r>
              <w:t xml:space="preserve">P1</w:t>
            </w:r>
          </w:p>
        </w:tc>
        <w:tc>
          <w:tcPr/>
          <w:p>
            <w:pPr>
              <w:pStyle w:val="Compact"/>
              <w:jc w:val="left"/>
            </w:pPr>
            <w:r>
              <w:t xml:space="preserve">Pre-fill third-party verifier requirements</w:t>
            </w:r>
          </w:p>
        </w:tc>
      </w:tr>
      <w:tr>
        <w:tc>
          <w:tcPr/>
          <w:p>
            <w:pPr>
              <w:pStyle w:val="Compact"/>
              <w:jc w:val="left"/>
            </w:pPr>
            <w:r>
              <w:t xml:space="preserve">242</w:t>
            </w:r>
          </w:p>
        </w:tc>
        <w:tc>
          <w:tcPr/>
          <w:p>
            <w:pPr>
              <w:pStyle w:val="Compact"/>
              <w:jc w:val="left"/>
            </w:pPr>
            <w:r>
              <w:t xml:space="preserve">Regulatory sandbox for testing new rules</w:t>
            </w:r>
          </w:p>
        </w:tc>
        <w:tc>
          <w:tcPr/>
          <w:p>
            <w:pPr>
              <w:pStyle w:val="Compact"/>
              <w:jc w:val="left"/>
            </w:pPr>
            <w:r>
              <w:t xml:space="preserve">P2</w:t>
            </w:r>
          </w:p>
        </w:tc>
        <w:tc>
          <w:tcPr/>
          <w:p>
            <w:pPr>
              <w:pStyle w:val="Compact"/>
              <w:jc w:val="left"/>
            </w:pPr>
            <w:r>
              <w:t xml:space="preserve">Simulate impact of proposed regulations before enforcement</w:t>
            </w:r>
          </w:p>
        </w:tc>
      </w:tr>
      <w:tr>
        <w:tc>
          <w:tcPr/>
          <w:p>
            <w:pPr>
              <w:pStyle w:val="Compact"/>
              <w:jc w:val="left"/>
            </w:pPr>
            <w:r>
              <w:t xml:space="preserve">243</w:t>
            </w:r>
          </w:p>
        </w:tc>
        <w:tc>
          <w:tcPr/>
          <w:p>
            <w:pPr>
              <w:pStyle w:val="Compact"/>
              <w:jc w:val="left"/>
            </w:pPr>
            <w:r>
              <w:t xml:space="preserve">Customer community portal</w:t>
            </w:r>
          </w:p>
        </w:tc>
        <w:tc>
          <w:tcPr/>
          <w:p>
            <w:pPr>
              <w:pStyle w:val="Compact"/>
              <w:jc w:val="left"/>
            </w:pPr>
            <w:r>
              <w:t xml:space="preserve">P2</w:t>
            </w:r>
          </w:p>
        </w:tc>
        <w:tc>
          <w:tcPr/>
          <w:p>
            <w:pPr>
              <w:pStyle w:val="Compact"/>
              <w:jc w:val="left"/>
            </w:pPr>
            <w:r>
              <w:t xml:space="preserve">Forum for customers to share best practices, templates</w:t>
            </w:r>
          </w:p>
        </w:tc>
      </w:tr>
      <w:tr>
        <w:tc>
          <w:tcPr/>
          <w:p>
            <w:pPr>
              <w:pStyle w:val="Compact"/>
              <w:jc w:val="left"/>
            </w:pPr>
            <w:r>
              <w:t xml:space="preserve">244</w:t>
            </w:r>
          </w:p>
        </w:tc>
        <w:tc>
          <w:tcPr/>
          <w:p>
            <w:pPr>
              <w:pStyle w:val="Compact"/>
              <w:jc w:val="left"/>
            </w:pPr>
            <w:r>
              <w:t xml:space="preserve">API usage analytics and developer portal</w:t>
            </w:r>
          </w:p>
        </w:tc>
        <w:tc>
          <w:tcPr/>
          <w:p>
            <w:pPr>
              <w:pStyle w:val="Compact"/>
              <w:jc w:val="left"/>
            </w:pPr>
            <w:r>
              <w:t xml:space="preserve">P1</w:t>
            </w:r>
          </w:p>
        </w:tc>
        <w:tc>
          <w:tcPr/>
          <w:p>
            <w:pPr>
              <w:pStyle w:val="Compact"/>
              <w:jc w:val="left"/>
            </w:pPr>
            <w:r>
              <w:t xml:space="preserve">Track API consumption, provide interactive documentation</w:t>
            </w:r>
          </w:p>
        </w:tc>
      </w:tr>
      <w:tr>
        <w:tc>
          <w:tcPr/>
          <w:p>
            <w:pPr>
              <w:pStyle w:val="Compact"/>
              <w:jc w:val="left"/>
            </w:pPr>
            <w:r>
              <w:t xml:space="preserve">245</w:t>
            </w:r>
          </w:p>
        </w:tc>
        <w:tc>
          <w:tcPr/>
          <w:p>
            <w:pPr>
              <w:pStyle w:val="Compact"/>
              <w:jc w:val="left"/>
            </w:pPr>
            <w:r>
              <w:t xml:space="preserve">Advanced RBAC: custom roles and permissions</w:t>
            </w:r>
          </w:p>
        </w:tc>
        <w:tc>
          <w:tcPr/>
          <w:p>
            <w:pPr>
              <w:pStyle w:val="Compact"/>
              <w:jc w:val="left"/>
            </w:pPr>
            <w:r>
              <w:t xml:space="preserve">P1</w:t>
            </w:r>
          </w:p>
        </w:tc>
        <w:tc>
          <w:tcPr/>
          <w:p>
            <w:pPr>
              <w:pStyle w:val="Compact"/>
              <w:jc w:val="left"/>
            </w:pPr>
            <w:r>
              <w:t xml:space="preserve">Customers define their own role/permission combinations</w:t>
            </w:r>
          </w:p>
        </w:tc>
      </w:tr>
      <w:tr>
        <w:tc>
          <w:tcPr/>
          <w:p>
            <w:pPr>
              <w:pStyle w:val="Compact"/>
              <w:jc w:val="left"/>
            </w:pPr>
            <w:r>
              <w:t xml:space="preserve">246</w:t>
            </w:r>
          </w:p>
        </w:tc>
        <w:tc>
          <w:tcPr/>
          <w:p>
            <w:pPr>
              <w:pStyle w:val="Compact"/>
              <w:jc w:val="left"/>
            </w:pPr>
            <w:r>
              <w:t xml:space="preserve">Bulk data import/export (CSV, Excel, API)</w:t>
            </w:r>
          </w:p>
        </w:tc>
        <w:tc>
          <w:tcPr/>
          <w:p>
            <w:pPr>
              <w:pStyle w:val="Compact"/>
              <w:jc w:val="left"/>
            </w:pPr>
            <w:r>
              <w:t xml:space="preserve">P1</w:t>
            </w:r>
          </w:p>
        </w:tc>
        <w:tc>
          <w:tcPr/>
          <w:p>
            <w:pPr>
              <w:pStyle w:val="Compact"/>
              <w:jc w:val="left"/>
            </w:pPr>
            <w:r>
              <w:t xml:space="preserve">Mass data operations for initial setup and migration</w:t>
            </w:r>
          </w:p>
        </w:tc>
      </w:tr>
      <w:tr>
        <w:tc>
          <w:tcPr/>
          <w:p>
            <w:pPr>
              <w:pStyle w:val="Compact"/>
              <w:jc w:val="left"/>
            </w:pPr>
            <w:r>
              <w:t xml:space="preserve">247</w:t>
            </w:r>
          </w:p>
        </w:tc>
        <w:tc>
          <w:tcPr/>
          <w:p>
            <w:pPr>
              <w:pStyle w:val="Compact"/>
              <w:jc w:val="left"/>
            </w:pPr>
            <w:r>
              <w:t xml:space="preserve">DWS IQ 7.0 GA release packaging</w:t>
            </w:r>
          </w:p>
        </w:tc>
        <w:tc>
          <w:tcPr/>
          <w:p>
            <w:pPr>
              <w:pStyle w:val="Compact"/>
              <w:jc w:val="left"/>
            </w:pPr>
            <w:r>
              <w:t xml:space="preserve">P0</w:t>
            </w:r>
          </w:p>
        </w:tc>
        <w:tc>
          <w:tcPr/>
          <w:p>
            <w:pPr>
              <w:pStyle w:val="Compact"/>
              <w:jc w:val="left"/>
            </w:pPr>
            <w:r>
              <w:t xml:space="preserve">Final release: changelog, migration, marketing, launch</w:t>
            </w:r>
          </w:p>
        </w:tc>
      </w:tr>
    </w:tbl>
    <w:bookmarkEnd w:id="63"/>
    <w:bookmarkStart w:id="64" w:name="X1c23a8e6ce3b4174a5e86e9da59048273bc5555"/>
    <w:p>
      <w:pPr>
        <w:pStyle w:val="Heading3"/>
      </w:pPr>
      <w:r>
        <w:t xml:space="preserve">6.4 Multi-Jurisdiction Infrastructure (PRs 248–251)</w:t>
      </w:r>
    </w:p>
    <w:p>
      <w:pPr>
        <w:pStyle w:val="FirstParagraph"/>
      </w:pPr>
      <w:r>
        <w:rPr>
          <w:bCs/>
          <w:b/>
        </w:rPr>
        <w:t xml:space="preserve">Strategic context:</w:t>
      </w:r>
      <w:r>
        <w:t xml:space="preserve"> </w:t>
      </w:r>
      <w:r>
        <w:t xml:space="preserve">DWS IQ 7 expands from 2 cloud tracks (EU Sovereign + US Cloud) to 4 jurisdictions. UAE target partner: G42 (Abu Dhabi sovereign AI cloud, Microsoft-partnered). ASEA partner TBD. See</w:t>
      </w:r>
      <w:r>
        <w:t xml:space="preserve"> </w:t>
      </w:r>
      <w:r>
        <w:rPr>
          <w:rStyle w:val="VerbatimChar"/>
        </w:rPr>
        <w:t xml:space="preserve">docs/field-notes/2026-04-16-jurisdiction-expansion-dws7.md</w:t>
      </w:r>
      <w:r>
        <w:t xml:space="preserve"> </w:t>
      </w:r>
      <w:r>
        <w:t xml:space="preserve">for full decision record.</w:t>
      </w:r>
    </w:p>
    <w:tbl>
      <w:tblPr>
        <w:tblStyle w:val="Table"/>
        <w:tblW w:type="pct" w:w="5000"/>
        <w:tblLook w:firstRow="1" w:lastRow="0" w:firstColumn="0" w:lastColumn="0" w:noHBand="0" w:noVBand="0" w:val="0020"/>
        <w:jc w:val="start"/>
      </w:tblPr>
      <w:tblGrid>
        <w:gridCol w:w="118"/>
        <w:gridCol w:w="2442"/>
        <w:gridCol w:w="315"/>
        <w:gridCol w:w="5043"/>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248</w:t>
            </w:r>
          </w:p>
        </w:tc>
        <w:tc>
          <w:tcPr/>
          <w:p>
            <w:pPr>
              <w:pStyle w:val="Compact"/>
              <w:jc w:val="left"/>
            </w:pPr>
            <w:r>
              <w:t xml:space="preserve">Jurisdiction router — data residency enforcement at onboarding</w:t>
            </w:r>
          </w:p>
        </w:tc>
        <w:tc>
          <w:tcPr/>
          <w:p>
            <w:pPr>
              <w:pStyle w:val="Compact"/>
              <w:jc w:val="left"/>
            </w:pPr>
            <w:r>
              <w:t xml:space="preserve">P1</w:t>
            </w:r>
          </w:p>
        </w:tc>
        <w:tc>
          <w:tcPr/>
          <w:p>
            <w:pPr>
              <w:pStyle w:val="Compact"/>
              <w:jc w:val="left"/>
            </w:pPr>
            <w:r>
              <w:t xml:space="preserve">Customer selects EU / US / UAE / ASEA at signup; all data routed and stored in selected zone from day 1</w:t>
            </w:r>
          </w:p>
        </w:tc>
      </w:tr>
      <w:tr>
        <w:tc>
          <w:tcPr/>
          <w:p>
            <w:pPr>
              <w:pStyle w:val="Compact"/>
              <w:jc w:val="left"/>
            </w:pPr>
            <w:r>
              <w:t xml:space="preserve">249</w:t>
            </w:r>
          </w:p>
        </w:tc>
        <w:tc>
          <w:tcPr/>
          <w:p>
            <w:pPr>
              <w:pStyle w:val="Compact"/>
              <w:jc w:val="left"/>
            </w:pPr>
            <w:r>
              <w:t xml:space="preserve">UAE jurisdiction — G42 infrastructure integration</w:t>
            </w:r>
          </w:p>
        </w:tc>
        <w:tc>
          <w:tcPr/>
          <w:p>
            <w:pPr>
              <w:pStyle w:val="Compact"/>
              <w:jc w:val="left"/>
            </w:pPr>
            <w:r>
              <w:t xml:space="preserve">P2</w:t>
            </w:r>
          </w:p>
        </w:tc>
        <w:tc>
          <w:tcPr/>
          <w:p>
            <w:pPr>
              <w:pStyle w:val="Compact"/>
              <w:jc w:val="left"/>
            </w:pPr>
            <w:r>
              <w:t xml:space="preserve">Provision DWS IQ stack on G42 cloud; DIFC + ADGM compliance profile; UAE PDPL data processing agreement</w:t>
            </w:r>
          </w:p>
        </w:tc>
      </w:tr>
      <w:tr>
        <w:tc>
          <w:tcPr/>
          <w:p>
            <w:pPr>
              <w:pStyle w:val="Compact"/>
              <w:jc w:val="left"/>
            </w:pPr>
            <w:r>
              <w:t xml:space="preserve">250</w:t>
            </w:r>
          </w:p>
        </w:tc>
        <w:tc>
          <w:tcPr/>
          <w:p>
            <w:pPr>
              <w:pStyle w:val="Compact"/>
              <w:jc w:val="left"/>
            </w:pPr>
            <w:r>
              <w:t xml:space="preserve">ASEA jurisdiction — partner-ready infrastructure scaffold</w:t>
            </w:r>
          </w:p>
        </w:tc>
        <w:tc>
          <w:tcPr/>
          <w:p>
            <w:pPr>
              <w:pStyle w:val="Compact"/>
              <w:jc w:val="left"/>
            </w:pPr>
            <w:r>
              <w:t xml:space="preserve">P2</w:t>
            </w:r>
          </w:p>
        </w:tc>
        <w:tc>
          <w:tcPr/>
          <w:p>
            <w:pPr>
              <w:pStyle w:val="Compact"/>
              <w:jc w:val="left"/>
            </w:pPr>
            <w:r>
              <w:t xml:space="preserve">Region-agnostic scaffold deployable to Singapore/Malaysia/Indonesia; PDPA Singapore baseline compliance profile</w:t>
            </w:r>
          </w:p>
        </w:tc>
      </w:tr>
      <w:tr>
        <w:tc>
          <w:tcPr/>
          <w:p>
            <w:pPr>
              <w:pStyle w:val="Compact"/>
              <w:jc w:val="left"/>
            </w:pPr>
            <w:r>
              <w:t xml:space="preserve">251</w:t>
            </w:r>
          </w:p>
        </w:tc>
        <w:tc>
          <w:tcPr/>
          <w:p>
            <w:pPr>
              <w:pStyle w:val="Compact"/>
              <w:jc w:val="left"/>
            </w:pPr>
            <w:r>
              <w:t xml:space="preserve">Per-jurisdiction sovereignty score + compliance profile engine</w:t>
            </w:r>
          </w:p>
        </w:tc>
        <w:tc>
          <w:tcPr/>
          <w:p>
            <w:pPr>
              <w:pStyle w:val="Compact"/>
              <w:jc w:val="left"/>
            </w:pPr>
            <w:r>
              <w:t xml:space="preserve">P1</w:t>
            </w:r>
          </w:p>
        </w:tc>
        <w:tc>
          <w:tcPr/>
          <w:p>
            <w:pPr>
              <w:pStyle w:val="Compact"/>
              <w:jc w:val="left"/>
            </w:pPr>
            <w:r>
              <w:t xml:space="preserve">Extend existing EU sovereignty scoring model to UAE and ASEA regulatory frameworks; unified score API across all 4 jurisdictions</w:t>
            </w:r>
          </w:p>
        </w:tc>
      </w:tr>
    </w:tbl>
    <w:p>
      <w:r>
        <w:pict>
          <v:rect style="width:0;height:1.5pt" o:hralign="center" o:hrstd="t" o:hr="t"/>
        </w:pict>
      </w:r>
    </w:p>
    <w:bookmarkEnd w:id="64"/>
    <w:bookmarkEnd w:id="65"/>
    <w:bookmarkStart w:id="72" w:name="cli-evolution-cross-phase-50-prs"/>
    <w:p>
      <w:pPr>
        <w:pStyle w:val="Heading2"/>
      </w:pPr>
      <w:r>
        <w:t xml:space="preserve">CLI Evolution (Cross-Phase, 50 PRs)</w:t>
      </w:r>
    </w:p>
    <w:p>
      <w:pPr>
        <w:pStyle w:val="BlockText"/>
      </w:pPr>
      <w:r>
        <w:rPr>
          <w:bCs/>
          <w:b/>
        </w:rPr>
        <w:t xml:space="preserve">Principle:</w:t>
      </w:r>
      <w:r>
        <w:t xml:space="preserve"> </w:t>
      </w:r>
      <w:r>
        <w:t xml:space="preserve">If it can’t be done via</w:t>
      </w:r>
      <w:r>
        <w:t xml:space="preserve"> </w:t>
      </w:r>
      <w:r>
        <w:rPr>
          <w:rStyle w:val="VerbatimChar"/>
        </w:rPr>
        <w:t xml:space="preserve">dws &lt;command&gt;</w:t>
      </w:r>
      <w:r>
        <w:t xml:space="preserve">, it’s not shipped.</w:t>
      </w:r>
      <w:r>
        <w:t xml:space="preserve"> </w:t>
      </w:r>
      <w:r>
        <w:rPr>
          <w:bCs/>
          <w:b/>
        </w:rPr>
        <w:t xml:space="preserve">Architecture:</w:t>
      </w:r>
      <w:r>
        <w:t xml:space="preserve"> </w:t>
      </w:r>
      <w:r>
        <w:t xml:space="preserve">Zero dependencies. Pure Node.js. Pipeable. JSON-native.</w:t>
      </w:r>
      <w:r>
        <w:t xml:space="preserve"> </w:t>
      </w:r>
      <w:r>
        <w:rPr>
          <w:bCs/>
          <w:b/>
        </w:rPr>
        <w:t xml:space="preserve">Entry point:</w:t>
      </w:r>
      <w:r>
        <w:t xml:space="preserve"> </w:t>
      </w:r>
      <w:r>
        <w:rPr>
          <w:rStyle w:val="VerbatimChar"/>
        </w:rPr>
        <w:t xml:space="preserve">cli/src/cli.ts</w:t>
      </w:r>
      <w:r>
        <w:t xml:space="preserve"> </w:t>
      </w:r>
      <w:r>
        <w:t xml:space="preserve">| Package:</w:t>
      </w:r>
      <w:r>
        <w:t xml:space="preserve"> </w:t>
      </w:r>
      <w:r>
        <w:rPr>
          <w:rStyle w:val="VerbatimChar"/>
        </w:rPr>
        <w:t xml:space="preserve">@dws/cli</w:t>
      </w:r>
      <w:r>
        <w:t xml:space="preserve"> </w:t>
      </w:r>
      <w:r>
        <w:rPr>
          <w:bCs/>
          <w:b/>
        </w:rPr>
        <w:t xml:space="preserve">Full roadmap:</w:t>
      </w:r>
      <w:r>
        <w:t xml:space="preserve"> </w:t>
      </w:r>
      <w:r>
        <w:rPr>
          <w:rStyle w:val="VerbatimChar"/>
        </w:rPr>
        <w:t xml:space="preserve">docs/DWS7_CLI_ROADMAP.md</w:t>
      </w:r>
    </w:p>
    <w:bookmarkStart w:id="66" w:name="current-state-dws6-march-2026"/>
    <w:p>
      <w:pPr>
        <w:pStyle w:val="Heading3"/>
      </w:pPr>
      <w:r>
        <w:t xml:space="preserve">Current State (DWS6, March 2026)</w:t>
      </w:r>
    </w:p>
    <w:p>
      <w:pPr>
        <w:pStyle w:val="FirstParagraph"/>
      </w:pPr>
      <w:r>
        <w:t xml:space="preserve">The DWS CLI ships with 31 registered agents, 4 workflows, MCP tool integration, 5 industry scenarios, and dual-mode output (human TTY / machine JSON). Zero runtime dependencies.</w:t>
      </w:r>
    </w:p>
    <w:p>
      <w:pPr>
        <w:pStyle w:val="SourceCode"/>
      </w:pPr>
      <w:r>
        <w:rPr>
          <w:rStyle w:val="ExtensionTok"/>
        </w:rPr>
        <w:t xml:space="preserve">dws</w:t>
      </w:r>
      <w:r>
        <w:rPr>
          <w:rStyle w:val="NormalTok"/>
        </w:rPr>
        <w:t xml:space="preserve"> agents                              </w:t>
      </w:r>
      <w:r>
        <w:rPr>
          <w:rStyle w:val="CommentTok"/>
        </w:rPr>
        <w:t xml:space="preserve"># List all 31 agents</w:t>
      </w:r>
      <w:r>
        <w:br/>
      </w:r>
      <w:r>
        <w:rPr>
          <w:rStyle w:val="ExtensionTok"/>
        </w:rPr>
        <w:t xml:space="preserve">dws</w:t>
      </w:r>
      <w:r>
        <w:rPr>
          <w:rStyle w:val="NormalTok"/>
        </w:rPr>
        <w:t xml:space="preserve"> run compliance </w:t>
      </w:r>
      <w:r>
        <w:rPr>
          <w:rStyle w:val="AttributeTok"/>
        </w:rPr>
        <w:t xml:space="preserve">--input</w:t>
      </w:r>
      <w:r>
        <w:rPr>
          <w:rStyle w:val="NormalTok"/>
        </w:rPr>
        <w:t xml:space="preserve"> </w:t>
      </w:r>
      <w:r>
        <w:rPr>
          <w:rStyle w:val="StringTok"/>
        </w:rPr>
        <w:t xml:space="preserve">'{...}'</w:t>
      </w:r>
      <w:r>
        <w:rPr>
          <w:rStyle w:val="NormalTok"/>
        </w:rPr>
        <w:t xml:space="preserve">      </w:t>
      </w:r>
      <w:r>
        <w:rPr>
          <w:rStyle w:val="CommentTok"/>
        </w:rPr>
        <w:t xml:space="preserve"># Execute agent</w:t>
      </w:r>
      <w:r>
        <w:br/>
      </w:r>
      <w:r>
        <w:rPr>
          <w:rStyle w:val="ExtensionTok"/>
        </w:rPr>
        <w:t xml:space="preserve">dws</w:t>
      </w:r>
      <w:r>
        <w:rPr>
          <w:rStyle w:val="NormalTok"/>
        </w:rPr>
        <w:t xml:space="preserve"> workflow compliance-assessment      </w:t>
      </w:r>
      <w:r>
        <w:rPr>
          <w:rStyle w:val="CommentTok"/>
        </w:rPr>
        <w:t xml:space="preserve"># Multi-agent workflow</w:t>
      </w:r>
      <w:r>
        <w:br/>
      </w:r>
      <w:r>
        <w:rPr>
          <w:rStyle w:val="ExtensionTok"/>
        </w:rPr>
        <w:t xml:space="preserve">dws</w:t>
      </w:r>
      <w:r>
        <w:rPr>
          <w:rStyle w:val="NormalTok"/>
        </w:rPr>
        <w:t xml:space="preserve"> discover carbon                     </w:t>
      </w:r>
      <w:r>
        <w:rPr>
          <w:rStyle w:val="CommentTok"/>
        </w:rPr>
        <w:t xml:space="preserve"># Find by capability</w:t>
      </w:r>
      <w:r>
        <w:br/>
      </w:r>
      <w:r>
        <w:rPr>
          <w:rStyle w:val="ExtensionTok"/>
        </w:rPr>
        <w:t xml:space="preserve">dws</w:t>
      </w:r>
      <w:r>
        <w:rPr>
          <w:rStyle w:val="NormalTok"/>
        </w:rPr>
        <w:t xml:space="preserve"> mcp tools                           </w:t>
      </w:r>
      <w:r>
        <w:rPr>
          <w:rStyle w:val="CommentTok"/>
        </w:rPr>
        <w:t xml:space="preserve"># MCP tool listing</w:t>
      </w:r>
      <w:r>
        <w:br/>
      </w:r>
      <w:r>
        <w:rPr>
          <w:rStyle w:val="ExtensionTok"/>
        </w:rPr>
        <w:t xml:space="preserve">dws</w:t>
      </w:r>
      <w:r>
        <w:rPr>
          <w:rStyle w:val="NormalTok"/>
        </w:rPr>
        <w:t xml:space="preserve"> scenario construction              </w:t>
      </w:r>
      <w:r>
        <w:rPr>
          <w:rStyle w:val="CommentTok"/>
        </w:rPr>
        <w:t xml:space="preserve"># Industry quickstart</w:t>
      </w:r>
      <w:r>
        <w:br/>
      </w:r>
      <w:r>
        <w:rPr>
          <w:rStyle w:val="BuiltInTok"/>
        </w:rPr>
        <w:t xml:space="preserve">echo</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dws</w:t>
      </w:r>
      <w:r>
        <w:rPr>
          <w:rStyle w:val="NormalTok"/>
        </w:rPr>
        <w:t xml:space="preserve"> run compliance </w:t>
      </w:r>
      <w:r>
        <w:rPr>
          <w:rStyle w:val="AttributeTok"/>
        </w:rPr>
        <w:t xml:space="preserve">--stdin</w:t>
      </w:r>
      <w:r>
        <w:rPr>
          <w:rStyle w:val="NormalTok"/>
        </w:rPr>
        <w:t xml:space="preserve">  </w:t>
      </w:r>
      <w:r>
        <w:rPr>
          <w:rStyle w:val="CommentTok"/>
        </w:rPr>
        <w:t xml:space="preserve"># Pipe JSON in</w:t>
      </w:r>
      <w:r>
        <w:br/>
      </w:r>
      <w:r>
        <w:rPr>
          <w:rStyle w:val="ExtensionTok"/>
        </w:rPr>
        <w:t xml:space="preserve">dws</w:t>
      </w:r>
      <w:r>
        <w:rPr>
          <w:rStyle w:val="NormalTok"/>
        </w:rPr>
        <w:t xml:space="preserve"> status </w:t>
      </w:r>
      <w:r>
        <w:rPr>
          <w:rStyle w:val="KeywordTok"/>
        </w:rPr>
        <w:t xml:space="preserve">|</w:t>
      </w:r>
      <w:r>
        <w:rPr>
          <w:rStyle w:val="NormalTok"/>
        </w:rPr>
        <w:t xml:space="preserve"> </w:t>
      </w:r>
      <w:r>
        <w:rPr>
          <w:rStyle w:val="ExtensionTok"/>
        </w:rPr>
        <w:t xml:space="preserve">jq</w:t>
      </w:r>
      <w:r>
        <w:rPr>
          <w:rStyle w:val="NormalTok"/>
        </w:rPr>
        <w:t xml:space="preserve"> .agents                 </w:t>
      </w:r>
      <w:r>
        <w:rPr>
          <w:rStyle w:val="CommentTok"/>
        </w:rPr>
        <w:t xml:space="preserve"># Pipe JSON out</w:t>
      </w:r>
    </w:p>
    <w:bookmarkEnd w:id="66"/>
    <w:bookmarkStart w:id="67" w:name="cli-prs-mapped-to-phases"/>
    <w:p>
      <w:pPr>
        <w:pStyle w:val="Heading3"/>
      </w:pPr>
      <w:r>
        <w:t xml:space="preserve">CLI PRs Mapped to Phases</w:t>
      </w:r>
    </w:p>
    <w:tbl>
      <w:tblPr>
        <w:tblStyle w:val="Table"/>
        <w:tblW w:type="pct" w:w="5000"/>
        <w:tblLook w:firstRow="1" w:lastRow="0" w:firstColumn="0" w:lastColumn="0" w:noHBand="0" w:noVBand="0" w:val="0020"/>
        <w:jc w:val="start"/>
      </w:tblPr>
      <w:tblGrid>
        <w:gridCol w:w="1070"/>
        <w:gridCol w:w="909"/>
        <w:gridCol w:w="1444"/>
        <w:gridCol w:w="4495"/>
      </w:tblGrid>
      <w:tr>
        <w:trPr>
          <w:tblHeader w:val="true"/>
        </w:trPr>
        <w:tc>
          <w:tcPr/>
          <w:p>
            <w:pPr>
              <w:pStyle w:val="Compact"/>
              <w:jc w:val="left"/>
            </w:pPr>
            <w:r>
              <w:t xml:space="preserve">Phase</w:t>
            </w:r>
          </w:p>
        </w:tc>
        <w:tc>
          <w:tcPr/>
          <w:p>
            <w:pPr>
              <w:pStyle w:val="Compact"/>
              <w:jc w:val="left"/>
            </w:pPr>
            <w:r>
              <w:t xml:space="preserve">CLI PRs</w:t>
            </w:r>
          </w:p>
        </w:tc>
        <w:tc>
          <w:tcPr/>
          <w:p>
            <w:pPr>
              <w:pStyle w:val="Compact"/>
              <w:jc w:val="left"/>
            </w:pPr>
            <w:r>
              <w:t xml:space="preserve">Theme</w:t>
            </w:r>
          </w:p>
        </w:tc>
        <w:tc>
          <w:tcPr/>
          <w:p>
            <w:pPr>
              <w:pStyle w:val="Compact"/>
              <w:jc w:val="left"/>
            </w:pPr>
            <w:r>
              <w:t xml:space="preserve">Key Deliverables</w:t>
            </w:r>
          </w:p>
        </w:tc>
      </w:tr>
      <w:tr>
        <w:tc>
          <w:tcPr/>
          <w:p>
            <w:pPr>
              <w:pStyle w:val="Compact"/>
              <w:jc w:val="left"/>
            </w:pPr>
            <w:r>
              <w:rPr>
                <w:bCs/>
                <w:b/>
              </w:rPr>
              <w:t xml:space="preserve">1</w:t>
            </w:r>
            <w:r>
              <w:t xml:space="preserve"> </w:t>
            </w:r>
            <w:r>
              <w:t xml:space="preserve">(Feb–Apr 2026)</w:t>
            </w:r>
          </w:p>
        </w:tc>
        <w:tc>
          <w:tcPr/>
          <w:p>
            <w:pPr>
              <w:pStyle w:val="Compact"/>
              <w:jc w:val="left"/>
            </w:pPr>
            <w:r>
              <w:t xml:space="preserve">CLI-001 → CLI-008</w:t>
            </w:r>
          </w:p>
        </w:tc>
        <w:tc>
          <w:tcPr/>
          <w:p>
            <w:pPr>
              <w:pStyle w:val="Compact"/>
              <w:jc w:val="left"/>
            </w:pPr>
            <w:r>
              <w:t xml:space="preserve">Safety &amp; observability</w:t>
            </w:r>
          </w:p>
        </w:tc>
        <w:tc>
          <w:tcPr/>
          <w:p>
            <w:pPr>
              <w:pStyle w:val="Compact"/>
              <w:jc w:val="left"/>
            </w:pPr>
            <w:r>
              <w:rPr>
                <w:rStyle w:val="VerbatimChar"/>
              </w:rPr>
              <w:t xml:space="preserve">--dry-run</w:t>
            </w:r>
            <w:r>
              <w:t xml:space="preserve">,</w:t>
            </w:r>
            <w:r>
              <w:t xml:space="preserve"> </w:t>
            </w:r>
            <w:r>
              <w:rPr>
                <w:rStyle w:val="VerbatimChar"/>
              </w:rPr>
              <w:t xml:space="preserve">--plan</w:t>
            </w:r>
            <w:r>
              <w:t xml:space="preserve">, Y/n confirmation,</w:t>
            </w:r>
            <w:r>
              <w:t xml:space="preserve"> </w:t>
            </w:r>
            <w:r>
              <w:rPr>
                <w:rStyle w:val="VerbatimChar"/>
              </w:rPr>
              <w:t xml:space="preserve">--trace</w:t>
            </w:r>
            <w:r>
              <w:t xml:space="preserve">,</w:t>
            </w:r>
            <w:r>
              <w:t xml:space="preserve"> </w:t>
            </w:r>
            <w:r>
              <w:rPr>
                <w:rStyle w:val="VerbatimChar"/>
              </w:rPr>
              <w:t xml:space="preserve">--verbose</w:t>
            </w:r>
          </w:p>
        </w:tc>
      </w:tr>
      <w:tr>
        <w:tc>
          <w:tcPr/>
          <w:p>
            <w:pPr>
              <w:pStyle w:val="Compact"/>
              <w:jc w:val="left"/>
            </w:pPr>
            <w:r>
              <w:rPr>
                <w:bCs/>
                <w:b/>
              </w:rPr>
              <w:t xml:space="preserve">2</w:t>
            </w:r>
            <w:r>
              <w:t xml:space="preserve"> </w:t>
            </w:r>
            <w:r>
              <w:t xml:space="preserve">(May–Jul 2026)</w:t>
            </w:r>
          </w:p>
        </w:tc>
        <w:tc>
          <w:tcPr/>
          <w:p>
            <w:pPr>
              <w:pStyle w:val="Compact"/>
              <w:jc w:val="left"/>
            </w:pPr>
            <w:r>
              <w:t xml:space="preserve">CLI-009 → CLI-018</w:t>
            </w:r>
          </w:p>
        </w:tc>
        <w:tc>
          <w:tcPr/>
          <w:p>
            <w:pPr>
              <w:pStyle w:val="Compact"/>
              <w:jc w:val="left"/>
            </w:pPr>
            <w:r>
              <w:t xml:space="preserve">Context &amp; memory</w:t>
            </w:r>
          </w:p>
        </w:tc>
        <w:tc>
          <w:tcPr/>
          <w:p>
            <w:pPr>
              <w:pStyle w:val="Compact"/>
              <w:jc w:val="left"/>
            </w:pPr>
            <w:r>
              <w:rPr>
                <w:rStyle w:val="VerbatimChar"/>
              </w:rPr>
              <w:t xml:space="preserve">dws history</w:t>
            </w:r>
            <w:r>
              <w:t xml:space="preserve">,</w:t>
            </w:r>
            <w:r>
              <w:t xml:space="preserve"> </w:t>
            </w:r>
            <w:r>
              <w:rPr>
                <w:rStyle w:val="VerbatimChar"/>
              </w:rPr>
              <w:t xml:space="preserve">--project</w:t>
            </w:r>
            <w:r>
              <w:t xml:space="preserve"> </w:t>
            </w:r>
            <w:r>
              <w:t xml:space="preserve">context injection,</w:t>
            </w:r>
            <w:r>
              <w:t xml:space="preserve"> </w:t>
            </w:r>
            <w:r>
              <w:rPr>
                <w:rStyle w:val="VerbatimChar"/>
              </w:rPr>
              <w:t xml:space="preserve">--compact</w:t>
            </w:r>
            <w:r>
              <w:t xml:space="preserve">, config files</w:t>
            </w:r>
          </w:p>
        </w:tc>
      </w:tr>
      <w:tr>
        <w:tc>
          <w:tcPr/>
          <w:p>
            <w:pPr>
              <w:pStyle w:val="Compact"/>
              <w:jc w:val="left"/>
            </w:pPr>
            <w:r>
              <w:rPr>
                <w:bCs/>
                <w:b/>
              </w:rPr>
              <w:t xml:space="preserve">3</w:t>
            </w:r>
            <w:r>
              <w:t xml:space="preserve"> </w:t>
            </w:r>
            <w:r>
              <w:t xml:space="preserve">(Aug–Oct 2026)</w:t>
            </w:r>
          </w:p>
        </w:tc>
        <w:tc>
          <w:tcPr/>
          <w:p>
            <w:pPr>
              <w:pStyle w:val="Compact"/>
              <w:jc w:val="left"/>
            </w:pPr>
            <w:r>
              <w:t xml:space="preserve">CLI-019 → CLI-026</w:t>
            </w:r>
          </w:p>
        </w:tc>
        <w:tc>
          <w:tcPr/>
          <w:p>
            <w:pPr>
              <w:pStyle w:val="Compact"/>
              <w:jc w:val="left"/>
            </w:pPr>
            <w:r>
              <w:t xml:space="preserve">Model routing &amp; performance</w:t>
            </w:r>
          </w:p>
        </w:tc>
        <w:tc>
          <w:tcPr/>
          <w:p>
            <w:pPr>
              <w:pStyle w:val="Compact"/>
              <w:jc w:val="left"/>
            </w:pPr>
            <w:r>
              <w:rPr>
                <w:rStyle w:val="VerbatimChar"/>
              </w:rPr>
              <w:t xml:space="preserve">--model-tier fast/standard/reasoning</w:t>
            </w:r>
            <w:r>
              <w:t xml:space="preserve">, parallel agent execution,</w:t>
            </w:r>
            <w:r>
              <w:t xml:space="preserve"> </w:t>
            </w:r>
            <w:r>
              <w:rPr>
                <w:rStyle w:val="VerbatimChar"/>
              </w:rPr>
              <w:t xml:space="preserve">--timeout</w:t>
            </w:r>
          </w:p>
        </w:tc>
      </w:tr>
      <w:tr>
        <w:tc>
          <w:tcPr/>
          <w:p>
            <w:pPr>
              <w:pStyle w:val="Compact"/>
              <w:jc w:val="left"/>
            </w:pPr>
            <w:r>
              <w:rPr>
                <w:bCs/>
                <w:b/>
              </w:rPr>
              <w:t xml:space="preserve">4</w:t>
            </w:r>
            <w:r>
              <w:t xml:space="preserve"> </w:t>
            </w:r>
            <w:r>
              <w:t xml:space="preserve">(Nov–Jan 2027)</w:t>
            </w:r>
          </w:p>
        </w:tc>
        <w:tc>
          <w:tcPr/>
          <w:p>
            <w:pPr>
              <w:pStyle w:val="Compact"/>
              <w:jc w:val="left"/>
            </w:pPr>
            <w:r>
              <w:t xml:space="preserve">CLI-027 → CLI-036</w:t>
            </w:r>
          </w:p>
        </w:tc>
        <w:tc>
          <w:tcPr/>
          <w:p>
            <w:pPr>
              <w:pStyle w:val="Compact"/>
              <w:jc w:val="left"/>
            </w:pPr>
            <w:r>
              <w:t xml:space="preserve">Ecosystem &amp; extensibility</w:t>
            </w:r>
          </w:p>
        </w:tc>
        <w:tc>
          <w:tcPr/>
          <w:p>
            <w:pPr>
              <w:pStyle w:val="Compact"/>
              <w:jc w:val="left"/>
            </w:pPr>
            <w:r>
              <w:t xml:space="preserve">Plugin system,</w:t>
            </w:r>
            <w:r>
              <w:t xml:space="preserve"> </w:t>
            </w:r>
            <w:r>
              <w:rPr>
                <w:rStyle w:val="VerbatimChar"/>
              </w:rPr>
              <w:t xml:space="preserve">--format table/csv/yaml</w:t>
            </w:r>
            <w:r>
              <w:t xml:space="preserve">,</w:t>
            </w:r>
            <w:r>
              <w:t xml:space="preserve"> </w:t>
            </w:r>
            <w:r>
              <w:rPr>
                <w:rStyle w:val="VerbatimChar"/>
              </w:rPr>
              <w:t xml:space="preserve">dws batch run</w:t>
            </w:r>
            <w:r>
              <w:t xml:space="preserve">, JSONL processing</w:t>
            </w:r>
          </w:p>
        </w:tc>
      </w:tr>
      <w:tr>
        <w:tc>
          <w:tcPr/>
          <w:p>
            <w:pPr>
              <w:pStyle w:val="Compact"/>
              <w:jc w:val="left"/>
            </w:pPr>
            <w:r>
              <w:rPr>
                <w:bCs/>
                <w:b/>
              </w:rPr>
              <w:t xml:space="preserve">5</w:t>
            </w:r>
            <w:r>
              <w:t xml:space="preserve"> </w:t>
            </w:r>
            <w:r>
              <w:t xml:space="preserve">(Feb–May 2027)</w:t>
            </w:r>
          </w:p>
        </w:tc>
        <w:tc>
          <w:tcPr/>
          <w:p>
            <w:pPr>
              <w:pStyle w:val="Compact"/>
              <w:jc w:val="left"/>
            </w:pPr>
            <w:r>
              <w:t xml:space="preserve">CLI-037 → CLI-044</w:t>
            </w:r>
          </w:p>
        </w:tc>
        <w:tc>
          <w:tcPr/>
          <w:p>
            <w:pPr>
              <w:pStyle w:val="Compact"/>
              <w:jc w:val="left"/>
            </w:pPr>
            <w:r>
              <w:t xml:space="preserve">Enterprise &amp; compliance</w:t>
            </w:r>
          </w:p>
        </w:tc>
        <w:tc>
          <w:tcPr/>
          <w:p>
            <w:pPr>
              <w:pStyle w:val="Compact"/>
              <w:jc w:val="left"/>
            </w:pPr>
            <w:r>
              <w:rPr>
                <w:rStyle w:val="VerbatimChar"/>
              </w:rPr>
              <w:t xml:space="preserve">dws audit</w:t>
            </w:r>
            <w:r>
              <w:t xml:space="preserve"> </w:t>
            </w:r>
            <w:r>
              <w:t xml:space="preserve">(Article 12 export),</w:t>
            </w:r>
            <w:r>
              <w:t xml:space="preserve"> </w:t>
            </w:r>
            <w:r>
              <w:rPr>
                <w:rStyle w:val="VerbatimChar"/>
              </w:rPr>
              <w:t xml:space="preserve">dws login</w:t>
            </w:r>
            <w:r>
              <w:t xml:space="preserve"> </w:t>
            </w:r>
            <w:r>
              <w:t xml:space="preserve">(OAuth),</w:t>
            </w:r>
            <w:r>
              <w:t xml:space="preserve"> </w:t>
            </w:r>
            <w:r>
              <w:rPr>
                <w:rStyle w:val="VerbatimChar"/>
              </w:rPr>
              <w:t xml:space="preserve">dws org switch</w:t>
            </w:r>
            <w:r>
              <w:t xml:space="preserve">, multi-tenant</w:t>
            </w:r>
          </w:p>
        </w:tc>
      </w:tr>
      <w:tr>
        <w:tc>
          <w:tcPr/>
          <w:p>
            <w:pPr>
              <w:pStyle w:val="Compact"/>
              <w:jc w:val="left"/>
            </w:pPr>
            <w:r>
              <w:rPr>
                <w:bCs/>
                <w:b/>
              </w:rPr>
              <w:t xml:space="preserve">6</w:t>
            </w:r>
            <w:r>
              <w:t xml:space="preserve"> </w:t>
            </w:r>
            <w:r>
              <w:t xml:space="preserve">(Jun–Dec 2027)</w:t>
            </w:r>
          </w:p>
        </w:tc>
        <w:tc>
          <w:tcPr/>
          <w:p>
            <w:pPr>
              <w:pStyle w:val="Compact"/>
              <w:jc w:val="left"/>
            </w:pPr>
            <w:r>
              <w:t xml:space="preserve">CLI-045 → CLI-050</w:t>
            </w:r>
          </w:p>
        </w:tc>
        <w:tc>
          <w:tcPr/>
          <w:p>
            <w:pPr>
              <w:pStyle w:val="Compact"/>
              <w:jc w:val="left"/>
            </w:pPr>
            <w:r>
              <w:t xml:space="preserve">Edge &amp; IoT</w:t>
            </w:r>
          </w:p>
        </w:tc>
        <w:tc>
          <w:tcPr/>
          <w:p>
            <w:pPr>
              <w:pStyle w:val="Compact"/>
              <w:jc w:val="left"/>
            </w:pPr>
            <w:r>
              <w:rPr>
                <w:rStyle w:val="VerbatimChar"/>
              </w:rPr>
              <w:t xml:space="preserve">dws fleet list/deploy/logs</w:t>
            </w:r>
            <w:r>
              <w:t xml:space="preserve">,</w:t>
            </w:r>
            <w:r>
              <w:t xml:space="preserve"> </w:t>
            </w:r>
            <w:r>
              <w:rPr>
                <w:rStyle w:val="VerbatimChar"/>
              </w:rPr>
              <w:t xml:space="preserve">dws stream emissions</w:t>
            </w:r>
            <w:r>
              <w:t xml:space="preserve">, WebSocket → JSONL piping</w:t>
            </w:r>
          </w:p>
        </w:tc>
      </w:tr>
    </w:tbl>
    <w:bookmarkEnd w:id="67"/>
    <w:bookmarkStart w:id="68" w:name="phase-1-cli-safety-p0"/>
    <w:p>
      <w:pPr>
        <w:pStyle w:val="Heading3"/>
      </w:pPr>
      <w:r>
        <w:t xml:space="preserve">Phase 1 CLI: Safety (P0)</w:t>
      </w:r>
    </w:p>
    <w:tbl>
      <w:tblPr>
        <w:tblStyle w:val="Table"/>
        <w:tblW w:type="pct" w:w="5000"/>
        <w:tblLook w:firstRow="1" w:lastRow="0" w:firstColumn="0" w:lastColumn="0" w:noHBand="0" w:noVBand="0" w:val="0020"/>
        <w:jc w:val="start"/>
      </w:tblPr>
      <w:tblGrid>
        <w:gridCol w:w="780"/>
        <w:gridCol w:w="6469"/>
        <w:gridCol w:w="669"/>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Effort</w:t>
            </w:r>
          </w:p>
        </w:tc>
      </w:tr>
      <w:tr>
        <w:tc>
          <w:tcPr/>
          <w:p>
            <w:pPr>
              <w:pStyle w:val="Compact"/>
              <w:jc w:val="left"/>
            </w:pPr>
            <w:r>
              <w:t xml:space="preserve">CLI-001</w:t>
            </w:r>
          </w:p>
        </w:tc>
        <w:tc>
          <w:tcPr/>
          <w:p>
            <w:pPr>
              <w:pStyle w:val="Compact"/>
              <w:jc w:val="left"/>
            </w:pPr>
            <w:r>
              <w:rPr>
                <w:rStyle w:val="VerbatimChar"/>
              </w:rPr>
              <w:t xml:space="preserve">--dry-run</w:t>
            </w:r>
            <w:r>
              <w:t xml:space="preserve"> </w:t>
            </w:r>
            <w:r>
              <w:t xml:space="preserve">flag for</w:t>
            </w:r>
            <w:r>
              <w:t xml:space="preserve"> </w:t>
            </w:r>
            <w:r>
              <w:rPr>
                <w:rStyle w:val="VerbatimChar"/>
              </w:rPr>
              <w:t xml:space="preserve">dws run</w:t>
            </w:r>
            <w:r>
              <w:t xml:space="preserve"> </w:t>
            </w:r>
            <w:r>
              <w:t xml:space="preserve">— preview without execution</w:t>
            </w:r>
          </w:p>
        </w:tc>
        <w:tc>
          <w:tcPr/>
          <w:p>
            <w:pPr>
              <w:pStyle w:val="Compact"/>
              <w:jc w:val="left"/>
            </w:pPr>
            <w:r>
              <w:t xml:space="preserve">50 LOC</w:t>
            </w:r>
          </w:p>
        </w:tc>
      </w:tr>
      <w:tr>
        <w:tc>
          <w:tcPr/>
          <w:p>
            <w:pPr>
              <w:pStyle w:val="Compact"/>
              <w:jc w:val="left"/>
            </w:pPr>
            <w:r>
              <w:t xml:space="preserve">CLI-002</w:t>
            </w:r>
          </w:p>
        </w:tc>
        <w:tc>
          <w:tcPr/>
          <w:p>
            <w:pPr>
              <w:pStyle w:val="Compact"/>
              <w:jc w:val="left"/>
            </w:pPr>
            <w:r>
              <w:rPr>
                <w:rStyle w:val="VerbatimChar"/>
              </w:rPr>
              <w:t xml:space="preserve">--plan</w:t>
            </w:r>
            <w:r>
              <w:t xml:space="preserve"> </w:t>
            </w:r>
            <w:r>
              <w:t xml:space="preserve">flag for</w:t>
            </w:r>
            <w:r>
              <w:t xml:space="preserve"> </w:t>
            </w:r>
            <w:r>
              <w:rPr>
                <w:rStyle w:val="VerbatimChar"/>
              </w:rPr>
              <w:t xml:space="preserve">dws workflow</w:t>
            </w:r>
            <w:r>
              <w:t xml:space="preserve"> </w:t>
            </w:r>
            <w:r>
              <w:t xml:space="preserve">— show steps, no execute</w:t>
            </w:r>
          </w:p>
        </w:tc>
        <w:tc>
          <w:tcPr/>
          <w:p>
            <w:pPr>
              <w:pStyle w:val="Compact"/>
              <w:jc w:val="left"/>
            </w:pPr>
            <w:r>
              <w:t xml:space="preserve">40 LOC</w:t>
            </w:r>
          </w:p>
        </w:tc>
      </w:tr>
      <w:tr>
        <w:tc>
          <w:tcPr/>
          <w:p>
            <w:pPr>
              <w:pStyle w:val="Compact"/>
              <w:jc w:val="left"/>
            </w:pPr>
            <w:r>
              <w:t xml:space="preserve">CLI-005</w:t>
            </w:r>
          </w:p>
        </w:tc>
        <w:tc>
          <w:tcPr/>
          <w:p>
            <w:pPr>
              <w:pStyle w:val="Compact"/>
              <w:jc w:val="left"/>
            </w:pPr>
            <w:r>
              <w:t xml:space="preserve">Y/n confirmation before workflow execution</w:t>
            </w:r>
          </w:p>
        </w:tc>
        <w:tc>
          <w:tcPr/>
          <w:p>
            <w:pPr>
              <w:pStyle w:val="Compact"/>
              <w:jc w:val="left"/>
            </w:pPr>
            <w:r>
              <w:t xml:space="preserve">30 LOC</w:t>
            </w:r>
          </w:p>
        </w:tc>
      </w:tr>
      <w:tr>
        <w:tc>
          <w:tcPr/>
          <w:p>
            <w:pPr>
              <w:pStyle w:val="Compact"/>
              <w:jc w:val="left"/>
            </w:pPr>
            <w:r>
              <w:t xml:space="preserve">CLI-007</w:t>
            </w:r>
          </w:p>
        </w:tc>
        <w:tc>
          <w:tcPr/>
          <w:p>
            <w:pPr>
              <w:pStyle w:val="Compact"/>
              <w:jc w:val="left"/>
            </w:pPr>
            <w:r>
              <w:rPr>
                <w:rStyle w:val="VerbatimChar"/>
              </w:rPr>
              <w:t xml:space="preserve">--trace</w:t>
            </w:r>
            <w:r>
              <w:t xml:space="preserve"> </w:t>
            </w:r>
            <w:r>
              <w:t xml:space="preserve">flag — stream agentic loop iterations to stderr</w:t>
            </w:r>
          </w:p>
        </w:tc>
        <w:tc>
          <w:tcPr/>
          <w:p>
            <w:pPr>
              <w:pStyle w:val="Compact"/>
              <w:jc w:val="left"/>
            </w:pPr>
            <w:r>
              <w:t xml:space="preserve">80 LOC</w:t>
            </w:r>
          </w:p>
        </w:tc>
      </w:tr>
    </w:tbl>
    <w:bookmarkEnd w:id="68"/>
    <w:bookmarkStart w:id="69" w:name="phase-2-cli-memory-p0p1"/>
    <w:p>
      <w:pPr>
        <w:pStyle w:val="Heading3"/>
      </w:pPr>
      <w:r>
        <w:t xml:space="preserve">Phase 2 CLI: Memory (P0–P1)</w:t>
      </w:r>
    </w:p>
    <w:tbl>
      <w:tblPr>
        <w:tblStyle w:val="Table"/>
        <w:tblW w:type="pct" w:w="5000"/>
        <w:tblLook w:firstRow="1" w:lastRow="0" w:firstColumn="0" w:lastColumn="0" w:noHBand="0" w:noVBand="0" w:val="0020"/>
        <w:jc w:val="start"/>
      </w:tblPr>
      <w:tblGrid>
        <w:gridCol w:w="803"/>
        <w:gridCol w:w="6427"/>
        <w:gridCol w:w="688"/>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Effort</w:t>
            </w:r>
          </w:p>
        </w:tc>
      </w:tr>
      <w:tr>
        <w:tc>
          <w:tcPr/>
          <w:p>
            <w:pPr>
              <w:pStyle w:val="Compact"/>
              <w:jc w:val="left"/>
            </w:pPr>
            <w:r>
              <w:t xml:space="preserve">CLI-009</w:t>
            </w:r>
          </w:p>
        </w:tc>
        <w:tc>
          <w:tcPr/>
          <w:p>
            <w:pPr>
              <w:pStyle w:val="Compact"/>
              <w:jc w:val="left"/>
            </w:pPr>
            <w:r>
              <w:rPr>
                <w:rStyle w:val="VerbatimChar"/>
              </w:rPr>
              <w:t xml:space="preserve">dws history</w:t>
            </w:r>
            <w:r>
              <w:t xml:space="preserve"> </w:t>
            </w:r>
            <w:r>
              <w:t xml:space="preserve">— query execution log by project/agent</w:t>
            </w:r>
          </w:p>
        </w:tc>
        <w:tc>
          <w:tcPr/>
          <w:p>
            <w:pPr>
              <w:pStyle w:val="Compact"/>
              <w:jc w:val="left"/>
            </w:pPr>
            <w:r>
              <w:t xml:space="preserve">80 LOC</w:t>
            </w:r>
          </w:p>
        </w:tc>
      </w:tr>
      <w:tr>
        <w:tc>
          <w:tcPr/>
          <w:p>
            <w:pPr>
              <w:pStyle w:val="Compact"/>
              <w:jc w:val="left"/>
            </w:pPr>
            <w:r>
              <w:t xml:space="preserve">CLI-010</w:t>
            </w:r>
          </w:p>
        </w:tc>
        <w:tc>
          <w:tcPr/>
          <w:p>
            <w:pPr>
              <w:pStyle w:val="Compact"/>
              <w:jc w:val="left"/>
            </w:pPr>
            <w:r>
              <w:rPr>
                <w:rStyle w:val="VerbatimChar"/>
              </w:rPr>
              <w:t xml:space="preserve">--project</w:t>
            </w:r>
            <w:r>
              <w:t xml:space="preserve"> </w:t>
            </w:r>
            <w:r>
              <w:t xml:space="preserve">flag — auto-inject last N results as context</w:t>
            </w:r>
          </w:p>
        </w:tc>
        <w:tc>
          <w:tcPr/>
          <w:p>
            <w:pPr>
              <w:pStyle w:val="Compact"/>
              <w:jc w:val="left"/>
            </w:pPr>
            <w:r>
              <w:t xml:space="preserve">60 LOC</w:t>
            </w:r>
          </w:p>
        </w:tc>
      </w:tr>
      <w:tr>
        <w:tc>
          <w:tcPr/>
          <w:p>
            <w:pPr>
              <w:pStyle w:val="Compact"/>
              <w:jc w:val="left"/>
            </w:pPr>
            <w:r>
              <w:t xml:space="preserve">CLI-015</w:t>
            </w:r>
          </w:p>
        </w:tc>
        <w:tc>
          <w:tcPr/>
          <w:p>
            <w:pPr>
              <w:pStyle w:val="Compact"/>
              <w:jc w:val="left"/>
            </w:pPr>
            <w:r>
              <w:t xml:space="preserve">Config file loader (</w:t>
            </w:r>
            <w:r>
              <w:rPr>
                <w:rStyle w:val="VerbatimChar"/>
              </w:rPr>
              <w:t xml:space="preserve">~/.dws/config.json</w:t>
            </w:r>
            <w:r>
              <w:t xml:space="preserve"> </w:t>
            </w:r>
            <w:r>
              <w:t xml:space="preserve">+</w:t>
            </w:r>
            <w:r>
              <w:t xml:space="preserve"> </w:t>
            </w:r>
            <w:r>
              <w:rPr>
                <w:rStyle w:val="VerbatimChar"/>
              </w:rPr>
              <w:t xml:space="preserve">.dws.json</w:t>
            </w:r>
            <w:r>
              <w:t xml:space="preserve">)</w:t>
            </w:r>
          </w:p>
        </w:tc>
        <w:tc>
          <w:tcPr/>
          <w:p>
            <w:pPr>
              <w:pStyle w:val="Compact"/>
              <w:jc w:val="left"/>
            </w:pPr>
            <w:r>
              <w:t xml:space="preserve">80 LOC</w:t>
            </w:r>
          </w:p>
        </w:tc>
      </w:tr>
    </w:tbl>
    <w:bookmarkEnd w:id="69"/>
    <w:bookmarkStart w:id="70" w:name="phase-5-cli-enterprise-p0"/>
    <w:p>
      <w:pPr>
        <w:pStyle w:val="Heading3"/>
      </w:pPr>
      <w:r>
        <w:t xml:space="preserve">Phase 5 CLI: Enterprise (P0)</w:t>
      </w:r>
    </w:p>
    <w:tbl>
      <w:tblPr>
        <w:tblStyle w:val="Table"/>
        <w:tblW w:type="pct" w:w="5000"/>
        <w:tblLook w:firstRow="1" w:lastRow="0" w:firstColumn="0" w:lastColumn="0" w:noHBand="0" w:noVBand="0" w:val="0020"/>
        <w:jc w:val="start"/>
      </w:tblPr>
      <w:tblGrid>
        <w:gridCol w:w="792"/>
        <w:gridCol w:w="6336"/>
        <w:gridCol w:w="792"/>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Effort</w:t>
            </w:r>
          </w:p>
        </w:tc>
      </w:tr>
      <w:tr>
        <w:tc>
          <w:tcPr/>
          <w:p>
            <w:pPr>
              <w:pStyle w:val="Compact"/>
              <w:jc w:val="left"/>
            </w:pPr>
            <w:r>
              <w:t xml:space="preserve">CLI-037</w:t>
            </w:r>
          </w:p>
        </w:tc>
        <w:tc>
          <w:tcPr/>
          <w:p>
            <w:pPr>
              <w:pStyle w:val="Compact"/>
              <w:jc w:val="left"/>
            </w:pPr>
            <w:r>
              <w:rPr>
                <w:rStyle w:val="VerbatimChar"/>
              </w:rPr>
              <w:t xml:space="preserve">dws audit</w:t>
            </w:r>
            <w:r>
              <w:t xml:space="preserve"> </w:t>
            </w:r>
            <w:r>
              <w:t xml:space="preserve">— EU AI Act Article 12 execution log viewer</w:t>
            </w:r>
          </w:p>
        </w:tc>
        <w:tc>
          <w:tcPr/>
          <w:p>
            <w:pPr>
              <w:pStyle w:val="Compact"/>
              <w:jc w:val="left"/>
            </w:pPr>
            <w:r>
              <w:t xml:space="preserve">100 LOC</w:t>
            </w:r>
          </w:p>
        </w:tc>
      </w:tr>
      <w:tr>
        <w:tc>
          <w:tcPr/>
          <w:p>
            <w:pPr>
              <w:pStyle w:val="Compact"/>
              <w:jc w:val="left"/>
            </w:pPr>
            <w:r>
              <w:t xml:space="preserve">CLI-040</w:t>
            </w:r>
          </w:p>
        </w:tc>
        <w:tc>
          <w:tcPr/>
          <w:p>
            <w:pPr>
              <w:pStyle w:val="Compact"/>
              <w:jc w:val="left"/>
            </w:pPr>
            <w:r>
              <w:rPr>
                <w:rStyle w:val="VerbatimChar"/>
              </w:rPr>
              <w:t xml:space="preserve">dws login</w:t>
            </w:r>
            <w:r>
              <w:t xml:space="preserve"> </w:t>
            </w:r>
            <w:r>
              <w:t xml:space="preserve">— device code OAuth flow</w:t>
            </w:r>
          </w:p>
        </w:tc>
        <w:tc>
          <w:tcPr/>
          <w:p>
            <w:pPr>
              <w:pStyle w:val="Compact"/>
              <w:jc w:val="left"/>
            </w:pPr>
            <w:r>
              <w:t xml:space="preserve">150 LOC</w:t>
            </w:r>
          </w:p>
        </w:tc>
      </w:tr>
      <w:tr>
        <w:tc>
          <w:tcPr/>
          <w:p>
            <w:pPr>
              <w:pStyle w:val="Compact"/>
              <w:jc w:val="left"/>
            </w:pPr>
            <w:r>
              <w:t xml:space="preserve">CLI-042</w:t>
            </w:r>
          </w:p>
        </w:tc>
        <w:tc>
          <w:tcPr/>
          <w:p>
            <w:pPr>
              <w:pStyle w:val="Compact"/>
              <w:jc w:val="left"/>
            </w:pPr>
            <w:r>
              <w:rPr>
                <w:rStyle w:val="VerbatimChar"/>
              </w:rPr>
              <w:t xml:space="preserve">dws org switch</w:t>
            </w:r>
            <w:r>
              <w:t xml:space="preserve"> </w:t>
            </w:r>
            <w:r>
              <w:t xml:space="preserve">/</w:t>
            </w:r>
            <w:r>
              <w:t xml:space="preserve"> </w:t>
            </w:r>
            <w:r>
              <w:rPr>
                <w:rStyle w:val="VerbatimChar"/>
              </w:rPr>
              <w:t xml:space="preserve">dws org list</w:t>
            </w:r>
            <w:r>
              <w:t xml:space="preserve"> </w:t>
            </w:r>
            <w:r>
              <w:t xml:space="preserve">— multi-tenant context</w:t>
            </w:r>
          </w:p>
        </w:tc>
        <w:tc>
          <w:tcPr/>
          <w:p>
            <w:pPr>
              <w:pStyle w:val="Compact"/>
              <w:jc w:val="left"/>
            </w:pPr>
            <w:r>
              <w:t xml:space="preserve">50 LOC</w:t>
            </w:r>
          </w:p>
        </w:tc>
      </w:tr>
    </w:tbl>
    <w:bookmarkEnd w:id="70"/>
    <w:bookmarkStart w:id="71" w:name="design-constraints"/>
    <w:p>
      <w:pPr>
        <w:pStyle w:val="Heading3"/>
      </w:pPr>
      <w:r>
        <w:t xml:space="preserve">Design Constraints</w:t>
      </w:r>
    </w:p>
    <w:p>
      <w:pPr>
        <w:numPr>
          <w:ilvl w:val="0"/>
          <w:numId w:val="1004"/>
        </w:numPr>
        <w:pStyle w:val="Compact"/>
      </w:pPr>
      <w:r>
        <w:rPr>
          <w:bCs/>
          <w:b/>
        </w:rPr>
        <w:t xml:space="preserve">Zero dependencies</w:t>
      </w:r>
      <w:r>
        <w:t xml:space="preserve"> </w:t>
      </w:r>
      <w:r>
        <w:t xml:space="preserve">— No npm packages. Pure Node.js + TypeScript.</w:t>
      </w:r>
    </w:p>
    <w:p>
      <w:pPr>
        <w:numPr>
          <w:ilvl w:val="0"/>
          <w:numId w:val="1004"/>
        </w:numPr>
        <w:pStyle w:val="Compact"/>
      </w:pPr>
      <w:r>
        <w:rPr>
          <w:bCs/>
          <w:b/>
        </w:rPr>
        <w:t xml:space="preserve">JSON-native</w:t>
      </w:r>
      <w:r>
        <w:t xml:space="preserve"> </w:t>
      </w:r>
      <w:r>
        <w:t xml:space="preserve">— Every command outputs valid JSON when piped. Human-friendly when TTY.</w:t>
      </w:r>
    </w:p>
    <w:p>
      <w:pPr>
        <w:numPr>
          <w:ilvl w:val="0"/>
          <w:numId w:val="1004"/>
        </w:numPr>
        <w:pStyle w:val="Compact"/>
      </w:pPr>
      <w:r>
        <w:rPr>
          <w:bCs/>
          <w:b/>
        </w:rPr>
        <w:t xml:space="preserve">Pipeable</w:t>
      </w:r>
      <w:r>
        <w:t xml:space="preserve"> </w:t>
      </w:r>
      <w:r>
        <w:t xml:space="preserve">—</w:t>
      </w:r>
      <w:r>
        <w:t xml:space="preserve"> </w:t>
      </w:r>
      <w:r>
        <w:rPr>
          <w:rStyle w:val="VerbatimChar"/>
        </w:rPr>
        <w:t xml:space="preserve">dws discover compliance | dws run --first --stdin</w:t>
      </w:r>
    </w:p>
    <w:p>
      <w:pPr>
        <w:numPr>
          <w:ilvl w:val="0"/>
          <w:numId w:val="1004"/>
        </w:numPr>
        <w:pStyle w:val="Compact"/>
      </w:pPr>
      <w:r>
        <w:rPr>
          <w:bCs/>
          <w:b/>
        </w:rPr>
        <w:t xml:space="preserve">Backward compatible</w:t>
      </w:r>
      <w:r>
        <w:t xml:space="preserve"> </w:t>
      </w:r>
      <w:r>
        <w:t xml:space="preserve">— New flags are additive. Existing commands never break.</w:t>
      </w:r>
    </w:p>
    <w:p>
      <w:pPr>
        <w:numPr>
          <w:ilvl w:val="0"/>
          <w:numId w:val="1004"/>
        </w:numPr>
        <w:pStyle w:val="Compact"/>
      </w:pPr>
      <w:r>
        <w:rPr>
          <w:bCs/>
          <w:b/>
        </w:rPr>
        <w:t xml:space="preserve">Offline-capable</w:t>
      </w:r>
      <w:r>
        <w:t xml:space="preserve"> </w:t>
      </w:r>
      <w:r>
        <w:t xml:space="preserve">—</w:t>
      </w:r>
      <w:r>
        <w:t xml:space="preserve"> </w:t>
      </w:r>
      <w:r>
        <w:rPr>
          <w:rStyle w:val="VerbatimChar"/>
        </w:rPr>
        <w:t xml:space="preserve">dws help</w:t>
      </w:r>
      <w:r>
        <w:t xml:space="preserve">,</w:t>
      </w:r>
      <w:r>
        <w:t xml:space="preserve"> </w:t>
      </w:r>
      <w:r>
        <w:rPr>
          <w:rStyle w:val="VerbatimChar"/>
        </w:rPr>
        <w:t xml:space="preserve">dws config</w:t>
      </w:r>
      <w:r>
        <w:t xml:space="preserve">,</w:t>
      </w:r>
      <w:r>
        <w:t xml:space="preserve"> </w:t>
      </w:r>
      <w:r>
        <w:rPr>
          <w:rStyle w:val="VerbatimChar"/>
        </w:rPr>
        <w:t xml:space="preserve">dws scenario</w:t>
      </w:r>
      <w:r>
        <w:t xml:space="preserve"> </w:t>
      </w:r>
      <w:r>
        <w:t xml:space="preserve">work without backend.</w:t>
      </w:r>
    </w:p>
    <w:p>
      <w:pPr>
        <w:numPr>
          <w:ilvl w:val="0"/>
          <w:numId w:val="1004"/>
        </w:numPr>
        <w:pStyle w:val="Compact"/>
      </w:pPr>
      <w:r>
        <w:rPr>
          <w:bCs/>
          <w:b/>
        </w:rPr>
        <w:t xml:space="preserve">EU data residency</w:t>
      </w:r>
      <w:r>
        <w:t xml:space="preserve"> </w:t>
      </w:r>
      <w:r>
        <w:t xml:space="preserve">— All data flows through EU endpoints by default.</w:t>
      </w:r>
    </w:p>
    <w:p>
      <w:r>
        <w:pict>
          <v:rect style="width:0;height:1.5pt" o:hralign="center" o:hrstd="t" o:hr="t"/>
        </w:pict>
      </w:r>
    </w:p>
    <w:bookmarkEnd w:id="71"/>
    <w:bookmarkEnd w:id="72"/>
    <w:bookmarkStart w:id="73" w:name="pr-priority-distribution"/>
    <w:p>
      <w:pPr>
        <w:pStyle w:val="Heading2"/>
      </w:pPr>
      <w:r>
        <w:t xml:space="preserve">PR Priority Distribution</w:t>
      </w:r>
    </w:p>
    <w:tbl>
      <w:tblPr>
        <w:tblStyle w:val="Table"/>
        <w:tblW w:type="pct" w:w="5000"/>
        <w:tblLook w:firstRow="1" w:lastRow="0" w:firstColumn="0" w:lastColumn="0" w:noHBand="0" w:noVBand="0" w:val="0020"/>
        <w:jc w:val="start"/>
      </w:tblPr>
      <w:tblGrid>
        <w:gridCol w:w="2003"/>
        <w:gridCol w:w="477"/>
        <w:gridCol w:w="954"/>
        <w:gridCol w:w="4484"/>
      </w:tblGrid>
      <w:tr>
        <w:trPr>
          <w:tblHeader w:val="true"/>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Percentage</w:t>
            </w:r>
          </w:p>
        </w:tc>
        <w:tc>
          <w:tcPr/>
          <w:p>
            <w:pPr>
              <w:pStyle w:val="Compact"/>
              <w:jc w:val="left"/>
            </w:pPr>
            <w:r>
              <w:t xml:space="preserve">Definition</w:t>
            </w:r>
          </w:p>
        </w:tc>
      </w:tr>
      <w:tr>
        <w:tc>
          <w:tcPr/>
          <w:p>
            <w:pPr>
              <w:pStyle w:val="Compact"/>
              <w:jc w:val="left"/>
            </w:pPr>
            <w:r>
              <w:rPr>
                <w:bCs/>
                <w:b/>
              </w:rPr>
              <w:t xml:space="preserve">P0</w:t>
            </w:r>
            <w:r>
              <w:t xml:space="preserve"> </w:t>
            </w:r>
            <w:r>
              <w:t xml:space="preserve">(Must-have)</w:t>
            </w:r>
          </w:p>
        </w:tc>
        <w:tc>
          <w:tcPr/>
          <w:p>
            <w:pPr>
              <w:pStyle w:val="Compact"/>
              <w:jc w:val="left"/>
            </w:pPr>
            <w:r>
              <w:t xml:space="preserve">78</w:t>
            </w:r>
          </w:p>
        </w:tc>
        <w:tc>
          <w:tcPr/>
          <w:p>
            <w:pPr>
              <w:pStyle w:val="Compact"/>
              <w:jc w:val="left"/>
            </w:pPr>
            <w:r>
              <w:t xml:space="preserve">31.6%</w:t>
            </w:r>
          </w:p>
        </w:tc>
        <w:tc>
          <w:tcPr/>
          <w:p>
            <w:pPr>
              <w:pStyle w:val="Compact"/>
              <w:jc w:val="left"/>
            </w:pPr>
            <w:r>
              <w:t xml:space="preserve">Blocks customer deployment or revenue</w:t>
            </w:r>
          </w:p>
        </w:tc>
      </w:tr>
      <w:tr>
        <w:tc>
          <w:tcPr/>
          <w:p>
            <w:pPr>
              <w:pStyle w:val="Compact"/>
              <w:jc w:val="left"/>
            </w:pPr>
            <w:r>
              <w:rPr>
                <w:bCs/>
                <w:b/>
              </w:rPr>
              <w:t xml:space="preserve">P1</w:t>
            </w:r>
            <w:r>
              <w:t xml:space="preserve"> </w:t>
            </w:r>
            <w:r>
              <w:t xml:space="preserve">(Should-have)</w:t>
            </w:r>
          </w:p>
        </w:tc>
        <w:tc>
          <w:tcPr/>
          <w:p>
            <w:pPr>
              <w:pStyle w:val="Compact"/>
              <w:jc w:val="left"/>
            </w:pPr>
            <w:r>
              <w:t xml:space="preserve">118</w:t>
            </w:r>
          </w:p>
        </w:tc>
        <w:tc>
          <w:tcPr/>
          <w:p>
            <w:pPr>
              <w:pStyle w:val="Compact"/>
              <w:jc w:val="left"/>
            </w:pPr>
            <w:r>
              <w:t xml:space="preserve">47.8%</w:t>
            </w:r>
          </w:p>
        </w:tc>
        <w:tc>
          <w:tcPr/>
          <w:p>
            <w:pPr>
              <w:pStyle w:val="Compact"/>
              <w:jc w:val="left"/>
            </w:pPr>
            <w:r>
              <w:t xml:space="preserve">Significant value, can ship without temporarily</w:t>
            </w:r>
          </w:p>
        </w:tc>
      </w:tr>
      <w:tr>
        <w:tc>
          <w:tcPr/>
          <w:p>
            <w:pPr>
              <w:pStyle w:val="Compact"/>
              <w:jc w:val="left"/>
            </w:pPr>
            <w:r>
              <w:rPr>
                <w:bCs/>
                <w:b/>
              </w:rPr>
              <w:t xml:space="preserve">P2</w:t>
            </w:r>
            <w:r>
              <w:t xml:space="preserve"> </w:t>
            </w:r>
            <w:r>
              <w:t xml:space="preserve">(Nice-to-have)</w:t>
            </w:r>
          </w:p>
        </w:tc>
        <w:tc>
          <w:tcPr/>
          <w:p>
            <w:pPr>
              <w:pStyle w:val="Compact"/>
              <w:jc w:val="left"/>
            </w:pPr>
            <w:r>
              <w:t xml:space="preserve">51</w:t>
            </w:r>
          </w:p>
        </w:tc>
        <w:tc>
          <w:tcPr/>
          <w:p>
            <w:pPr>
              <w:pStyle w:val="Compact"/>
              <w:jc w:val="left"/>
            </w:pPr>
            <w:r>
              <w:t xml:space="preserve">20.6%</w:t>
            </w:r>
          </w:p>
        </w:tc>
        <w:tc>
          <w:tcPr/>
          <w:p>
            <w:pPr>
              <w:pStyle w:val="Compact"/>
              <w:jc w:val="left"/>
            </w:pPr>
            <w:r>
              <w:t xml:space="preserve">Enhances competitiveness, not blocking</w:t>
            </w:r>
          </w:p>
        </w:tc>
      </w:tr>
    </w:tbl>
    <w:p>
      <w:r>
        <w:pict>
          <v:rect style="width:0;height:1.5pt" o:hralign="center" o:hrstd="t" o:hr="t"/>
        </w:pict>
      </w:r>
    </w:p>
    <w:bookmarkEnd w:id="73"/>
    <w:bookmarkStart w:id="74" w:name="prs-by-category"/>
    <w:p>
      <w:pPr>
        <w:pStyle w:val="Heading2"/>
      </w:pPr>
      <w:r>
        <w:t xml:space="preserve">PRs by Category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Phases</w:t>
            </w:r>
          </w:p>
        </w:tc>
      </w:tr>
      <w:tr>
        <w:tc>
          <w:tcPr/>
          <w:p>
            <w:pPr>
              <w:pStyle w:val="Compact"/>
              <w:jc w:val="left"/>
            </w:pPr>
            <w:r>
              <w:t xml:space="preserve">Testing &amp; Quality</w:t>
            </w:r>
          </w:p>
        </w:tc>
        <w:tc>
          <w:tcPr/>
          <w:p>
            <w:pPr>
              <w:pStyle w:val="Compact"/>
              <w:jc w:val="left"/>
            </w:pPr>
            <w:r>
              <w:t xml:space="preserve">18</w:t>
            </w:r>
          </w:p>
        </w:tc>
        <w:tc>
          <w:tcPr/>
          <w:p>
            <w:pPr>
              <w:pStyle w:val="Compact"/>
              <w:jc w:val="left"/>
            </w:pPr>
            <w:r>
              <w:t xml:space="preserve">1, 3, 6</w:t>
            </w:r>
          </w:p>
        </w:tc>
      </w:tr>
      <w:tr>
        <w:tc>
          <w:tcPr/>
          <w:p>
            <w:pPr>
              <w:pStyle w:val="Compact"/>
              <w:jc w:val="left"/>
            </w:pPr>
            <w:r>
              <w:t xml:space="preserve">Backend &amp; API</w:t>
            </w:r>
          </w:p>
        </w:tc>
        <w:tc>
          <w:tcPr/>
          <w:p>
            <w:pPr>
              <w:pStyle w:val="Compact"/>
              <w:jc w:val="left"/>
            </w:pPr>
            <w:r>
              <w:t xml:space="preserve">14</w:t>
            </w:r>
          </w:p>
        </w:tc>
        <w:tc>
          <w:tcPr/>
          <w:p>
            <w:pPr>
              <w:pStyle w:val="Compact"/>
              <w:jc w:val="left"/>
            </w:pPr>
            <w:r>
              <w:t xml:space="preserve">1, 3</w:t>
            </w:r>
          </w:p>
        </w:tc>
      </w:tr>
      <w:tr>
        <w:tc>
          <w:tcPr/>
          <w:p>
            <w:pPr>
              <w:pStyle w:val="Compact"/>
              <w:jc w:val="left"/>
            </w:pPr>
            <w:r>
              <w:t xml:space="preserve">Frontend &amp; Dashboard</w:t>
            </w:r>
          </w:p>
        </w:tc>
        <w:tc>
          <w:tcPr/>
          <w:p>
            <w:pPr>
              <w:pStyle w:val="Compact"/>
              <w:jc w:val="left"/>
            </w:pPr>
            <w:r>
              <w:t xml:space="preserve">18</w:t>
            </w:r>
          </w:p>
        </w:tc>
        <w:tc>
          <w:tcPr/>
          <w:p>
            <w:pPr>
              <w:pStyle w:val="Compact"/>
              <w:jc w:val="left"/>
            </w:pPr>
            <w:r>
              <w:t xml:space="preserve">1, 4, 5</w:t>
            </w:r>
          </w:p>
        </w:tc>
      </w:tr>
      <w:tr>
        <w:tc>
          <w:tcPr/>
          <w:p>
            <w:pPr>
              <w:pStyle w:val="Compact"/>
              <w:jc w:val="left"/>
            </w:pPr>
            <w:r>
              <w:t xml:space="preserve">DevOps &amp; Infrastructure</w:t>
            </w:r>
          </w:p>
        </w:tc>
        <w:tc>
          <w:tcPr/>
          <w:p>
            <w:pPr>
              <w:pStyle w:val="Compact"/>
              <w:jc w:val="left"/>
            </w:pPr>
            <w:r>
              <w:t xml:space="preserve">14</w:t>
            </w:r>
          </w:p>
        </w:tc>
        <w:tc>
          <w:tcPr/>
          <w:p>
            <w:pPr>
              <w:pStyle w:val="Compact"/>
              <w:jc w:val="left"/>
            </w:pPr>
            <w:r>
              <w:t xml:space="preserve">1, 3, 6</w:t>
            </w:r>
          </w:p>
        </w:tc>
      </w:tr>
      <w:tr>
        <w:tc>
          <w:tcPr/>
          <w:p>
            <w:pPr>
              <w:pStyle w:val="Compact"/>
              <w:jc w:val="left"/>
            </w:pPr>
            <w:r>
              <w:t xml:space="preserve">EU ETS Compliance</w:t>
            </w:r>
          </w:p>
        </w:tc>
        <w:tc>
          <w:tcPr/>
          <w:p>
            <w:pPr>
              <w:pStyle w:val="Compact"/>
              <w:jc w:val="left"/>
            </w:pPr>
            <w:r>
              <w:t xml:space="preserve">12</w:t>
            </w:r>
          </w:p>
        </w:tc>
        <w:tc>
          <w:tcPr/>
          <w:p>
            <w:pPr>
              <w:pStyle w:val="Compact"/>
              <w:jc w:val="left"/>
            </w:pPr>
            <w:r>
              <w:t xml:space="preserve">2</w:t>
            </w:r>
          </w:p>
        </w:tc>
      </w:tr>
      <w:tr>
        <w:tc>
          <w:tcPr/>
          <w:p>
            <w:pPr>
              <w:pStyle w:val="Compact"/>
              <w:jc w:val="left"/>
            </w:pPr>
            <w:r>
              <w:t xml:space="preserve">CBAM Compliance</w:t>
            </w:r>
          </w:p>
        </w:tc>
        <w:tc>
          <w:tcPr/>
          <w:p>
            <w:pPr>
              <w:pStyle w:val="Compact"/>
              <w:jc w:val="left"/>
            </w:pPr>
            <w:r>
              <w:t xml:space="preserve">10</w:t>
            </w:r>
          </w:p>
        </w:tc>
        <w:tc>
          <w:tcPr/>
          <w:p>
            <w:pPr>
              <w:pStyle w:val="Compact"/>
              <w:jc w:val="left"/>
            </w:pPr>
            <w:r>
              <w:t xml:space="preserve">2, 5</w:t>
            </w:r>
          </w:p>
        </w:tc>
      </w:tr>
      <w:tr>
        <w:tc>
          <w:tcPr/>
          <w:p>
            <w:pPr>
              <w:pStyle w:val="Compact"/>
              <w:jc w:val="left"/>
            </w:pPr>
            <w:r>
              <w:t xml:space="preserve">CSRD/ESRS Compliance</w:t>
            </w:r>
          </w:p>
        </w:tc>
        <w:tc>
          <w:tcPr/>
          <w:p>
            <w:pPr>
              <w:pStyle w:val="Compact"/>
              <w:jc w:val="left"/>
            </w:pPr>
            <w:r>
              <w:t xml:space="preserve">10</w:t>
            </w:r>
          </w:p>
        </w:tc>
        <w:tc>
          <w:tcPr/>
          <w:p>
            <w:pPr>
              <w:pStyle w:val="Compact"/>
              <w:jc w:val="left"/>
            </w:pPr>
            <w:r>
              <w:t xml:space="preserve">2</w:t>
            </w:r>
          </w:p>
        </w:tc>
      </w:tr>
      <w:tr>
        <w:tc>
          <w:tcPr/>
          <w:p>
            <w:pPr>
              <w:pStyle w:val="Compact"/>
              <w:jc w:val="left"/>
            </w:pPr>
            <w:r>
              <w:t xml:space="preserve">EU AI Act</w:t>
            </w:r>
          </w:p>
        </w:tc>
        <w:tc>
          <w:tcPr/>
          <w:p>
            <w:pPr>
              <w:pStyle w:val="Compact"/>
              <w:jc w:val="left"/>
            </w:pPr>
            <w:r>
              <w:t xml:space="preserve">6</w:t>
            </w:r>
          </w:p>
        </w:tc>
        <w:tc>
          <w:tcPr/>
          <w:p>
            <w:pPr>
              <w:pStyle w:val="Compact"/>
              <w:jc w:val="left"/>
            </w:pPr>
            <w:r>
              <w:t xml:space="preserve">2</w:t>
            </w:r>
          </w:p>
        </w:tc>
      </w:tr>
      <w:tr>
        <w:tc>
          <w:tcPr/>
          <w:p>
            <w:pPr>
              <w:pStyle w:val="Compact"/>
              <w:jc w:val="left"/>
            </w:pPr>
            <w:r>
              <w:t xml:space="preserve">Cross-Regulation</w:t>
            </w:r>
          </w:p>
        </w:tc>
        <w:tc>
          <w:tcPr/>
          <w:p>
            <w:pPr>
              <w:pStyle w:val="Compact"/>
              <w:jc w:val="left"/>
            </w:pPr>
            <w:r>
              <w:t xml:space="preserve">10</w:t>
            </w:r>
          </w:p>
        </w:tc>
        <w:tc>
          <w:tcPr/>
          <w:p>
            <w:pPr>
              <w:pStyle w:val="Compact"/>
              <w:jc w:val="left"/>
            </w:pPr>
            <w:r>
              <w:t xml:space="preserve">2</w:t>
            </w:r>
          </w:p>
        </w:tc>
      </w:tr>
      <w:tr>
        <w:tc>
          <w:tcPr/>
          <w:p>
            <w:pPr>
              <w:pStyle w:val="Compact"/>
              <w:jc w:val="left"/>
            </w:pPr>
            <w:r>
              <w:t xml:space="preserve">Security &amp; Certifications</w:t>
            </w:r>
          </w:p>
        </w:tc>
        <w:tc>
          <w:tcPr/>
          <w:p>
            <w:pPr>
              <w:pStyle w:val="Compact"/>
              <w:jc w:val="left"/>
            </w:pPr>
            <w:r>
              <w:t xml:space="preserve">16</w:t>
            </w:r>
          </w:p>
        </w:tc>
        <w:tc>
          <w:tcPr/>
          <w:p>
            <w:pPr>
              <w:pStyle w:val="Compact"/>
              <w:jc w:val="left"/>
            </w:pPr>
            <w:r>
              <w:t xml:space="preserve">3, 6</w:t>
            </w:r>
          </w:p>
        </w:tc>
      </w:tr>
      <w:tr>
        <w:tc>
          <w:tcPr/>
          <w:p>
            <w:pPr>
              <w:pStyle w:val="Compact"/>
              <w:jc w:val="left"/>
            </w:pPr>
            <w:r>
              <w:t xml:space="preserve">Multi-Tenancy</w:t>
            </w:r>
          </w:p>
        </w:tc>
        <w:tc>
          <w:tcPr/>
          <w:p>
            <w:pPr>
              <w:pStyle w:val="Compact"/>
              <w:jc w:val="left"/>
            </w:pPr>
            <w:r>
              <w:t xml:space="preserve">8</w:t>
            </w:r>
          </w:p>
        </w:tc>
        <w:tc>
          <w:tcPr/>
          <w:p>
            <w:pPr>
              <w:pStyle w:val="Compact"/>
              <w:jc w:val="left"/>
            </w:pPr>
            <w:r>
              <w:t xml:space="preserve">3</w:t>
            </w:r>
          </w:p>
        </w:tc>
      </w:tr>
      <w:tr>
        <w:tc>
          <w:tcPr/>
          <w:p>
            <w:pPr>
              <w:pStyle w:val="Compact"/>
              <w:jc w:val="left"/>
            </w:pPr>
            <w:r>
              <w:t xml:space="preserve">Billing &amp; Payments</w:t>
            </w:r>
          </w:p>
        </w:tc>
        <w:tc>
          <w:tcPr/>
          <w:p>
            <w:pPr>
              <w:pStyle w:val="Compact"/>
              <w:jc w:val="left"/>
            </w:pPr>
            <w:r>
              <w:t xml:space="preserve">8</w:t>
            </w:r>
          </w:p>
        </w:tc>
        <w:tc>
          <w:tcPr/>
          <w:p>
            <w:pPr>
              <w:pStyle w:val="Compact"/>
              <w:jc w:val="left"/>
            </w:pPr>
            <w:r>
              <w:t xml:space="preserve">3</w:t>
            </w:r>
          </w:p>
        </w:tc>
      </w:tr>
      <w:tr>
        <w:tc>
          <w:tcPr/>
          <w:p>
            <w:pPr>
              <w:pStyle w:val="Compact"/>
              <w:jc w:val="left"/>
            </w:pPr>
            <w:r>
              <w:t xml:space="preserve">ERP Integrations</w:t>
            </w:r>
          </w:p>
        </w:tc>
        <w:tc>
          <w:tcPr/>
          <w:p>
            <w:pPr>
              <w:pStyle w:val="Compact"/>
              <w:jc w:val="left"/>
            </w:pPr>
            <w:r>
              <w:t xml:space="preserve">9</w:t>
            </w:r>
          </w:p>
        </w:tc>
        <w:tc>
          <w:tcPr/>
          <w:p>
            <w:pPr>
              <w:pStyle w:val="Compact"/>
              <w:jc w:val="left"/>
            </w:pPr>
            <w:r>
              <w:t xml:space="preserve">3</w:t>
            </w:r>
          </w:p>
        </w:tc>
      </w:tr>
      <w:tr>
        <w:tc>
          <w:tcPr/>
          <w:p>
            <w:pPr>
              <w:pStyle w:val="Compact"/>
              <w:jc w:val="left"/>
            </w:pPr>
            <w:r>
              <w:t xml:space="preserve">Agentic AI</w:t>
            </w:r>
          </w:p>
        </w:tc>
        <w:tc>
          <w:tcPr/>
          <w:p>
            <w:pPr>
              <w:pStyle w:val="Compact"/>
              <w:jc w:val="left"/>
            </w:pPr>
            <w:r>
              <w:t xml:space="preserve">13</w:t>
            </w:r>
          </w:p>
        </w:tc>
        <w:tc>
          <w:tcPr/>
          <w:p>
            <w:pPr>
              <w:pStyle w:val="Compact"/>
              <w:jc w:val="left"/>
            </w:pPr>
            <w:r>
              <w:t xml:space="preserve">4</w:t>
            </w:r>
          </w:p>
        </w:tc>
      </w:tr>
      <w:tr>
        <w:tc>
          <w:tcPr/>
          <w:p>
            <w:pPr>
              <w:pStyle w:val="Compact"/>
              <w:jc w:val="left"/>
            </w:pPr>
            <w:r>
              <w:t xml:space="preserve">IoT Pipeline</w:t>
            </w:r>
          </w:p>
        </w:tc>
        <w:tc>
          <w:tcPr/>
          <w:p>
            <w:pPr>
              <w:pStyle w:val="Compact"/>
              <w:jc w:val="left"/>
            </w:pPr>
            <w:r>
              <w:t xml:space="preserve">10</w:t>
            </w:r>
          </w:p>
        </w:tc>
        <w:tc>
          <w:tcPr/>
          <w:p>
            <w:pPr>
              <w:pStyle w:val="Compact"/>
              <w:jc w:val="left"/>
            </w:pPr>
            <w:r>
              <w:t xml:space="preserve">4</w:t>
            </w:r>
          </w:p>
        </w:tc>
      </w:tr>
      <w:tr>
        <w:tc>
          <w:tcPr/>
          <w:p>
            <w:pPr>
              <w:pStyle w:val="Compact"/>
              <w:jc w:val="left"/>
            </w:pPr>
            <w:r>
              <w:t xml:space="preserve">Climate LLM</w:t>
            </w:r>
          </w:p>
        </w:tc>
        <w:tc>
          <w:tcPr/>
          <w:p>
            <w:pPr>
              <w:pStyle w:val="Compact"/>
              <w:jc w:val="left"/>
            </w:pPr>
            <w:r>
              <w:t xml:space="preserve">10</w:t>
            </w:r>
          </w:p>
        </w:tc>
        <w:tc>
          <w:tcPr/>
          <w:p>
            <w:pPr>
              <w:pStyle w:val="Compact"/>
              <w:jc w:val="left"/>
            </w:pPr>
            <w:r>
              <w:t xml:space="preserve">4</w:t>
            </w:r>
          </w:p>
        </w:tc>
      </w:tr>
      <w:tr>
        <w:tc>
          <w:tcPr/>
          <w:p>
            <w:pPr>
              <w:pStyle w:val="Compact"/>
              <w:jc w:val="left"/>
            </w:pPr>
            <w:r>
              <w:t xml:space="preserve">Analytics &amp; Reporting</w:t>
            </w:r>
          </w:p>
        </w:tc>
        <w:tc>
          <w:tcPr/>
          <w:p>
            <w:pPr>
              <w:pStyle w:val="Compact"/>
              <w:jc w:val="left"/>
            </w:pPr>
            <w:r>
              <w:t xml:space="preserve">7</w:t>
            </w:r>
          </w:p>
        </w:tc>
        <w:tc>
          <w:tcPr/>
          <w:p>
            <w:pPr>
              <w:pStyle w:val="Compact"/>
              <w:jc w:val="left"/>
            </w:pPr>
            <w:r>
              <w:t xml:space="preserve">4</w:t>
            </w:r>
          </w:p>
        </w:tc>
      </w:tr>
      <w:tr>
        <w:tc>
          <w:tcPr/>
          <w:p>
            <w:pPr>
              <w:pStyle w:val="Compact"/>
              <w:jc w:val="left"/>
            </w:pPr>
            <w:r>
              <w:t xml:space="preserve">Supplier Portal</w:t>
            </w:r>
          </w:p>
        </w:tc>
        <w:tc>
          <w:tcPr/>
          <w:p>
            <w:pPr>
              <w:pStyle w:val="Compact"/>
              <w:jc w:val="left"/>
            </w:pPr>
            <w:r>
              <w:t xml:space="preserve">9</w:t>
            </w:r>
          </w:p>
        </w:tc>
        <w:tc>
          <w:tcPr/>
          <w:p>
            <w:pPr>
              <w:pStyle w:val="Compact"/>
              <w:jc w:val="left"/>
            </w:pPr>
            <w:r>
              <w:t xml:space="preserve">5</w:t>
            </w:r>
          </w:p>
        </w:tc>
      </w:tr>
      <w:tr>
        <w:tc>
          <w:tcPr/>
          <w:p>
            <w:pPr>
              <w:pStyle w:val="Compact"/>
              <w:jc w:val="left"/>
            </w:pPr>
            <w:r>
              <w:t xml:space="preserve">Industry Verticals</w:t>
            </w:r>
          </w:p>
        </w:tc>
        <w:tc>
          <w:tcPr/>
          <w:p>
            <w:pPr>
              <w:pStyle w:val="Compact"/>
              <w:jc w:val="left"/>
            </w:pPr>
            <w:r>
              <w:t xml:space="preserve">12</w:t>
            </w:r>
          </w:p>
        </w:tc>
        <w:tc>
          <w:tcPr/>
          <w:p>
            <w:pPr>
              <w:pStyle w:val="Compact"/>
              <w:jc w:val="left"/>
            </w:pPr>
            <w:r>
              <w:t xml:space="preserve">5</w:t>
            </w:r>
          </w:p>
        </w:tc>
      </w:tr>
      <w:tr>
        <w:tc>
          <w:tcPr/>
          <w:p>
            <w:pPr>
              <w:pStyle w:val="Compact"/>
              <w:jc w:val="left"/>
            </w:pPr>
            <w:r>
              <w:t xml:space="preserve">Partner Ecosystem</w:t>
            </w:r>
          </w:p>
        </w:tc>
        <w:tc>
          <w:tcPr/>
          <w:p>
            <w:pPr>
              <w:pStyle w:val="Compact"/>
              <w:jc w:val="left"/>
            </w:pPr>
            <w:r>
              <w:t xml:space="preserve">8</w:t>
            </w:r>
          </w:p>
        </w:tc>
        <w:tc>
          <w:tcPr/>
          <w:p>
            <w:pPr>
              <w:pStyle w:val="Compact"/>
              <w:jc w:val="left"/>
            </w:pPr>
            <w:r>
              <w:t xml:space="preserve">5</w:t>
            </w:r>
          </w:p>
        </w:tc>
      </w:tr>
      <w:tr>
        <w:tc>
          <w:tcPr/>
          <w:p>
            <w:pPr>
              <w:pStyle w:val="Compact"/>
              <w:jc w:val="left"/>
            </w:pPr>
            <w:r>
              <w:t xml:space="preserve">Open-Source Agent Framework</w:t>
            </w:r>
          </w:p>
        </w:tc>
        <w:tc>
          <w:tcPr/>
          <w:p>
            <w:pPr>
              <w:pStyle w:val="Compact"/>
              <w:jc w:val="left"/>
            </w:pPr>
            <w:r>
              <w:t xml:space="preserve">6</w:t>
            </w:r>
          </w:p>
        </w:tc>
        <w:tc>
          <w:tcPr/>
          <w:p>
            <w:pPr>
              <w:pStyle w:val="Compact"/>
              <w:jc w:val="left"/>
            </w:pPr>
            <w:r>
              <w:t xml:space="preserve">5</w:t>
            </w:r>
          </w:p>
        </w:tc>
      </w:tr>
      <w:tr>
        <w:tc>
          <w:tcPr/>
          <w:p>
            <w:pPr>
              <w:pStyle w:val="Compact"/>
              <w:jc w:val="left"/>
            </w:pPr>
            <w:r>
              <w:t xml:space="preserve">Mobile &amp; i18n</w:t>
            </w:r>
          </w:p>
        </w:tc>
        <w:tc>
          <w:tcPr/>
          <w:p>
            <w:pPr>
              <w:pStyle w:val="Compact"/>
              <w:jc w:val="left"/>
            </w:pPr>
            <w:r>
              <w:t xml:space="preserve">9</w:t>
            </w:r>
          </w:p>
        </w:tc>
        <w:tc>
          <w:tcPr/>
          <w:p>
            <w:pPr>
              <w:pStyle w:val="Compact"/>
              <w:jc w:val="left"/>
            </w:pPr>
            <w:r>
              <w:t xml:space="preserve">5</w:t>
            </w:r>
          </w:p>
        </w:tc>
      </w:tr>
      <w:tr>
        <w:tc>
          <w:tcPr/>
          <w:p>
            <w:pPr>
              <w:pStyle w:val="Compact"/>
              <w:jc w:val="left"/>
            </w:pPr>
            <w:r>
              <w:t xml:space="preserve">Investor &amp; Financial</w:t>
            </w:r>
          </w:p>
        </w:tc>
        <w:tc>
          <w:tcPr/>
          <w:p>
            <w:pPr>
              <w:pStyle w:val="Compact"/>
              <w:jc w:val="left"/>
            </w:pPr>
            <w:r>
              <w:t xml:space="preserve">9</w:t>
            </w:r>
          </w:p>
        </w:tc>
        <w:tc>
          <w:tcPr/>
          <w:p>
            <w:pPr>
              <w:pStyle w:val="Compact"/>
              <w:jc w:val="left"/>
            </w:pPr>
            <w:r>
              <w:t xml:space="preserve">6</w:t>
            </w:r>
          </w:p>
        </w:tc>
      </w:tr>
      <w:tr>
        <w:tc>
          <w:tcPr/>
          <w:p>
            <w:pPr>
              <w:pStyle w:val="Compact"/>
              <w:jc w:val="left"/>
            </w:pPr>
            <w:r>
              <w:t xml:space="preserve">Carbon Balance Sheet</w:t>
            </w:r>
          </w:p>
        </w:tc>
        <w:tc>
          <w:tcPr/>
          <w:p>
            <w:pPr>
              <w:pStyle w:val="Compact"/>
              <w:jc w:val="left"/>
            </w:pPr>
            <w:r>
              <w:t xml:space="preserve">9</w:t>
            </w:r>
          </w:p>
        </w:tc>
        <w:tc>
          <w:tcPr/>
          <w:p>
            <w:pPr>
              <w:pStyle w:val="Compact"/>
              <w:jc w:val="left"/>
            </w:pPr>
            <w:r>
              <w:t xml:space="preserve">2</w:t>
            </w:r>
          </w:p>
        </w:tc>
      </w:tr>
      <w:tr>
        <w:tc>
          <w:tcPr/>
          <w:p>
            <w:pPr>
              <w:pStyle w:val="Compact"/>
              <w:jc w:val="left"/>
            </w:pPr>
            <w:r>
              <w:t xml:space="preserve">Advanced Features</w:t>
            </w:r>
          </w:p>
        </w:tc>
        <w:tc>
          <w:tcPr/>
          <w:p>
            <w:pPr>
              <w:pStyle w:val="Compact"/>
              <w:jc w:val="left"/>
            </w:pPr>
            <w:r>
              <w:t xml:space="preserve">13</w:t>
            </w:r>
          </w:p>
        </w:tc>
        <w:tc>
          <w:tcPr/>
          <w:p>
            <w:pPr>
              <w:pStyle w:val="Compact"/>
              <w:jc w:val="left"/>
            </w:pPr>
            <w:r>
              <w:t xml:space="preserve">6</w:t>
            </w:r>
          </w:p>
        </w:tc>
      </w:tr>
      <w:tr>
        <w:tc>
          <w:tcPr/>
          <w:p>
            <w:pPr>
              <w:pStyle w:val="Compact"/>
              <w:jc w:val="left"/>
            </w:pPr>
            <w:r>
              <w:rPr>
                <w:bCs/>
                <w:b/>
              </w:rPr>
              <w:t xml:space="preserve">Total</w:t>
            </w:r>
          </w:p>
        </w:tc>
        <w:tc>
          <w:tcPr/>
          <w:p>
            <w:pPr>
              <w:pStyle w:val="Compact"/>
              <w:jc w:val="left"/>
            </w:pPr>
            <w:r>
              <w:rPr>
                <w:bCs/>
                <w:b/>
              </w:rPr>
              <w:t xml:space="preserve">262</w:t>
            </w:r>
          </w:p>
        </w:tc>
        <w:tc>
          <w:tcPr/>
          <w:p>
            <w:pPr>
              <w:pStyle w:val="Compact"/>
            </w:pPr>
          </w:p>
        </w:tc>
      </w:tr>
    </w:tbl>
    <w:p>
      <w:r>
        <w:pict>
          <v:rect style="width:0;height:1.5pt" o:hralign="center" o:hrstd="t" o:hr="t"/>
        </w:pict>
      </w:r>
    </w:p>
    <w:bookmarkEnd w:id="74"/>
    <w:bookmarkStart w:id="75" w:name="revenue-milestones"/>
    <w:p>
      <w:pPr>
        <w:pStyle w:val="Heading2"/>
      </w:pPr>
      <w:r>
        <w:t xml:space="preserve">Revenue Milestones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Customers</w:t>
            </w:r>
          </w:p>
        </w:tc>
        <w:tc>
          <w:tcPr/>
          <w:p>
            <w:pPr>
              <w:pStyle w:val="Compact"/>
              <w:jc w:val="left"/>
            </w:pPr>
            <w:r>
              <w:t xml:space="preserve">MRR Target</w:t>
            </w:r>
          </w:p>
        </w:tc>
        <w:tc>
          <w:tcPr/>
          <w:p>
            <w:pPr>
              <w:pStyle w:val="Compact"/>
              <w:jc w:val="left"/>
            </w:pPr>
            <w:r>
              <w:t xml:space="preserve">Cumulative ARR</w:t>
            </w:r>
          </w:p>
        </w:tc>
      </w:tr>
      <w:tr>
        <w:tc>
          <w:tcPr/>
          <w:p>
            <w:pPr>
              <w:pStyle w:val="Compact"/>
              <w:jc w:val="left"/>
            </w:pPr>
            <w:r>
              <w:t xml:space="preserve">Apr 2026 (Phase 1 done)</w:t>
            </w:r>
          </w:p>
        </w:tc>
        <w:tc>
          <w:tcPr/>
          <w:p>
            <w:pPr>
              <w:pStyle w:val="Compact"/>
              <w:jc w:val="left"/>
            </w:pPr>
            <w:r>
              <w:t xml:space="preserve">3</w:t>
            </w:r>
          </w:p>
        </w:tc>
        <w:tc>
          <w:tcPr/>
          <w:p>
            <w:pPr>
              <w:pStyle w:val="Compact"/>
              <w:jc w:val="left"/>
            </w:pPr>
            <w:r>
              <w:t xml:space="preserve">€8,500</w:t>
            </w:r>
          </w:p>
        </w:tc>
        <w:tc>
          <w:tcPr/>
          <w:p>
            <w:pPr>
              <w:pStyle w:val="Compact"/>
              <w:jc w:val="left"/>
            </w:pPr>
            <w:r>
              <w:t xml:space="preserve">€102,000</w:t>
            </w:r>
          </w:p>
        </w:tc>
      </w:tr>
      <w:tr>
        <w:tc>
          <w:tcPr/>
          <w:p>
            <w:pPr>
              <w:pStyle w:val="Compact"/>
              <w:jc w:val="left"/>
            </w:pPr>
            <w:r>
              <w:t xml:space="preserve">Jul 2026 (Phase 2 done)</w:t>
            </w:r>
          </w:p>
        </w:tc>
        <w:tc>
          <w:tcPr/>
          <w:p>
            <w:pPr>
              <w:pStyle w:val="Compact"/>
              <w:jc w:val="left"/>
            </w:pPr>
            <w:r>
              <w:t xml:space="preserve">5</w:t>
            </w:r>
          </w:p>
        </w:tc>
        <w:tc>
          <w:tcPr/>
          <w:p>
            <w:pPr>
              <w:pStyle w:val="Compact"/>
              <w:jc w:val="left"/>
            </w:pPr>
            <w:r>
              <w:t xml:space="preserve">€15,000</w:t>
            </w:r>
          </w:p>
        </w:tc>
        <w:tc>
          <w:tcPr/>
          <w:p>
            <w:pPr>
              <w:pStyle w:val="Compact"/>
              <w:jc w:val="left"/>
            </w:pPr>
            <w:r>
              <w:t xml:space="preserve">€180,000</w:t>
            </w:r>
          </w:p>
        </w:tc>
      </w:tr>
      <w:tr>
        <w:tc>
          <w:tcPr/>
          <w:p>
            <w:pPr>
              <w:pStyle w:val="Compact"/>
              <w:jc w:val="left"/>
            </w:pPr>
            <w:r>
              <w:t xml:space="preserve">Oct 2026 (Phase 3 done)</w:t>
            </w:r>
          </w:p>
        </w:tc>
        <w:tc>
          <w:tcPr/>
          <w:p>
            <w:pPr>
              <w:pStyle w:val="Compact"/>
              <w:jc w:val="left"/>
            </w:pPr>
            <w:r>
              <w:t xml:space="preserve">8</w:t>
            </w:r>
          </w:p>
        </w:tc>
        <w:tc>
          <w:tcPr/>
          <w:p>
            <w:pPr>
              <w:pStyle w:val="Compact"/>
              <w:jc w:val="left"/>
            </w:pPr>
            <w:r>
              <w:t xml:space="preserve">€28,000</w:t>
            </w:r>
          </w:p>
        </w:tc>
        <w:tc>
          <w:tcPr/>
          <w:p>
            <w:pPr>
              <w:pStyle w:val="Compact"/>
              <w:jc w:val="left"/>
            </w:pPr>
            <w:r>
              <w:t xml:space="preserve">€336,000</w:t>
            </w:r>
          </w:p>
        </w:tc>
      </w:tr>
      <w:tr>
        <w:tc>
          <w:tcPr/>
          <w:p>
            <w:pPr>
              <w:pStyle w:val="Compact"/>
              <w:jc w:val="left"/>
            </w:pPr>
            <w:r>
              <w:t xml:space="preserve">Jan 2027 (Phase 4 done)</w:t>
            </w:r>
          </w:p>
        </w:tc>
        <w:tc>
          <w:tcPr/>
          <w:p>
            <w:pPr>
              <w:pStyle w:val="Compact"/>
              <w:jc w:val="left"/>
            </w:pPr>
            <w:r>
              <w:t xml:space="preserve">10</w:t>
            </w:r>
          </w:p>
        </w:tc>
        <w:tc>
          <w:tcPr/>
          <w:p>
            <w:pPr>
              <w:pStyle w:val="Compact"/>
              <w:jc w:val="left"/>
            </w:pPr>
            <w:r>
              <w:t xml:space="preserve">€40,000</w:t>
            </w:r>
          </w:p>
        </w:tc>
        <w:tc>
          <w:tcPr/>
          <w:p>
            <w:pPr>
              <w:pStyle w:val="Compact"/>
              <w:jc w:val="left"/>
            </w:pPr>
            <w:r>
              <w:t xml:space="preserve">€480,000</w:t>
            </w:r>
          </w:p>
        </w:tc>
      </w:tr>
      <w:tr>
        <w:tc>
          <w:tcPr/>
          <w:p>
            <w:pPr>
              <w:pStyle w:val="Compact"/>
              <w:jc w:val="left"/>
            </w:pPr>
            <w:r>
              <w:t xml:space="preserve">May 2027 (Phase 5 done)</w:t>
            </w:r>
          </w:p>
        </w:tc>
        <w:tc>
          <w:tcPr/>
          <w:p>
            <w:pPr>
              <w:pStyle w:val="Compact"/>
              <w:jc w:val="left"/>
            </w:pPr>
            <w:r>
              <w:t xml:space="preserve">14</w:t>
            </w:r>
          </w:p>
        </w:tc>
        <w:tc>
          <w:tcPr/>
          <w:p>
            <w:pPr>
              <w:pStyle w:val="Compact"/>
              <w:jc w:val="left"/>
            </w:pPr>
            <w:r>
              <w:t xml:space="preserve">€56,000</w:t>
            </w:r>
          </w:p>
        </w:tc>
        <w:tc>
          <w:tcPr/>
          <w:p>
            <w:pPr>
              <w:pStyle w:val="Compact"/>
              <w:jc w:val="left"/>
            </w:pPr>
            <w:r>
              <w:t xml:space="preserve">€672,000</w:t>
            </w:r>
          </w:p>
        </w:tc>
      </w:tr>
      <w:tr>
        <w:tc>
          <w:tcPr/>
          <w:p>
            <w:pPr>
              <w:pStyle w:val="Compact"/>
              <w:jc w:val="left"/>
            </w:pPr>
            <w:r>
              <w:t xml:space="preserve">Dec 2027 (DWS7 GA)</w:t>
            </w:r>
          </w:p>
        </w:tc>
        <w:tc>
          <w:tcPr/>
          <w:p>
            <w:pPr>
              <w:pStyle w:val="Compact"/>
              <w:jc w:val="left"/>
            </w:pPr>
            <w:r>
              <w:t xml:space="preserve">16+</w:t>
            </w:r>
          </w:p>
        </w:tc>
        <w:tc>
          <w:tcPr/>
          <w:p>
            <w:pPr>
              <w:pStyle w:val="Compact"/>
              <w:jc w:val="left"/>
            </w:pPr>
            <w:r>
              <w:t xml:space="preserve">€72,000+</w:t>
            </w:r>
          </w:p>
        </w:tc>
        <w:tc>
          <w:tcPr/>
          <w:p>
            <w:pPr>
              <w:pStyle w:val="Compact"/>
              <w:jc w:val="left"/>
            </w:pPr>
            <w:r>
              <w:t xml:space="preserve">€864,000+</w:t>
            </w:r>
          </w:p>
        </w:tc>
      </w:tr>
    </w:tbl>
    <w:p>
      <w:pPr>
        <w:pStyle w:val="BodyText"/>
      </w:pPr>
      <w:r>
        <w:rPr>
          <w:bCs/>
          <w:b/>
        </w:rPr>
        <w:t xml:space="preserve">Assumptions:</w:t>
      </w:r>
      <w:r>
        <w:t xml:space="preserve"> </w:t>
      </w:r>
      <w:r>
        <w:t xml:space="preserve">Average customer value €4,500/mo blended (mix of Starter, Pro, Enterprise). Lifetime Fleet revenue additive.</w:t>
      </w:r>
    </w:p>
    <w:p>
      <w:r>
        <w:pict>
          <v:rect style="width:0;height:1.5pt" o:hralign="center" o:hrstd="t" o:hr="t"/>
        </w:pict>
      </w:r>
    </w:p>
    <w:bookmarkEnd w:id="75"/>
    <w:bookmarkStart w:id="82" w:name="eu-funding-programs"/>
    <w:p>
      <w:pPr>
        <w:pStyle w:val="Heading2"/>
      </w:pPr>
      <w:r>
        <w:t xml:space="preserve">EU Funding Programs</w:t>
      </w:r>
    </w:p>
    <w:p>
      <w:pPr>
        <w:pStyle w:val="FirstParagraph"/>
      </w:pPr>
      <w:r>
        <w:t xml:space="preserve">DWS7 is eligible for multiple EU funding instruments. These are non-dilutive and should be pursued in parallel with customer revenue.</w:t>
      </w:r>
    </w:p>
    <w:bookmarkStart w:id="77" w:name="active-upcoming-programs"/>
    <w:p>
      <w:pPr>
        <w:pStyle w:val="Heading3"/>
      </w:pPr>
      <w:r>
        <w:t xml:space="preserve">Active &amp; Upcoming Programs</w:t>
      </w:r>
    </w:p>
    <w:tbl>
      <w:tblPr>
        <w:tblStyle w:val="Table"/>
        <w:tblW w:type="pct" w:w="5000"/>
        <w:tblLook w:firstRow="1" w:lastRow="0" w:firstColumn="0" w:lastColumn="0" w:noHBand="0" w:noVBand="0" w:val="0020"/>
        <w:jc w:val="start"/>
      </w:tblPr>
      <w:tblGrid>
        <w:gridCol w:w="1117"/>
        <w:gridCol w:w="693"/>
        <w:gridCol w:w="1136"/>
        <w:gridCol w:w="4875"/>
        <w:gridCol w:w="96"/>
      </w:tblGrid>
      <w:tr>
        <w:trPr>
          <w:tblHeader w:val="true"/>
        </w:trPr>
        <w:tc>
          <w:tcPr/>
          <w:p>
            <w:pPr>
              <w:pStyle w:val="Compact"/>
              <w:jc w:val="left"/>
            </w:pPr>
            <w:r>
              <w:t xml:space="preserve">Program</w:t>
            </w:r>
          </w:p>
        </w:tc>
        <w:tc>
          <w:tcPr/>
          <w:p>
            <w:pPr>
              <w:pStyle w:val="Compact"/>
              <w:jc w:val="left"/>
            </w:pPr>
            <w:r>
              <w:t xml:space="preserve">Funding</w:t>
            </w:r>
          </w:p>
        </w:tc>
        <w:tc>
          <w:tcPr/>
          <w:p>
            <w:pPr>
              <w:pStyle w:val="Compact"/>
              <w:jc w:val="left"/>
            </w:pPr>
            <w:r>
              <w:t xml:space="preserve">Deadline Window</w:t>
            </w:r>
          </w:p>
        </w:tc>
        <w:tc>
          <w:tcPr/>
          <w:p>
            <w:pPr>
              <w:pStyle w:val="Compact"/>
              <w:jc w:val="left"/>
            </w:pPr>
            <w:r>
              <w:t xml:space="preserve">DWS7 Fit</w:t>
            </w:r>
          </w:p>
        </w:tc>
        <w:tc>
          <w:tcPr/>
          <w:p>
            <w:pPr>
              <w:pStyle w:val="Compact"/>
              <w:jc w:val="left"/>
            </w:pPr>
            <w:r>
              <w:t xml:space="preserve">Phase</w:t>
            </w:r>
          </w:p>
        </w:tc>
      </w:tr>
      <w:tr>
        <w:tc>
          <w:tcPr/>
          <w:p>
            <w:pPr>
              <w:pStyle w:val="Compact"/>
              <w:jc w:val="left"/>
            </w:pPr>
            <w:r>
              <w:rPr>
                <w:bCs/>
                <w:b/>
              </w:rPr>
              <w:t xml:space="preserve">Horizon Europe — Cluster 4: Digital, Industry &amp; Space</w:t>
            </w:r>
          </w:p>
        </w:tc>
        <w:tc>
          <w:tcPr/>
          <w:p>
            <w:pPr>
              <w:pStyle w:val="Compact"/>
              <w:jc w:val="left"/>
            </w:pPr>
            <w:r>
              <w:t xml:space="preserve">Up to €3M per project</w:t>
            </w:r>
          </w:p>
        </w:tc>
        <w:tc>
          <w:tcPr/>
          <w:p>
            <w:pPr>
              <w:pStyle w:val="Compact"/>
              <w:jc w:val="left"/>
            </w:pPr>
            <w:r>
              <w:t xml:space="preserve">Rolling calls 2026-2027</w:t>
            </w:r>
          </w:p>
        </w:tc>
        <w:tc>
          <w:tcPr/>
          <w:p>
            <w:pPr>
              <w:pStyle w:val="Compact"/>
              <w:jc w:val="left"/>
            </w:pPr>
            <w:r>
              <w:t xml:space="preserve">AI for industrial sustainability, multi-agent systems, edge AI</w:t>
            </w:r>
          </w:p>
        </w:tc>
        <w:tc>
          <w:tcPr/>
          <w:p>
            <w:pPr>
              <w:pStyle w:val="Compact"/>
              <w:jc w:val="left"/>
            </w:pPr>
            <w:r>
              <w:t xml:space="preserve">4, 5</w:t>
            </w:r>
          </w:p>
        </w:tc>
      </w:tr>
      <w:tr>
        <w:tc>
          <w:tcPr/>
          <w:p>
            <w:pPr>
              <w:pStyle w:val="Compact"/>
              <w:jc w:val="left"/>
            </w:pPr>
            <w:r>
              <w:rPr>
                <w:bCs/>
                <w:b/>
              </w:rPr>
              <w:t xml:space="preserve">Horizon Europe — Cluster 5: Climate, Energy &amp; Mobility</w:t>
            </w:r>
          </w:p>
        </w:tc>
        <w:tc>
          <w:tcPr/>
          <w:p>
            <w:pPr>
              <w:pStyle w:val="Compact"/>
              <w:jc w:val="left"/>
            </w:pPr>
            <w:r>
              <w:t xml:space="preserve">Up to €5M per project</w:t>
            </w:r>
          </w:p>
        </w:tc>
        <w:tc>
          <w:tcPr/>
          <w:p>
            <w:pPr>
              <w:pStyle w:val="Compact"/>
              <w:jc w:val="left"/>
            </w:pPr>
            <w:r>
              <w:t xml:space="preserve">Rolling calls 2026-2027</w:t>
            </w:r>
          </w:p>
        </w:tc>
        <w:tc>
          <w:tcPr/>
          <w:p>
            <w:pPr>
              <w:pStyle w:val="Compact"/>
              <w:jc w:val="left"/>
            </w:pPr>
            <w:r>
              <w:t xml:space="preserve">Climate compliance automation, IoT monitoring, ETS optimization</w:t>
            </w:r>
          </w:p>
        </w:tc>
        <w:tc>
          <w:tcPr/>
          <w:p>
            <w:pPr>
              <w:pStyle w:val="Compact"/>
              <w:jc w:val="left"/>
            </w:pPr>
            <w:r>
              <w:t xml:space="preserve">2, 4</w:t>
            </w:r>
          </w:p>
        </w:tc>
      </w:tr>
      <w:tr>
        <w:tc>
          <w:tcPr/>
          <w:p>
            <w:pPr>
              <w:pStyle w:val="Compact"/>
              <w:jc w:val="left"/>
            </w:pPr>
            <w:r>
              <w:rPr>
                <w:bCs/>
                <w:b/>
              </w:rPr>
              <w:t xml:space="preserve">EIC Accelerator</w:t>
            </w:r>
          </w:p>
        </w:tc>
        <w:tc>
          <w:tcPr/>
          <w:p>
            <w:pPr>
              <w:pStyle w:val="Compact"/>
              <w:jc w:val="left"/>
            </w:pPr>
            <w:r>
              <w:t xml:space="preserve">Up to €2.5M grant + €15M equity</w:t>
            </w:r>
          </w:p>
        </w:tc>
        <w:tc>
          <w:tcPr/>
          <w:p>
            <w:pPr>
              <w:pStyle w:val="Compact"/>
              <w:jc w:val="left"/>
            </w:pPr>
            <w:r>
              <w:t xml:space="preserve">Cut-off dates: Mar, Jun, Oct 2026</w:t>
            </w:r>
          </w:p>
        </w:tc>
        <w:tc>
          <w:tcPr/>
          <w:p>
            <w:pPr>
              <w:pStyle w:val="Compact"/>
              <w:jc w:val="left"/>
            </w:pPr>
            <w:r>
              <w:t xml:space="preserve">Deep-tech AI platform with market traction, &lt;€5M revenue</w:t>
            </w:r>
          </w:p>
        </w:tc>
        <w:tc>
          <w:tcPr/>
          <w:p>
            <w:pPr>
              <w:pStyle w:val="Compact"/>
              <w:jc w:val="left"/>
            </w:pPr>
            <w:r>
              <w:t xml:space="preserve">3</w:t>
            </w:r>
          </w:p>
        </w:tc>
      </w:tr>
      <w:tr>
        <w:tc>
          <w:tcPr/>
          <w:p>
            <w:pPr>
              <w:pStyle w:val="Compact"/>
              <w:jc w:val="left"/>
            </w:pPr>
            <w:r>
              <w:rPr>
                <w:bCs/>
                <w:b/>
              </w:rPr>
              <w:t xml:space="preserve">Digital Europe Programme (DIGITAL)</w:t>
            </w:r>
          </w:p>
        </w:tc>
        <w:tc>
          <w:tcPr/>
          <w:p>
            <w:pPr>
              <w:pStyle w:val="Compact"/>
              <w:jc w:val="left"/>
            </w:pPr>
            <w:r>
              <w:t xml:space="preserve">€50K–€2M (€63.2M envelope announced)</w:t>
            </w:r>
          </w:p>
        </w:tc>
        <w:tc>
          <w:tcPr/>
          <w:p>
            <w:pPr>
              <w:pStyle w:val="Compact"/>
              <w:jc w:val="left"/>
            </w:pPr>
            <w:r>
              <w:t xml:space="preserve">4 of 7 calls open, deadline 2026-10-01 — monitor for 3 more</w:t>
            </w:r>
          </w:p>
        </w:tc>
        <w:tc>
          <w:tcPr/>
          <w:p>
            <w:pPr>
              <w:pStyle w:val="Compact"/>
              <w:jc w:val="left"/>
            </w:pPr>
            <w:r>
              <w:t xml:space="preserve">AI deployment in industry, cybersecurity, cloud-to-edge. Current open 4 are low DWS fit (medical-imaging, EDIC CSA, info-integrity cascading grants, D&amp;E CSA). See</w:t>
            </w:r>
            <w:r>
              <w:t xml:space="preserve"> </w:t>
            </w:r>
            <w:r>
              <w:rPr>
                <w:rStyle w:val="VerbatimChar"/>
              </w:rPr>
              <w:t xml:space="preserve">docs/field-notes/2026-04-22-digital-europe-programme-ai-health-online-safety-call.md</w:t>
            </w:r>
            <w:r>
              <w:t xml:space="preserve"> </w:t>
            </w:r>
            <w:r>
              <w:t xml:space="preserve">§3.</w:t>
            </w:r>
          </w:p>
        </w:tc>
        <w:tc>
          <w:tcPr/>
          <w:p>
            <w:pPr>
              <w:pStyle w:val="Compact"/>
              <w:jc w:val="left"/>
            </w:pPr>
            <w:r>
              <w:t xml:space="preserve">1, 4</w:t>
            </w:r>
          </w:p>
        </w:tc>
      </w:tr>
      <w:tr>
        <w:tc>
          <w:tcPr/>
          <w:p>
            <w:pPr>
              <w:pStyle w:val="Compact"/>
              <w:jc w:val="left"/>
            </w:pPr>
            <w:r>
              <w:rPr>
                <w:bCs/>
                <w:b/>
              </w:rPr>
              <w:t xml:space="preserve">DIGITAL-2026-AI-DATA-10 (AI Continent / Compliance)</w:t>
            </w:r>
          </w:p>
        </w:tc>
        <w:tc>
          <w:tcPr/>
          <w:p>
            <w:pPr>
              <w:pStyle w:val="Compact"/>
              <w:jc w:val="left"/>
            </w:pPr>
            <w:r>
              <w:t xml:space="preserve">Lump sum grant (3–4 projects)</w:t>
            </w:r>
          </w:p>
        </w:tc>
        <w:tc>
          <w:tcPr/>
          <w:p>
            <w:pPr>
              <w:pStyle w:val="Compact"/>
              <w:jc w:val="left"/>
            </w:pPr>
            <w:r>
              <w:rPr>
                <w:bCs/>
                <w:b/>
              </w:rPr>
              <w:t xml:space="preserve">Deadline 01 Oct 2026</w:t>
            </w:r>
          </w:p>
        </w:tc>
        <w:tc>
          <w:tcPr/>
          <w:p>
            <w:pPr>
              <w:pStyle w:val="Compact"/>
              <w:jc w:val="left"/>
            </w:pPr>
            <w:r>
              <w:t xml:space="preserve">Direct thesis match: automate EU regulatory reporting via trusted data sharing. One of the</w:t>
            </w:r>
            <w:r>
              <w:t xml:space="preserve"> </w:t>
            </w:r>
            <w:r>
              <w:t xml:space="preserve">“</w:t>
            </w:r>
            <w:r>
              <w:t xml:space="preserve">3 more</w:t>
            </w:r>
            <w:r>
              <w:t xml:space="preserve">”</w:t>
            </w:r>
            <w:r>
              <w:t xml:space="preserve"> </w:t>
            </w:r>
            <w:r>
              <w:t xml:space="preserve">DIGITAL topics referenced above. See</w:t>
            </w:r>
            <w:r>
              <w:t xml:space="preserve"> </w:t>
            </w:r>
            <w:hyperlink r:id="rId76">
              <w:r>
                <w:rPr>
                  <w:rStyle w:val="VerbatimChar"/>
                </w:rPr>
                <w:t xml:space="preserve">docs/EU_FUNDING_DIGITAL_2026_AI_DATA_10.md</w:t>
              </w:r>
            </w:hyperlink>
            <w:r>
              <w:t xml:space="preserve">.</w:t>
            </w:r>
          </w:p>
        </w:tc>
        <w:tc>
          <w:tcPr/>
          <w:p>
            <w:pPr>
              <w:pStyle w:val="Compact"/>
              <w:jc w:val="left"/>
            </w:pPr>
            <w:r>
              <w:t xml:space="preserve">2, 3</w:t>
            </w:r>
          </w:p>
        </w:tc>
      </w:tr>
      <w:tr>
        <w:tc>
          <w:tcPr/>
          <w:p>
            <w:pPr>
              <w:pStyle w:val="Compact"/>
              <w:jc w:val="left"/>
            </w:pPr>
            <w:r>
              <w:rPr>
                <w:bCs/>
                <w:b/>
              </w:rPr>
              <w:t xml:space="preserve">EIC Pathfinder</w:t>
            </w:r>
          </w:p>
        </w:tc>
        <w:tc>
          <w:tcPr/>
          <w:p>
            <w:pPr>
              <w:pStyle w:val="Compact"/>
              <w:jc w:val="left"/>
            </w:pPr>
            <w:r>
              <w:t xml:space="preserve">Up to €4M</w:t>
            </w:r>
          </w:p>
        </w:tc>
        <w:tc>
          <w:tcPr/>
          <w:p>
            <w:pPr>
              <w:pStyle w:val="Compact"/>
              <w:jc w:val="left"/>
            </w:pPr>
            <w:r>
              <w:t xml:space="preserve">Annual calls</w:t>
            </w:r>
          </w:p>
        </w:tc>
        <w:tc>
          <w:tcPr/>
          <w:p>
            <w:pPr>
              <w:pStyle w:val="Compact"/>
              <w:jc w:val="left"/>
            </w:pPr>
            <w:r>
              <w:t xml:space="preserve">Novel multi-agent coordination, agentic AI for compliance</w:t>
            </w:r>
          </w:p>
        </w:tc>
        <w:tc>
          <w:tcPr/>
          <w:p>
            <w:pPr>
              <w:pStyle w:val="Compact"/>
              <w:jc w:val="left"/>
            </w:pPr>
            <w:r>
              <w:t xml:space="preserve">4</w:t>
            </w:r>
          </w:p>
        </w:tc>
      </w:tr>
      <w:tr>
        <w:tc>
          <w:tcPr/>
          <w:p>
            <w:pPr>
              <w:pStyle w:val="Compact"/>
              <w:jc w:val="left"/>
            </w:pPr>
            <w:r>
              <w:rPr>
                <w:bCs/>
                <w:b/>
              </w:rPr>
              <w:t xml:space="preserve">LIFE Programme — Clean Energy Transition</w:t>
            </w:r>
          </w:p>
        </w:tc>
        <w:tc>
          <w:tcPr/>
          <w:p>
            <w:pPr>
              <w:pStyle w:val="Compact"/>
              <w:jc w:val="left"/>
            </w:pPr>
            <w:r>
              <w:t xml:space="preserve">Up to €2M co-funding</w:t>
            </w:r>
          </w:p>
        </w:tc>
        <w:tc>
          <w:tcPr/>
          <w:p>
            <w:pPr>
              <w:pStyle w:val="Compact"/>
              <w:jc w:val="left"/>
            </w:pPr>
            <w:r>
              <w:t xml:space="preserve">Annual calls Q1</w:t>
            </w:r>
          </w:p>
        </w:tc>
        <w:tc>
          <w:tcPr/>
          <w:p>
            <w:pPr>
              <w:pStyle w:val="Compact"/>
              <w:jc w:val="left"/>
            </w:pPr>
            <w:r>
              <w:t xml:space="preserve">Tools for industrial decarbonization, ETS compliance</w:t>
            </w:r>
          </w:p>
        </w:tc>
        <w:tc>
          <w:tcPr/>
          <w:p>
            <w:pPr>
              <w:pStyle w:val="Compact"/>
              <w:jc w:val="left"/>
            </w:pPr>
            <w:r>
              <w:t xml:space="preserve">2</w:t>
            </w:r>
          </w:p>
        </w:tc>
      </w:tr>
      <w:tr>
        <w:tc>
          <w:tcPr/>
          <w:p>
            <w:pPr>
              <w:pStyle w:val="Compact"/>
              <w:jc w:val="left"/>
            </w:pPr>
            <w:r>
              <w:rPr>
                <w:bCs/>
                <w:b/>
              </w:rPr>
              <w:t xml:space="preserve">InvestEU — Sustainable Infrastructure</w:t>
            </w:r>
          </w:p>
        </w:tc>
        <w:tc>
          <w:tcPr/>
          <w:p>
            <w:pPr>
              <w:pStyle w:val="Compact"/>
              <w:jc w:val="left"/>
            </w:pPr>
            <w:r>
              <w:t xml:space="preserve">Loan guarantees, equity</w:t>
            </w:r>
          </w:p>
        </w:tc>
        <w:tc>
          <w:tcPr/>
          <w:p>
            <w:pPr>
              <w:pStyle w:val="Compact"/>
              <w:jc w:val="left"/>
            </w:pPr>
            <w:r>
              <w:t xml:space="preserve">Continuous via intermediaries</w:t>
            </w:r>
          </w:p>
        </w:tc>
        <w:tc>
          <w:tcPr/>
          <w:p>
            <w:pPr>
              <w:pStyle w:val="Compact"/>
              <w:jc w:val="left"/>
            </w:pPr>
            <w:r>
              <w:t xml:space="preserve">Scale-up funding for climate-tech platforms</w:t>
            </w:r>
          </w:p>
        </w:tc>
        <w:tc>
          <w:tcPr/>
          <w:p>
            <w:pPr>
              <w:pStyle w:val="Compact"/>
              <w:jc w:val="left"/>
            </w:pPr>
            <w:r>
              <w:t xml:space="preserve">5, 6</w:t>
            </w:r>
          </w:p>
        </w:tc>
      </w:tr>
      <w:tr>
        <w:tc>
          <w:tcPr/>
          <w:p>
            <w:pPr>
              <w:pStyle w:val="Compact"/>
              <w:jc w:val="left"/>
            </w:pPr>
            <w:r>
              <w:rPr>
                <w:bCs/>
                <w:b/>
              </w:rPr>
              <w:t xml:space="preserve">EU Innovation Fund</w:t>
            </w:r>
          </w:p>
        </w:tc>
        <w:tc>
          <w:tcPr/>
          <w:p>
            <w:pPr>
              <w:pStyle w:val="Compact"/>
              <w:jc w:val="left"/>
            </w:pPr>
            <w:r>
              <w:t xml:space="preserve">€50K–€7.5M (small-scale)</w:t>
            </w:r>
          </w:p>
        </w:tc>
        <w:tc>
          <w:tcPr/>
          <w:p>
            <w:pPr>
              <w:pStyle w:val="Compact"/>
              <w:jc w:val="left"/>
            </w:pPr>
            <w:r>
              <w:t xml:space="preserve">Annual calls</w:t>
            </w:r>
          </w:p>
        </w:tc>
        <w:tc>
          <w:tcPr/>
          <w:p>
            <w:pPr>
              <w:pStyle w:val="Compact"/>
              <w:jc w:val="left"/>
            </w:pPr>
            <w:r>
              <w:t xml:space="preserve">Technologies reducing industrial GHG emissions</w:t>
            </w:r>
          </w:p>
        </w:tc>
        <w:tc>
          <w:tcPr/>
          <w:p>
            <w:pPr>
              <w:pStyle w:val="Compact"/>
              <w:jc w:val="left"/>
            </w:pPr>
            <w:r>
              <w:t xml:space="preserve">4</w:t>
            </w:r>
          </w:p>
        </w:tc>
      </w:tr>
      <w:tr>
        <w:tc>
          <w:tcPr/>
          <w:p>
            <w:pPr>
              <w:pStyle w:val="Compact"/>
              <w:jc w:val="left"/>
            </w:pPr>
            <w:r>
              <w:rPr>
                <w:bCs/>
                <w:b/>
              </w:rPr>
              <w:t xml:space="preserve">IPCEI — Cloud Infrastructure &amp; Services</w:t>
            </w:r>
          </w:p>
        </w:tc>
        <w:tc>
          <w:tcPr/>
          <w:p>
            <w:pPr>
              <w:pStyle w:val="Compact"/>
              <w:jc w:val="left"/>
            </w:pPr>
            <w:r>
              <w:t xml:space="preserve">National + EU co-funding</w:t>
            </w:r>
          </w:p>
        </w:tc>
        <w:tc>
          <w:tcPr/>
          <w:p>
            <w:pPr>
              <w:pStyle w:val="Compact"/>
              <w:jc w:val="left"/>
            </w:pPr>
            <w:r>
              <w:t xml:space="preserve">Member state calls</w:t>
            </w:r>
          </w:p>
        </w:tc>
        <w:tc>
          <w:tcPr/>
          <w:p>
            <w:pPr>
              <w:pStyle w:val="Compact"/>
              <w:jc w:val="left"/>
            </w:pPr>
            <w:r>
              <w:t xml:space="preserve">Sovereign cloud for EU compliance data</w:t>
            </w:r>
          </w:p>
        </w:tc>
        <w:tc>
          <w:tcPr/>
          <w:p>
            <w:pPr>
              <w:pStyle w:val="Compact"/>
              <w:jc w:val="left"/>
            </w:pPr>
            <w:r>
              <w:t xml:space="preserve">6</w:t>
            </w:r>
          </w:p>
        </w:tc>
      </w:tr>
      <w:tr>
        <w:tc>
          <w:tcPr/>
          <w:p>
            <w:pPr>
              <w:pStyle w:val="Compact"/>
              <w:jc w:val="left"/>
            </w:pPr>
            <w:r>
              <w:rPr>
                <w:bCs/>
                <w:b/>
              </w:rPr>
              <w:t xml:space="preserve">CEF Digital</w:t>
            </w:r>
          </w:p>
        </w:tc>
        <w:tc>
          <w:tcPr/>
          <w:p>
            <w:pPr>
              <w:pStyle w:val="Compact"/>
              <w:jc w:val="left"/>
            </w:pPr>
            <w:r>
              <w:t xml:space="preserve">Co-funding up to 75%</w:t>
            </w:r>
          </w:p>
        </w:tc>
        <w:tc>
          <w:tcPr/>
          <w:p>
            <w:pPr>
              <w:pStyle w:val="Compact"/>
              <w:jc w:val="left"/>
            </w:pPr>
            <w:r>
              <w:t xml:space="preserve">Annual calls</w:t>
            </w:r>
          </w:p>
        </w:tc>
        <w:tc>
          <w:tcPr/>
          <w:p>
            <w:pPr>
              <w:pStyle w:val="Compact"/>
              <w:jc w:val="left"/>
            </w:pPr>
            <w:r>
              <w:t xml:space="preserve">Cross-border digital infrastructure for compliance</w:t>
            </w:r>
          </w:p>
        </w:tc>
        <w:tc>
          <w:tcPr/>
          <w:p>
            <w:pPr>
              <w:pStyle w:val="Compact"/>
              <w:jc w:val="left"/>
            </w:pPr>
            <w:r>
              <w:t xml:space="preserve">3</w:t>
            </w:r>
          </w:p>
        </w:tc>
      </w:tr>
    </w:tbl>
    <w:bookmarkEnd w:id="77"/>
    <w:bookmarkStart w:id="78" w:name="national-programs-finland"/>
    <w:p>
      <w:pPr>
        <w:pStyle w:val="Heading3"/>
      </w:pPr>
      <w:r>
        <w:t xml:space="preserve">National Programs (Finland)</w:t>
      </w:r>
    </w:p>
    <w:tbl>
      <w:tblPr>
        <w:tblStyle w:val="Table"/>
        <w:tblW w:type="pct" w:w="5000"/>
        <w:tblLook w:firstRow="1" w:lastRow="0" w:firstColumn="0" w:lastColumn="0" w:noHBand="0" w:noVBand="0" w:val="0020"/>
        <w:jc w:val="start"/>
      </w:tblPr>
      <w:tblGrid>
        <w:gridCol w:w="2894"/>
        <w:gridCol w:w="1365"/>
        <w:gridCol w:w="983"/>
        <w:gridCol w:w="2676"/>
      </w:tblGrid>
      <w:tr>
        <w:trPr>
          <w:tblHeader w:val="true"/>
        </w:trPr>
        <w:tc>
          <w:tcPr/>
          <w:p>
            <w:pPr>
              <w:pStyle w:val="Compact"/>
              <w:jc w:val="left"/>
            </w:pPr>
            <w:r>
              <w:t xml:space="preserve">Program</w:t>
            </w:r>
          </w:p>
        </w:tc>
        <w:tc>
          <w:tcPr/>
          <w:p>
            <w:pPr>
              <w:pStyle w:val="Compact"/>
              <w:jc w:val="left"/>
            </w:pPr>
            <w:r>
              <w:t xml:space="preserve">Funding</w:t>
            </w:r>
          </w:p>
        </w:tc>
        <w:tc>
          <w:tcPr/>
          <w:p>
            <w:pPr>
              <w:pStyle w:val="Compact"/>
              <w:jc w:val="left"/>
            </w:pPr>
            <w:r>
              <w:t xml:space="preserve">Agency</w:t>
            </w:r>
          </w:p>
        </w:tc>
        <w:tc>
          <w:tcPr/>
          <w:p>
            <w:pPr>
              <w:pStyle w:val="Compact"/>
              <w:jc w:val="left"/>
            </w:pPr>
            <w:r>
              <w:t xml:space="preserve">DWS7 Fit</w:t>
            </w:r>
          </w:p>
        </w:tc>
      </w:tr>
      <w:tr>
        <w:tc>
          <w:tcPr/>
          <w:p>
            <w:pPr>
              <w:pStyle w:val="Compact"/>
              <w:jc w:val="left"/>
            </w:pPr>
            <w:r>
              <w:rPr>
                <w:bCs/>
                <w:b/>
              </w:rPr>
              <w:t xml:space="preserve">Business Finland — AI &amp; Digitalization</w:t>
            </w:r>
          </w:p>
        </w:tc>
        <w:tc>
          <w:tcPr/>
          <w:p>
            <w:pPr>
              <w:pStyle w:val="Compact"/>
              <w:jc w:val="left"/>
            </w:pPr>
            <w:r>
              <w:t xml:space="preserve">Up to €1M grant</w:t>
            </w:r>
          </w:p>
        </w:tc>
        <w:tc>
          <w:tcPr/>
          <w:p>
            <w:pPr>
              <w:pStyle w:val="Compact"/>
              <w:jc w:val="left"/>
            </w:pPr>
            <w:r>
              <w:t xml:space="preserve">Business Finland</w:t>
            </w:r>
          </w:p>
        </w:tc>
        <w:tc>
          <w:tcPr/>
          <w:p>
            <w:pPr>
              <w:pStyle w:val="Compact"/>
              <w:jc w:val="left"/>
            </w:pPr>
            <w:r>
              <w:t xml:space="preserve">AI-native compliance platform development</w:t>
            </w:r>
          </w:p>
        </w:tc>
      </w:tr>
      <w:tr>
        <w:tc>
          <w:tcPr/>
          <w:p>
            <w:pPr>
              <w:pStyle w:val="Compact"/>
              <w:jc w:val="left"/>
            </w:pPr>
            <w:r>
              <w:rPr>
                <w:bCs/>
                <w:b/>
              </w:rPr>
              <w:t xml:space="preserve">Business Finland — Co-Innovation</w:t>
            </w:r>
          </w:p>
        </w:tc>
        <w:tc>
          <w:tcPr/>
          <w:p>
            <w:pPr>
              <w:pStyle w:val="Compact"/>
              <w:jc w:val="left"/>
            </w:pPr>
            <w:r>
              <w:t xml:space="preserve">Up to €2M (consortium)</w:t>
            </w:r>
          </w:p>
        </w:tc>
        <w:tc>
          <w:tcPr/>
          <w:p>
            <w:pPr>
              <w:pStyle w:val="Compact"/>
              <w:jc w:val="left"/>
            </w:pPr>
            <w:r>
              <w:t xml:space="preserve">Business Finland</w:t>
            </w:r>
          </w:p>
        </w:tc>
        <w:tc>
          <w:tcPr/>
          <w:p>
            <w:pPr>
              <w:pStyle w:val="Compact"/>
              <w:jc w:val="left"/>
            </w:pPr>
            <w:r>
              <w:t xml:space="preserve">Joint R&amp;D with industrial customers</w:t>
            </w:r>
          </w:p>
        </w:tc>
      </w:tr>
      <w:tr>
        <w:tc>
          <w:tcPr/>
          <w:p>
            <w:pPr>
              <w:pStyle w:val="Compact"/>
              <w:jc w:val="left"/>
            </w:pPr>
            <w:r>
              <w:rPr>
                <w:bCs/>
                <w:b/>
              </w:rPr>
              <w:t xml:space="preserve">Business Finland — Research to Business</w:t>
            </w:r>
          </w:p>
        </w:tc>
        <w:tc>
          <w:tcPr/>
          <w:p>
            <w:pPr>
              <w:pStyle w:val="Compact"/>
              <w:jc w:val="left"/>
            </w:pPr>
            <w:r>
              <w:t xml:space="preserve">Up to €500K</w:t>
            </w:r>
          </w:p>
        </w:tc>
        <w:tc>
          <w:tcPr/>
          <w:p>
            <w:pPr>
              <w:pStyle w:val="Compact"/>
              <w:jc w:val="left"/>
            </w:pPr>
            <w:r>
              <w:t xml:space="preserve">Business Finland</w:t>
            </w:r>
          </w:p>
        </w:tc>
        <w:tc>
          <w:tcPr/>
          <w:p>
            <w:pPr>
              <w:pStyle w:val="Compact"/>
              <w:jc w:val="left"/>
            </w:pPr>
            <w:r>
              <w:t xml:space="preserve">PhD thesis → commercial platform validation</w:t>
            </w:r>
          </w:p>
        </w:tc>
      </w:tr>
      <w:tr>
        <w:tc>
          <w:tcPr/>
          <w:p>
            <w:pPr>
              <w:pStyle w:val="Compact"/>
              <w:jc w:val="left"/>
            </w:pPr>
            <w:r>
              <w:rPr>
                <w:bCs/>
                <w:b/>
              </w:rPr>
              <w:t xml:space="preserve">Business Finland — Tempo</w:t>
            </w:r>
          </w:p>
        </w:tc>
        <w:tc>
          <w:tcPr/>
          <w:p>
            <w:pPr>
              <w:pStyle w:val="Compact"/>
              <w:jc w:val="left"/>
            </w:pPr>
            <w:r>
              <w:t xml:space="preserve">Up to €50K (6 months)</w:t>
            </w:r>
          </w:p>
        </w:tc>
        <w:tc>
          <w:tcPr/>
          <w:p>
            <w:pPr>
              <w:pStyle w:val="Compact"/>
              <w:jc w:val="left"/>
            </w:pPr>
            <w:r>
              <w:t xml:space="preserve">Business Finland</w:t>
            </w:r>
          </w:p>
        </w:tc>
        <w:tc>
          <w:tcPr/>
          <w:p>
            <w:pPr>
              <w:pStyle w:val="Compact"/>
              <w:jc w:val="left"/>
            </w:pPr>
            <w:r>
              <w:t xml:space="preserve">Market validation for new industry verticals</w:t>
            </w:r>
          </w:p>
        </w:tc>
      </w:tr>
      <w:tr>
        <w:tc>
          <w:tcPr/>
          <w:p>
            <w:pPr>
              <w:pStyle w:val="Compact"/>
              <w:jc w:val="left"/>
            </w:pPr>
            <w:r>
              <w:rPr>
                <w:bCs/>
                <w:b/>
              </w:rPr>
              <w:t xml:space="preserve">Business Finland — Young Innovative Company (NIY)</w:t>
            </w:r>
          </w:p>
        </w:tc>
        <w:tc>
          <w:tcPr/>
          <w:p>
            <w:pPr>
              <w:pStyle w:val="Compact"/>
              <w:jc w:val="left"/>
            </w:pPr>
            <w:r>
              <w:t xml:space="preserve">Up to €1.25M over 3 years</w:t>
            </w:r>
          </w:p>
        </w:tc>
        <w:tc>
          <w:tcPr/>
          <w:p>
            <w:pPr>
              <w:pStyle w:val="Compact"/>
              <w:jc w:val="left"/>
            </w:pPr>
            <w:r>
              <w:t xml:space="preserve">Business Finland</w:t>
            </w:r>
          </w:p>
        </w:tc>
        <w:tc>
          <w:tcPr/>
          <w:p>
            <w:pPr>
              <w:pStyle w:val="Compact"/>
              <w:jc w:val="left"/>
            </w:pPr>
            <w:r>
              <w:t xml:space="preserve">If company &lt; 5 years, &lt; 50 employees</w:t>
            </w:r>
          </w:p>
        </w:tc>
      </w:tr>
      <w:tr>
        <w:tc>
          <w:tcPr/>
          <w:p>
            <w:pPr>
              <w:pStyle w:val="Compact"/>
              <w:jc w:val="left"/>
            </w:pPr>
            <w:r>
              <w:rPr>
                <w:bCs/>
                <w:b/>
              </w:rPr>
              <w:t xml:space="preserve">Finnvera</w:t>
            </w:r>
          </w:p>
        </w:tc>
        <w:tc>
          <w:tcPr/>
          <w:p>
            <w:pPr>
              <w:pStyle w:val="Compact"/>
              <w:jc w:val="left"/>
            </w:pPr>
            <w:r>
              <w:t xml:space="preserve">Loans + guarantees</w:t>
            </w:r>
          </w:p>
        </w:tc>
        <w:tc>
          <w:tcPr/>
          <w:p>
            <w:pPr>
              <w:pStyle w:val="Compact"/>
              <w:jc w:val="left"/>
            </w:pPr>
            <w:r>
              <w:t xml:space="preserve">Finnvera</w:t>
            </w:r>
          </w:p>
        </w:tc>
        <w:tc>
          <w:tcPr/>
          <w:p>
            <w:pPr>
              <w:pStyle w:val="Compact"/>
              <w:jc w:val="left"/>
            </w:pPr>
            <w:r>
              <w:t xml:space="preserve">Growth capital, working capital</w:t>
            </w:r>
          </w:p>
        </w:tc>
      </w:tr>
      <w:tr>
        <w:tc>
          <w:tcPr/>
          <w:p>
            <w:pPr>
              <w:pStyle w:val="Compact"/>
              <w:jc w:val="left"/>
            </w:pPr>
            <w:r>
              <w:rPr>
                <w:bCs/>
                <w:b/>
              </w:rPr>
              <w:t xml:space="preserve">Climate Fund (Ilmastorahasto)</w:t>
            </w:r>
          </w:p>
        </w:tc>
        <w:tc>
          <w:tcPr/>
          <w:p>
            <w:pPr>
              <w:pStyle w:val="Compact"/>
              <w:jc w:val="left"/>
            </w:pPr>
            <w:r>
              <w:t xml:space="preserve">€1M–€20M equity/loan</w:t>
            </w:r>
          </w:p>
        </w:tc>
        <w:tc>
          <w:tcPr/>
          <w:p>
            <w:pPr>
              <w:pStyle w:val="Compact"/>
              <w:jc w:val="left"/>
            </w:pPr>
            <w:r>
              <w:t xml:space="preserve">Ilmastorahasto</w:t>
            </w:r>
          </w:p>
        </w:tc>
        <w:tc>
          <w:tcPr/>
          <w:p>
            <w:pPr>
              <w:pStyle w:val="Compact"/>
              <w:jc w:val="left"/>
            </w:pPr>
            <w:r>
              <w:t xml:space="preserve">Climate solutions at scale-up phase</w:t>
            </w:r>
          </w:p>
        </w:tc>
      </w:tr>
      <w:tr>
        <w:tc>
          <w:tcPr/>
          <w:p>
            <w:pPr>
              <w:pStyle w:val="Compact"/>
              <w:jc w:val="left"/>
            </w:pPr>
            <w:r>
              <w:rPr>
                <w:bCs/>
                <w:b/>
              </w:rPr>
              <w:t xml:space="preserve">Academy of Finland</w:t>
            </w:r>
          </w:p>
        </w:tc>
        <w:tc>
          <w:tcPr/>
          <w:p>
            <w:pPr>
              <w:pStyle w:val="Compact"/>
              <w:jc w:val="left"/>
            </w:pPr>
            <w:r>
              <w:t xml:space="preserve">PhD/postdoc funding</w:t>
            </w:r>
          </w:p>
        </w:tc>
        <w:tc>
          <w:tcPr/>
          <w:p>
            <w:pPr>
              <w:pStyle w:val="Compact"/>
              <w:jc w:val="left"/>
            </w:pPr>
            <w:r>
              <w:t xml:space="preserve">Academy of Finland</w:t>
            </w:r>
          </w:p>
        </w:tc>
        <w:tc>
          <w:tcPr/>
          <w:p>
            <w:pPr>
              <w:pStyle w:val="Compact"/>
              <w:jc w:val="left"/>
            </w:pPr>
            <w:r>
              <w:t xml:space="preserve">PhD thesis research on AI + industrial compliance</w:t>
            </w:r>
          </w:p>
        </w:tc>
      </w:tr>
    </w:tbl>
    <w:bookmarkEnd w:id="78"/>
    <w:bookmarkStart w:id="79" w:name="eu-funding-roadmap-phase-mapping"/>
    <w:p>
      <w:pPr>
        <w:pStyle w:val="Heading3"/>
      </w:pPr>
      <w:r>
        <w:t xml:space="preserve">EU Funding → Roadmap Phase Mapping</w:t>
      </w:r>
    </w:p>
    <w:p>
      <w:pPr>
        <w:pStyle w:val="SourceCode"/>
      </w:pPr>
      <w:r>
        <w:rPr>
          <w:rStyle w:val="VerbatimChar"/>
        </w:rPr>
        <w:t xml:space="preserve">Phase 1 (Feb-Apr 2026): Apply for Business Finland Tempo (market validation)</w:t>
      </w:r>
      <w:r>
        <w:br/>
      </w:r>
      <w:r>
        <w:rPr>
          <w:rStyle w:val="VerbatimChar"/>
        </w:rPr>
        <w:t xml:space="preserve">Phase 2 (May-Jul 2026): Apply for LIFE Programme (compliance engine)</w:t>
      </w:r>
      <w:r>
        <w:br/>
      </w:r>
      <w:r>
        <w:rPr>
          <w:rStyle w:val="VerbatimChar"/>
        </w:rPr>
        <w:t xml:space="preserve">Phase 3 (Aug-Oct 2026): Apply for EIC Accelerator (Oct 2026 cut-off)</w:t>
      </w:r>
      <w:r>
        <w:br/>
      </w:r>
      <w:r>
        <w:rPr>
          <w:rStyle w:val="VerbatimChar"/>
        </w:rPr>
        <w:t xml:space="preserve">Phase 4 (Nov-Jan 2027): Apply for Horizon Europe Cluster 4 (agentic AI)</w:t>
      </w:r>
      <w:r>
        <w:br/>
      </w:r>
      <w:r>
        <w:rPr>
          <w:rStyle w:val="VerbatimChar"/>
        </w:rPr>
        <w:t xml:space="preserve">Phase 5 (Feb-May 2027): Apply for EU Innovation Fund (IoT-to-compliance)</w:t>
      </w:r>
      <w:r>
        <w:br/>
      </w:r>
      <w:r>
        <w:rPr>
          <w:rStyle w:val="VerbatimChar"/>
        </w:rPr>
        <w:t xml:space="preserve">Phase 6 (Jun-Dec 2027): Apply for InvestEU (scale-up infrastructure)</w:t>
      </w:r>
    </w:p>
    <w:bookmarkEnd w:id="79"/>
    <w:bookmarkStart w:id="80" w:name="funding-application-calendar"/>
    <w:p>
      <w:pPr>
        <w:pStyle w:val="Heading3"/>
      </w:pPr>
      <w:r>
        <w:t xml:space="preserve">Funding Application Calendar</w:t>
      </w:r>
    </w:p>
    <w:tbl>
      <w:tblPr>
        <w:tblStyle w:val="Table"/>
        <w:tblW w:type="pct" w:w="5000"/>
        <w:tblLook w:firstRow="1" w:lastRow="0" w:firstColumn="0" w:lastColumn="0" w:noHBand="0" w:noVBand="0" w:val="0020"/>
        <w:jc w:val="start"/>
      </w:tblPr>
      <w:tblGrid>
        <w:gridCol w:w="446"/>
        <w:gridCol w:w="2007"/>
        <w:gridCol w:w="4183"/>
        <w:gridCol w:w="1282"/>
      </w:tblGrid>
      <w:tr>
        <w:trPr>
          <w:tblHeader w:val="true"/>
        </w:trPr>
        <w:tc>
          <w:tcPr/>
          <w:p>
            <w:pPr>
              <w:pStyle w:val="Compact"/>
              <w:jc w:val="left"/>
            </w:pPr>
            <w:r>
              <w:t xml:space="preserve">Month</w:t>
            </w:r>
          </w:p>
        </w:tc>
        <w:tc>
          <w:tcPr/>
          <w:p>
            <w:pPr>
              <w:pStyle w:val="Compact"/>
              <w:jc w:val="left"/>
            </w:pPr>
            <w:r>
              <w:t xml:space="preserve">Program</w:t>
            </w:r>
          </w:p>
        </w:tc>
        <w:tc>
          <w:tcPr/>
          <w:p>
            <w:pPr>
              <w:pStyle w:val="Compact"/>
              <w:jc w:val="left"/>
            </w:pPr>
            <w:r>
              <w:t xml:space="preserve">Action</w:t>
            </w:r>
          </w:p>
        </w:tc>
        <w:tc>
          <w:tcPr/>
          <w:p>
            <w:pPr>
              <w:pStyle w:val="Compact"/>
              <w:jc w:val="left"/>
            </w:pPr>
            <w:r>
              <w:t xml:space="preserve">Estimated Value</w:t>
            </w:r>
          </w:p>
        </w:tc>
      </w:tr>
      <w:tr>
        <w:tc>
          <w:tcPr/>
          <w:p>
            <w:pPr>
              <w:pStyle w:val="Compact"/>
              <w:jc w:val="left"/>
            </w:pPr>
            <w:r>
              <w:t xml:space="preserve">Mar 2026</w:t>
            </w:r>
          </w:p>
        </w:tc>
        <w:tc>
          <w:tcPr/>
          <w:p>
            <w:pPr>
              <w:pStyle w:val="Compact"/>
              <w:jc w:val="left"/>
            </w:pPr>
            <w:r>
              <w:t xml:space="preserve">Business Finland Tempo</w:t>
            </w:r>
          </w:p>
        </w:tc>
        <w:tc>
          <w:tcPr/>
          <w:p>
            <w:pPr>
              <w:pStyle w:val="Compact"/>
              <w:jc w:val="left"/>
            </w:pPr>
            <w:r>
              <w:t xml:space="preserve">Submit application</w:t>
            </w:r>
          </w:p>
        </w:tc>
        <w:tc>
          <w:tcPr/>
          <w:p>
            <w:pPr>
              <w:pStyle w:val="Compact"/>
              <w:jc w:val="left"/>
            </w:pPr>
            <w:r>
              <w:t xml:space="preserve">€50K</w:t>
            </w:r>
          </w:p>
        </w:tc>
      </w:tr>
      <w:tr>
        <w:tc>
          <w:tcPr/>
          <w:p>
            <w:pPr>
              <w:pStyle w:val="Compact"/>
              <w:jc w:val="left"/>
            </w:pPr>
            <w:r>
              <w:t xml:space="preserve">Apr 2026</w:t>
            </w:r>
          </w:p>
        </w:tc>
        <w:tc>
          <w:tcPr/>
          <w:p>
            <w:pPr>
              <w:pStyle w:val="Compact"/>
              <w:jc w:val="left"/>
            </w:pPr>
            <w:r>
              <w:t xml:space="preserve">Digital Europe Programme</w:t>
            </w:r>
          </w:p>
        </w:tc>
        <w:tc>
          <w:tcPr/>
          <w:p>
            <w:pPr>
              <w:pStyle w:val="Compact"/>
              <w:jc w:val="left"/>
            </w:pPr>
            <w:r>
              <w:t xml:space="preserve">Reviewed: 4 of 7 topics open, none primary DWS fit — monitor for topics 5–7</w:t>
            </w:r>
          </w:p>
        </w:tc>
        <w:tc>
          <w:tcPr/>
          <w:p>
            <w:pPr>
              <w:pStyle w:val="Compact"/>
              <w:jc w:val="left"/>
            </w:pPr>
            <w:r>
              <w:t xml:space="preserve">€200K–€500K (if fit)</w:t>
            </w:r>
          </w:p>
        </w:tc>
      </w:tr>
      <w:tr>
        <w:tc>
          <w:tcPr/>
          <w:p>
            <w:pPr>
              <w:pStyle w:val="Compact"/>
              <w:jc w:val="left"/>
            </w:pPr>
            <w:r>
              <w:t xml:space="preserve">Apr 2026</w:t>
            </w:r>
          </w:p>
        </w:tc>
        <w:tc>
          <w:tcPr/>
          <w:p>
            <w:pPr>
              <w:pStyle w:val="Compact"/>
              <w:jc w:val="left"/>
            </w:pPr>
            <w:r>
              <w:t xml:space="preserve">DIGITAL-2026-AI-DATA-10 (Compliance)</w:t>
            </w:r>
          </w:p>
        </w:tc>
        <w:tc>
          <w:tcPr/>
          <w:p>
            <w:pPr>
              <w:pStyle w:val="Compact"/>
              <w:jc w:val="left"/>
            </w:pPr>
            <w:r>
              <w:t xml:space="preserve">Topic opens 21 Apr — confirmed primary fit, queue for Oct submission</w:t>
            </w:r>
          </w:p>
        </w:tc>
        <w:tc>
          <w:tcPr/>
          <w:p>
            <w:pPr>
              <w:pStyle w:val="Compact"/>
              <w:jc w:val="left"/>
            </w:pPr>
            <w:r>
              <w:t xml:space="preserve">€200K–€500K</w:t>
            </w:r>
          </w:p>
        </w:tc>
      </w:tr>
      <w:tr>
        <w:tc>
          <w:tcPr/>
          <w:p>
            <w:pPr>
              <w:pStyle w:val="Compact"/>
              <w:jc w:val="left"/>
            </w:pPr>
            <w:r>
              <w:t xml:space="preserve">Jun 2026</w:t>
            </w:r>
          </w:p>
        </w:tc>
        <w:tc>
          <w:tcPr/>
          <w:p>
            <w:pPr>
              <w:pStyle w:val="Compact"/>
              <w:jc w:val="left"/>
            </w:pPr>
            <w:r>
              <w:t xml:space="preserve">LIFE Programme</w:t>
            </w:r>
          </w:p>
        </w:tc>
        <w:tc>
          <w:tcPr/>
          <w:p>
            <w:pPr>
              <w:pStyle w:val="Compact"/>
              <w:jc w:val="left"/>
            </w:pPr>
            <w:r>
              <w:t xml:space="preserve">Submit consortium proposal</w:t>
            </w:r>
          </w:p>
        </w:tc>
        <w:tc>
          <w:tcPr/>
          <w:p>
            <w:pPr>
              <w:pStyle w:val="Compact"/>
              <w:jc w:val="left"/>
            </w:pPr>
            <w:r>
              <w:t xml:space="preserve">€500K–€1M</w:t>
            </w:r>
          </w:p>
        </w:tc>
      </w:tr>
      <w:tr>
        <w:tc>
          <w:tcPr/>
          <w:p>
            <w:pPr>
              <w:pStyle w:val="Compact"/>
              <w:jc w:val="left"/>
            </w:pPr>
            <w:r>
              <w:t xml:space="preserve">Jul 2026</w:t>
            </w:r>
          </w:p>
        </w:tc>
        <w:tc>
          <w:tcPr/>
          <w:p>
            <w:pPr>
              <w:pStyle w:val="Compact"/>
              <w:jc w:val="left"/>
            </w:pPr>
            <w:r>
              <w:t xml:space="preserve">Academy of Finland</w:t>
            </w:r>
          </w:p>
        </w:tc>
        <w:tc>
          <w:tcPr/>
          <w:p>
            <w:pPr>
              <w:pStyle w:val="Compact"/>
              <w:jc w:val="left"/>
            </w:pPr>
            <w:r>
              <w:t xml:space="preserve">PhD funding application</w:t>
            </w:r>
          </w:p>
        </w:tc>
        <w:tc>
          <w:tcPr/>
          <w:p>
            <w:pPr>
              <w:pStyle w:val="Compact"/>
              <w:jc w:val="left"/>
            </w:pPr>
            <w:r>
              <w:t xml:space="preserve">€150K (4 years)</w:t>
            </w:r>
          </w:p>
        </w:tc>
      </w:tr>
      <w:tr>
        <w:tc>
          <w:tcPr/>
          <w:p>
            <w:pPr>
              <w:pStyle w:val="Compact"/>
              <w:jc w:val="left"/>
            </w:pPr>
            <w:r>
              <w:t xml:space="preserve">Oct 2026</w:t>
            </w:r>
          </w:p>
        </w:tc>
        <w:tc>
          <w:tcPr/>
          <w:p>
            <w:pPr>
              <w:pStyle w:val="Compact"/>
              <w:jc w:val="left"/>
            </w:pPr>
            <w:r>
              <w:t xml:space="preserve">DIGITAL-2026-AI-DATA-10 (Compliance)</w:t>
            </w:r>
          </w:p>
        </w:tc>
        <w:tc>
          <w:tcPr/>
          <w:p>
            <w:pPr>
              <w:pStyle w:val="Compact"/>
              <w:jc w:val="left"/>
            </w:pPr>
            <w:r>
              <w:t xml:space="preserve">Submit by 01 Oct 17:00 Brussels</w:t>
            </w:r>
          </w:p>
        </w:tc>
        <w:tc>
          <w:tcPr/>
          <w:p>
            <w:pPr>
              <w:pStyle w:val="Compact"/>
              <w:jc w:val="left"/>
            </w:pPr>
            <w:r>
              <w:t xml:space="preserve">Lump sum (3–4 projects)</w:t>
            </w:r>
          </w:p>
        </w:tc>
      </w:tr>
      <w:tr>
        <w:tc>
          <w:tcPr/>
          <w:p>
            <w:pPr>
              <w:pStyle w:val="Compact"/>
              <w:jc w:val="left"/>
            </w:pPr>
            <w:r>
              <w:t xml:space="preserve">Oct 2026</w:t>
            </w:r>
          </w:p>
        </w:tc>
        <w:tc>
          <w:tcPr/>
          <w:p>
            <w:pPr>
              <w:pStyle w:val="Compact"/>
              <w:jc w:val="left"/>
            </w:pPr>
            <w:r>
              <w:t xml:space="preserve">EIC Accelerator</w:t>
            </w:r>
          </w:p>
        </w:tc>
        <w:tc>
          <w:tcPr/>
          <w:p>
            <w:pPr>
              <w:pStyle w:val="Compact"/>
              <w:jc w:val="left"/>
            </w:pPr>
            <w:r>
              <w:t xml:space="preserve">Submit full application</w:t>
            </w:r>
          </w:p>
        </w:tc>
        <w:tc>
          <w:tcPr/>
          <w:p>
            <w:pPr>
              <w:pStyle w:val="Compact"/>
              <w:jc w:val="left"/>
            </w:pPr>
            <w:r>
              <w:t xml:space="preserve">€2.5M grant + equity</w:t>
            </w:r>
          </w:p>
        </w:tc>
      </w:tr>
      <w:tr>
        <w:tc>
          <w:tcPr/>
          <w:p>
            <w:pPr>
              <w:pStyle w:val="Compact"/>
              <w:jc w:val="left"/>
            </w:pPr>
            <w:r>
              <w:t xml:space="preserve">Nov 2026</w:t>
            </w:r>
          </w:p>
        </w:tc>
        <w:tc>
          <w:tcPr/>
          <w:p>
            <w:pPr>
              <w:pStyle w:val="Compact"/>
              <w:jc w:val="left"/>
            </w:pPr>
            <w:r>
              <w:t xml:space="preserve">Horizon Europe Cluster 4</w:t>
            </w:r>
          </w:p>
        </w:tc>
        <w:tc>
          <w:tcPr/>
          <w:p>
            <w:pPr>
              <w:pStyle w:val="Compact"/>
              <w:jc w:val="left"/>
            </w:pPr>
            <w:r>
              <w:t xml:space="preserve">Submit consortium proposal</w:t>
            </w:r>
          </w:p>
        </w:tc>
        <w:tc>
          <w:tcPr/>
          <w:p>
            <w:pPr>
              <w:pStyle w:val="Compact"/>
              <w:jc w:val="left"/>
            </w:pPr>
            <w:r>
              <w:t xml:space="preserve">€500K–€1M (DWS share)</w:t>
            </w:r>
          </w:p>
        </w:tc>
      </w:tr>
      <w:tr>
        <w:tc>
          <w:tcPr/>
          <w:p>
            <w:pPr>
              <w:pStyle w:val="Compact"/>
              <w:jc w:val="left"/>
            </w:pPr>
            <w:r>
              <w:t xml:space="preserve">Jan 2027</w:t>
            </w:r>
          </w:p>
        </w:tc>
        <w:tc>
          <w:tcPr/>
          <w:p>
            <w:pPr>
              <w:pStyle w:val="Compact"/>
              <w:jc w:val="left"/>
            </w:pPr>
            <w:r>
              <w:t xml:space="preserve">EU Innovation Fund (small-scale)</w:t>
            </w:r>
          </w:p>
        </w:tc>
        <w:tc>
          <w:tcPr/>
          <w:p>
            <w:pPr>
              <w:pStyle w:val="Compact"/>
              <w:jc w:val="left"/>
            </w:pPr>
            <w:r>
              <w:t xml:space="preserve">Submit application</w:t>
            </w:r>
          </w:p>
        </w:tc>
        <w:tc>
          <w:tcPr/>
          <w:p>
            <w:pPr>
              <w:pStyle w:val="Compact"/>
              <w:jc w:val="left"/>
            </w:pPr>
            <w:r>
              <w:t xml:space="preserve">€2.5M</w:t>
            </w:r>
          </w:p>
        </w:tc>
      </w:tr>
      <w:tr>
        <w:tc>
          <w:tcPr/>
          <w:p>
            <w:pPr>
              <w:pStyle w:val="Compact"/>
              <w:jc w:val="left"/>
            </w:pPr>
            <w:r>
              <w:t xml:space="preserve">Mar 2027</w:t>
            </w:r>
          </w:p>
        </w:tc>
        <w:tc>
          <w:tcPr/>
          <w:p>
            <w:pPr>
              <w:pStyle w:val="Compact"/>
              <w:jc w:val="left"/>
            </w:pPr>
            <w:r>
              <w:t xml:space="preserve">Business Finland Co-Innovation</w:t>
            </w:r>
          </w:p>
        </w:tc>
        <w:tc>
          <w:tcPr/>
          <w:p>
            <w:pPr>
              <w:pStyle w:val="Compact"/>
              <w:jc w:val="left"/>
            </w:pPr>
            <w:r>
              <w:t xml:space="preserve">Submit with industrial partners</w:t>
            </w:r>
          </w:p>
        </w:tc>
        <w:tc>
          <w:tcPr/>
          <w:p>
            <w:pPr>
              <w:pStyle w:val="Compact"/>
              <w:jc w:val="left"/>
            </w:pPr>
            <w:r>
              <w:t xml:space="preserve">€1M</w:t>
            </w:r>
          </w:p>
        </w:tc>
      </w:tr>
      <w:tr>
        <w:tc>
          <w:tcPr/>
          <w:p>
            <w:pPr>
              <w:pStyle w:val="Compact"/>
              <w:jc w:val="left"/>
            </w:pPr>
            <w:r>
              <w:t xml:space="preserve">Jun 2027</w:t>
            </w:r>
          </w:p>
        </w:tc>
        <w:tc>
          <w:tcPr/>
          <w:p>
            <w:pPr>
              <w:pStyle w:val="Compact"/>
              <w:jc w:val="left"/>
            </w:pPr>
            <w:r>
              <w:t xml:space="preserve">Climate Fund (Ilmastorahasto)</w:t>
            </w:r>
          </w:p>
        </w:tc>
        <w:tc>
          <w:tcPr/>
          <w:p>
            <w:pPr>
              <w:pStyle w:val="Compact"/>
              <w:jc w:val="left"/>
            </w:pPr>
            <w:r>
              <w:t xml:space="preserve">Growth investment discussion</w:t>
            </w:r>
          </w:p>
        </w:tc>
        <w:tc>
          <w:tcPr/>
          <w:p>
            <w:pPr>
              <w:pStyle w:val="Compact"/>
              <w:jc w:val="left"/>
            </w:pPr>
            <w:r>
              <w:t xml:space="preserve">€2M–€5M</w:t>
            </w:r>
          </w:p>
        </w:tc>
      </w:tr>
    </w:tbl>
    <w:bookmarkEnd w:id="80"/>
    <w:bookmarkStart w:id="81" w:name="X457626f2a0d30b062357bc56eb3f2b642119b81"/>
    <w:p>
      <w:pPr>
        <w:pStyle w:val="Heading3"/>
      </w:pPr>
      <w:r>
        <w:t xml:space="preserve">Total Non-Dilutive Funding Potential: €7M–€12M (2026-2027)</w:t>
      </w:r>
    </w:p>
    <w:p>
      <w:pPr>
        <w:pStyle w:val="FirstParagraph"/>
      </w:pPr>
      <w:r>
        <w:t xml:space="preserve">This complements the investor SAFE (€150K @ €3.8M cap) and customer revenue. Funding applications become stronger as each phase delivers measurable results.</w:t>
      </w:r>
    </w:p>
    <w:p>
      <w:r>
        <w:pict>
          <v:rect style="width:0;height:1.5pt" o:hralign="center" o:hrstd="t" o:hr="t"/>
        </w:pict>
      </w:r>
    </w:p>
    <w:bookmarkEnd w:id="81"/>
    <w:bookmarkEnd w:id="82"/>
    <w:bookmarkStart w:id="83" w:name="weekly-tracking"/>
    <w:p>
      <w:pPr>
        <w:pStyle w:val="Heading2"/>
      </w:pPr>
      <w:r>
        <w:t xml:space="preserve">Weekly Tracking</w:t>
      </w:r>
    </w:p>
    <w:p>
      <w:pPr>
        <w:pStyle w:val="FirstParagraph"/>
      </w:pPr>
      <w:r>
        <w:t xml:space="preserve">This roadmap is tracked by the</w:t>
      </w:r>
      <w:r>
        <w:t xml:space="preserve"> </w:t>
      </w:r>
      <w:r>
        <w:rPr>
          <w:rStyle w:val="VerbatimChar"/>
        </w:rPr>
        <w:t xml:space="preserve">roadmap-weekly-tracker.yml</w:t>
      </w:r>
      <w:r>
        <w:t xml:space="preserve"> </w:t>
      </w:r>
      <w:r>
        <w:t xml:space="preserve">GitHub Actions workflow:</w:t>
      </w:r>
    </w:p>
    <w:p>
      <w:pPr>
        <w:numPr>
          <w:ilvl w:val="0"/>
          <w:numId w:val="1005"/>
        </w:numPr>
        <w:pStyle w:val="Compact"/>
      </w:pPr>
      <w:r>
        <w:t xml:space="preserve">Runs every Monday at 08:00 UTC</w:t>
      </w:r>
    </w:p>
    <w:p>
      <w:pPr>
        <w:numPr>
          <w:ilvl w:val="0"/>
          <w:numId w:val="1005"/>
        </w:numPr>
        <w:pStyle w:val="Compact"/>
      </w:pPr>
      <w:r>
        <w:t xml:space="preserve">Counts PRs matching roadmap categories</w:t>
      </w:r>
    </w:p>
    <w:p>
      <w:pPr>
        <w:numPr>
          <w:ilvl w:val="0"/>
          <w:numId w:val="1005"/>
        </w:numPr>
        <w:pStyle w:val="Compact"/>
      </w:pPr>
      <w:r>
        <w:t xml:space="preserve">Updates progress in GitHub Issues</w:t>
      </w:r>
    </w:p>
    <w:p>
      <w:pPr>
        <w:numPr>
          <w:ilvl w:val="0"/>
          <w:numId w:val="1005"/>
        </w:numPr>
        <w:pStyle w:val="Compact"/>
      </w:pPr>
      <w:r>
        <w:t xml:space="preserve">Sends summary to team</w:t>
      </w:r>
    </w:p>
    <w:p>
      <w:r>
        <w:pict>
          <v:rect style="width:0;height:1.5pt" o:hralign="center" o:hrstd="t" o:hr="t"/>
        </w:pict>
      </w:r>
    </w:p>
    <w:bookmarkEnd w:id="83"/>
    <w:bookmarkStart w:id="84" w:name="risk-register"/>
    <w:p>
      <w:pPr>
        <w:pStyle w:val="Heading2"/>
      </w:pPr>
      <w:r>
        <w:t xml:space="preserve">Risk Register</w:t>
      </w:r>
    </w:p>
    <w:tbl>
      <w:tblPr>
        <w:tblStyle w:val="Table"/>
        <w:tblW w:type="pct" w:w="5000"/>
        <w:tblLook w:firstRow="1" w:lastRow="0" w:firstColumn="0" w:lastColumn="0" w:noHBand="0" w:noVBand="0" w:val="0020"/>
        <w:jc w:val="start"/>
      </w:tblPr>
      <w:tblGrid>
        <w:gridCol w:w="716"/>
        <w:gridCol w:w="154"/>
        <w:gridCol w:w="7048"/>
      </w:tblGrid>
      <w:tr>
        <w:trPr>
          <w:tblHeader w:val="true"/>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Regulation changes mid-implementation</w:t>
            </w:r>
          </w:p>
        </w:tc>
        <w:tc>
          <w:tcPr/>
          <w:p>
            <w:pPr>
              <w:pStyle w:val="Compact"/>
              <w:jc w:val="left"/>
            </w:pPr>
            <w:r>
              <w:t xml:space="preserve">High</w:t>
            </w:r>
          </w:p>
        </w:tc>
        <w:tc>
          <w:tcPr/>
          <w:p>
            <w:pPr>
              <w:pStyle w:val="Compact"/>
              <w:jc w:val="left"/>
            </w:pPr>
            <w:r>
              <w:t xml:space="preserve">Modular compliance engine, regulation change tracker (PR 086)</w:t>
            </w:r>
          </w:p>
        </w:tc>
      </w:tr>
      <w:tr>
        <w:tc>
          <w:tcPr/>
          <w:p>
            <w:pPr>
              <w:pStyle w:val="Compact"/>
              <w:jc w:val="left"/>
            </w:pPr>
            <w:r>
              <w:t xml:space="preserve">Key customer churn during pilot</w:t>
            </w:r>
          </w:p>
        </w:tc>
        <w:tc>
          <w:tcPr/>
          <w:p>
            <w:pPr>
              <w:pStyle w:val="Compact"/>
              <w:jc w:val="left"/>
            </w:pPr>
            <w:r>
              <w:t xml:space="preserve">High</w:t>
            </w:r>
          </w:p>
        </w:tc>
        <w:tc>
          <w:tcPr/>
          <w:p>
            <w:pPr>
              <w:pStyle w:val="Compact"/>
              <w:jc w:val="left"/>
            </w:pPr>
            <w:r>
              <w:t xml:space="preserve">Customer success metrics (PR 224), NPS tracking</w:t>
            </w:r>
          </w:p>
        </w:tc>
      </w:tr>
      <w:tr>
        <w:tc>
          <w:tcPr/>
          <w:p>
            <w:pPr>
              <w:pStyle w:val="Compact"/>
              <w:jc w:val="left"/>
            </w:pPr>
            <w:r>
              <w:t xml:space="preserve">Security breach before ISO 27001</w:t>
            </w:r>
          </w:p>
        </w:tc>
        <w:tc>
          <w:tcPr/>
          <w:p>
            <w:pPr>
              <w:pStyle w:val="Compact"/>
              <w:jc w:val="left"/>
            </w:pPr>
            <w:r>
              <w:t xml:space="preserve">Critical</w:t>
            </w:r>
          </w:p>
        </w:tc>
        <w:tc>
          <w:tcPr/>
          <w:p>
            <w:pPr>
              <w:pStyle w:val="Compact"/>
              <w:jc w:val="left"/>
            </w:pPr>
            <w:r>
              <w:t xml:space="preserve">Daily security scans (existing), pentest (PR 099)</w:t>
            </w:r>
          </w:p>
        </w:tc>
      </w:tr>
      <w:tr>
        <w:tc>
          <w:tcPr/>
          <w:p>
            <w:pPr>
              <w:pStyle w:val="Compact"/>
              <w:jc w:val="left"/>
            </w:pPr>
            <w:r>
              <w:t xml:space="preserve">Groq API pricing increase</w:t>
            </w:r>
          </w:p>
        </w:tc>
        <w:tc>
          <w:tcPr/>
          <w:p>
            <w:pPr>
              <w:pStyle w:val="Compact"/>
              <w:jc w:val="left"/>
            </w:pPr>
            <w:r>
              <w:t xml:space="preserve">Medium</w:t>
            </w:r>
          </w:p>
        </w:tc>
        <w:tc>
          <w:tcPr/>
          <w:p>
            <w:pPr>
              <w:pStyle w:val="Compact"/>
              <w:jc w:val="left"/>
            </w:pPr>
            <w:r>
              <w:t xml:space="preserve">Multi-LLM fallback, self-hosted option (PR 161). Acer Veriton GN100 / DGX Spark (NVIDIA GB10 Blackwell, in-house) provides immediate sovereign inference via Nemotron 3 Super (Primary) and Qwen3-Coder 30B (Fast) without cloud dependency. Compute-scarcity hedge: owned, EU-sited, fixed-power compute is increasingly valuable as hyperscalers compete for delivered GW.</w:t>
            </w:r>
          </w:p>
        </w:tc>
      </w:tr>
      <w:tr>
        <w:tc>
          <w:tcPr/>
          <w:p>
            <w:pPr>
              <w:pStyle w:val="Compact"/>
              <w:jc w:val="left"/>
            </w:pPr>
            <w:r>
              <w:t xml:space="preserve">Edge AI hardware supply issues</w:t>
            </w:r>
          </w:p>
        </w:tc>
        <w:tc>
          <w:tcPr/>
          <w:p>
            <w:pPr>
              <w:pStyle w:val="Compact"/>
              <w:jc w:val="left"/>
            </w:pPr>
            <w:r>
              <w:t xml:space="preserve">Medium</w:t>
            </w:r>
          </w:p>
        </w:tc>
        <w:tc>
          <w:tcPr/>
          <w:p>
            <w:pPr>
              <w:pStyle w:val="Compact"/>
              <w:jc w:val="left"/>
            </w:pPr>
            <w:r>
              <w:t xml:space="preserve">Cloud-only fallback mode for IoT pipeline</w:t>
            </w:r>
          </w:p>
        </w:tc>
      </w:tr>
      <w:tr>
        <w:tc>
          <w:tcPr/>
          <w:p>
            <w:pPr>
              <w:pStyle w:val="Compact"/>
              <w:jc w:val="left"/>
            </w:pPr>
            <w:r>
              <w:t xml:space="preserve">Competitor acquires market share</w:t>
            </w:r>
          </w:p>
        </w:tc>
        <w:tc>
          <w:tcPr/>
          <w:p>
            <w:pPr>
              <w:pStyle w:val="Compact"/>
              <w:jc w:val="left"/>
            </w:pPr>
            <w:r>
              <w:t xml:space="preserve">Medium</w:t>
            </w:r>
          </w:p>
        </w:tc>
        <w:tc>
          <w:tcPr/>
          <w:p>
            <w:pPr>
              <w:pStyle w:val="Compact"/>
              <w:jc w:val="left"/>
            </w:pPr>
            <w:r>
              <w:t xml:space="preserve">Speed to market on unified Fit-for-55 platform; open-source framework (Phase 5.4) creates ecosystem gravity</w:t>
            </w:r>
          </w:p>
        </w:tc>
      </w:tr>
      <w:tr>
        <w:tc>
          <w:tcPr/>
          <w:p>
            <w:pPr>
              <w:pStyle w:val="Compact"/>
              <w:jc w:val="left"/>
            </w:pPr>
            <w:r>
              <w:t xml:space="preserve">Team scaling challenges</w:t>
            </w:r>
          </w:p>
        </w:tc>
        <w:tc>
          <w:tcPr/>
          <w:p>
            <w:pPr>
              <w:pStyle w:val="Compact"/>
              <w:jc w:val="left"/>
            </w:pPr>
            <w:r>
              <w:t xml:space="preserve">Medium</w:t>
            </w:r>
          </w:p>
        </w:tc>
        <w:tc>
          <w:tcPr/>
          <w:p>
            <w:pPr>
              <w:pStyle w:val="Compact"/>
              <w:jc w:val="left"/>
            </w:pPr>
            <w:r>
              <w:t xml:space="preserve">AI-assisted development (Claude Code), modular architecture</w:t>
            </w:r>
          </w:p>
        </w:tc>
      </w:tr>
    </w:tbl>
    <w:p>
      <w:r>
        <w:pict>
          <v:rect style="width:0;height:1.5pt" o:hralign="center" o:hrstd="t" o:hr="t"/>
        </w:pict>
      </w:r>
    </w:p>
    <w:bookmarkEnd w:id="84"/>
    <w:bookmarkStart w:id="85" w:name="success-criteria-for-dws7"/>
    <w:p>
      <w:pPr>
        <w:pStyle w:val="Heading2"/>
      </w:pPr>
      <w:r>
        <w:t xml:space="preserve">Success Criteria for DWS7</w:t>
      </w:r>
    </w:p>
    <w:p>
      <w:pPr>
        <w:numPr>
          <w:ilvl w:val="0"/>
          <w:numId w:val="1006"/>
        </w:numPr>
        <w:pStyle w:val="Compact"/>
      </w:pPr>
      <w:r>
        <w:t xml:space="preserve">☐ 16 paying industrial customers across 4+ industries</w:t>
      </w:r>
    </w:p>
    <w:p>
      <w:pPr>
        <w:numPr>
          <w:ilvl w:val="0"/>
          <w:numId w:val="1006"/>
        </w:numPr>
        <w:pStyle w:val="Compact"/>
      </w:pPr>
      <w:r>
        <w:t xml:space="preserve">☐ €72,000+ MRR (€864,000+ ARR)</w:t>
      </w:r>
    </w:p>
    <w:p>
      <w:pPr>
        <w:numPr>
          <w:ilvl w:val="0"/>
          <w:numId w:val="1006"/>
        </w:numPr>
        <w:pStyle w:val="Compact"/>
      </w:pPr>
      <w:r>
        <w:t xml:space="preserve">☐ ISO 27001 certified</w:t>
      </w:r>
    </w:p>
    <w:p>
      <w:pPr>
        <w:numPr>
          <w:ilvl w:val="0"/>
          <w:numId w:val="1006"/>
        </w:numPr>
        <w:pStyle w:val="Compact"/>
      </w:pPr>
      <w:r>
        <w:t xml:space="preserve">☐ SOC 2 Type II in progress</w:t>
      </w:r>
    </w:p>
    <w:p>
      <w:pPr>
        <w:numPr>
          <w:ilvl w:val="0"/>
          <w:numId w:val="1006"/>
        </w:numPr>
        <w:pStyle w:val="Compact"/>
      </w:pPr>
      <w:r>
        <w:t xml:space="preserve">☐ EU AI Act compliant</w:t>
      </w:r>
    </w:p>
    <w:p>
      <w:pPr>
        <w:numPr>
          <w:ilvl w:val="0"/>
          <w:numId w:val="1006"/>
        </w:numPr>
        <w:pStyle w:val="Compact"/>
      </w:pPr>
      <w:r>
        <w:t xml:space="preserve">☐ Full Fit-for-55 coverage (ETS + CBAM + CSRD)</w:t>
      </w:r>
    </w:p>
    <w:p>
      <w:pPr>
        <w:numPr>
          <w:ilvl w:val="0"/>
          <w:numId w:val="1006"/>
        </w:numPr>
        <w:pStyle w:val="Compact"/>
      </w:pPr>
      <w:r>
        <w:t xml:space="preserve">☐ &lt; 100ms p95 API response time</w:t>
      </w:r>
    </w:p>
    <w:p>
      <w:pPr>
        <w:numPr>
          <w:ilvl w:val="0"/>
          <w:numId w:val="1006"/>
        </w:numPr>
        <w:pStyle w:val="Compact"/>
      </w:pPr>
      <w:r>
        <w:t xml:space="preserve">☐ 99.9% uptime SLA</w:t>
      </w:r>
    </w:p>
    <w:p>
      <w:pPr>
        <w:numPr>
          <w:ilvl w:val="0"/>
          <w:numId w:val="1006"/>
        </w:numPr>
        <w:pStyle w:val="Compact"/>
      </w:pPr>
      <w:r>
        <w:t xml:space="preserve">☐ 200+ automated tests</w:t>
      </w:r>
    </w:p>
    <w:p>
      <w:pPr>
        <w:numPr>
          <w:ilvl w:val="0"/>
          <w:numId w:val="1006"/>
        </w:numPr>
        <w:pStyle w:val="Compact"/>
      </w:pPr>
      <w:r>
        <w:t xml:space="preserve">☐ 3+ ERP integrations production-validated</w:t>
      </w:r>
    </w:p>
    <w:p>
      <w:pPr>
        <w:numPr>
          <w:ilvl w:val="0"/>
          <w:numId w:val="1006"/>
        </w:numPr>
        <w:pStyle w:val="Compact"/>
      </w:pPr>
      <w:r>
        <w:t xml:space="preserve">☐ IoT-to-compliance pipeline live at 2+ customer sites</w:t>
      </w:r>
    </w:p>
    <w:p>
      <w:pPr>
        <w:numPr>
          <w:ilvl w:val="0"/>
          <w:numId w:val="1006"/>
        </w:numPr>
        <w:pStyle w:val="Compact"/>
      </w:pPr>
      <w:r>
        <w:t xml:space="preserve">☐ Investor dashboard live with real-time metrics</w:t>
      </w:r>
    </w:p>
    <w:p>
      <w:pPr>
        <w:numPr>
          <w:ilvl w:val="0"/>
          <w:numId w:val="1006"/>
        </w:numPr>
        <w:pStyle w:val="Compact"/>
      </w:pPr>
      <w:r>
        <w:t xml:space="preserve">☐ Revolut balance growing month-over-month</w:t>
      </w:r>
    </w:p>
    <w:p>
      <w:r>
        <w:pict>
          <v:rect style="width:0;height:1.5pt" o:hralign="center" o:hrstd="t" o:hr="t"/>
        </w:pict>
      </w:r>
    </w:p>
    <w:bookmarkEnd w:id="85"/>
    <w:bookmarkStart w:id="93" w:name="Xf3444f0ee00842f16d819b5a449bb6399db5ecc"/>
    <w:p>
      <w:pPr>
        <w:pStyle w:val="Heading2"/>
      </w:pPr>
      <w:r>
        <w:t xml:space="preserve">PhD Thesis Output / Tohtorinväitöskirjan tuotos</w:t>
      </w:r>
    </w:p>
    <w:p>
      <w:pPr>
        <w:pStyle w:val="FirstParagraph"/>
      </w:pPr>
      <w:r>
        <w:t xml:space="preserve">The DWS6 → DWS7 evolution is simultaneously an applied research project. Each phase produces publishable academic output in both English and Finnish.</w:t>
      </w:r>
    </w:p>
    <w:bookmarkStart w:id="86" w:name="thesis-framework-väitöskirjan-kehys"/>
    <w:p>
      <w:pPr>
        <w:pStyle w:val="Heading3"/>
      </w:pPr>
      <w:r>
        <w:t xml:space="preserve">Thesis Framework / Väitöskirjan kehys</w:t>
      </w:r>
    </w:p>
    <w:p>
      <w:pPr>
        <w:pStyle w:val="FirstParagraph"/>
      </w:pPr>
      <w:r>
        <w:rPr>
          <w:bCs/>
          <w:b/>
        </w:rPr>
        <w:t xml:space="preserve">EN:</w:t>
      </w:r>
      <w:r>
        <w:t xml:space="preserve"> </w:t>
      </w:r>
      <w:r>
        <w:rPr>
          <w:iCs/>
          <w:i/>
        </w:rPr>
        <w:t xml:space="preserve">“</w:t>
      </w:r>
      <w:r>
        <w:rPr>
          <w:iCs/>
          <w:i/>
        </w:rPr>
        <w:t xml:space="preserve">AI-Native Multi-Agent Platforms for Automated EU Climate Compliance in Industrial SMEs: From Prototype to Production</w:t>
      </w:r>
      <w:r>
        <w:rPr>
          <w:iCs/>
          <w:i/>
        </w:rPr>
        <w:t xml:space="preserve">”</w:t>
      </w:r>
    </w:p>
    <w:p>
      <w:pPr>
        <w:pStyle w:val="BodyText"/>
      </w:pPr>
      <w:r>
        <w:rPr>
          <w:bCs/>
          <w:b/>
        </w:rPr>
        <w:t xml:space="preserve">FI:</w:t>
      </w:r>
      <w:r>
        <w:t xml:space="preserve"> </w:t>
      </w:r>
      <w:r>
        <w:rPr>
          <w:iCs/>
          <w:i/>
        </w:rPr>
        <w:t xml:space="preserve">“</w:t>
      </w:r>
      <w:r>
        <w:rPr>
          <w:iCs/>
          <w:i/>
        </w:rPr>
        <w:t xml:space="preserve">Tekoälynatiivit moniagenttialustat EU:n ilmastosäännöstenmukaisuuden automatisoimiseksi teollisissa pk-yrityksissä: Prototyypistä tuotantoon</w:t>
      </w:r>
      <w:r>
        <w:rPr>
          <w:iCs/>
          <w:i/>
        </w:rPr>
        <w:t xml:space="preserve">”</w:t>
      </w:r>
    </w:p>
    <w:p>
      <w:pPr>
        <w:pStyle w:val="BodyText"/>
      </w:pPr>
      <w:r>
        <w:rPr>
          <w:bCs/>
          <w:b/>
        </w:rPr>
        <w:t xml:space="preserve">Institution / Oppilaitos:</w:t>
      </w:r>
      <w:r>
        <w:t xml:space="preserve"> </w:t>
      </w:r>
      <w:r>
        <w:t xml:space="preserve">TBD (Aalto / Tampere / Metropolia continuation → doctoral)</w:t>
      </w:r>
      <w:r>
        <w:t xml:space="preserve"> </w:t>
      </w:r>
      <w:r>
        <w:rPr>
          <w:bCs/>
          <w:b/>
        </w:rPr>
        <w:t xml:space="preserve">Author / Tekijä:</w:t>
      </w:r>
      <w:r>
        <w:t xml:space="preserve"> </w:t>
      </w:r>
      <w:r>
        <w:t xml:space="preserve">Risto Anton Päärni</w:t>
      </w:r>
      <w:r>
        <w:t xml:space="preserve"> </w:t>
      </w:r>
      <w:r>
        <w:rPr>
          <w:bCs/>
          <w:b/>
        </w:rPr>
        <w:t xml:space="preserve">Builds on / Perustuu:</w:t>
      </w:r>
      <w:r>
        <w:t xml:space="preserve"> </w:t>
      </w:r>
      <w:r>
        <w:t xml:space="preserve">Master’s Thesis, Metropolia University of Applied Sciences (2026)</w:t>
      </w:r>
    </w:p>
    <w:bookmarkEnd w:id="86"/>
    <w:bookmarkStart w:id="87" w:name="research-questions-tutkimuskysymykset"/>
    <w:p>
      <w:pPr>
        <w:pStyle w:val="Heading3"/>
      </w:pPr>
      <w:r>
        <w:t xml:space="preserve">Research Questions / Tutkimuskysymykset</w:t>
      </w:r>
    </w:p>
    <w:tbl>
      <w:tblPr>
        <w:tblStyle w:val="Table"/>
        <w:tblW w:type="pct" w:w="5000"/>
        <w:tblLook w:firstRow="1" w:lastRow="0" w:firstColumn="0" w:lastColumn="0" w:noHBand="0" w:noVBand="0" w:val="0020"/>
        <w:jc w:val="start"/>
      </w:tblPr>
      <w:tblGrid>
        <w:gridCol w:w="78"/>
        <w:gridCol w:w="3604"/>
        <w:gridCol w:w="4052"/>
        <w:gridCol w:w="184"/>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Suomi</w:t>
            </w:r>
          </w:p>
        </w:tc>
        <w:tc>
          <w:tcPr/>
          <w:p>
            <w:pPr>
              <w:pStyle w:val="Compact"/>
              <w:jc w:val="left"/>
            </w:pPr>
            <w:r>
              <w:t xml:space="preserve">Phase</w:t>
            </w:r>
          </w:p>
        </w:tc>
      </w:tr>
      <w:tr>
        <w:tc>
          <w:tcPr/>
          <w:p>
            <w:pPr>
              <w:pStyle w:val="Compact"/>
              <w:jc w:val="left"/>
            </w:pPr>
            <w:r>
              <w:t xml:space="preserve">RQ1</w:t>
            </w:r>
          </w:p>
        </w:tc>
        <w:tc>
          <w:tcPr/>
          <w:p>
            <w:pPr>
              <w:pStyle w:val="Compact"/>
              <w:jc w:val="left"/>
            </w:pPr>
            <w:r>
              <w:t xml:space="preserve">How can multi-agent AI systems autonomously execute EU climate compliance workflows for industrial SMEs?</w:t>
            </w:r>
          </w:p>
        </w:tc>
        <w:tc>
          <w:tcPr/>
          <w:p>
            <w:pPr>
              <w:pStyle w:val="Compact"/>
              <w:jc w:val="left"/>
            </w:pPr>
            <w:r>
              <w:t xml:space="preserve">Miten moniagentti-tekoälyjärjestelmät voivat itsenäisesti suorittaa EU:n ilmastosäännöstenmukaisuustyönkulkuja teollisille pk-yrityksille?</w:t>
            </w:r>
          </w:p>
        </w:tc>
        <w:tc>
          <w:tcPr/>
          <w:p>
            <w:pPr>
              <w:pStyle w:val="Compact"/>
              <w:jc w:val="left"/>
            </w:pPr>
            <w:r>
              <w:t xml:space="preserve">2, 4</w:t>
            </w:r>
          </w:p>
        </w:tc>
      </w:tr>
      <w:tr>
        <w:tc>
          <w:tcPr/>
          <w:p>
            <w:pPr>
              <w:pStyle w:val="Compact"/>
              <w:jc w:val="left"/>
            </w:pPr>
            <w:r>
              <w:t xml:space="preserve">RQ2</w:t>
            </w:r>
          </w:p>
        </w:tc>
        <w:tc>
          <w:tcPr/>
          <w:p>
            <w:pPr>
              <w:pStyle w:val="Compact"/>
              <w:jc w:val="left"/>
            </w:pPr>
            <w:r>
              <w:t xml:space="preserve">What is the cost-effectiveness of edge AI (IoT-to-compliance) vs cloud-only approaches for continuous emissions monitoring?</w:t>
            </w:r>
          </w:p>
        </w:tc>
        <w:tc>
          <w:tcPr/>
          <w:p>
            <w:pPr>
              <w:pStyle w:val="Compact"/>
              <w:jc w:val="left"/>
            </w:pPr>
            <w:r>
              <w:t xml:space="preserve">Mikä on reunatekoälyn (IoT-vaatimustenmukaisuus) kustannustehokkuus verrattuna pelkkään pilvipohjaiseen lähestymistapaan jatkuvassa päästöjen seurannassa?</w:t>
            </w:r>
          </w:p>
        </w:tc>
        <w:tc>
          <w:tcPr/>
          <w:p>
            <w:pPr>
              <w:pStyle w:val="Compact"/>
              <w:jc w:val="left"/>
            </w:pPr>
            <w:r>
              <w:t xml:space="preserve">4</w:t>
            </w:r>
          </w:p>
        </w:tc>
      </w:tr>
      <w:tr>
        <w:tc>
          <w:tcPr/>
          <w:p>
            <w:pPr>
              <w:pStyle w:val="Compact"/>
              <w:jc w:val="left"/>
            </w:pPr>
            <w:r>
              <w:t xml:space="preserve">RQ3</w:t>
            </w:r>
          </w:p>
        </w:tc>
        <w:tc>
          <w:tcPr/>
          <w:p>
            <w:pPr>
              <w:pStyle w:val="Compact"/>
              <w:jc w:val="left"/>
            </w:pPr>
            <w:r>
              <w:t xml:space="preserve">How does a unified multi-regulation platform (ETS+CBAM+CSRD) reduce compliance overhead compared to point solutions?</w:t>
            </w:r>
          </w:p>
        </w:tc>
        <w:tc>
          <w:tcPr/>
          <w:p>
            <w:pPr>
              <w:pStyle w:val="Compact"/>
              <w:jc w:val="left"/>
            </w:pPr>
            <w:r>
              <w:t xml:space="preserve">Miten yhtenäinen monisääntelyalusta (ETS+CBAM+CSRD) vähentää vaatimustenmukaisuuden ylikuormitusta verrattuna yksittäisratkaisuihin?</w:t>
            </w:r>
          </w:p>
        </w:tc>
        <w:tc>
          <w:tcPr/>
          <w:p>
            <w:pPr>
              <w:pStyle w:val="Compact"/>
              <w:jc w:val="left"/>
            </w:pPr>
            <w:r>
              <w:t xml:space="preserve">2, 3, 5</w:t>
            </w:r>
          </w:p>
        </w:tc>
      </w:tr>
      <w:tr>
        <w:tc>
          <w:tcPr/>
          <w:p>
            <w:pPr>
              <w:pStyle w:val="Compact"/>
              <w:jc w:val="left"/>
            </w:pPr>
            <w:r>
              <w:t xml:space="preserve">RQ4</w:t>
            </w:r>
          </w:p>
        </w:tc>
        <w:tc>
          <w:tcPr/>
          <w:p>
            <w:pPr>
              <w:pStyle w:val="Compact"/>
              <w:jc w:val="left"/>
            </w:pPr>
            <w:r>
              <w:t xml:space="preserve">What architectural patterns enable EU AI Act compliant reasoning lineage in production AI systems?</w:t>
            </w:r>
          </w:p>
        </w:tc>
        <w:tc>
          <w:tcPr/>
          <w:p>
            <w:pPr>
              <w:pStyle w:val="Compact"/>
              <w:jc w:val="left"/>
            </w:pPr>
            <w:r>
              <w:t xml:space="preserve">Mitkä arkkitehtuurimallit mahdollistavat EU:n tekoälysäädöksen mukaisen päättelyketjun tuotanto-tekoälyjärjestelmissä?</w:t>
            </w:r>
          </w:p>
        </w:tc>
        <w:tc>
          <w:tcPr/>
          <w:p>
            <w:pPr>
              <w:pStyle w:val="Compact"/>
              <w:jc w:val="left"/>
            </w:pPr>
            <w:r>
              <w:t xml:space="preserve">2</w:t>
            </w:r>
          </w:p>
        </w:tc>
      </w:tr>
      <w:tr>
        <w:tc>
          <w:tcPr/>
          <w:p>
            <w:pPr>
              <w:pStyle w:val="Compact"/>
              <w:jc w:val="left"/>
            </w:pPr>
            <w:r>
              <w:t xml:space="preserve">RQ5</w:t>
            </w:r>
          </w:p>
        </w:tc>
        <w:tc>
          <w:tcPr/>
          <w:p>
            <w:pPr>
              <w:pStyle w:val="Compact"/>
              <w:jc w:val="left"/>
            </w:pPr>
            <w:r>
              <w:t xml:space="preserve">How can AI-assisted software development (Claude Code, MCP) accelerate industrial platform delivery while maintaining security standards?</w:t>
            </w:r>
          </w:p>
        </w:tc>
        <w:tc>
          <w:tcPr/>
          <w:p>
            <w:pPr>
              <w:pStyle w:val="Compact"/>
              <w:jc w:val="left"/>
            </w:pPr>
            <w:r>
              <w:t xml:space="preserve">Miten tekoälyavusteinen ohjelmistokehitys (Claude Code, MCP) voi nopeuttaa teollisten alustojen toimitusta säilyttäen turvallisuusstandardit?</w:t>
            </w:r>
          </w:p>
        </w:tc>
        <w:tc>
          <w:tcPr/>
          <w:p>
            <w:pPr>
              <w:pStyle w:val="Compact"/>
              <w:jc w:val="left"/>
            </w:pPr>
            <w:r>
              <w:t xml:space="preserve">1–6</w:t>
            </w:r>
          </w:p>
        </w:tc>
      </w:tr>
    </w:tbl>
    <w:bookmarkEnd w:id="87"/>
    <w:bookmarkStart w:id="88" w:name="X50eec0bc49cbd5836a91e5c5caea544c8b4d302"/>
    <w:p>
      <w:pPr>
        <w:pStyle w:val="Heading3"/>
      </w:pPr>
      <w:r>
        <w:t xml:space="preserve">Publications per Phase / Julkaisut vaiheittain</w:t>
      </w:r>
    </w:p>
    <w:tbl>
      <w:tblPr>
        <w:tblStyle w:val="Table"/>
        <w:tblW w:type="pct" w:w="5000"/>
        <w:tblLook w:firstRow="1" w:lastRow="0" w:firstColumn="0" w:lastColumn="0" w:noHBand="0" w:noVBand="0" w:val="0020"/>
        <w:jc w:val="start"/>
      </w:tblPr>
      <w:tblGrid>
        <w:gridCol w:w="133"/>
        <w:gridCol w:w="2675"/>
        <w:gridCol w:w="3237"/>
        <w:gridCol w:w="535"/>
        <w:gridCol w:w="1337"/>
      </w:tblGrid>
      <w:tr>
        <w:trPr>
          <w:tblHeader w:val="true"/>
        </w:trPr>
        <w:tc>
          <w:tcPr/>
          <w:p>
            <w:pPr>
              <w:pStyle w:val="Compact"/>
              <w:jc w:val="left"/>
            </w:pPr>
            <w:r>
              <w:t xml:space="preserve">Phase</w:t>
            </w:r>
          </w:p>
        </w:tc>
        <w:tc>
          <w:tcPr/>
          <w:p>
            <w:pPr>
              <w:pStyle w:val="Compact"/>
              <w:jc w:val="left"/>
            </w:pPr>
            <w:r>
              <w:t xml:space="preserve">Publication (EN)</w:t>
            </w:r>
          </w:p>
        </w:tc>
        <w:tc>
          <w:tcPr/>
          <w:p>
            <w:pPr>
              <w:pStyle w:val="Compact"/>
              <w:jc w:val="left"/>
            </w:pPr>
            <w:r>
              <w:t xml:space="preserve">Julkaisu (FI)</w:t>
            </w:r>
          </w:p>
        </w:tc>
        <w:tc>
          <w:tcPr/>
          <w:p>
            <w:pPr>
              <w:pStyle w:val="Compact"/>
              <w:jc w:val="left"/>
            </w:pPr>
            <w:r>
              <w:t xml:space="preserve">Type</w:t>
            </w:r>
          </w:p>
        </w:tc>
        <w:tc>
          <w:tcPr/>
          <w:p>
            <w:pPr>
              <w:pStyle w:val="Compact"/>
              <w:jc w:val="left"/>
            </w:pPr>
            <w:r>
              <w:t xml:space="preserve">Target Venue</w:t>
            </w:r>
          </w:p>
        </w:tc>
      </w:tr>
      <w:tr>
        <w:tc>
          <w:tcPr/>
          <w:p>
            <w:pPr>
              <w:pStyle w:val="Compact"/>
              <w:jc w:val="left"/>
            </w:pPr>
            <w:r>
              <w:rPr>
                <w:bCs/>
                <w:b/>
              </w:rPr>
              <w:t xml:space="preserve">1</w:t>
            </w:r>
          </w:p>
        </w:tc>
        <w:tc>
          <w:tcPr/>
          <w:p>
            <w:pPr>
              <w:pStyle w:val="Compact"/>
              <w:jc w:val="left"/>
            </w:pPr>
            <w:r>
              <w:rPr>
                <w:iCs/>
                <w:i/>
              </w:rPr>
              <w:t xml:space="preserve">“</w:t>
            </w:r>
            <w:r>
              <w:rPr>
                <w:iCs/>
                <w:i/>
              </w:rPr>
              <w:t xml:space="preserve">From Pilot to Production: Testing Strategies for AI-Native Industrial Platforms</w:t>
            </w:r>
            <w:r>
              <w:rPr>
                <w:iCs/>
                <w:i/>
              </w:rPr>
              <w:t xml:space="preserve">”</w:t>
            </w:r>
          </w:p>
        </w:tc>
        <w:tc>
          <w:tcPr/>
          <w:p>
            <w:pPr>
              <w:pStyle w:val="Compact"/>
              <w:jc w:val="left"/>
            </w:pPr>
            <w:r>
              <w:rPr>
                <w:iCs/>
                <w:i/>
              </w:rPr>
              <w:t xml:space="preserve">“</w:t>
            </w:r>
            <w:r>
              <w:rPr>
                <w:iCs/>
                <w:i/>
              </w:rPr>
              <w:t xml:space="preserve">Pilotista tuotantoon: Testausstrategiat tekoälynatiiveille teollisille alustoille</w:t>
            </w:r>
            <w:r>
              <w:rPr>
                <w:iCs/>
                <w:i/>
              </w:rPr>
              <w:t xml:space="preserve">”</w:t>
            </w:r>
          </w:p>
        </w:tc>
        <w:tc>
          <w:tcPr/>
          <w:p>
            <w:pPr>
              <w:pStyle w:val="Compact"/>
              <w:jc w:val="left"/>
            </w:pPr>
            <w:r>
              <w:t xml:space="preserve">Conference paper</w:t>
            </w:r>
          </w:p>
        </w:tc>
        <w:tc>
          <w:tcPr/>
          <w:p>
            <w:pPr>
              <w:pStyle w:val="Compact"/>
              <w:jc w:val="left"/>
            </w:pPr>
            <w:r>
              <w:t xml:space="preserve">ECSA 2026 / ICSE 2027</w:t>
            </w:r>
          </w:p>
        </w:tc>
      </w:tr>
      <w:tr>
        <w:tc>
          <w:tcPr/>
          <w:p>
            <w:pPr>
              <w:pStyle w:val="Compact"/>
              <w:jc w:val="left"/>
            </w:pPr>
            <w:r>
              <w:rPr>
                <w:bCs/>
                <w:b/>
              </w:rPr>
              <w:t xml:space="preserve">2</w:t>
            </w:r>
          </w:p>
        </w:tc>
        <w:tc>
          <w:tcPr/>
          <w:p>
            <w:pPr>
              <w:pStyle w:val="Compact"/>
              <w:jc w:val="left"/>
            </w:pPr>
            <w:r>
              <w:rPr>
                <w:iCs/>
                <w:i/>
              </w:rPr>
              <w:t xml:space="preserve">“</w:t>
            </w:r>
            <w:r>
              <w:rPr>
                <w:iCs/>
                <w:i/>
              </w:rPr>
              <w:t xml:space="preserve">Automated EU Climate Compliance: A Multi-Regulation Engine for ETS, CBAM, and CSRD</w:t>
            </w:r>
            <w:r>
              <w:rPr>
                <w:iCs/>
                <w:i/>
              </w:rPr>
              <w:t xml:space="preserve">”</w:t>
            </w:r>
          </w:p>
        </w:tc>
        <w:tc>
          <w:tcPr/>
          <w:p>
            <w:pPr>
              <w:pStyle w:val="Compact"/>
              <w:jc w:val="left"/>
            </w:pPr>
            <w:r>
              <w:rPr>
                <w:iCs/>
                <w:i/>
              </w:rPr>
              <w:t xml:space="preserve">“</w:t>
            </w:r>
            <w:r>
              <w:rPr>
                <w:iCs/>
                <w:i/>
              </w:rPr>
              <w:t xml:space="preserve">Automatisoitu EU:n ilmastovaatimustenmukaisuus: Monisääntelymoottori ETS:lle, CBAM:lle ja CSRD:lle</w:t>
            </w:r>
            <w:r>
              <w:rPr>
                <w:iCs/>
                <w:i/>
              </w:rPr>
              <w:t xml:space="preserve">”</w:t>
            </w:r>
          </w:p>
        </w:tc>
        <w:tc>
          <w:tcPr/>
          <w:p>
            <w:pPr>
              <w:pStyle w:val="Compact"/>
              <w:jc w:val="left"/>
            </w:pPr>
            <w:r>
              <w:t xml:space="preserve">Journal article</w:t>
            </w:r>
          </w:p>
        </w:tc>
        <w:tc>
          <w:tcPr/>
          <w:p>
            <w:pPr>
              <w:pStyle w:val="Compact"/>
              <w:jc w:val="left"/>
            </w:pPr>
            <w:r>
              <w:t xml:space="preserve">Journal of Cleaner Production</w:t>
            </w:r>
          </w:p>
        </w:tc>
      </w:tr>
      <w:tr>
        <w:tc>
          <w:tcPr/>
          <w:p>
            <w:pPr>
              <w:pStyle w:val="Compact"/>
              <w:jc w:val="left"/>
            </w:pPr>
            <w:r>
              <w:rPr>
                <w:bCs/>
                <w:b/>
              </w:rPr>
              <w:t xml:space="preserve">2</w:t>
            </w:r>
          </w:p>
        </w:tc>
        <w:tc>
          <w:tcPr/>
          <w:p>
            <w:pPr>
              <w:pStyle w:val="Compact"/>
              <w:jc w:val="left"/>
            </w:pPr>
            <w:r>
              <w:rPr>
                <w:iCs/>
                <w:i/>
              </w:rPr>
              <w:t xml:space="preserve">“</w:t>
            </w:r>
            <w:r>
              <w:rPr>
                <w:iCs/>
                <w:i/>
              </w:rPr>
              <w:t xml:space="preserve">EU AI Act Article 12 in Practice: Reasoning Lineage for Industrial AI Systems</w:t>
            </w:r>
            <w:r>
              <w:rPr>
                <w:iCs/>
                <w:i/>
              </w:rPr>
              <w:t xml:space="preserve">”</w:t>
            </w:r>
          </w:p>
        </w:tc>
        <w:tc>
          <w:tcPr/>
          <w:p>
            <w:pPr>
              <w:pStyle w:val="Compact"/>
              <w:jc w:val="left"/>
            </w:pPr>
            <w:r>
              <w:rPr>
                <w:iCs/>
                <w:i/>
              </w:rPr>
              <w:t xml:space="preserve">“</w:t>
            </w:r>
            <w:r>
              <w:rPr>
                <w:iCs/>
                <w:i/>
              </w:rPr>
              <w:t xml:space="preserve">EU:n tekoälysäädöksen artikla 12 käytännössä: Päättelyketju teollisissa tekoälyjärjestelmissä</w:t>
            </w:r>
            <w:r>
              <w:rPr>
                <w:iCs/>
                <w:i/>
              </w:rPr>
              <w:t xml:space="preserve">”</w:t>
            </w:r>
          </w:p>
        </w:tc>
        <w:tc>
          <w:tcPr/>
          <w:p>
            <w:pPr>
              <w:pStyle w:val="Compact"/>
              <w:jc w:val="left"/>
            </w:pPr>
            <w:r>
              <w:t xml:space="preserve">Conference paper</w:t>
            </w:r>
          </w:p>
        </w:tc>
        <w:tc>
          <w:tcPr/>
          <w:p>
            <w:pPr>
              <w:pStyle w:val="Compact"/>
              <w:jc w:val="left"/>
            </w:pPr>
            <w:r>
              <w:t xml:space="preserve">AIES 2027</w:t>
            </w:r>
          </w:p>
        </w:tc>
      </w:tr>
      <w:tr>
        <w:tc>
          <w:tcPr/>
          <w:p>
            <w:pPr>
              <w:pStyle w:val="Compact"/>
              <w:jc w:val="left"/>
            </w:pPr>
            <w:r>
              <w:rPr>
                <w:bCs/>
                <w:b/>
              </w:rPr>
              <w:t xml:space="preserve">3</w:t>
            </w:r>
          </w:p>
        </w:tc>
        <w:tc>
          <w:tcPr/>
          <w:p>
            <w:pPr>
              <w:pStyle w:val="Compact"/>
              <w:jc w:val="left"/>
            </w:pPr>
            <w:r>
              <w:rPr>
                <w:iCs/>
                <w:i/>
              </w:rPr>
              <w:t xml:space="preserve">“</w:t>
            </w:r>
            <w:r>
              <w:rPr>
                <w:iCs/>
                <w:i/>
              </w:rPr>
              <w:t xml:space="preserve">Multi-Tenant Security Architecture for EU-Regulated Industrial SaaS</w:t>
            </w:r>
            <w:r>
              <w:rPr>
                <w:iCs/>
                <w:i/>
              </w:rPr>
              <w:t xml:space="preserve">”</w:t>
            </w:r>
          </w:p>
        </w:tc>
        <w:tc>
          <w:tcPr/>
          <w:p>
            <w:pPr>
              <w:pStyle w:val="Compact"/>
              <w:jc w:val="left"/>
            </w:pPr>
            <w:r>
              <w:rPr>
                <w:iCs/>
                <w:i/>
              </w:rPr>
              <w:t xml:space="preserve">“</w:t>
            </w:r>
            <w:r>
              <w:rPr>
                <w:iCs/>
                <w:i/>
              </w:rPr>
              <w:t xml:space="preserve">Monivuokralaisen turvallisuusarkkitehtuuri EU-säännellylle teolliselle SaaS:lle</w:t>
            </w:r>
            <w:r>
              <w:rPr>
                <w:iCs/>
                <w:i/>
              </w:rPr>
              <w:t xml:space="preserve">”</w:t>
            </w:r>
          </w:p>
        </w:tc>
        <w:tc>
          <w:tcPr/>
          <w:p>
            <w:pPr>
              <w:pStyle w:val="Compact"/>
              <w:jc w:val="left"/>
            </w:pPr>
            <w:r>
              <w:t xml:space="preserve">Workshop paper</w:t>
            </w:r>
          </w:p>
        </w:tc>
        <w:tc>
          <w:tcPr/>
          <w:p>
            <w:pPr>
              <w:pStyle w:val="Compact"/>
              <w:jc w:val="left"/>
            </w:pPr>
            <w:r>
              <w:t xml:space="preserve">EuroS&amp;P 2027</w:t>
            </w:r>
          </w:p>
        </w:tc>
      </w:tr>
      <w:tr>
        <w:tc>
          <w:tcPr/>
          <w:p>
            <w:pPr>
              <w:pStyle w:val="Compact"/>
              <w:jc w:val="left"/>
            </w:pPr>
            <w:r>
              <w:rPr>
                <w:bCs/>
                <w:b/>
              </w:rPr>
              <w:t xml:space="preserve">4</w:t>
            </w:r>
          </w:p>
        </w:tc>
        <w:tc>
          <w:tcPr/>
          <w:p>
            <w:pPr>
              <w:pStyle w:val="Compact"/>
              <w:jc w:val="left"/>
            </w:pPr>
            <w:r>
              <w:rPr>
                <w:iCs/>
                <w:i/>
              </w:rPr>
              <w:t xml:space="preserve">“</w:t>
            </w:r>
            <w:r>
              <w:rPr>
                <w:iCs/>
                <w:i/>
              </w:rPr>
              <w:t xml:space="preserve">Agentic AI for Autonomous Climate Compliance: Multi-Agent Orchestration with Temporal.io</w:t>
            </w:r>
            <w:r>
              <w:rPr>
                <w:iCs/>
                <w:i/>
              </w:rPr>
              <w:t xml:space="preserve">”</w:t>
            </w:r>
          </w:p>
        </w:tc>
        <w:tc>
          <w:tcPr/>
          <w:p>
            <w:pPr>
              <w:pStyle w:val="Compact"/>
              <w:jc w:val="left"/>
            </w:pPr>
            <w:r>
              <w:rPr>
                <w:iCs/>
                <w:i/>
              </w:rPr>
              <w:t xml:space="preserve">“</w:t>
            </w:r>
            <w:r>
              <w:rPr>
                <w:iCs/>
                <w:i/>
              </w:rPr>
              <w:t xml:space="preserve">Agenttinen tekoäly itsenäiseen ilmastovaatimustenmukaisuuteen: Moniagenttiorkestraatio Temporal.io:lla</w:t>
            </w:r>
            <w:r>
              <w:rPr>
                <w:iCs/>
                <w:i/>
              </w:rPr>
              <w:t xml:space="preserve">”</w:t>
            </w:r>
          </w:p>
        </w:tc>
        <w:tc>
          <w:tcPr/>
          <w:p>
            <w:pPr>
              <w:pStyle w:val="Compact"/>
              <w:jc w:val="left"/>
            </w:pPr>
            <w:r>
              <w:rPr>
                <w:bCs/>
                <w:b/>
              </w:rPr>
              <w:t xml:space="preserve">Core PhD chapter</w:t>
            </w:r>
          </w:p>
        </w:tc>
        <w:tc>
          <w:tcPr/>
          <w:p>
            <w:pPr>
              <w:pStyle w:val="Compact"/>
              <w:jc w:val="left"/>
            </w:pPr>
            <w:r>
              <w:t xml:space="preserve">Autonomous Agents and Multi-Agent Systems (JAAMAS)</w:t>
            </w:r>
          </w:p>
        </w:tc>
      </w:tr>
      <w:tr>
        <w:tc>
          <w:tcPr/>
          <w:p>
            <w:pPr>
              <w:pStyle w:val="Compact"/>
              <w:jc w:val="left"/>
            </w:pPr>
            <w:r>
              <w:rPr>
                <w:bCs/>
                <w:b/>
              </w:rPr>
              <w:t xml:space="preserve">4</w:t>
            </w:r>
          </w:p>
        </w:tc>
        <w:tc>
          <w:tcPr/>
          <w:p>
            <w:pPr>
              <w:pStyle w:val="Compact"/>
              <w:jc w:val="left"/>
            </w:pPr>
            <w:r>
              <w:rPr>
                <w:iCs/>
                <w:i/>
              </w:rPr>
              <w:t xml:space="preserve">“</w:t>
            </w:r>
            <w:r>
              <w:rPr>
                <w:iCs/>
                <w:i/>
              </w:rPr>
              <w:t xml:space="preserve">IoT-to-Compliance: Bridging Real-Time Sensor Data and EU ETS Regulatory Filings</w:t>
            </w:r>
            <w:r>
              <w:rPr>
                <w:iCs/>
                <w:i/>
              </w:rPr>
              <w:t xml:space="preserve">”</w:t>
            </w:r>
          </w:p>
        </w:tc>
        <w:tc>
          <w:tcPr/>
          <w:p>
            <w:pPr>
              <w:pStyle w:val="Compact"/>
              <w:jc w:val="left"/>
            </w:pPr>
            <w:r>
              <w:rPr>
                <w:iCs/>
                <w:i/>
              </w:rPr>
              <w:t xml:space="preserve">“</w:t>
            </w:r>
            <w:r>
              <w:rPr>
                <w:iCs/>
                <w:i/>
              </w:rPr>
              <w:t xml:space="preserve">IoT-vaatimustenmukaisuus: Reaaliaikaisen sensoridatan ja EU:n päästökauppajärjestelmän raportointisarjan yhdistäminen</w:t>
            </w:r>
            <w:r>
              <w:rPr>
                <w:iCs/>
                <w:i/>
              </w:rPr>
              <w:t xml:space="preserve">”</w:t>
            </w:r>
          </w:p>
        </w:tc>
        <w:tc>
          <w:tcPr/>
          <w:p>
            <w:pPr>
              <w:pStyle w:val="Compact"/>
              <w:jc w:val="left"/>
            </w:pPr>
            <w:r>
              <w:t xml:space="preserve">Journal article</w:t>
            </w:r>
          </w:p>
        </w:tc>
        <w:tc>
          <w:tcPr/>
          <w:p>
            <w:pPr>
              <w:pStyle w:val="Compact"/>
              <w:jc w:val="left"/>
            </w:pPr>
            <w:r>
              <w:t xml:space="preserve">Environmental Science &amp; Technology</w:t>
            </w:r>
          </w:p>
        </w:tc>
      </w:tr>
      <w:tr>
        <w:tc>
          <w:tcPr/>
          <w:p>
            <w:pPr>
              <w:pStyle w:val="Compact"/>
              <w:jc w:val="left"/>
            </w:pPr>
            <w:r>
              <w:rPr>
                <w:bCs/>
                <w:b/>
              </w:rPr>
              <w:t xml:space="preserve">5</w:t>
            </w:r>
          </w:p>
        </w:tc>
        <w:tc>
          <w:tcPr/>
          <w:p>
            <w:pPr>
              <w:pStyle w:val="Compact"/>
              <w:jc w:val="left"/>
            </w:pPr>
            <w:r>
              <w:rPr>
                <w:iCs/>
                <w:i/>
              </w:rPr>
              <w:t xml:space="preserve">“</w:t>
            </w:r>
            <w:r>
              <w:rPr>
                <w:iCs/>
                <w:i/>
              </w:rPr>
              <w:t xml:space="preserve">Network Effects in B2B Climate Compliance: Supplier Portal Design for CBAM Data Exchange</w:t>
            </w:r>
            <w:r>
              <w:rPr>
                <w:iCs/>
                <w:i/>
              </w:rPr>
              <w:t xml:space="preserve">”</w:t>
            </w:r>
          </w:p>
        </w:tc>
        <w:tc>
          <w:tcPr/>
          <w:p>
            <w:pPr>
              <w:pStyle w:val="Compact"/>
              <w:jc w:val="left"/>
            </w:pPr>
            <w:r>
              <w:rPr>
                <w:iCs/>
                <w:i/>
              </w:rPr>
              <w:t xml:space="preserve">“</w:t>
            </w:r>
            <w:r>
              <w:rPr>
                <w:iCs/>
                <w:i/>
              </w:rPr>
              <w:t xml:space="preserve">Verkostovaikutukset B2B-ilmastovaatimustenmukaisuudessa: Toimittajaportaalin suunnittelu CBAM-tietojenvaihtoon</w:t>
            </w:r>
            <w:r>
              <w:rPr>
                <w:iCs/>
                <w:i/>
              </w:rPr>
              <w:t xml:space="preserve">”</w:t>
            </w:r>
          </w:p>
        </w:tc>
        <w:tc>
          <w:tcPr/>
          <w:p>
            <w:pPr>
              <w:pStyle w:val="Compact"/>
              <w:jc w:val="left"/>
            </w:pPr>
            <w:r>
              <w:t xml:space="preserve">Conference paper</w:t>
            </w:r>
          </w:p>
        </w:tc>
        <w:tc>
          <w:tcPr/>
          <w:p>
            <w:pPr>
              <w:pStyle w:val="Compact"/>
              <w:jc w:val="left"/>
            </w:pPr>
            <w:r>
              <w:t xml:space="preserve">CSCW 2027</w:t>
            </w:r>
          </w:p>
        </w:tc>
      </w:tr>
      <w:tr>
        <w:tc>
          <w:tcPr/>
          <w:p>
            <w:pPr>
              <w:pStyle w:val="Compact"/>
              <w:jc w:val="left"/>
            </w:pPr>
            <w:r>
              <w:rPr>
                <w:bCs/>
                <w:b/>
              </w:rPr>
              <w:t xml:space="preserve">6</w:t>
            </w:r>
          </w:p>
        </w:tc>
        <w:tc>
          <w:tcPr/>
          <w:p>
            <w:pPr>
              <w:pStyle w:val="Compact"/>
              <w:jc w:val="left"/>
            </w:pPr>
            <w:r>
              <w:rPr>
                <w:iCs/>
                <w:i/>
              </w:rPr>
              <w:t xml:space="preserve">“</w:t>
            </w:r>
            <w:r>
              <w:rPr>
                <w:iCs/>
                <w:i/>
              </w:rPr>
              <w:t xml:space="preserve">DWS IQ 7: A Longitudinal Case Study of AI-Native Platform Evolution for EU Industrial Compliance</w:t>
            </w:r>
            <w:r>
              <w:rPr>
                <w:iCs/>
                <w:i/>
              </w:rPr>
              <w:t xml:space="preserve">”</w:t>
            </w:r>
          </w:p>
        </w:tc>
        <w:tc>
          <w:tcPr/>
          <w:p>
            <w:pPr>
              <w:pStyle w:val="Compact"/>
              <w:jc w:val="left"/>
            </w:pPr>
            <w:r>
              <w:rPr>
                <w:iCs/>
                <w:i/>
              </w:rPr>
              <w:t xml:space="preserve">“</w:t>
            </w:r>
            <w:r>
              <w:rPr>
                <w:iCs/>
                <w:i/>
              </w:rPr>
              <w:t xml:space="preserve">DWS IQ 7: Pitkittäistapaustutkimus tekoälynatiivista alustaevoluutiosta EU:n teolliseen vaatimustenmukaisuuteen</w:t>
            </w:r>
            <w:r>
              <w:rPr>
                <w:iCs/>
                <w:i/>
              </w:rPr>
              <w:t xml:space="preserve">”</w:t>
            </w:r>
          </w:p>
        </w:tc>
        <w:tc>
          <w:tcPr/>
          <w:p>
            <w:pPr>
              <w:pStyle w:val="Compact"/>
              <w:jc w:val="left"/>
            </w:pPr>
            <w:r>
              <w:rPr>
                <w:bCs/>
                <w:b/>
              </w:rPr>
              <w:t xml:space="preserve">PhD Dissertation</w:t>
            </w:r>
          </w:p>
        </w:tc>
        <w:tc>
          <w:tcPr/>
          <w:p>
            <w:pPr>
              <w:pStyle w:val="Compact"/>
              <w:jc w:val="left"/>
            </w:pPr>
            <w:r>
              <w:t xml:space="preserve">Doctoral thesis</w:t>
            </w:r>
          </w:p>
        </w:tc>
      </w:tr>
    </w:tbl>
    <w:bookmarkEnd w:id="88"/>
    <w:bookmarkStart w:id="89" w:name="X837d8ded6f0d54086aa414aed64dcb132f8f6c9"/>
    <w:p>
      <w:pPr>
        <w:pStyle w:val="Heading3"/>
      </w:pPr>
      <w:r>
        <w:t xml:space="preserve">Data Collection per Phase / Tiedonkeruu vaiheittain</w:t>
      </w:r>
    </w:p>
    <w:tbl>
      <w:tblPr>
        <w:tblStyle w:val="Table"/>
        <w:tblW w:type="pct" w:w="5000"/>
        <w:tblLook w:firstRow="1" w:lastRow="0" w:firstColumn="0" w:lastColumn="0" w:noHBand="0" w:noVBand="0" w:val="0020"/>
        <w:jc w:val="start"/>
      </w:tblPr>
      <w:tblGrid>
        <w:gridCol w:w="230"/>
        <w:gridCol w:w="2854"/>
        <w:gridCol w:w="3637"/>
        <w:gridCol w:w="1197"/>
      </w:tblGrid>
      <w:tr>
        <w:trPr>
          <w:tblHeader w:val="true"/>
        </w:trPr>
        <w:tc>
          <w:tcPr/>
          <w:p>
            <w:pPr>
              <w:pStyle w:val="Compact"/>
              <w:jc w:val="left"/>
            </w:pPr>
            <w:r>
              <w:t xml:space="preserve">Phase</w:t>
            </w:r>
          </w:p>
        </w:tc>
        <w:tc>
          <w:tcPr/>
          <w:p>
            <w:pPr>
              <w:pStyle w:val="Compact"/>
              <w:jc w:val="left"/>
            </w:pPr>
            <w:r>
              <w:t xml:space="preserve">Data Source (EN)</w:t>
            </w:r>
          </w:p>
        </w:tc>
        <w:tc>
          <w:tcPr/>
          <w:p>
            <w:pPr>
              <w:pStyle w:val="Compact"/>
              <w:jc w:val="left"/>
            </w:pPr>
            <w:r>
              <w:t xml:space="preserve">Tietolähde (FI)</w:t>
            </w:r>
          </w:p>
        </w:tc>
        <w:tc>
          <w:tcPr/>
          <w:p>
            <w:pPr>
              <w:pStyle w:val="Compact"/>
              <w:jc w:val="left"/>
            </w:pPr>
            <w:r>
              <w:t xml:space="preserve">Method</w:t>
            </w:r>
          </w:p>
        </w:tc>
      </w:tr>
      <w:tr>
        <w:tc>
          <w:tcPr/>
          <w:p>
            <w:pPr>
              <w:pStyle w:val="Compact"/>
              <w:jc w:val="left"/>
            </w:pPr>
            <w:r>
              <w:t xml:space="preserve">1</w:t>
            </w:r>
          </w:p>
        </w:tc>
        <w:tc>
          <w:tcPr/>
          <w:p>
            <w:pPr>
              <w:pStyle w:val="Compact"/>
              <w:jc w:val="left"/>
            </w:pPr>
            <w:r>
              <w:t xml:space="preserve">Test coverage metrics, deployment logs, bug reports</w:t>
            </w:r>
          </w:p>
        </w:tc>
        <w:tc>
          <w:tcPr/>
          <w:p>
            <w:pPr>
              <w:pStyle w:val="Compact"/>
              <w:jc w:val="left"/>
            </w:pPr>
            <w:r>
              <w:t xml:space="preserve">Testikattavuusmittarit, käyttöönottologit, virheraporti</w:t>
            </w:r>
          </w:p>
        </w:tc>
        <w:tc>
          <w:tcPr/>
          <w:p>
            <w:pPr>
              <w:pStyle w:val="Compact"/>
              <w:jc w:val="left"/>
            </w:pPr>
            <w:r>
              <w:t xml:space="preserve">Quantitative</w:t>
            </w:r>
          </w:p>
        </w:tc>
      </w:tr>
      <w:tr>
        <w:tc>
          <w:tcPr/>
          <w:p>
            <w:pPr>
              <w:pStyle w:val="Compact"/>
              <w:jc w:val="left"/>
            </w:pPr>
            <w:r>
              <w:t xml:space="preserve">2</w:t>
            </w:r>
          </w:p>
        </w:tc>
        <w:tc>
          <w:tcPr/>
          <w:p>
            <w:pPr>
              <w:pStyle w:val="Compact"/>
              <w:jc w:val="left"/>
            </w:pPr>
            <w:r>
              <w:t xml:space="preserve">Compliance accuracy vs manual processes, time savings</w:t>
            </w:r>
          </w:p>
        </w:tc>
        <w:tc>
          <w:tcPr/>
          <w:p>
            <w:pPr>
              <w:pStyle w:val="Compact"/>
              <w:jc w:val="left"/>
            </w:pPr>
            <w:r>
              <w:t xml:space="preserve">Vaatimustenmukaisuuden tarkkuus vs manuaaliset prosessit, ajansäästö</w:t>
            </w:r>
          </w:p>
        </w:tc>
        <w:tc>
          <w:tcPr/>
          <w:p>
            <w:pPr>
              <w:pStyle w:val="Compact"/>
              <w:jc w:val="left"/>
            </w:pPr>
            <w:r>
              <w:t xml:space="preserve">Mixed methods</w:t>
            </w:r>
          </w:p>
        </w:tc>
      </w:tr>
      <w:tr>
        <w:tc>
          <w:tcPr/>
          <w:p>
            <w:pPr>
              <w:pStyle w:val="Compact"/>
              <w:jc w:val="left"/>
            </w:pPr>
            <w:r>
              <w:t xml:space="preserve">3</w:t>
            </w:r>
          </w:p>
        </w:tc>
        <w:tc>
          <w:tcPr/>
          <w:p>
            <w:pPr>
              <w:pStyle w:val="Compact"/>
              <w:jc w:val="left"/>
            </w:pPr>
            <w:r>
              <w:t xml:space="preserve">Security audit results, pentest findings, SLA metrics</w:t>
            </w:r>
          </w:p>
        </w:tc>
        <w:tc>
          <w:tcPr/>
          <w:p>
            <w:pPr>
              <w:pStyle w:val="Compact"/>
              <w:jc w:val="left"/>
            </w:pPr>
            <w:r>
              <w:t xml:space="preserve">Turvallisuustarkastusten tulokset, tietoturvatestauksen löydökset, SLA-mittarit</w:t>
            </w:r>
          </w:p>
        </w:tc>
        <w:tc>
          <w:tcPr/>
          <w:p>
            <w:pPr>
              <w:pStyle w:val="Compact"/>
              <w:jc w:val="left"/>
            </w:pPr>
            <w:r>
              <w:t xml:space="preserve">Quantitative</w:t>
            </w:r>
          </w:p>
        </w:tc>
      </w:tr>
      <w:tr>
        <w:tc>
          <w:tcPr/>
          <w:p>
            <w:pPr>
              <w:pStyle w:val="Compact"/>
              <w:jc w:val="left"/>
            </w:pPr>
            <w:r>
              <w:t xml:space="preserve">4</w:t>
            </w:r>
          </w:p>
        </w:tc>
        <w:tc>
          <w:tcPr/>
          <w:p>
            <w:pPr>
              <w:pStyle w:val="Compact"/>
              <w:jc w:val="left"/>
            </w:pPr>
            <w:r>
              <w:t xml:space="preserve">Agent execution logs, IoT sensor data, AI decision accuracy</w:t>
            </w:r>
          </w:p>
        </w:tc>
        <w:tc>
          <w:tcPr/>
          <w:p>
            <w:pPr>
              <w:pStyle w:val="Compact"/>
              <w:jc w:val="left"/>
            </w:pPr>
            <w:r>
              <w:t xml:space="preserve">Agenttien suorituslogit, IoT-sensoridata, tekoälypäätösten tarkkuus</w:t>
            </w:r>
          </w:p>
        </w:tc>
        <w:tc>
          <w:tcPr/>
          <w:p>
            <w:pPr>
              <w:pStyle w:val="Compact"/>
              <w:jc w:val="left"/>
            </w:pPr>
            <w:r>
              <w:t xml:space="preserve">Quantitative + case study</w:t>
            </w:r>
          </w:p>
        </w:tc>
      </w:tr>
      <w:tr>
        <w:tc>
          <w:tcPr/>
          <w:p>
            <w:pPr>
              <w:pStyle w:val="Compact"/>
              <w:jc w:val="left"/>
            </w:pPr>
            <w:r>
              <w:t xml:space="preserve">5</w:t>
            </w:r>
          </w:p>
        </w:tc>
        <w:tc>
          <w:tcPr/>
          <w:p>
            <w:pPr>
              <w:pStyle w:val="Compact"/>
              <w:jc w:val="left"/>
            </w:pPr>
            <w:r>
              <w:t xml:space="preserve">Customer interviews (16 industrial customers), NPS, usage data</w:t>
            </w:r>
          </w:p>
        </w:tc>
        <w:tc>
          <w:tcPr/>
          <w:p>
            <w:pPr>
              <w:pStyle w:val="Compact"/>
              <w:jc w:val="left"/>
            </w:pPr>
            <w:r>
              <w:t xml:space="preserve">Asiakashaastattelut (16 teollisuusasiakasta), NPS, käyttödata</w:t>
            </w:r>
          </w:p>
        </w:tc>
        <w:tc>
          <w:tcPr/>
          <w:p>
            <w:pPr>
              <w:pStyle w:val="Compact"/>
              <w:jc w:val="left"/>
            </w:pPr>
            <w:r>
              <w:t xml:space="preserve">Qualitative + quantitative</w:t>
            </w:r>
          </w:p>
        </w:tc>
      </w:tr>
      <w:tr>
        <w:tc>
          <w:tcPr/>
          <w:p>
            <w:pPr>
              <w:pStyle w:val="Compact"/>
              <w:jc w:val="left"/>
            </w:pPr>
            <w:r>
              <w:t xml:space="preserve">6</w:t>
            </w:r>
          </w:p>
        </w:tc>
        <w:tc>
          <w:tcPr/>
          <w:p>
            <w:pPr>
              <w:pStyle w:val="Compact"/>
              <w:jc w:val="left"/>
            </w:pPr>
            <w:r>
              <w:t xml:space="preserve">Full longitudinal dataset (22 months), financial metrics</w:t>
            </w:r>
          </w:p>
        </w:tc>
        <w:tc>
          <w:tcPr/>
          <w:p>
            <w:pPr>
              <w:pStyle w:val="Compact"/>
              <w:jc w:val="left"/>
            </w:pPr>
            <w:r>
              <w:t xml:space="preserve">Täydellinen pitkittäisaineisto (22 kuukautta), taloudelliset mittarit</w:t>
            </w:r>
          </w:p>
        </w:tc>
        <w:tc>
          <w:tcPr/>
          <w:p>
            <w:pPr>
              <w:pStyle w:val="Compact"/>
              <w:jc w:val="left"/>
            </w:pPr>
            <w:r>
              <w:t xml:space="preserve">Longitudinal case study</w:t>
            </w:r>
          </w:p>
        </w:tc>
      </w:tr>
    </w:tbl>
    <w:bookmarkEnd w:id="89"/>
    <w:bookmarkStart w:id="90" w:name="X7d37fde18655ae9aef935ad564e22c97f7183de"/>
    <w:p>
      <w:pPr>
        <w:pStyle w:val="Heading3"/>
      </w:pPr>
      <w:r>
        <w:t xml:space="preserve">Thesis Repository Structure / Väitöskirjan kansiorakenne</w:t>
      </w:r>
    </w:p>
    <w:p>
      <w:pPr>
        <w:pStyle w:val="SourceCode"/>
      </w:pPr>
      <w:r>
        <w:rPr>
          <w:rStyle w:val="VerbatimChar"/>
        </w:rPr>
        <w:t xml:space="preserve">docs/</w:t>
      </w:r>
      <w:r>
        <w:br/>
      </w:r>
      <w:r>
        <w:rPr>
          <w:rStyle w:val="VerbatimChar"/>
        </w:rPr>
        <w:t xml:space="preserve">├── thesis/                          # Multi-agent coordination (existing)</w:t>
      </w:r>
      <w:r>
        <w:br/>
      </w:r>
      <w:r>
        <w:rPr>
          <w:rStyle w:val="VerbatimChar"/>
        </w:rPr>
        <w:t xml:space="preserve">├── metropolia/master-thesis/        # Master's thesis (existing, foundation)</w:t>
      </w:r>
      <w:r>
        <w:br/>
      </w:r>
      <w:r>
        <w:rPr>
          <w:rStyle w:val="VerbatimChar"/>
        </w:rPr>
        <w:t xml:space="preserve">│   ├── en/V2Thesis_EN.md</w:t>
      </w:r>
      <w:r>
        <w:br/>
      </w:r>
      <w:r>
        <w:rPr>
          <w:rStyle w:val="VerbatimChar"/>
        </w:rPr>
        <w:t xml:space="preserve">│   └── fi/V2Thesis_FI.md</w:t>
      </w:r>
      <w:r>
        <w:br/>
      </w:r>
      <w:r>
        <w:rPr>
          <w:rStyle w:val="VerbatimChar"/>
        </w:rPr>
        <w:t xml:space="preserve">└── phd/                             # PhD thesis (new, generated from DWS7 phases)</w:t>
      </w:r>
      <w:r>
        <w:br/>
      </w:r>
      <w:r>
        <w:rPr>
          <w:rStyle w:val="VerbatimChar"/>
        </w:rPr>
        <w:t xml:space="preserve">    ├── en/                          # English publications</w:t>
      </w:r>
      <w:r>
        <w:br/>
      </w:r>
      <w:r>
        <w:rPr>
          <w:rStyle w:val="VerbatimChar"/>
        </w:rPr>
        <w:t xml:space="preserve">    │   ├── CH1_introduction.md</w:t>
      </w:r>
      <w:r>
        <w:br/>
      </w:r>
      <w:r>
        <w:rPr>
          <w:rStyle w:val="VerbatimChar"/>
        </w:rPr>
        <w:t xml:space="preserve">    │   ├── CH2_literature_review.md</w:t>
      </w:r>
      <w:r>
        <w:br/>
      </w:r>
      <w:r>
        <w:rPr>
          <w:rStyle w:val="VerbatimChar"/>
        </w:rPr>
        <w:t xml:space="preserve">    │   ├── CH3_testing_strategies.md      ← Phase 1</w:t>
      </w:r>
      <w:r>
        <w:br/>
      </w:r>
      <w:r>
        <w:rPr>
          <w:rStyle w:val="VerbatimChar"/>
        </w:rPr>
        <w:t xml:space="preserve">    │   ├── CH4_compliance_engine.md       ← Phase 2</w:t>
      </w:r>
      <w:r>
        <w:br/>
      </w:r>
      <w:r>
        <w:rPr>
          <w:rStyle w:val="VerbatimChar"/>
        </w:rPr>
        <w:t xml:space="preserve">    │   ├── CH5_eu_ai_act_practice.md      ← Phase 2</w:t>
      </w:r>
      <w:r>
        <w:br/>
      </w:r>
      <w:r>
        <w:rPr>
          <w:rStyle w:val="VerbatimChar"/>
        </w:rPr>
        <w:t xml:space="preserve">    │   ├── CH6_security_architecture.md   ← Phase 3</w:t>
      </w:r>
      <w:r>
        <w:br/>
      </w:r>
      <w:r>
        <w:rPr>
          <w:rStyle w:val="VerbatimChar"/>
        </w:rPr>
        <w:t xml:space="preserve">    │   ├── CH7_agentic_ai.md              ← Phase 4 (core)</w:t>
      </w:r>
      <w:r>
        <w:br/>
      </w:r>
      <w:r>
        <w:rPr>
          <w:rStyle w:val="VerbatimChar"/>
        </w:rPr>
        <w:t xml:space="preserve">    │   ├── CH8_iot_to_compliance.md       ← Phase 4</w:t>
      </w:r>
      <w:r>
        <w:br/>
      </w:r>
      <w:r>
        <w:rPr>
          <w:rStyle w:val="VerbatimChar"/>
        </w:rPr>
        <w:t xml:space="preserve">    │   ├── CH9_network_effects.md         ← Phase 5</w:t>
      </w:r>
      <w:r>
        <w:br/>
      </w:r>
      <w:r>
        <w:rPr>
          <w:rStyle w:val="VerbatimChar"/>
        </w:rPr>
        <w:t xml:space="preserve">    │   ├── CH10_longitudinal_case.md      ← Phase 6</w:t>
      </w:r>
      <w:r>
        <w:br/>
      </w:r>
      <w:r>
        <w:rPr>
          <w:rStyle w:val="VerbatimChar"/>
        </w:rPr>
        <w:t xml:space="preserve">    │   └── DISSERTATION_EN.md             ← Final compiled thesis</w:t>
      </w:r>
      <w:r>
        <w:br/>
      </w:r>
      <w:r>
        <w:rPr>
          <w:rStyle w:val="VerbatimChar"/>
        </w:rPr>
        <w:t xml:space="preserve">    └── fi/                          # Finnish publications</w:t>
      </w:r>
      <w:r>
        <w:br/>
      </w:r>
      <w:r>
        <w:rPr>
          <w:rStyle w:val="VerbatimChar"/>
        </w:rPr>
        <w:t xml:space="preserve">        ├── CH1_johdanto.md</w:t>
      </w:r>
      <w:r>
        <w:br/>
      </w:r>
      <w:r>
        <w:rPr>
          <w:rStyle w:val="VerbatimChar"/>
        </w:rPr>
        <w:t xml:space="preserve">        ├── CH2_kirjallisuuskatsaus.md</w:t>
      </w:r>
      <w:r>
        <w:br/>
      </w:r>
      <w:r>
        <w:rPr>
          <w:rStyle w:val="VerbatimChar"/>
        </w:rPr>
        <w:t xml:space="preserve">        ├── CH3_testausstrategiat.md       ← Vaihe 1</w:t>
      </w:r>
      <w:r>
        <w:br/>
      </w:r>
      <w:r>
        <w:rPr>
          <w:rStyle w:val="VerbatimChar"/>
        </w:rPr>
        <w:t xml:space="preserve">        ├── CH4_vaatimustenmukaisuusmoottori.md  ← Vaihe 2</w:t>
      </w:r>
      <w:r>
        <w:br/>
      </w:r>
      <w:r>
        <w:rPr>
          <w:rStyle w:val="VerbatimChar"/>
        </w:rPr>
        <w:t xml:space="preserve">        ├── CH5_eu_tekoalysaados.md        ← Vaihe 2</w:t>
      </w:r>
      <w:r>
        <w:br/>
      </w:r>
      <w:r>
        <w:rPr>
          <w:rStyle w:val="VerbatimChar"/>
        </w:rPr>
        <w:t xml:space="preserve">        ├── CH6_turvallisuusarkkitehtuuri.md     ← Vaihe 3</w:t>
      </w:r>
      <w:r>
        <w:br/>
      </w:r>
      <w:r>
        <w:rPr>
          <w:rStyle w:val="VerbatimChar"/>
        </w:rPr>
        <w:t xml:space="preserve">        ├── CH7_agenttinen_tekoaly.md      ← Vaihe 4 (ydin)</w:t>
      </w:r>
      <w:r>
        <w:br/>
      </w:r>
      <w:r>
        <w:rPr>
          <w:rStyle w:val="VerbatimChar"/>
        </w:rPr>
        <w:t xml:space="preserve">        ├── CH8_iot_vaatimustenmukaisuus.md      ← Vaihe 4</w:t>
      </w:r>
      <w:r>
        <w:br/>
      </w:r>
      <w:r>
        <w:rPr>
          <w:rStyle w:val="VerbatimChar"/>
        </w:rPr>
        <w:t xml:space="preserve">        ├── CH9_verkostovaikutukset.md     ← Vaihe 5</w:t>
      </w:r>
      <w:r>
        <w:br/>
      </w:r>
      <w:r>
        <w:rPr>
          <w:rStyle w:val="VerbatimChar"/>
        </w:rPr>
        <w:t xml:space="preserve">        ├── CH10_pitkittaistapaustutkimus.md     ← Vaihe 6</w:t>
      </w:r>
      <w:r>
        <w:br/>
      </w:r>
      <w:r>
        <w:rPr>
          <w:rStyle w:val="VerbatimChar"/>
        </w:rPr>
        <w:t xml:space="preserve">        └── VAITOSKIRJA_FI.md              ← Lopullinen koottu väitöskirja</w:t>
      </w:r>
    </w:p>
    <w:bookmarkEnd w:id="90"/>
    <w:bookmarkStart w:id="91" w:name="academic-timeline-akateeminen-aikataulu"/>
    <w:p>
      <w:pPr>
        <w:pStyle w:val="Heading3"/>
      </w:pPr>
      <w:r>
        <w:t xml:space="preserve">Academic Timeline / Akateeminen aikataulu</w:t>
      </w:r>
    </w:p>
    <w:tbl>
      <w:tblPr>
        <w:tblStyle w:val="Table"/>
        <w:tblW w:type="pct" w:w="5000"/>
        <w:tblLook w:firstRow="1" w:lastRow="0" w:firstColumn="0" w:lastColumn="0" w:noHBand="0" w:noVBand="0" w:val="0020"/>
        <w:jc w:val="start"/>
      </w:tblPr>
      <w:tblGrid>
        <w:gridCol w:w="576"/>
        <w:gridCol w:w="3672"/>
        <w:gridCol w:w="3672"/>
      </w:tblGrid>
      <w:tr>
        <w:trPr>
          <w:tblHeader w:val="true"/>
        </w:trPr>
        <w:tc>
          <w:tcPr/>
          <w:p>
            <w:pPr>
              <w:pStyle w:val="Compact"/>
              <w:jc w:val="left"/>
            </w:pPr>
            <w:r>
              <w:t xml:space="preserve">Date</w:t>
            </w:r>
          </w:p>
        </w:tc>
        <w:tc>
          <w:tcPr/>
          <w:p>
            <w:pPr>
              <w:pStyle w:val="Compact"/>
              <w:jc w:val="left"/>
            </w:pPr>
            <w:r>
              <w:t xml:space="preserve">Milestone (EN)</w:t>
            </w:r>
          </w:p>
        </w:tc>
        <w:tc>
          <w:tcPr/>
          <w:p>
            <w:pPr>
              <w:pStyle w:val="Compact"/>
              <w:jc w:val="left"/>
            </w:pPr>
            <w:r>
              <w:t xml:space="preserve">Välitavoite (FI)</w:t>
            </w:r>
          </w:p>
        </w:tc>
      </w:tr>
      <w:tr>
        <w:tc>
          <w:tcPr/>
          <w:p>
            <w:pPr>
              <w:pStyle w:val="Compact"/>
              <w:jc w:val="left"/>
            </w:pPr>
            <w:r>
              <w:t xml:space="preserve">Apr 2026</w:t>
            </w:r>
          </w:p>
        </w:tc>
        <w:tc>
          <w:tcPr/>
          <w:p>
            <w:pPr>
              <w:pStyle w:val="Compact"/>
              <w:jc w:val="left"/>
            </w:pPr>
            <w:r>
              <w:t xml:space="preserve">Submit Phase 1 conference paper</w:t>
            </w:r>
          </w:p>
        </w:tc>
        <w:tc>
          <w:tcPr/>
          <w:p>
            <w:pPr>
              <w:pStyle w:val="Compact"/>
              <w:jc w:val="left"/>
            </w:pPr>
            <w:r>
              <w:t xml:space="preserve">Lähetä vaiheen 1 konferenssipaperi</w:t>
            </w:r>
          </w:p>
        </w:tc>
      </w:tr>
      <w:tr>
        <w:tc>
          <w:tcPr/>
          <w:p>
            <w:pPr>
              <w:pStyle w:val="Compact"/>
              <w:jc w:val="left"/>
            </w:pPr>
            <w:r>
              <w:t xml:space="preserve">Jul 2026</w:t>
            </w:r>
          </w:p>
        </w:tc>
        <w:tc>
          <w:tcPr/>
          <w:p>
            <w:pPr>
              <w:pStyle w:val="Compact"/>
              <w:jc w:val="left"/>
            </w:pPr>
            <w:r>
              <w:t xml:space="preserve">Submit compliance engine journal article</w:t>
            </w:r>
          </w:p>
        </w:tc>
        <w:tc>
          <w:tcPr/>
          <w:p>
            <w:pPr>
              <w:pStyle w:val="Compact"/>
              <w:jc w:val="left"/>
            </w:pPr>
            <w:r>
              <w:t xml:space="preserve">Lähetä vaatimustenmukaisuusmoottorin lehtiartikkeli</w:t>
            </w:r>
          </w:p>
        </w:tc>
      </w:tr>
      <w:tr>
        <w:tc>
          <w:tcPr/>
          <w:p>
            <w:pPr>
              <w:pStyle w:val="Compact"/>
              <w:jc w:val="left"/>
            </w:pPr>
            <w:r>
              <w:t xml:space="preserve">Oct 2026</w:t>
            </w:r>
          </w:p>
        </w:tc>
        <w:tc>
          <w:tcPr/>
          <w:p>
            <w:pPr>
              <w:pStyle w:val="Compact"/>
              <w:jc w:val="left"/>
            </w:pPr>
            <w:r>
              <w:t xml:space="preserve">PhD program application (with 2-3 published papers)</w:t>
            </w:r>
          </w:p>
        </w:tc>
        <w:tc>
          <w:tcPr/>
          <w:p>
            <w:pPr>
              <w:pStyle w:val="Compact"/>
              <w:jc w:val="left"/>
            </w:pPr>
            <w:r>
              <w:t xml:space="preserve">Tohtoriohjelman hakemus (2-3 julkaistua paperia)</w:t>
            </w:r>
          </w:p>
        </w:tc>
      </w:tr>
      <w:tr>
        <w:tc>
          <w:tcPr/>
          <w:p>
            <w:pPr>
              <w:pStyle w:val="Compact"/>
              <w:jc w:val="left"/>
            </w:pPr>
            <w:r>
              <w:t xml:space="preserve">Jan 2027</w:t>
            </w:r>
          </w:p>
        </w:tc>
        <w:tc>
          <w:tcPr/>
          <w:p>
            <w:pPr>
              <w:pStyle w:val="Compact"/>
              <w:jc w:val="left"/>
            </w:pPr>
            <w:r>
              <w:t xml:space="preserve">Submit agentic AI core chapter to JAAMAS</w:t>
            </w:r>
          </w:p>
        </w:tc>
        <w:tc>
          <w:tcPr/>
          <w:p>
            <w:pPr>
              <w:pStyle w:val="Compact"/>
              <w:jc w:val="left"/>
            </w:pPr>
            <w:r>
              <w:t xml:space="preserve">Lähetä agenttinen tekoäly -ydinluku JAAMAS:iin</w:t>
            </w:r>
          </w:p>
        </w:tc>
      </w:tr>
      <w:tr>
        <w:tc>
          <w:tcPr/>
          <w:p>
            <w:pPr>
              <w:pStyle w:val="Compact"/>
              <w:jc w:val="left"/>
            </w:pPr>
            <w:r>
              <w:t xml:space="preserve">May 2027</w:t>
            </w:r>
          </w:p>
        </w:tc>
        <w:tc>
          <w:tcPr/>
          <w:p>
            <w:pPr>
              <w:pStyle w:val="Compact"/>
              <w:jc w:val="left"/>
            </w:pPr>
            <w:r>
              <w:t xml:space="preserve">Submit IoT-to-compliance article</w:t>
            </w:r>
          </w:p>
        </w:tc>
        <w:tc>
          <w:tcPr/>
          <w:p>
            <w:pPr>
              <w:pStyle w:val="Compact"/>
              <w:jc w:val="left"/>
            </w:pPr>
            <w:r>
              <w:t xml:space="preserve">Lähetä IoT-vaatimustenmukaisuusartikkeli</w:t>
            </w:r>
          </w:p>
        </w:tc>
      </w:tr>
      <w:tr>
        <w:tc>
          <w:tcPr/>
          <w:p>
            <w:pPr>
              <w:pStyle w:val="Compact"/>
              <w:jc w:val="left"/>
            </w:pPr>
            <w:r>
              <w:t xml:space="preserve">Oct 2027</w:t>
            </w:r>
          </w:p>
        </w:tc>
        <w:tc>
          <w:tcPr/>
          <w:p>
            <w:pPr>
              <w:pStyle w:val="Compact"/>
              <w:jc w:val="left"/>
            </w:pPr>
            <w:r>
              <w:t xml:space="preserve">Complete dissertation draft</w:t>
            </w:r>
          </w:p>
        </w:tc>
        <w:tc>
          <w:tcPr/>
          <w:p>
            <w:pPr>
              <w:pStyle w:val="Compact"/>
              <w:jc w:val="left"/>
            </w:pPr>
            <w:r>
              <w:t xml:space="preserve">Väitöskirjaluonnoksen valmistuminen</w:t>
            </w:r>
          </w:p>
        </w:tc>
      </w:tr>
      <w:tr>
        <w:tc>
          <w:tcPr/>
          <w:p>
            <w:pPr>
              <w:pStyle w:val="Compact"/>
              <w:jc w:val="left"/>
            </w:pPr>
            <w:r>
              <w:t xml:space="preserve">Dec 2027</w:t>
            </w:r>
          </w:p>
        </w:tc>
        <w:tc>
          <w:tcPr/>
          <w:p>
            <w:pPr>
              <w:pStyle w:val="Compact"/>
              <w:jc w:val="left"/>
            </w:pPr>
            <w:r>
              <w:t xml:space="preserve">Submit PhD dissertation</w:t>
            </w:r>
          </w:p>
        </w:tc>
        <w:tc>
          <w:tcPr/>
          <w:p>
            <w:pPr>
              <w:pStyle w:val="Compact"/>
              <w:jc w:val="left"/>
            </w:pPr>
            <w:r>
              <w:t xml:space="preserve">Väitöskirjan jättäminen</w:t>
            </w:r>
          </w:p>
        </w:tc>
      </w:tr>
    </w:tbl>
    <w:bookmarkEnd w:id="91"/>
    <w:bookmarkStart w:id="92" w:name="X568fc29be15d453a795a2292adc8cc8e5b61902"/>
    <w:p>
      <w:pPr>
        <w:pStyle w:val="Heading3"/>
      </w:pPr>
      <w:r>
        <w:t xml:space="preserve">Contribution to Knowledge / Panos tietämykseen</w:t>
      </w:r>
    </w:p>
    <w:p>
      <w:pPr>
        <w:pStyle w:val="FirstParagraph"/>
      </w:pPr>
      <w:r>
        <w:rPr>
          <w:bCs/>
          <w:b/>
        </w:rPr>
        <w:t xml:space="preserve">EN:</w:t>
      </w:r>
      <w:r>
        <w:t xml:space="preserve"> </w:t>
      </w:r>
      <w:r>
        <w:t xml:space="preserve">This research contributes the first longitudinal empirical study of an AI-native multi-agent platform purpose-built for EU industrial climate compliance, bridging the gap between theoretical multi-agent systems research and real-world deployment at 16 industrial sites. The novel IoT-to-compliance pipeline and EU AI Act reasoning lineage implementation provide reference architectures for the emerging field of autonomous regulatory compliance.</w:t>
      </w:r>
    </w:p>
    <w:p>
      <w:pPr>
        <w:pStyle w:val="BodyText"/>
      </w:pPr>
      <w:r>
        <w:rPr>
          <w:bCs/>
          <w:b/>
        </w:rPr>
        <w:t xml:space="preserve">FI:</w:t>
      </w:r>
      <w:r>
        <w:t xml:space="preserve"> </w:t>
      </w:r>
      <w:r>
        <w:t xml:space="preserve">Tämä tutkimus tuottaa ensimmäisen pitkittäisen empiirisen tutkimuksen tekoälynatiivista moniagenttialustasta, joka on rakennettu EU:n teolliseen ilmastovaatimustenmukaisuuteen, yhdistäen teoreettisen moniagenttijärjestelmätutkimuksen ja todellisen käyttöönoton 16 teollisuuskohteessa. Uudenlainen IoT-vaatimustenmukaisuusputki ja EU:n tekoälysäädöksen mukainen päättelyketjun toteutus tarjoavat referenssiarkkitehtuurit autonomisen sääntelynmukaisuuden kehittyvälle alalle.</w:t>
      </w:r>
    </w:p>
    <w:p>
      <w:r>
        <w:pict>
          <v:rect style="width:0;height:1.5pt" o:hralign="center" o:hrstd="t" o:hr="t"/>
        </w:pict>
      </w:r>
    </w:p>
    <w:bookmarkEnd w:id="92"/>
    <w:bookmarkEnd w:id="93"/>
    <w:bookmarkStart w:id="115" w:name="weekly-correction-process"/>
    <w:p>
      <w:pPr>
        <w:pStyle w:val="Heading2"/>
      </w:pPr>
      <w:r>
        <w:t xml:space="preserve">Weekly Correction Process</w:t>
      </w:r>
    </w:p>
    <w:p>
      <w:pPr>
        <w:pStyle w:val="FirstParagraph"/>
      </w:pPr>
      <w:r>
        <w:t xml:space="preserve">This roadmap is a</w:t>
      </w:r>
      <w:r>
        <w:t xml:space="preserve"> </w:t>
      </w:r>
      <w:r>
        <w:rPr>
          <w:bCs/>
          <w:b/>
        </w:rPr>
        <w:t xml:space="preserve">living document</w:t>
      </w:r>
      <w:r>
        <w:t xml:space="preserve"> </w:t>
      </w:r>
      <w:r>
        <w:t xml:space="preserve">— corrected every week based on real-world signals.</w:t>
      </w:r>
    </w:p>
    <w:bookmarkStart w:id="94" w:name="what-gets-corrected"/>
    <w:p>
      <w:pPr>
        <w:pStyle w:val="Heading3"/>
      </w:pPr>
      <w:r>
        <w:t xml:space="preserve">What Gets Corrected</w:t>
      </w:r>
    </w:p>
    <w:tbl>
      <w:tblPr>
        <w:tblStyle w:val="Table"/>
        <w:tblW w:type="pct" w:w="5000"/>
        <w:tblLook w:firstRow="1" w:lastRow="0" w:firstColumn="0" w:lastColumn="0" w:noHBand="0" w:noVBand="0" w:val="0020"/>
        <w:jc w:val="start"/>
      </w:tblPr>
      <w:tblGrid>
        <w:gridCol w:w="1339"/>
        <w:gridCol w:w="3028"/>
        <w:gridCol w:w="3552"/>
      </w:tblGrid>
      <w:tr>
        <w:trPr>
          <w:tblHeader w:val="true"/>
        </w:trPr>
        <w:tc>
          <w:tcPr/>
          <w:p>
            <w:pPr>
              <w:pStyle w:val="Compact"/>
              <w:jc w:val="left"/>
            </w:pPr>
            <w:r>
              <w:t xml:space="preserve">Signal</w:t>
            </w:r>
          </w:p>
        </w:tc>
        <w:tc>
          <w:tcPr/>
          <w:p>
            <w:pPr>
              <w:pStyle w:val="Compact"/>
              <w:jc w:val="left"/>
            </w:pPr>
            <w:r>
              <w:t xml:space="preserve">Source</w:t>
            </w:r>
          </w:p>
        </w:tc>
        <w:tc>
          <w:tcPr/>
          <w:p>
            <w:pPr>
              <w:pStyle w:val="Compact"/>
              <w:jc w:val="left"/>
            </w:pPr>
            <w:r>
              <w:t xml:space="preserve">Action</w:t>
            </w:r>
          </w:p>
        </w:tc>
      </w:tr>
      <w:tr>
        <w:tc>
          <w:tcPr/>
          <w:p>
            <w:pPr>
              <w:pStyle w:val="Compact"/>
              <w:jc w:val="left"/>
            </w:pPr>
            <w:r>
              <w:rPr>
                <w:bCs/>
                <w:b/>
              </w:rPr>
              <w:t xml:space="preserve">Competitor moves</w:t>
            </w:r>
          </w:p>
        </w:tc>
        <w:tc>
          <w:tcPr/>
          <w:p>
            <w:pPr>
              <w:pStyle w:val="Compact"/>
              <w:jc w:val="left"/>
            </w:pPr>
            <w:r>
              <w:t xml:space="preserve">Competitor RSS feeds, Crunchbase, ProductHunt</w:t>
            </w:r>
          </w:p>
        </w:tc>
        <w:tc>
          <w:tcPr/>
          <w:p>
            <w:pPr>
              <w:pStyle w:val="Compact"/>
              <w:jc w:val="left"/>
            </w:pPr>
            <w:r>
              <w:t xml:space="preserve">Re-prioritize PRs, add defensive PRs, drop obsoleted features</w:t>
            </w:r>
          </w:p>
        </w:tc>
      </w:tr>
      <w:tr>
        <w:tc>
          <w:tcPr/>
          <w:p>
            <w:pPr>
              <w:pStyle w:val="Compact"/>
              <w:jc w:val="left"/>
            </w:pPr>
            <w:r>
              <w:rPr>
                <w:bCs/>
                <w:b/>
              </w:rPr>
              <w:t xml:space="preserve">Technology advances</w:t>
            </w:r>
          </w:p>
        </w:tc>
        <w:tc>
          <w:tcPr/>
          <w:p>
            <w:pPr>
              <w:pStyle w:val="Compact"/>
              <w:jc w:val="left"/>
            </w:pPr>
            <w:r>
              <w:t xml:space="preserve">GitHub Trending, HN, framework releases</w:t>
            </w:r>
          </w:p>
        </w:tc>
        <w:tc>
          <w:tcPr/>
          <w:p>
            <w:pPr>
              <w:pStyle w:val="Compact"/>
              <w:jc w:val="left"/>
            </w:pPr>
            <w:r>
              <w:t xml:space="preserve">Swap libraries, adopt new patterns, update tech stack PRs</w:t>
            </w:r>
          </w:p>
        </w:tc>
      </w:tr>
      <w:tr>
        <w:tc>
          <w:tcPr/>
          <w:p>
            <w:pPr>
              <w:pStyle w:val="Compact"/>
              <w:jc w:val="left"/>
            </w:pPr>
            <w:r>
              <w:rPr>
                <w:bCs/>
                <w:b/>
              </w:rPr>
              <w:t xml:space="preserve">Regulation changes</w:t>
            </w:r>
          </w:p>
        </w:tc>
        <w:tc>
          <w:tcPr/>
          <w:p>
            <w:pPr>
              <w:pStyle w:val="Compact"/>
              <w:jc w:val="left"/>
            </w:pPr>
            <w:r>
              <w:t xml:space="preserve">EUR-Lex, European Commission, national registries</w:t>
            </w:r>
          </w:p>
        </w:tc>
        <w:tc>
          <w:tcPr/>
          <w:p>
            <w:pPr>
              <w:pStyle w:val="Compact"/>
              <w:jc w:val="left"/>
            </w:pPr>
            <w:r>
              <w:t xml:space="preserve">Add/modify compliance PRs, shift phase timelines</w:t>
            </w:r>
          </w:p>
        </w:tc>
      </w:tr>
      <w:tr>
        <w:tc>
          <w:tcPr/>
          <w:p>
            <w:pPr>
              <w:pStyle w:val="Compact"/>
              <w:jc w:val="left"/>
            </w:pPr>
            <w:r>
              <w:rPr>
                <w:bCs/>
                <w:b/>
              </w:rPr>
              <w:t xml:space="preserve">Customer feedback</w:t>
            </w:r>
          </w:p>
        </w:tc>
        <w:tc>
          <w:tcPr/>
          <w:p>
            <w:pPr>
              <w:pStyle w:val="Compact"/>
              <w:jc w:val="left"/>
            </w:pPr>
            <w:r>
              <w:t xml:space="preserve">Support tickets, NPS surveys, churn signals</w:t>
            </w:r>
          </w:p>
        </w:tc>
        <w:tc>
          <w:tcPr/>
          <w:p>
            <w:pPr>
              <w:pStyle w:val="Compact"/>
              <w:jc w:val="left"/>
            </w:pPr>
            <w:r>
              <w:t xml:space="preserve">Promote P2→P1, add urgent PRs, re-scope features</w:t>
            </w:r>
          </w:p>
        </w:tc>
      </w:tr>
      <w:tr>
        <w:tc>
          <w:tcPr/>
          <w:p>
            <w:pPr>
              <w:pStyle w:val="Compact"/>
              <w:jc w:val="left"/>
            </w:pPr>
            <w:r>
              <w:rPr>
                <w:bCs/>
                <w:b/>
              </w:rPr>
              <w:t xml:space="preserve">Market data</w:t>
            </w:r>
          </w:p>
        </w:tc>
        <w:tc>
          <w:tcPr/>
          <w:p>
            <w:pPr>
              <w:pStyle w:val="Compact"/>
              <w:jc w:val="left"/>
            </w:pPr>
            <w:r>
              <w:t xml:space="preserve">Carbon price (EUA), industry reports, funding rounds</w:t>
            </w:r>
          </w:p>
        </w:tc>
        <w:tc>
          <w:tcPr/>
          <w:p>
            <w:pPr>
              <w:pStyle w:val="Compact"/>
              <w:jc w:val="left"/>
            </w:pPr>
            <w:r>
              <w:t xml:space="preserve">Adjust financial projections, reprioritize industry verticals</w:t>
            </w:r>
          </w:p>
        </w:tc>
      </w:tr>
    </w:tbl>
    <w:bookmarkEnd w:id="94"/>
    <w:bookmarkStart w:id="95" w:name="correction-workflow-every-monday"/>
    <w:p>
      <w:pPr>
        <w:pStyle w:val="Heading3"/>
      </w:pPr>
      <w:r>
        <w:t xml:space="preserve">Correction Workflow (Every Monday)</w:t>
      </w:r>
    </w:p>
    <w:p>
      <w:pPr>
        <w:numPr>
          <w:ilvl w:val="0"/>
          <w:numId w:val="1007"/>
        </w:numPr>
        <w:pStyle w:val="Compact"/>
      </w:pPr>
      <w:r>
        <w:rPr>
          <w:bCs/>
          <w:b/>
        </w:rPr>
        <w:t xml:space="preserve">08:00 UTC</w:t>
      </w:r>
      <w:r>
        <w:t xml:space="preserve"> </w:t>
      </w:r>
      <w:r>
        <w:t xml:space="preserve">—</w:t>
      </w:r>
      <w:r>
        <w:t xml:space="preserve"> </w:t>
      </w:r>
      <w:r>
        <w:rPr>
          <w:rStyle w:val="VerbatimChar"/>
        </w:rPr>
        <w:t xml:space="preserve">roadmap-weekly-tracker.yml</w:t>
      </w:r>
      <w:r>
        <w:t xml:space="preserve"> </w:t>
      </w:r>
      <w:r>
        <w:t xml:space="preserve">runs automatically</w:t>
      </w:r>
    </w:p>
    <w:p>
      <w:pPr>
        <w:numPr>
          <w:ilvl w:val="0"/>
          <w:numId w:val="1007"/>
        </w:numPr>
        <w:pStyle w:val="Compact"/>
      </w:pPr>
      <w:r>
        <w:rPr>
          <w:bCs/>
          <w:b/>
        </w:rPr>
        <w:t xml:space="preserve">Gathers signals:</w:t>
      </w:r>
      <w:r>
        <w:t xml:space="preserve"> </w:t>
      </w:r>
      <w:r>
        <w:t xml:space="preserve">PR progress, dependency updates, GitHub security alerts</w:t>
      </w:r>
    </w:p>
    <w:p>
      <w:pPr>
        <w:numPr>
          <w:ilvl w:val="0"/>
          <w:numId w:val="1007"/>
        </w:numPr>
        <w:pStyle w:val="Compact"/>
      </w:pPr>
      <w:r>
        <w:rPr>
          <w:bCs/>
          <w:b/>
        </w:rPr>
        <w:t xml:space="preserve">Creates GitHub Issue</w:t>
      </w:r>
      <w:r>
        <w:t xml:space="preserve"> </w:t>
      </w:r>
      <w:r>
        <w:t xml:space="preserve">with progress + signals requiring attention</w:t>
      </w:r>
    </w:p>
    <w:p>
      <w:pPr>
        <w:numPr>
          <w:ilvl w:val="0"/>
          <w:numId w:val="1007"/>
        </w:numPr>
        <w:pStyle w:val="Compact"/>
      </w:pPr>
      <w:r>
        <w:rPr>
          <w:bCs/>
          <w:b/>
        </w:rPr>
        <w:t xml:space="preserve">Team reviews</w:t>
      </w:r>
      <w:r>
        <w:t xml:space="preserve"> </w:t>
      </w:r>
      <w:r>
        <w:t xml:space="preserve">the issue, decides corrections</w:t>
      </w:r>
    </w:p>
    <w:p>
      <w:pPr>
        <w:numPr>
          <w:ilvl w:val="0"/>
          <w:numId w:val="1007"/>
        </w:numPr>
        <w:pStyle w:val="Compact"/>
      </w:pPr>
      <w:r>
        <w:rPr>
          <w:bCs/>
          <w:b/>
        </w:rPr>
        <w:t xml:space="preserve">Corrections committed</w:t>
      </w:r>
      <w:r>
        <w:t xml:space="preserve"> </w:t>
      </w:r>
      <w:r>
        <w:t xml:space="preserve">to</w:t>
      </w:r>
      <w:r>
        <w:t xml:space="preserve"> </w:t>
      </w:r>
      <w:r>
        <w:rPr>
          <w:rStyle w:val="VerbatimChar"/>
        </w:rPr>
        <w:t xml:space="preserve">DWS7_ROADMAP.md</w:t>
      </w:r>
      <w:r>
        <w:t xml:space="preserve"> </w:t>
      </w:r>
      <w:r>
        <w:t xml:space="preserve">with changelog entry below</w:t>
      </w:r>
    </w:p>
    <w:bookmarkEnd w:id="95"/>
    <w:bookmarkStart w:id="96" w:name="competitor-watch-list"/>
    <w:p>
      <w:pPr>
        <w:pStyle w:val="Heading3"/>
      </w:pPr>
      <w:r>
        <w:t xml:space="preserve">Competitor Watch List</w:t>
      </w:r>
    </w:p>
    <w:p>
      <w:pPr>
        <w:pStyle w:val="FirstParagraph"/>
      </w:pPr>
      <w:r>
        <w:t xml:space="preserve">Track these competitors weekly for moves that affect our roadmap:</w:t>
      </w:r>
    </w:p>
    <w:tbl>
      <w:tblPr>
        <w:tblStyle w:val="Table"/>
        <w:tblW w:type="pct" w:w="5000"/>
        <w:tblLook w:firstRow="1" w:lastRow="0" w:firstColumn="0" w:lastColumn="0" w:noHBand="0" w:noVBand="0" w:val="0020"/>
        <w:jc w:val="start"/>
      </w:tblPr>
      <w:tblGrid>
        <w:gridCol w:w="1428"/>
        <w:gridCol w:w="2856"/>
        <w:gridCol w:w="3635"/>
      </w:tblGrid>
      <w:tr>
        <w:trPr>
          <w:tblHeader w:val="true"/>
        </w:trPr>
        <w:tc>
          <w:tcPr/>
          <w:p>
            <w:pPr>
              <w:pStyle w:val="Compact"/>
              <w:jc w:val="left"/>
            </w:pPr>
            <w:r>
              <w:t xml:space="preserve">Competitor</w:t>
            </w:r>
          </w:p>
        </w:tc>
        <w:tc>
          <w:tcPr/>
          <w:p>
            <w:pPr>
              <w:pStyle w:val="Compact"/>
              <w:jc w:val="left"/>
            </w:pPr>
            <w:r>
              <w:t xml:space="preserve">Watch For</w:t>
            </w:r>
          </w:p>
        </w:tc>
        <w:tc>
          <w:tcPr/>
          <w:p>
            <w:pPr>
              <w:pStyle w:val="Compact"/>
              <w:jc w:val="left"/>
            </w:pPr>
            <w:r>
              <w:t xml:space="preserve">Impact on DWS7</w:t>
            </w:r>
          </w:p>
        </w:tc>
      </w:tr>
      <w:tr>
        <w:tc>
          <w:tcPr/>
          <w:p>
            <w:pPr>
              <w:pStyle w:val="Compact"/>
              <w:jc w:val="left"/>
            </w:pPr>
            <w:r>
              <w:rPr>
                <w:bCs/>
                <w:b/>
              </w:rPr>
              <w:t xml:space="preserve">Persefoni</w:t>
            </w:r>
          </w:p>
        </w:tc>
        <w:tc>
          <w:tcPr/>
          <w:p>
            <w:pPr>
              <w:pStyle w:val="Compact"/>
              <w:jc w:val="left"/>
            </w:pPr>
            <w:r>
              <w:t xml:space="preserve">EU expansion, CBAM features, pricing changes</w:t>
            </w:r>
          </w:p>
        </w:tc>
        <w:tc>
          <w:tcPr/>
          <w:p>
            <w:pPr>
              <w:pStyle w:val="Compact"/>
              <w:jc w:val="left"/>
            </w:pPr>
            <w:r>
              <w:t xml:space="preserve">If they launch EU CBAM → accelerate Phase 2 CBAM PRs</w:t>
            </w:r>
          </w:p>
        </w:tc>
      </w:tr>
      <w:tr>
        <w:tc>
          <w:tcPr/>
          <w:p>
            <w:pPr>
              <w:pStyle w:val="Compact"/>
              <w:jc w:val="left"/>
            </w:pPr>
            <w:r>
              <w:rPr>
                <w:bCs/>
                <w:b/>
              </w:rPr>
              <w:t xml:space="preserve">Watershed</w:t>
            </w:r>
          </w:p>
        </w:tc>
        <w:tc>
          <w:tcPr/>
          <w:p>
            <w:pPr>
              <w:pStyle w:val="Compact"/>
              <w:jc w:val="left"/>
            </w:pPr>
            <w:r>
              <w:t xml:space="preserve">EU market entry, Scope 3 automation</w:t>
            </w:r>
          </w:p>
        </w:tc>
        <w:tc>
          <w:tcPr/>
          <w:p>
            <w:pPr>
              <w:pStyle w:val="Compact"/>
              <w:jc w:val="left"/>
            </w:pPr>
            <w:r>
              <w:t xml:space="preserve">If they expand EU → deepen industry-specific moat</w:t>
            </w:r>
          </w:p>
        </w:tc>
      </w:tr>
      <w:tr>
        <w:tc>
          <w:tcPr/>
          <w:p>
            <w:pPr>
              <w:pStyle w:val="Compact"/>
              <w:jc w:val="left"/>
            </w:pPr>
            <w:r>
              <w:rPr>
                <w:bCs/>
                <w:b/>
              </w:rPr>
              <w:t xml:space="preserve">Sweep</w:t>
            </w:r>
          </w:p>
        </w:tc>
        <w:tc>
          <w:tcPr/>
          <w:p>
            <w:pPr>
              <w:pStyle w:val="Compact"/>
              <w:jc w:val="left"/>
            </w:pPr>
            <w:r>
              <w:t xml:space="preserve">CSRD features, SME pricing</w:t>
            </w:r>
          </w:p>
        </w:tc>
        <w:tc>
          <w:tcPr/>
          <w:p>
            <w:pPr>
              <w:pStyle w:val="Compact"/>
              <w:jc w:val="left"/>
            </w:pPr>
            <w:r>
              <w:t xml:space="preserve">If they drop prices → adjust our Starter tier</w:t>
            </w:r>
          </w:p>
        </w:tc>
      </w:tr>
      <w:tr>
        <w:tc>
          <w:tcPr/>
          <w:p>
            <w:pPr>
              <w:pStyle w:val="Compact"/>
              <w:jc w:val="left"/>
            </w:pPr>
            <w:r>
              <w:rPr>
                <w:bCs/>
                <w:b/>
              </w:rPr>
              <w:t xml:space="preserve">One Click LCA</w:t>
            </w:r>
          </w:p>
        </w:tc>
        <w:tc>
          <w:tcPr/>
          <w:p>
            <w:pPr>
              <w:pStyle w:val="Compact"/>
              <w:jc w:val="left"/>
            </w:pPr>
            <w:r>
              <w:t xml:space="preserve">Post-SimaPro integration, API partnerships</w:t>
            </w:r>
          </w:p>
        </w:tc>
        <w:tc>
          <w:tcPr/>
          <w:p>
            <w:pPr>
              <w:pStyle w:val="Compact"/>
              <w:jc w:val="left"/>
            </w:pPr>
            <w:r>
              <w:t xml:space="preserve">If they open API → prioritize PR 206 (LCA integration)</w:t>
            </w:r>
          </w:p>
        </w:tc>
      </w:tr>
      <w:tr>
        <w:tc>
          <w:tcPr/>
          <w:p>
            <w:pPr>
              <w:pStyle w:val="Compact"/>
              <w:jc w:val="left"/>
            </w:pPr>
            <w:r>
              <w:rPr>
                <w:bCs/>
                <w:b/>
              </w:rPr>
              <w:t xml:space="preserve">Plan A</w:t>
            </w:r>
          </w:p>
        </w:tc>
        <w:tc>
          <w:tcPr/>
          <w:p>
            <w:pPr>
              <w:pStyle w:val="Compact"/>
              <w:jc w:val="left"/>
            </w:pPr>
            <w:r>
              <w:t xml:space="preserve">New certifications, industry modules</w:t>
            </w:r>
          </w:p>
        </w:tc>
        <w:tc>
          <w:tcPr/>
          <w:p>
            <w:pPr>
              <w:pStyle w:val="Compact"/>
              <w:jc w:val="left"/>
            </w:pPr>
            <w:r>
              <w:t xml:space="preserve">If they add industrial → differentiate on IoT pipeline</w:t>
            </w:r>
          </w:p>
        </w:tc>
      </w:tr>
      <w:tr>
        <w:tc>
          <w:tcPr/>
          <w:p>
            <w:pPr>
              <w:pStyle w:val="Compact"/>
              <w:jc w:val="left"/>
            </w:pPr>
            <w:r>
              <w:rPr>
                <w:bCs/>
                <w:b/>
              </w:rPr>
              <w:t xml:space="preserve">CO2 AI (BCG)</w:t>
            </w:r>
          </w:p>
        </w:tc>
        <w:tc>
          <w:tcPr/>
          <w:p>
            <w:pPr>
              <w:pStyle w:val="Compact"/>
              <w:jc w:val="left"/>
            </w:pPr>
            <w:r>
              <w:t xml:space="preserve">Agentic AI launch, enterprise deals</w:t>
            </w:r>
          </w:p>
        </w:tc>
        <w:tc>
          <w:tcPr/>
          <w:p>
            <w:pPr>
              <w:pStyle w:val="Compact"/>
              <w:jc w:val="left"/>
            </w:pPr>
            <w:r>
              <w:t xml:space="preserve">If they ship agentic → accelerate Phase 4</w:t>
            </w:r>
          </w:p>
        </w:tc>
      </w:tr>
      <w:tr>
        <w:tc>
          <w:tcPr/>
          <w:p>
            <w:pPr>
              <w:pStyle w:val="Compact"/>
              <w:jc w:val="left"/>
            </w:pPr>
            <w:r>
              <w:rPr>
                <w:bCs/>
                <w:b/>
              </w:rPr>
              <w:t xml:space="preserve">Schneider Electric</w:t>
            </w:r>
          </w:p>
        </w:tc>
        <w:tc>
          <w:tcPr/>
          <w:p>
            <w:pPr>
              <w:pStyle w:val="Compact"/>
              <w:jc w:val="left"/>
            </w:pPr>
            <w:r>
              <w:t xml:space="preserve">EcoStruxure + sustainability convergence</w:t>
            </w:r>
          </w:p>
        </w:tc>
        <w:tc>
          <w:tcPr/>
          <w:p>
            <w:pPr>
              <w:pStyle w:val="Compact"/>
              <w:jc w:val="left"/>
            </w:pPr>
            <w:r>
              <w:t xml:space="preserve">If they ship IoT-to-compliance → defend with speed</w:t>
            </w:r>
          </w:p>
        </w:tc>
      </w:tr>
      <w:tr>
        <w:tc>
          <w:tcPr/>
          <w:p>
            <w:pPr>
              <w:pStyle w:val="Compact"/>
              <w:jc w:val="left"/>
            </w:pPr>
            <w:r>
              <w:rPr>
                <w:bCs/>
                <w:b/>
              </w:rPr>
              <w:t xml:space="preserve">SAP</w:t>
            </w:r>
          </w:p>
        </w:tc>
        <w:tc>
          <w:tcPr/>
          <w:p>
            <w:pPr>
              <w:pStyle w:val="Compact"/>
              <w:jc w:val="left"/>
            </w:pPr>
            <w:r>
              <w:t xml:space="preserve">Sustainability Control Tower updates</w:t>
            </w:r>
          </w:p>
        </w:tc>
        <w:tc>
          <w:tcPr/>
          <w:p>
            <w:pPr>
              <w:pStyle w:val="Compact"/>
              <w:jc w:val="left"/>
            </w:pPr>
            <w:r>
              <w:t xml:space="preserve">If SAP adds CBAM native → pivot ERP integration strategy</w:t>
            </w:r>
          </w:p>
        </w:tc>
      </w:tr>
      <w:tr>
        <w:tc>
          <w:tcPr/>
          <w:p>
            <w:pPr>
              <w:pStyle w:val="Compact"/>
              <w:jc w:val="left"/>
            </w:pPr>
            <w:r>
              <w:rPr>
                <w:bCs/>
                <w:b/>
              </w:rPr>
              <w:t xml:space="preserve">Coolset / ClimEase</w:t>
            </w:r>
          </w:p>
        </w:tc>
        <w:tc>
          <w:tcPr/>
          <w:p>
            <w:pPr>
              <w:pStyle w:val="Compact"/>
              <w:jc w:val="left"/>
            </w:pPr>
            <w:r>
              <w:t xml:space="preserve">CBAM market share, pricing moves</w:t>
            </w:r>
          </w:p>
        </w:tc>
        <w:tc>
          <w:tcPr/>
          <w:p>
            <w:pPr>
              <w:pStyle w:val="Compact"/>
              <w:jc w:val="left"/>
            </w:pPr>
            <w:r>
              <w:t xml:space="preserve">If CBAM tools commoditize → bundle as free tier feature</w:t>
            </w:r>
          </w:p>
        </w:tc>
      </w:tr>
      <w:tr>
        <w:tc>
          <w:tcPr/>
          <w:p>
            <w:pPr>
              <w:pStyle w:val="Compact"/>
              <w:jc w:val="left"/>
            </w:pPr>
            <w:r>
              <w:rPr>
                <w:bCs/>
                <w:b/>
              </w:rPr>
              <w:t xml:space="preserve">Normative</w:t>
            </w:r>
          </w:p>
        </w:tc>
        <w:tc>
          <w:tcPr/>
          <w:p>
            <w:pPr>
              <w:pStyle w:val="Compact"/>
              <w:jc w:val="left"/>
            </w:pPr>
            <w:r>
              <w:t xml:space="preserve">Post-Eivee acquisition, Nordic expansion</w:t>
            </w:r>
          </w:p>
        </w:tc>
        <w:tc>
          <w:tcPr/>
          <w:p>
            <w:pPr>
              <w:pStyle w:val="Compact"/>
              <w:jc w:val="left"/>
            </w:pPr>
            <w:r>
              <w:t xml:space="preserve">If they target Finland → accelerate local ERP connectors</w:t>
            </w:r>
          </w:p>
        </w:tc>
      </w:tr>
    </w:tbl>
    <w:bookmarkEnd w:id="96"/>
    <w:bookmarkStart w:id="106" w:name="big-tech-ai-platform-watch"/>
    <w:p>
      <w:pPr>
        <w:pStyle w:val="Heading3"/>
      </w:pPr>
      <w:r>
        <w:t xml:space="preserve">Big Tech AI Platform Watch</w:t>
      </w:r>
    </w:p>
    <w:p>
      <w:pPr>
        <w:pStyle w:val="FirstParagraph"/>
      </w:pPr>
      <w:r>
        <w:t xml:space="preserve">These companies directly shape DWS7’s AI capabilities, infrastructure costs, and competitive landscape. Their moves can shift entire phases of the roadmap.</w:t>
      </w:r>
    </w:p>
    <w:bookmarkStart w:id="97" w:name="nvidia"/>
    <w:p>
      <w:pPr>
        <w:pStyle w:val="Heading4"/>
      </w:pPr>
      <w:r>
        <w:t xml:space="preserve">NVIDIA</w:t>
      </w:r>
    </w:p>
    <w:tbl>
      <w:tblPr>
        <w:tblStyle w:val="Table"/>
        <w:tblW w:type="pct" w:w="5000"/>
        <w:tblLook w:firstRow="1" w:lastRow="0" w:firstColumn="0" w:lastColumn="0" w:noHBand="0" w:noVBand="0" w:val="0020"/>
        <w:jc w:val="start"/>
      </w:tblPr>
      <w:tblGrid>
        <w:gridCol w:w="1200"/>
        <w:gridCol w:w="2130"/>
        <w:gridCol w:w="4590"/>
      </w:tblGrid>
      <w:tr>
        <w:trPr>
          <w:tblHeader w:val="true"/>
        </w:trPr>
        <w:tc>
          <w:tcPr/>
          <w:p>
            <w:pPr>
              <w:pStyle w:val="Compact"/>
              <w:jc w:val="left"/>
            </w:pPr>
            <w:r>
              <w:t xml:space="preserve">Signal</w:t>
            </w:r>
          </w:p>
        </w:tc>
        <w:tc>
          <w:tcPr/>
          <w:p>
            <w:pPr>
              <w:pStyle w:val="Compact"/>
              <w:jc w:val="left"/>
            </w:pPr>
            <w:r>
              <w:t xml:space="preserve">Watch For</w:t>
            </w:r>
          </w:p>
        </w:tc>
        <w:tc>
          <w:tcPr/>
          <w:p>
            <w:pPr>
              <w:pStyle w:val="Compact"/>
              <w:jc w:val="left"/>
            </w:pPr>
            <w:r>
              <w:t xml:space="preserve">Roadmap Impact</w:t>
            </w:r>
          </w:p>
        </w:tc>
      </w:tr>
      <w:tr>
        <w:tc>
          <w:tcPr/>
          <w:p>
            <w:pPr>
              <w:pStyle w:val="Compact"/>
              <w:jc w:val="left"/>
            </w:pPr>
            <w:r>
              <w:rPr>
                <w:bCs/>
                <w:b/>
              </w:rPr>
              <w:t xml:space="preserve">Jetson Orin updates</w:t>
            </w:r>
          </w:p>
        </w:tc>
        <w:tc>
          <w:tcPr/>
          <w:p>
            <w:pPr>
              <w:pStyle w:val="Compact"/>
              <w:jc w:val="left"/>
            </w:pPr>
            <w:r>
              <w:t xml:space="preserve">New Jetson modules, JetPack SDK releases, power efficiency improvements</w:t>
            </w:r>
          </w:p>
        </w:tc>
        <w:tc>
          <w:tcPr/>
          <w:p>
            <w:pPr>
              <w:pStyle w:val="Compact"/>
              <w:jc w:val="left"/>
            </w:pPr>
            <w:r>
              <w:t xml:space="preserve">PR 154 (edge agent deployment), Phase 4 IoT pipeline</w:t>
            </w:r>
          </w:p>
        </w:tc>
      </w:tr>
      <w:tr>
        <w:tc>
          <w:tcPr/>
          <w:p>
            <w:pPr>
              <w:pStyle w:val="Compact"/>
              <w:jc w:val="left"/>
            </w:pPr>
            <w:r>
              <w:rPr>
                <w:bCs/>
                <w:b/>
              </w:rPr>
              <w:t xml:space="preserve">CUDA / TensorRT</w:t>
            </w:r>
          </w:p>
        </w:tc>
        <w:tc>
          <w:tcPr/>
          <w:p>
            <w:pPr>
              <w:pStyle w:val="Compact"/>
              <w:jc w:val="left"/>
            </w:pPr>
            <w:r>
              <w:t xml:space="preserve">Inference optimization, new quantization methods</w:t>
            </w:r>
          </w:p>
        </w:tc>
        <w:tc>
          <w:tcPr/>
          <w:p>
            <w:pPr>
              <w:pStyle w:val="Compact"/>
              <w:jc w:val="left"/>
            </w:pPr>
            <w:r>
              <w:t xml:space="preserve">Climate LLM fine-tuning performance (PR 161)</w:t>
            </w:r>
          </w:p>
        </w:tc>
      </w:tr>
      <w:tr>
        <w:tc>
          <w:tcPr/>
          <w:p>
            <w:pPr>
              <w:pStyle w:val="Compact"/>
              <w:jc w:val="left"/>
            </w:pPr>
            <w:r>
              <w:rPr>
                <w:bCs/>
                <w:b/>
              </w:rPr>
              <w:t xml:space="preserve">NIM (NVIDIA Inference Microservices)</w:t>
            </w:r>
          </w:p>
        </w:tc>
        <w:tc>
          <w:tcPr/>
          <w:p>
            <w:pPr>
              <w:pStyle w:val="Compact"/>
              <w:jc w:val="left"/>
            </w:pPr>
            <w:r>
              <w:t xml:space="preserve">Self-hosted inference containers, new model support</w:t>
            </w:r>
          </w:p>
        </w:tc>
        <w:tc>
          <w:tcPr/>
          <w:p>
            <w:pPr>
              <w:pStyle w:val="Compact"/>
              <w:jc w:val="left"/>
            </w:pPr>
            <w:r>
              <w:t xml:space="preserve">Alternative to Groq for on-premise/edge inference</w:t>
            </w:r>
          </w:p>
        </w:tc>
      </w:tr>
      <w:tr>
        <w:tc>
          <w:tcPr/>
          <w:p>
            <w:pPr>
              <w:pStyle w:val="Compact"/>
              <w:jc w:val="left"/>
            </w:pPr>
            <w:r>
              <w:rPr>
                <w:bCs/>
                <w:b/>
              </w:rPr>
              <w:t xml:space="preserve">Blackwell (GB10 / GN100)</w:t>
            </w:r>
          </w:p>
        </w:tc>
        <w:tc>
          <w:tcPr/>
          <w:p>
            <w:pPr>
              <w:pStyle w:val="Compact"/>
              <w:jc w:val="left"/>
            </w:pPr>
            <w:r>
              <w:t xml:space="preserve">New Blackwell-class GPU performance, VRAM, quantization improvements</w:t>
            </w:r>
          </w:p>
        </w:tc>
        <w:tc>
          <w:tcPr/>
          <w:p>
            <w:pPr>
              <w:pStyle w:val="Compact"/>
              <w:jc w:val="left"/>
            </w:pPr>
            <w:r>
              <w:t xml:space="preserve">Directly impacts Acer Veriton GN100 capacity — affects which models run locally, Climate LLM fine-tuning throughput (PR 161), sovereign inference roadmap</w:t>
            </w:r>
          </w:p>
        </w:tc>
      </w:tr>
      <w:tr>
        <w:tc>
          <w:tcPr/>
          <w:p>
            <w:pPr>
              <w:pStyle w:val="Compact"/>
              <w:jc w:val="left"/>
            </w:pPr>
            <w:r>
              <w:rPr>
                <w:bCs/>
                <w:b/>
              </w:rPr>
              <w:t xml:space="preserve">Omniverse / Digital Twins</w:t>
            </w:r>
          </w:p>
        </w:tc>
        <w:tc>
          <w:tcPr/>
          <w:p>
            <w:pPr>
              <w:pStyle w:val="Compact"/>
              <w:jc w:val="left"/>
            </w:pPr>
            <w:r>
              <w:t xml:space="preserve">Industrial digital twin capabilities</w:t>
            </w:r>
          </w:p>
        </w:tc>
        <w:tc>
          <w:tcPr/>
          <w:p>
            <w:pPr>
              <w:pStyle w:val="Compact"/>
              <w:jc w:val="left"/>
            </w:pPr>
            <w:r>
              <w:t xml:space="preserve">Future: factory/site digital twin integration</w:t>
            </w:r>
          </w:p>
        </w:tc>
      </w:tr>
      <w:tr>
        <w:tc>
          <w:tcPr/>
          <w:p>
            <w:pPr>
              <w:pStyle w:val="Compact"/>
              <w:jc w:val="left"/>
            </w:pPr>
            <w:r>
              <w:rPr>
                <w:bCs/>
                <w:b/>
              </w:rPr>
              <w:t xml:space="preserve">Pricing &amp; supply</w:t>
            </w:r>
          </w:p>
        </w:tc>
        <w:tc>
          <w:tcPr/>
          <w:p>
            <w:pPr>
              <w:pStyle w:val="Compact"/>
              <w:jc w:val="left"/>
            </w:pPr>
            <w:r>
              <w:t xml:space="preserve">GPU availability, Jetson pricing changes</w:t>
            </w:r>
          </w:p>
        </w:tc>
        <w:tc>
          <w:tcPr/>
          <w:p>
            <w:pPr>
              <w:pStyle w:val="Compact"/>
              <w:jc w:val="left"/>
            </w:pPr>
            <w:r>
              <w:t xml:space="preserve">Edge AI cost model, hardware procurement decisions</w:t>
            </w:r>
          </w:p>
        </w:tc>
      </w:tr>
      <w:tr>
        <w:tc>
          <w:tcPr/>
          <w:p>
            <w:pPr>
              <w:pStyle w:val="Compact"/>
              <w:jc w:val="left"/>
            </w:pPr>
            <w:r>
              <w:rPr>
                <w:bCs/>
                <w:b/>
              </w:rPr>
              <w:t xml:space="preserve">X accounts</w:t>
            </w:r>
          </w:p>
        </w:tc>
        <w:tc>
          <w:tcPr/>
          <w:p>
            <w:pPr>
              <w:pStyle w:val="Compact"/>
              <w:jc w:val="left"/>
            </w:pPr>
            <w:r>
              <w:t xml:space="preserve">@nvidia</w:t>
            </w:r>
            <w:r>
              <w:t xml:space="preserve">,</w:t>
            </w:r>
            <w:r>
              <w:t xml:space="preserve"> </w:t>
            </w:r>
            <w:r>
              <w:t xml:space="preserve">@NVIDIAAIDev</w:t>
            </w:r>
            <w:r>
              <w:t xml:space="preserve">,</w:t>
            </w:r>
            <w:r>
              <w:t xml:space="preserve"> </w:t>
            </w:r>
            <w:r>
              <w:t xml:space="preserve">@JetsonHacks</w:t>
            </w:r>
          </w:p>
        </w:tc>
        <w:tc>
          <w:tcPr/>
          <w:p>
            <w:pPr>
              <w:pStyle w:val="Compact"/>
            </w:pPr>
          </w:p>
        </w:tc>
      </w:tr>
    </w:tbl>
    <w:bookmarkEnd w:id="97"/>
    <w:bookmarkStart w:id="98" w:name="google"/>
    <w:p>
      <w:pPr>
        <w:pStyle w:val="Heading4"/>
      </w:pPr>
      <w:r>
        <w:t xml:space="preserve">Google</w:t>
      </w:r>
    </w:p>
    <w:tbl>
      <w:tblPr>
        <w:tblStyle w:val="Table"/>
        <w:tblW w:type="pct" w:w="5000"/>
        <w:tblLook w:firstRow="1" w:lastRow="0" w:firstColumn="0" w:lastColumn="0" w:noHBand="0" w:noVBand="0" w:val="0020"/>
        <w:jc w:val="start"/>
      </w:tblPr>
      <w:tblGrid>
        <w:gridCol w:w="1640"/>
        <w:gridCol w:w="2828"/>
        <w:gridCol w:w="3450"/>
      </w:tblGrid>
      <w:tr>
        <w:trPr>
          <w:tblHeader w:val="true"/>
        </w:trPr>
        <w:tc>
          <w:tcPr/>
          <w:p>
            <w:pPr>
              <w:pStyle w:val="Compact"/>
              <w:jc w:val="left"/>
            </w:pPr>
            <w:r>
              <w:t xml:space="preserve">Signal</w:t>
            </w:r>
          </w:p>
        </w:tc>
        <w:tc>
          <w:tcPr/>
          <w:p>
            <w:pPr>
              <w:pStyle w:val="Compact"/>
              <w:jc w:val="left"/>
            </w:pPr>
            <w:r>
              <w:t xml:space="preserve">Watch For</w:t>
            </w:r>
          </w:p>
        </w:tc>
        <w:tc>
          <w:tcPr/>
          <w:p>
            <w:pPr>
              <w:pStyle w:val="Compact"/>
              <w:jc w:val="left"/>
            </w:pPr>
            <w:r>
              <w:t xml:space="preserve">Roadmap Impact</w:t>
            </w:r>
          </w:p>
        </w:tc>
      </w:tr>
      <w:tr>
        <w:tc>
          <w:tcPr/>
          <w:p>
            <w:pPr>
              <w:pStyle w:val="Compact"/>
              <w:jc w:val="left"/>
            </w:pPr>
            <w:r>
              <w:rPr>
                <w:bCs/>
                <w:b/>
              </w:rPr>
              <w:t xml:space="preserve">Gemini model releases</w:t>
            </w:r>
          </w:p>
        </w:tc>
        <w:tc>
          <w:tcPr/>
          <w:p>
            <w:pPr>
              <w:pStyle w:val="Compact"/>
              <w:jc w:val="left"/>
            </w:pPr>
            <w:r>
              <w:t xml:space="preserve">Gemini 2.5+, context window, tool-use improvements</w:t>
            </w:r>
          </w:p>
        </w:tc>
        <w:tc>
          <w:tcPr/>
          <w:p>
            <w:pPr>
              <w:pStyle w:val="Compact"/>
              <w:jc w:val="left"/>
            </w:pPr>
            <w:r>
              <w:t xml:space="preserve">Multi-LLM strategy — Gemini as fallback/alternative to Claude</w:t>
            </w:r>
          </w:p>
        </w:tc>
      </w:tr>
      <w:tr>
        <w:tc>
          <w:tcPr/>
          <w:p>
            <w:pPr>
              <w:pStyle w:val="Compact"/>
              <w:jc w:val="left"/>
            </w:pPr>
            <w:r>
              <w:rPr>
                <w:bCs/>
                <w:b/>
              </w:rPr>
              <w:t xml:space="preserve">Google Cloud Run</w:t>
            </w:r>
          </w:p>
        </w:tc>
        <w:tc>
          <w:tcPr/>
          <w:p>
            <w:pPr>
              <w:pStyle w:val="Compact"/>
              <w:jc w:val="left"/>
            </w:pPr>
            <w:r>
              <w:t xml:space="preserve">Pricing changes, new features, GPU support</w:t>
            </w:r>
          </w:p>
        </w:tc>
        <w:tc>
          <w:tcPr/>
          <w:p>
            <w:pPr>
              <w:pStyle w:val="Compact"/>
              <w:jc w:val="left"/>
            </w:pPr>
            <w:r>
              <w:t xml:space="preserve">Primary backend deployment costs (Phase 1-6)</w:t>
            </w:r>
          </w:p>
        </w:tc>
      </w:tr>
      <w:tr>
        <w:tc>
          <w:tcPr/>
          <w:p>
            <w:pPr>
              <w:pStyle w:val="Compact"/>
              <w:jc w:val="left"/>
            </w:pPr>
            <w:r>
              <w:rPr>
                <w:bCs/>
                <w:b/>
              </w:rPr>
              <w:t xml:space="preserve">Vertex AI</w:t>
            </w:r>
          </w:p>
        </w:tc>
        <w:tc>
          <w:tcPr/>
          <w:p>
            <w:pPr>
              <w:pStyle w:val="Compact"/>
              <w:jc w:val="left"/>
            </w:pPr>
            <w:r>
              <w:t xml:space="preserve">Agent Builder, Vertex AI Search, grounding</w:t>
            </w:r>
          </w:p>
        </w:tc>
        <w:tc>
          <w:tcPr/>
          <w:p>
            <w:pPr>
              <w:pStyle w:val="Compact"/>
              <w:jc w:val="left"/>
            </w:pPr>
            <w:r>
              <w:t xml:space="preserve">Potential alternative to MCP for agent orchestration</w:t>
            </w:r>
          </w:p>
        </w:tc>
      </w:tr>
      <w:tr>
        <w:tc>
          <w:tcPr/>
          <w:p>
            <w:pPr>
              <w:pStyle w:val="Compact"/>
              <w:jc w:val="left"/>
            </w:pPr>
            <w:r>
              <w:rPr>
                <w:bCs/>
                <w:b/>
              </w:rPr>
              <w:t xml:space="preserve">BigQuery + sustainability</w:t>
            </w:r>
          </w:p>
        </w:tc>
        <w:tc>
          <w:tcPr/>
          <w:p>
            <w:pPr>
              <w:pStyle w:val="Compact"/>
              <w:jc w:val="left"/>
            </w:pPr>
            <w:r>
              <w:t xml:space="preserve">Carbon footprint datasets, public data programs</w:t>
            </w:r>
          </w:p>
        </w:tc>
        <w:tc>
          <w:tcPr/>
          <w:p>
            <w:pPr>
              <w:pStyle w:val="Compact"/>
              <w:jc w:val="left"/>
            </w:pPr>
            <w:r>
              <w:t xml:space="preserve">Industry benchmark data for compliance (PR 175)</w:t>
            </w:r>
          </w:p>
        </w:tc>
      </w:tr>
      <w:tr>
        <w:tc>
          <w:tcPr/>
          <w:p>
            <w:pPr>
              <w:pStyle w:val="Compact"/>
              <w:jc w:val="left"/>
            </w:pPr>
            <w:r>
              <w:rPr>
                <w:bCs/>
                <w:b/>
              </w:rPr>
              <w:t xml:space="preserve">Google Cloud for Startups</w:t>
            </w:r>
          </w:p>
        </w:tc>
        <w:tc>
          <w:tcPr/>
          <w:p>
            <w:pPr>
              <w:pStyle w:val="Compact"/>
              <w:jc w:val="left"/>
            </w:pPr>
            <w:r>
              <w:t xml:space="preserve">Credits program changes, sustainability track</w:t>
            </w:r>
          </w:p>
        </w:tc>
        <w:tc>
          <w:tcPr/>
          <w:p>
            <w:pPr>
              <w:pStyle w:val="Compact"/>
              <w:jc w:val="left"/>
            </w:pPr>
            <w:r>
              <w:t xml:space="preserve">Infrastructure credits (existing $135K+ potential)</w:t>
            </w:r>
          </w:p>
        </w:tc>
      </w:tr>
      <w:tr>
        <w:tc>
          <w:tcPr/>
          <w:p>
            <w:pPr>
              <w:pStyle w:val="Compact"/>
              <w:jc w:val="left"/>
            </w:pPr>
            <w:r>
              <w:rPr>
                <w:bCs/>
                <w:b/>
              </w:rPr>
              <w:t xml:space="preserve">Colab / TPU</w:t>
            </w:r>
          </w:p>
        </w:tc>
        <w:tc>
          <w:tcPr/>
          <w:p>
            <w:pPr>
              <w:pStyle w:val="Compact"/>
              <w:jc w:val="left"/>
            </w:pPr>
            <w:r>
              <w:t xml:space="preserve">Training infrastructure, pricing</w:t>
            </w:r>
          </w:p>
        </w:tc>
        <w:tc>
          <w:tcPr/>
          <w:p>
            <w:pPr>
              <w:pStyle w:val="Compact"/>
              <w:jc w:val="left"/>
            </w:pPr>
            <w:r>
              <w:t xml:space="preserve">Climate LLM fine-tuning compute costs (PR 161)</w:t>
            </w:r>
          </w:p>
        </w:tc>
      </w:tr>
      <w:tr>
        <w:tc>
          <w:tcPr/>
          <w:p>
            <w:pPr>
              <w:pStyle w:val="Compact"/>
              <w:jc w:val="left"/>
            </w:pPr>
            <w:r>
              <w:rPr>
                <w:bCs/>
                <w:b/>
              </w:rPr>
              <w:t xml:space="preserve">X accounts</w:t>
            </w:r>
          </w:p>
        </w:tc>
        <w:tc>
          <w:tcPr/>
          <w:p>
            <w:pPr>
              <w:pStyle w:val="Compact"/>
              <w:jc w:val="left"/>
            </w:pPr>
            <w:r>
              <w:t xml:space="preserve">@GoogleAI</w:t>
            </w:r>
            <w:r>
              <w:t xml:space="preserve">,</w:t>
            </w:r>
            <w:r>
              <w:t xml:space="preserve"> </w:t>
            </w:r>
            <w:r>
              <w:t xml:space="preserve">@GoogleCloud</w:t>
            </w:r>
            <w:r>
              <w:t xml:space="preserve">,</w:t>
            </w:r>
            <w:r>
              <w:t xml:space="preserve"> </w:t>
            </w:r>
            <w:r>
              <w:t xml:space="preserve">@GeminiApp</w:t>
            </w:r>
          </w:p>
        </w:tc>
        <w:tc>
          <w:tcPr/>
          <w:p>
            <w:pPr>
              <w:pStyle w:val="Compact"/>
            </w:pPr>
          </w:p>
        </w:tc>
      </w:tr>
    </w:tbl>
    <w:bookmarkEnd w:id="98"/>
    <w:bookmarkStart w:id="99" w:name="microsoft"/>
    <w:p>
      <w:pPr>
        <w:pStyle w:val="Heading4"/>
      </w:pPr>
      <w:r>
        <w:t xml:space="preserve">Microsoft</w:t>
      </w:r>
    </w:p>
    <w:tbl>
      <w:tblPr>
        <w:tblStyle w:val="Table"/>
        <w:tblW w:type="pct" w:w="5000"/>
        <w:tblLook w:firstRow="1" w:lastRow="0" w:firstColumn="0" w:lastColumn="0" w:noHBand="0" w:noVBand="0" w:val="0020"/>
        <w:jc w:val="start"/>
      </w:tblPr>
      <w:tblGrid>
        <w:gridCol w:w="2176"/>
        <w:gridCol w:w="2357"/>
        <w:gridCol w:w="3385"/>
      </w:tblGrid>
      <w:tr>
        <w:trPr>
          <w:tblHeader w:val="true"/>
        </w:trPr>
        <w:tc>
          <w:tcPr/>
          <w:p>
            <w:pPr>
              <w:pStyle w:val="Compact"/>
              <w:jc w:val="left"/>
            </w:pPr>
            <w:r>
              <w:t xml:space="preserve">Signal</w:t>
            </w:r>
          </w:p>
        </w:tc>
        <w:tc>
          <w:tcPr/>
          <w:p>
            <w:pPr>
              <w:pStyle w:val="Compact"/>
              <w:jc w:val="left"/>
            </w:pPr>
            <w:r>
              <w:t xml:space="preserve">Watch For</w:t>
            </w:r>
          </w:p>
        </w:tc>
        <w:tc>
          <w:tcPr/>
          <w:p>
            <w:pPr>
              <w:pStyle w:val="Compact"/>
              <w:jc w:val="left"/>
            </w:pPr>
            <w:r>
              <w:t xml:space="preserve">Roadmap Impact</w:t>
            </w:r>
          </w:p>
        </w:tc>
      </w:tr>
      <w:tr>
        <w:tc>
          <w:tcPr/>
          <w:p>
            <w:pPr>
              <w:pStyle w:val="Compact"/>
              <w:jc w:val="left"/>
            </w:pPr>
            <w:r>
              <w:rPr>
                <w:bCs/>
                <w:b/>
              </w:rPr>
              <w:t xml:space="preserve">Azure OpenAI</w:t>
            </w:r>
          </w:p>
        </w:tc>
        <w:tc>
          <w:tcPr/>
          <w:p>
            <w:pPr>
              <w:pStyle w:val="Compact"/>
              <w:jc w:val="left"/>
            </w:pPr>
            <w:r>
              <w:t xml:space="preserve">GPT-5+, o3 reasoning models, pricing</w:t>
            </w:r>
          </w:p>
        </w:tc>
        <w:tc>
          <w:tcPr/>
          <w:p>
            <w:pPr>
              <w:pStyle w:val="Compact"/>
              <w:jc w:val="left"/>
            </w:pPr>
            <w:r>
              <w:t xml:space="preserve">Competitive pressure on Claude-based architecture</w:t>
            </w:r>
          </w:p>
        </w:tc>
      </w:tr>
      <w:tr>
        <w:tc>
          <w:tcPr/>
          <w:p>
            <w:pPr>
              <w:pStyle w:val="Compact"/>
              <w:jc w:val="left"/>
            </w:pPr>
            <w:r>
              <w:rPr>
                <w:bCs/>
                <w:b/>
              </w:rPr>
              <w:t xml:space="preserve">Dynamics 365 Sustainability</w:t>
            </w:r>
          </w:p>
        </w:tc>
        <w:tc>
          <w:tcPr/>
          <w:p>
            <w:pPr>
              <w:pStyle w:val="Compact"/>
              <w:jc w:val="left"/>
            </w:pPr>
            <w:r>
              <w:t xml:space="preserve">Native sustainability features in ERP</w:t>
            </w:r>
          </w:p>
        </w:tc>
        <w:tc>
          <w:tcPr/>
          <w:p>
            <w:pPr>
              <w:pStyle w:val="Compact"/>
              <w:jc w:val="left"/>
            </w:pPr>
            <w:r>
              <w:t xml:space="preserve">If D365 adds CBAM/ETS native → pivot PR 132 strategy</w:t>
            </w:r>
          </w:p>
        </w:tc>
      </w:tr>
      <w:tr>
        <w:tc>
          <w:tcPr/>
          <w:p>
            <w:pPr>
              <w:pStyle w:val="Compact"/>
              <w:jc w:val="left"/>
            </w:pPr>
            <w:r>
              <w:rPr>
                <w:bCs/>
                <w:b/>
              </w:rPr>
              <w:t xml:space="preserve">Microsoft Sustainability Manager</w:t>
            </w:r>
          </w:p>
        </w:tc>
        <w:tc>
          <w:tcPr/>
          <w:p>
            <w:pPr>
              <w:pStyle w:val="Compact"/>
              <w:jc w:val="left"/>
            </w:pPr>
            <w:r>
              <w:t xml:space="preserve">Feature updates, industry modules</w:t>
            </w:r>
          </w:p>
        </w:tc>
        <w:tc>
          <w:tcPr/>
          <w:p>
            <w:pPr>
              <w:pStyle w:val="Compact"/>
              <w:jc w:val="left"/>
            </w:pPr>
            <w:r>
              <w:t xml:space="preserve">Direct competitor for enterprise sustainability</w:t>
            </w:r>
          </w:p>
        </w:tc>
      </w:tr>
      <w:tr>
        <w:tc>
          <w:tcPr/>
          <w:p>
            <w:pPr>
              <w:pStyle w:val="Compact"/>
              <w:jc w:val="left"/>
            </w:pPr>
            <w:r>
              <w:rPr>
                <w:bCs/>
                <w:b/>
              </w:rPr>
              <w:t xml:space="preserve">Copilot for Industry</w:t>
            </w:r>
          </w:p>
        </w:tc>
        <w:tc>
          <w:tcPr/>
          <w:p>
            <w:pPr>
              <w:pStyle w:val="Compact"/>
              <w:jc w:val="left"/>
            </w:pPr>
            <w:r>
              <w:t xml:space="preserve">Manufacturing, energy industry Copilots</w:t>
            </w:r>
          </w:p>
        </w:tc>
        <w:tc>
          <w:tcPr/>
          <w:p>
            <w:pPr>
              <w:pStyle w:val="Compact"/>
              <w:jc w:val="left"/>
            </w:pPr>
            <w:r>
              <w:t xml:space="preserve">May set customer expectations for AI-assisted compliance</w:t>
            </w:r>
          </w:p>
        </w:tc>
      </w:tr>
      <w:tr>
        <w:tc>
          <w:tcPr/>
          <w:p>
            <w:pPr>
              <w:pStyle w:val="Compact"/>
              <w:jc w:val="left"/>
            </w:pPr>
            <w:r>
              <w:rPr>
                <w:bCs/>
                <w:b/>
              </w:rPr>
              <w:t xml:space="preserve">Azure IoT</w:t>
            </w:r>
          </w:p>
        </w:tc>
        <w:tc>
          <w:tcPr/>
          <w:p>
            <w:pPr>
              <w:pStyle w:val="Compact"/>
              <w:jc w:val="left"/>
            </w:pPr>
            <w:r>
              <w:t xml:space="preserve">Edge runtime updates, Digital Twins</w:t>
            </w:r>
          </w:p>
        </w:tc>
        <w:tc>
          <w:tcPr/>
          <w:p>
            <w:pPr>
              <w:pStyle w:val="Compact"/>
              <w:jc w:val="left"/>
            </w:pPr>
            <w:r>
              <w:t xml:space="preserve">Alternative to AWS IoT Greengrass for edge deployment</w:t>
            </w:r>
          </w:p>
        </w:tc>
      </w:tr>
      <w:tr>
        <w:tc>
          <w:tcPr/>
          <w:p>
            <w:pPr>
              <w:pStyle w:val="Compact"/>
              <w:jc w:val="left"/>
            </w:pPr>
            <w:r>
              <w:rPr>
                <w:bCs/>
                <w:b/>
              </w:rPr>
              <w:t xml:space="preserve">GitHub Copilot</w:t>
            </w:r>
          </w:p>
        </w:tc>
        <w:tc>
          <w:tcPr/>
          <w:p>
            <w:pPr>
              <w:pStyle w:val="Compact"/>
              <w:jc w:val="left"/>
            </w:pPr>
            <w:r>
              <w:t xml:space="preserve">Agent mode advances, workspace features</w:t>
            </w:r>
          </w:p>
        </w:tc>
        <w:tc>
          <w:tcPr/>
          <w:p>
            <w:pPr>
              <w:pStyle w:val="Compact"/>
              <w:jc w:val="left"/>
            </w:pPr>
            <w:r>
              <w:t xml:space="preserve">Developer productivity competition</w:t>
            </w:r>
          </w:p>
        </w:tc>
      </w:tr>
      <w:tr>
        <w:tc>
          <w:tcPr/>
          <w:p>
            <w:pPr>
              <w:pStyle w:val="Compact"/>
              <w:jc w:val="left"/>
            </w:pPr>
            <w:r>
              <w:rPr>
                <w:bCs/>
                <w:b/>
              </w:rPr>
              <w:t xml:space="preserve">X accounts</w:t>
            </w:r>
          </w:p>
        </w:tc>
        <w:tc>
          <w:tcPr/>
          <w:p>
            <w:pPr>
              <w:pStyle w:val="Compact"/>
              <w:jc w:val="left"/>
            </w:pPr>
            <w:r>
              <w:t xml:space="preserve">@Microsoft</w:t>
            </w:r>
            <w:r>
              <w:t xml:space="preserve">,</w:t>
            </w:r>
            <w:r>
              <w:t xml:space="preserve"> </w:t>
            </w:r>
            <w:r>
              <w:t xml:space="preserve">@MSCloud</w:t>
            </w:r>
            <w:r>
              <w:t xml:space="preserve">,</w:t>
            </w:r>
            <w:r>
              <w:t xml:space="preserve"> </w:t>
            </w:r>
            <w:r>
              <w:t xml:space="preserve">@AzureIoT</w:t>
            </w:r>
          </w:p>
        </w:tc>
        <w:tc>
          <w:tcPr/>
          <w:p>
            <w:pPr>
              <w:pStyle w:val="Compact"/>
            </w:pPr>
          </w:p>
        </w:tc>
      </w:tr>
    </w:tbl>
    <w:bookmarkEnd w:id="99"/>
    <w:bookmarkStart w:id="100" w:name="ibm"/>
    <w:p>
      <w:pPr>
        <w:pStyle w:val="Heading4"/>
      </w:pPr>
      <w:r>
        <w:t xml:space="preserve">IBM</w:t>
      </w:r>
    </w:p>
    <w:tbl>
      <w:tblPr>
        <w:tblStyle w:val="Table"/>
        <w:tblW w:type="pct" w:w="5000"/>
        <w:tblLook w:firstRow="1" w:lastRow="0" w:firstColumn="0" w:lastColumn="0" w:noHBand="0" w:noVBand="0" w:val="0020"/>
        <w:jc w:val="start"/>
      </w:tblPr>
      <w:tblGrid>
        <w:gridCol w:w="1382"/>
        <w:gridCol w:w="3268"/>
        <w:gridCol w:w="3268"/>
      </w:tblGrid>
      <w:tr>
        <w:trPr>
          <w:tblHeader w:val="true"/>
        </w:trPr>
        <w:tc>
          <w:tcPr/>
          <w:p>
            <w:pPr>
              <w:pStyle w:val="Compact"/>
              <w:jc w:val="left"/>
            </w:pPr>
            <w:r>
              <w:t xml:space="preserve">Signal</w:t>
            </w:r>
          </w:p>
        </w:tc>
        <w:tc>
          <w:tcPr/>
          <w:p>
            <w:pPr>
              <w:pStyle w:val="Compact"/>
              <w:jc w:val="left"/>
            </w:pPr>
            <w:r>
              <w:t xml:space="preserve">Watch For</w:t>
            </w:r>
          </w:p>
        </w:tc>
        <w:tc>
          <w:tcPr/>
          <w:p>
            <w:pPr>
              <w:pStyle w:val="Compact"/>
              <w:jc w:val="left"/>
            </w:pPr>
            <w:r>
              <w:t xml:space="preserve">Roadmap Impact</w:t>
            </w:r>
          </w:p>
        </w:tc>
      </w:tr>
      <w:tr>
        <w:tc>
          <w:tcPr/>
          <w:p>
            <w:pPr>
              <w:pStyle w:val="Compact"/>
              <w:jc w:val="left"/>
            </w:pPr>
            <w:r>
              <w:rPr>
                <w:bCs/>
                <w:b/>
              </w:rPr>
              <w:t xml:space="preserve">IBM Envizi</w:t>
            </w:r>
          </w:p>
        </w:tc>
        <w:tc>
          <w:tcPr/>
          <w:p>
            <w:pPr>
              <w:pStyle w:val="Compact"/>
              <w:jc w:val="left"/>
            </w:pPr>
            <w:r>
              <w:t xml:space="preserve">New ESG features, industry modules, pricing</w:t>
            </w:r>
          </w:p>
        </w:tc>
        <w:tc>
          <w:tcPr/>
          <w:p>
            <w:pPr>
              <w:pStyle w:val="Compact"/>
              <w:jc w:val="left"/>
            </w:pPr>
            <w:r>
              <w:t xml:space="preserve">Direct competitor for enterprise carbon accounting</w:t>
            </w:r>
          </w:p>
        </w:tc>
      </w:tr>
      <w:tr>
        <w:tc>
          <w:tcPr/>
          <w:p>
            <w:pPr>
              <w:pStyle w:val="Compact"/>
              <w:jc w:val="left"/>
            </w:pPr>
            <w:r>
              <w:rPr>
                <w:bCs/>
                <w:b/>
              </w:rPr>
              <w:t xml:space="preserve">watsonx.ai</w:t>
            </w:r>
          </w:p>
        </w:tc>
        <w:tc>
          <w:tcPr/>
          <w:p>
            <w:pPr>
              <w:pStyle w:val="Compact"/>
              <w:jc w:val="left"/>
            </w:pPr>
            <w:r>
              <w:t xml:space="preserve">New foundation models, industry models</w:t>
            </w:r>
          </w:p>
        </w:tc>
        <w:tc>
          <w:tcPr/>
          <w:p>
            <w:pPr>
              <w:pStyle w:val="Compact"/>
              <w:jc w:val="left"/>
            </w:pPr>
            <w:r>
              <w:t xml:space="preserve">Alternative LLM for industrial-specific AI</w:t>
            </w:r>
          </w:p>
        </w:tc>
      </w:tr>
      <w:tr>
        <w:tc>
          <w:tcPr/>
          <w:p>
            <w:pPr>
              <w:pStyle w:val="Compact"/>
              <w:jc w:val="left"/>
            </w:pPr>
            <w:r>
              <w:rPr>
                <w:bCs/>
                <w:b/>
              </w:rPr>
              <w:t xml:space="preserve">watsonx.governance</w:t>
            </w:r>
          </w:p>
        </w:tc>
        <w:tc>
          <w:tcPr/>
          <w:p>
            <w:pPr>
              <w:pStyle w:val="Compact"/>
              <w:jc w:val="left"/>
            </w:pPr>
            <w:r>
              <w:t xml:space="preserve">AI governance tools, EU AI Act features</w:t>
            </w:r>
          </w:p>
        </w:tc>
        <w:tc>
          <w:tcPr/>
          <w:p>
            <w:pPr>
              <w:pStyle w:val="Compact"/>
              <w:jc w:val="left"/>
            </w:pPr>
            <w:r>
              <w:t xml:space="preserve">Reference for our EU AI Act compliance (PRs 078-083)</w:t>
            </w:r>
          </w:p>
        </w:tc>
      </w:tr>
      <w:tr>
        <w:tc>
          <w:tcPr/>
          <w:p>
            <w:pPr>
              <w:pStyle w:val="Compact"/>
              <w:jc w:val="left"/>
            </w:pPr>
            <w:r>
              <w:rPr>
                <w:bCs/>
                <w:b/>
              </w:rPr>
              <w:t xml:space="preserve">IBM Consulting</w:t>
            </w:r>
          </w:p>
        </w:tc>
        <w:tc>
          <w:tcPr/>
          <w:p>
            <w:pPr>
              <w:pStyle w:val="Compact"/>
              <w:jc w:val="left"/>
            </w:pPr>
            <w:r>
              <w:t xml:space="preserve">Sustainability practice announcements, partner deals</w:t>
            </w:r>
          </w:p>
        </w:tc>
        <w:tc>
          <w:tcPr/>
          <w:p>
            <w:pPr>
              <w:pStyle w:val="Compact"/>
              <w:jc w:val="left"/>
            </w:pPr>
            <w:r>
              <w:t xml:space="preserve">May influence enterprise buyer expectations</w:t>
            </w:r>
          </w:p>
        </w:tc>
      </w:tr>
      <w:tr>
        <w:tc>
          <w:tcPr/>
          <w:p>
            <w:pPr>
              <w:pStyle w:val="Compact"/>
              <w:jc w:val="left"/>
            </w:pPr>
            <w:r>
              <w:rPr>
                <w:bCs/>
                <w:b/>
              </w:rPr>
              <w:t xml:space="preserve">Granite models</w:t>
            </w:r>
          </w:p>
        </w:tc>
        <w:tc>
          <w:tcPr/>
          <w:p>
            <w:pPr>
              <w:pStyle w:val="Compact"/>
              <w:jc w:val="left"/>
            </w:pPr>
            <w:r>
              <w:t xml:space="preserve">Open-source enterprise models</w:t>
            </w:r>
          </w:p>
        </w:tc>
        <w:tc>
          <w:tcPr/>
          <w:p>
            <w:pPr>
              <w:pStyle w:val="Compact"/>
              <w:jc w:val="left"/>
            </w:pPr>
            <w:r>
              <w:t xml:space="preserve">Potential base model for climate LLM fine-tuning</w:t>
            </w:r>
          </w:p>
        </w:tc>
      </w:tr>
      <w:tr>
        <w:tc>
          <w:tcPr/>
          <w:p>
            <w:pPr>
              <w:pStyle w:val="Compact"/>
              <w:jc w:val="left"/>
            </w:pPr>
            <w:r>
              <w:rPr>
                <w:bCs/>
                <w:b/>
              </w:rPr>
              <w:t xml:space="preserve">X accounts</w:t>
            </w:r>
          </w:p>
        </w:tc>
        <w:tc>
          <w:tcPr/>
          <w:p>
            <w:pPr>
              <w:pStyle w:val="Compact"/>
              <w:jc w:val="left"/>
            </w:pPr>
            <w:r>
              <w:t xml:space="preserve">@IBM</w:t>
            </w:r>
            <w:r>
              <w:t xml:space="preserve">,</w:t>
            </w:r>
            <w:r>
              <w:t xml:space="preserve"> </w:t>
            </w:r>
            <w:r>
              <w:t xml:space="preserve">@IBMResearch</w:t>
            </w:r>
            <w:r>
              <w:t xml:space="preserve">,</w:t>
            </w:r>
            <w:r>
              <w:t xml:space="preserve"> </w:t>
            </w:r>
            <w:r>
              <w:t xml:space="preserve">@IBMSustain</w:t>
            </w:r>
          </w:p>
        </w:tc>
        <w:tc>
          <w:tcPr/>
          <w:p>
            <w:pPr>
              <w:pStyle w:val="Compact"/>
            </w:pPr>
          </w:p>
        </w:tc>
      </w:tr>
    </w:tbl>
    <w:bookmarkEnd w:id="100"/>
    <w:bookmarkStart w:id="101" w:name="aws"/>
    <w:p>
      <w:pPr>
        <w:pStyle w:val="Heading4"/>
      </w:pPr>
      <w:r>
        <w:t xml:space="preserve">AWS</w:t>
      </w:r>
    </w:p>
    <w:tbl>
      <w:tblPr>
        <w:tblStyle w:val="Table"/>
        <w:tblW w:type="pct" w:w="5000"/>
        <w:tblLook w:firstRow="1" w:lastRow="0" w:firstColumn="0" w:lastColumn="0" w:noHBand="0" w:noVBand="0" w:val="0020"/>
        <w:jc w:val="start"/>
      </w:tblPr>
      <w:tblGrid>
        <w:gridCol w:w="1702"/>
        <w:gridCol w:w="3256"/>
        <w:gridCol w:w="2960"/>
      </w:tblGrid>
      <w:tr>
        <w:trPr>
          <w:tblHeader w:val="true"/>
        </w:trPr>
        <w:tc>
          <w:tcPr/>
          <w:p>
            <w:pPr>
              <w:pStyle w:val="Compact"/>
              <w:jc w:val="left"/>
            </w:pPr>
            <w:r>
              <w:t xml:space="preserve">Signal</w:t>
            </w:r>
          </w:p>
        </w:tc>
        <w:tc>
          <w:tcPr/>
          <w:p>
            <w:pPr>
              <w:pStyle w:val="Compact"/>
              <w:jc w:val="left"/>
            </w:pPr>
            <w:r>
              <w:t xml:space="preserve">Watch For</w:t>
            </w:r>
          </w:p>
        </w:tc>
        <w:tc>
          <w:tcPr/>
          <w:p>
            <w:pPr>
              <w:pStyle w:val="Compact"/>
              <w:jc w:val="left"/>
            </w:pPr>
            <w:r>
              <w:t xml:space="preserve">Roadmap Impact</w:t>
            </w:r>
          </w:p>
        </w:tc>
      </w:tr>
      <w:tr>
        <w:tc>
          <w:tcPr/>
          <w:p>
            <w:pPr>
              <w:pStyle w:val="Compact"/>
              <w:jc w:val="left"/>
            </w:pPr>
            <w:r>
              <w:rPr>
                <w:bCs/>
                <w:b/>
              </w:rPr>
              <w:t xml:space="preserve">AWS IoT Greengrass</w:t>
            </w:r>
          </w:p>
        </w:tc>
        <w:tc>
          <w:tcPr/>
          <w:p>
            <w:pPr>
              <w:pStyle w:val="Compact"/>
              <w:jc w:val="left"/>
            </w:pPr>
            <w:r>
              <w:t xml:space="preserve">Edge runtime updates, ML inference at edge</w:t>
            </w:r>
          </w:p>
        </w:tc>
        <w:tc>
          <w:tcPr/>
          <w:p>
            <w:pPr>
              <w:pStyle w:val="Compact"/>
              <w:jc w:val="left"/>
            </w:pPr>
            <w:r>
              <w:t xml:space="preserve">Phase 4 IoT pipeline (PRs 151-160)</w:t>
            </w:r>
          </w:p>
        </w:tc>
      </w:tr>
      <w:tr>
        <w:tc>
          <w:tcPr/>
          <w:p>
            <w:pPr>
              <w:pStyle w:val="Compact"/>
              <w:jc w:val="left"/>
            </w:pPr>
            <w:r>
              <w:rPr>
                <w:bCs/>
                <w:b/>
              </w:rPr>
              <w:t xml:space="preserve">Amazon Bedrock</w:t>
            </w:r>
          </w:p>
        </w:tc>
        <w:tc>
          <w:tcPr/>
          <w:p>
            <w:pPr>
              <w:pStyle w:val="Compact"/>
              <w:jc w:val="left"/>
            </w:pPr>
            <w:r>
              <w:t xml:space="preserve">New models, agent framework, knowledge bases</w:t>
            </w:r>
          </w:p>
        </w:tc>
        <w:tc>
          <w:tcPr/>
          <w:p>
            <w:pPr>
              <w:pStyle w:val="Compact"/>
              <w:jc w:val="left"/>
            </w:pPr>
            <w:r>
              <w:t xml:space="preserve">Multi-LLM infrastructure alternative</w:t>
            </w:r>
          </w:p>
        </w:tc>
      </w:tr>
      <w:tr>
        <w:tc>
          <w:tcPr/>
          <w:p>
            <w:pPr>
              <w:pStyle w:val="Compact"/>
              <w:jc w:val="left"/>
            </w:pPr>
            <w:r>
              <w:rPr>
                <w:bCs/>
                <w:b/>
              </w:rPr>
              <w:t xml:space="preserve">AWS Sustainability</w:t>
            </w:r>
          </w:p>
        </w:tc>
        <w:tc>
          <w:tcPr/>
          <w:p>
            <w:pPr>
              <w:pStyle w:val="Compact"/>
              <w:jc w:val="left"/>
            </w:pPr>
            <w:r>
              <w:t xml:space="preserve">Customer Carbon Footprint Tool updates</w:t>
            </w:r>
          </w:p>
        </w:tc>
        <w:tc>
          <w:tcPr/>
          <w:p>
            <w:pPr>
              <w:pStyle w:val="Compact"/>
              <w:jc w:val="left"/>
            </w:pPr>
            <w:r>
              <w:t xml:space="preserve">May commoditize basic carbon tracking</w:t>
            </w:r>
          </w:p>
        </w:tc>
      </w:tr>
      <w:tr>
        <w:tc>
          <w:tcPr/>
          <w:p>
            <w:pPr>
              <w:pStyle w:val="Compact"/>
              <w:jc w:val="left"/>
            </w:pPr>
            <w:r>
              <w:rPr>
                <w:bCs/>
                <w:b/>
              </w:rPr>
              <w:t xml:space="preserve">SageMaker</w:t>
            </w:r>
          </w:p>
        </w:tc>
        <w:tc>
          <w:tcPr/>
          <w:p>
            <w:pPr>
              <w:pStyle w:val="Compact"/>
              <w:jc w:val="left"/>
            </w:pPr>
            <w:r>
              <w:t xml:space="preserve">Training cost reductions, new instance types</w:t>
            </w:r>
          </w:p>
        </w:tc>
        <w:tc>
          <w:tcPr/>
          <w:p>
            <w:pPr>
              <w:pStyle w:val="Compact"/>
              <w:jc w:val="left"/>
            </w:pPr>
            <w:r>
              <w:t xml:space="preserve">Climate LLM training cost optimization</w:t>
            </w:r>
          </w:p>
        </w:tc>
      </w:tr>
      <w:tr>
        <w:tc>
          <w:tcPr/>
          <w:p>
            <w:pPr>
              <w:pStyle w:val="Compact"/>
              <w:jc w:val="left"/>
            </w:pPr>
            <w:r>
              <w:rPr>
                <w:bCs/>
                <w:b/>
              </w:rPr>
              <w:t xml:space="preserve">AWS Credits</w:t>
            </w:r>
          </w:p>
        </w:tc>
        <w:tc>
          <w:tcPr/>
          <w:p>
            <w:pPr>
              <w:pStyle w:val="Compact"/>
              <w:jc w:val="left"/>
            </w:pPr>
            <w:r>
              <w:t xml:space="preserve">Startup program, sustainability credits</w:t>
            </w:r>
          </w:p>
        </w:tc>
        <w:tc>
          <w:tcPr/>
          <w:p>
            <w:pPr>
              <w:pStyle w:val="Compact"/>
              <w:jc w:val="left"/>
            </w:pPr>
            <w:r>
              <w:t xml:space="preserve">Infrastructure cost offset</w:t>
            </w:r>
          </w:p>
        </w:tc>
      </w:tr>
      <w:tr>
        <w:tc>
          <w:tcPr/>
          <w:p>
            <w:pPr>
              <w:pStyle w:val="Compact"/>
              <w:jc w:val="left"/>
            </w:pPr>
            <w:r>
              <w:rPr>
                <w:bCs/>
                <w:b/>
              </w:rPr>
              <w:t xml:space="preserve">EU Region expansion</w:t>
            </w:r>
          </w:p>
        </w:tc>
        <w:tc>
          <w:tcPr/>
          <w:p>
            <w:pPr>
              <w:pStyle w:val="Compact"/>
              <w:jc w:val="left"/>
            </w:pPr>
            <w:r>
              <w:t xml:space="preserve">New EU regions, data residency guarantees</w:t>
            </w:r>
          </w:p>
        </w:tc>
        <w:tc>
          <w:tcPr/>
          <w:p>
            <w:pPr>
              <w:pStyle w:val="Compact"/>
              <w:jc w:val="left"/>
            </w:pPr>
            <w:r>
              <w:t xml:space="preserve">Multi-region deployment options (PR 216)</w:t>
            </w:r>
          </w:p>
        </w:tc>
      </w:tr>
      <w:tr>
        <w:tc>
          <w:tcPr/>
          <w:p>
            <w:pPr>
              <w:pStyle w:val="Compact"/>
              <w:jc w:val="left"/>
            </w:pPr>
            <w:r>
              <w:rPr>
                <w:bCs/>
                <w:b/>
              </w:rPr>
              <w:t xml:space="preserve">X accounts</w:t>
            </w:r>
          </w:p>
        </w:tc>
        <w:tc>
          <w:tcPr/>
          <w:p>
            <w:pPr>
              <w:pStyle w:val="Compact"/>
              <w:jc w:val="left"/>
            </w:pPr>
            <w:r>
              <w:t xml:space="preserve">@awscloud</w:t>
            </w:r>
            <w:r>
              <w:t xml:space="preserve">,</w:t>
            </w:r>
            <w:r>
              <w:t xml:space="preserve"> </w:t>
            </w:r>
            <w:r>
              <w:t xml:space="preserve">@AWSstartups</w:t>
            </w:r>
            <w:r>
              <w:t xml:space="preserve">,</w:t>
            </w:r>
            <w:r>
              <w:t xml:space="preserve"> </w:t>
            </w:r>
            <w:r>
              <w:t xml:space="preserve">@AWSIoT</w:t>
            </w:r>
          </w:p>
        </w:tc>
        <w:tc>
          <w:tcPr/>
          <w:p>
            <w:pPr>
              <w:pStyle w:val="Compact"/>
            </w:pPr>
          </w:p>
        </w:tc>
      </w:tr>
    </w:tbl>
    <w:bookmarkEnd w:id="101"/>
    <w:bookmarkStart w:id="102" w:name="anthropic"/>
    <w:p>
      <w:pPr>
        <w:pStyle w:val="Heading4"/>
      </w:pPr>
      <w:r>
        <w:t xml:space="preserve">Anthropic</w:t>
      </w:r>
    </w:p>
    <w:tbl>
      <w:tblPr>
        <w:tblStyle w:val="Table"/>
        <w:tblW w:type="pct" w:w="5000"/>
        <w:tblLook w:firstRow="1" w:lastRow="0" w:firstColumn="0" w:lastColumn="0" w:noHBand="0" w:noVBand="0" w:val="0020"/>
        <w:jc w:val="start"/>
      </w:tblPr>
      <w:tblGrid>
        <w:gridCol w:w="1823"/>
        <w:gridCol w:w="2848"/>
        <w:gridCol w:w="3247"/>
      </w:tblGrid>
      <w:tr>
        <w:trPr>
          <w:tblHeader w:val="true"/>
        </w:trPr>
        <w:tc>
          <w:tcPr/>
          <w:p>
            <w:pPr>
              <w:pStyle w:val="Compact"/>
              <w:jc w:val="left"/>
            </w:pPr>
            <w:r>
              <w:t xml:space="preserve">Signal</w:t>
            </w:r>
          </w:p>
        </w:tc>
        <w:tc>
          <w:tcPr/>
          <w:p>
            <w:pPr>
              <w:pStyle w:val="Compact"/>
              <w:jc w:val="left"/>
            </w:pPr>
            <w:r>
              <w:t xml:space="preserve">Watch For</w:t>
            </w:r>
          </w:p>
        </w:tc>
        <w:tc>
          <w:tcPr/>
          <w:p>
            <w:pPr>
              <w:pStyle w:val="Compact"/>
              <w:jc w:val="left"/>
            </w:pPr>
            <w:r>
              <w:t xml:space="preserve">Roadmap Impact</w:t>
            </w:r>
          </w:p>
        </w:tc>
      </w:tr>
      <w:tr>
        <w:tc>
          <w:tcPr/>
          <w:p>
            <w:pPr>
              <w:pStyle w:val="Compact"/>
              <w:jc w:val="left"/>
            </w:pPr>
            <w:r>
              <w:rPr>
                <w:bCs/>
                <w:b/>
              </w:rPr>
              <w:t xml:space="preserve">Claude model releases</w:t>
            </w:r>
          </w:p>
        </w:tc>
        <w:tc>
          <w:tcPr/>
          <w:p>
            <w:pPr>
              <w:pStyle w:val="Compact"/>
              <w:jc w:val="left"/>
            </w:pPr>
            <w:r>
              <w:t xml:space="preserve">Claude 5+, capabilities, context window, pricing</w:t>
            </w:r>
          </w:p>
        </w:tc>
        <w:tc>
          <w:tcPr/>
          <w:p>
            <w:pPr>
              <w:pStyle w:val="Compact"/>
              <w:jc w:val="left"/>
            </w:pPr>
            <w:r>
              <w:t xml:space="preserve">Core AI engine — every model upgrade improves all agents</w:t>
            </w:r>
          </w:p>
        </w:tc>
      </w:tr>
      <w:tr>
        <w:tc>
          <w:tcPr/>
          <w:p>
            <w:pPr>
              <w:pStyle w:val="Compact"/>
              <w:jc w:val="left"/>
            </w:pPr>
            <w:r>
              <w:rPr>
                <w:bCs/>
                <w:b/>
              </w:rPr>
              <w:t xml:space="preserve">MCP (Model Context Protocol)</w:t>
            </w:r>
          </w:p>
        </w:tc>
        <w:tc>
          <w:tcPr/>
          <w:p>
            <w:pPr>
              <w:pStyle w:val="Compact"/>
              <w:jc w:val="left"/>
            </w:pPr>
            <w:r>
              <w:t xml:space="preserve">New tools, server spec changes, ecosystem growth</w:t>
            </w:r>
          </w:p>
        </w:tc>
        <w:tc>
          <w:tcPr/>
          <w:p>
            <w:pPr>
              <w:pStyle w:val="Compact"/>
              <w:jc w:val="left"/>
            </w:pPr>
            <w:r>
              <w:t xml:space="preserve">MCP hub architecture (entire agent layer depends on this)</w:t>
            </w:r>
          </w:p>
        </w:tc>
      </w:tr>
      <w:tr>
        <w:tc>
          <w:tcPr/>
          <w:p>
            <w:pPr>
              <w:pStyle w:val="Compact"/>
              <w:jc w:val="left"/>
            </w:pPr>
            <w:r>
              <w:rPr>
                <w:bCs/>
                <w:b/>
              </w:rPr>
              <w:t xml:space="preserve">Claude Code</w:t>
            </w:r>
          </w:p>
        </w:tc>
        <w:tc>
          <w:tcPr/>
          <w:p>
            <w:pPr>
              <w:pStyle w:val="Compact"/>
              <w:jc w:val="left"/>
            </w:pPr>
            <w:r>
              <w:t xml:space="preserve">New features, agent SDK improvements</w:t>
            </w:r>
          </w:p>
        </w:tc>
        <w:tc>
          <w:tcPr/>
          <w:p>
            <w:pPr>
              <w:pStyle w:val="Compact"/>
              <w:jc w:val="left"/>
            </w:pPr>
            <w:r>
              <w:t xml:space="preserve">Development velocity, worktree workflows</w:t>
            </w:r>
          </w:p>
        </w:tc>
      </w:tr>
      <w:tr>
        <w:tc>
          <w:tcPr/>
          <w:p>
            <w:pPr>
              <w:pStyle w:val="Compact"/>
              <w:jc w:val="left"/>
            </w:pPr>
            <w:r>
              <w:rPr>
                <w:bCs/>
                <w:b/>
              </w:rPr>
              <w:t xml:space="preserve">Tool use improvements</w:t>
            </w:r>
          </w:p>
        </w:tc>
        <w:tc>
          <w:tcPr/>
          <w:p>
            <w:pPr>
              <w:pStyle w:val="Compact"/>
              <w:jc w:val="left"/>
            </w:pPr>
            <w:r>
              <w:t xml:space="preserve">Better structured output, parallel tool calls</w:t>
            </w:r>
          </w:p>
        </w:tc>
        <w:tc>
          <w:tcPr/>
          <w:p>
            <w:pPr>
              <w:pStyle w:val="Compact"/>
              <w:jc w:val="left"/>
            </w:pPr>
            <w:r>
              <w:t xml:space="preserve">Agent reliability and performance</w:t>
            </w:r>
          </w:p>
        </w:tc>
      </w:tr>
      <w:tr>
        <w:tc>
          <w:tcPr/>
          <w:p>
            <w:pPr>
              <w:pStyle w:val="Compact"/>
              <w:jc w:val="left"/>
            </w:pPr>
            <w:r>
              <w:rPr>
                <w:bCs/>
                <w:b/>
              </w:rPr>
              <w:t xml:space="preserve">Pricing changes</w:t>
            </w:r>
          </w:p>
        </w:tc>
        <w:tc>
          <w:tcPr/>
          <w:p>
            <w:pPr>
              <w:pStyle w:val="Compact"/>
              <w:jc w:val="left"/>
            </w:pPr>
            <w:r>
              <w:t xml:space="preserve">API price drops/increases, new tiers</w:t>
            </w:r>
          </w:p>
        </w:tc>
        <w:tc>
          <w:tcPr/>
          <w:p>
            <w:pPr>
              <w:pStyle w:val="Compact"/>
              <w:jc w:val="left"/>
            </w:pPr>
            <w:r>
              <w:t xml:space="preserve">Operating cost for climate assistant (PRs 046-177)</w:t>
            </w:r>
          </w:p>
        </w:tc>
      </w:tr>
      <w:tr>
        <w:tc>
          <w:tcPr/>
          <w:p>
            <w:pPr>
              <w:pStyle w:val="Compact"/>
              <w:jc w:val="left"/>
            </w:pPr>
            <w:r>
              <w:rPr>
                <w:bCs/>
                <w:b/>
              </w:rPr>
              <w:t xml:space="preserve">Safety research</w:t>
            </w:r>
          </w:p>
        </w:tc>
        <w:tc>
          <w:tcPr/>
          <w:p>
            <w:pPr>
              <w:pStyle w:val="Compact"/>
              <w:jc w:val="left"/>
            </w:pPr>
            <w:r>
              <w:t xml:space="preserve">Constitutional AI updates, EU AI Act alignment</w:t>
            </w:r>
          </w:p>
        </w:tc>
        <w:tc>
          <w:tcPr/>
          <w:p>
            <w:pPr>
              <w:pStyle w:val="Compact"/>
              <w:jc w:val="left"/>
            </w:pPr>
            <w:r>
              <w:t xml:space="preserve">Reasoning lineage compliance (PRs 078-083)</w:t>
            </w:r>
          </w:p>
        </w:tc>
      </w:tr>
      <w:tr>
        <w:tc>
          <w:tcPr/>
          <w:p>
            <w:pPr>
              <w:pStyle w:val="Compact"/>
              <w:jc w:val="left"/>
            </w:pPr>
            <w:r>
              <w:rPr>
                <w:bCs/>
                <w:b/>
              </w:rPr>
              <w:t xml:space="preserve">X accounts</w:t>
            </w:r>
          </w:p>
        </w:tc>
        <w:tc>
          <w:tcPr/>
          <w:p>
            <w:pPr>
              <w:pStyle w:val="Compact"/>
              <w:jc w:val="left"/>
            </w:pPr>
            <w:r>
              <w:t xml:space="preserve">@AnthropicAI</w:t>
            </w:r>
            <w:r>
              <w:t xml:space="preserve">,</w:t>
            </w:r>
            <w:r>
              <w:t xml:space="preserve"> </w:t>
            </w:r>
            <w:r>
              <w:t xml:space="preserve">@alexalbert</w:t>
            </w:r>
            <w:r>
              <w:t xml:space="preserve">__,</w:t>
            </w:r>
            <w:r>
              <w:t xml:space="preserve"> </w:t>
            </w:r>
            <w:r>
              <w:t xml:space="preserve">@aabornadel</w:t>
            </w:r>
            <w:r>
              <w:t xml:space="preserve"> </w:t>
            </w:r>
            <w:r>
              <w:t xml:space="preserve">(Dario)</w:t>
            </w:r>
          </w:p>
        </w:tc>
        <w:tc>
          <w:tcPr/>
          <w:p>
            <w:pPr>
              <w:pStyle w:val="Compact"/>
            </w:pPr>
          </w:p>
        </w:tc>
      </w:tr>
    </w:tbl>
    <w:bookmarkEnd w:id="102"/>
    <w:bookmarkStart w:id="103" w:name="openai"/>
    <w:p>
      <w:pPr>
        <w:pStyle w:val="Heading4"/>
      </w:pPr>
      <w:r>
        <w:t xml:space="preserve">OpenAI</w:t>
      </w:r>
    </w:p>
    <w:tbl>
      <w:tblPr>
        <w:tblStyle w:val="Table"/>
        <w:tblW w:type="pct" w:w="5000"/>
        <w:tblLook w:firstRow="1" w:lastRow="0" w:firstColumn="0" w:lastColumn="0" w:noHBand="0" w:noVBand="0" w:val="0020"/>
        <w:jc w:val="start"/>
      </w:tblPr>
      <w:tblGrid>
        <w:gridCol w:w="1571"/>
        <w:gridCol w:w="2901"/>
        <w:gridCol w:w="3446"/>
      </w:tblGrid>
      <w:tr>
        <w:trPr>
          <w:tblHeader w:val="true"/>
        </w:trPr>
        <w:tc>
          <w:tcPr/>
          <w:p>
            <w:pPr>
              <w:pStyle w:val="Compact"/>
              <w:jc w:val="left"/>
            </w:pPr>
            <w:r>
              <w:t xml:space="preserve">Signal</w:t>
            </w:r>
          </w:p>
        </w:tc>
        <w:tc>
          <w:tcPr/>
          <w:p>
            <w:pPr>
              <w:pStyle w:val="Compact"/>
              <w:jc w:val="left"/>
            </w:pPr>
            <w:r>
              <w:t xml:space="preserve">Watch For</w:t>
            </w:r>
          </w:p>
        </w:tc>
        <w:tc>
          <w:tcPr/>
          <w:p>
            <w:pPr>
              <w:pStyle w:val="Compact"/>
              <w:jc w:val="left"/>
            </w:pPr>
            <w:r>
              <w:t xml:space="preserve">Roadmap Impact</w:t>
            </w:r>
          </w:p>
        </w:tc>
      </w:tr>
      <w:tr>
        <w:tc>
          <w:tcPr/>
          <w:p>
            <w:pPr>
              <w:pStyle w:val="Compact"/>
              <w:jc w:val="left"/>
            </w:pPr>
            <w:r>
              <w:rPr>
                <w:bCs/>
                <w:b/>
              </w:rPr>
              <w:t xml:space="preserve">GPT-5+ releases</w:t>
            </w:r>
          </w:p>
        </w:tc>
        <w:tc>
          <w:tcPr/>
          <w:p>
            <w:pPr>
              <w:pStyle w:val="Compact"/>
              <w:jc w:val="left"/>
            </w:pPr>
            <w:r>
              <w:t xml:space="preserve">New capabilities, reasoning, tool use</w:t>
            </w:r>
          </w:p>
        </w:tc>
        <w:tc>
          <w:tcPr/>
          <w:p>
            <w:pPr>
              <w:pStyle w:val="Compact"/>
              <w:jc w:val="left"/>
            </w:pPr>
            <w:r>
              <w:t xml:space="preserve">Competitive pressure — customers may ask</w:t>
            </w:r>
            <w:r>
              <w:t xml:space="preserve"> </w:t>
            </w:r>
            <w:r>
              <w:t xml:space="preserve">“</w:t>
            </w:r>
            <w:r>
              <w:t xml:space="preserve">why not GPT?</w:t>
            </w:r>
            <w:r>
              <w:t xml:space="preserve">”</w:t>
            </w:r>
          </w:p>
        </w:tc>
      </w:tr>
      <w:tr>
        <w:tc>
          <w:tcPr/>
          <w:p>
            <w:pPr>
              <w:pStyle w:val="Compact"/>
              <w:jc w:val="left"/>
            </w:pPr>
            <w:r>
              <w:rPr>
                <w:bCs/>
                <w:b/>
              </w:rPr>
              <w:t xml:space="preserve">o3/o4 reasoning models</w:t>
            </w:r>
          </w:p>
        </w:tc>
        <w:tc>
          <w:tcPr/>
          <w:p>
            <w:pPr>
              <w:pStyle w:val="Compact"/>
              <w:jc w:val="left"/>
            </w:pPr>
            <w:r>
              <w:t xml:space="preserve">Reasoning capability, cost/performance tradeoffs</w:t>
            </w:r>
          </w:p>
        </w:tc>
        <w:tc>
          <w:tcPr/>
          <w:p>
            <w:pPr>
              <w:pStyle w:val="Compact"/>
              <w:jc w:val="left"/>
            </w:pPr>
            <w:r>
              <w:t xml:space="preserve">May force us to offer multi-model choice</w:t>
            </w:r>
          </w:p>
        </w:tc>
      </w:tr>
      <w:tr>
        <w:tc>
          <w:tcPr/>
          <w:p>
            <w:pPr>
              <w:pStyle w:val="Compact"/>
              <w:jc w:val="left"/>
            </w:pPr>
            <w:r>
              <w:rPr>
                <w:bCs/>
                <w:b/>
              </w:rPr>
              <w:t xml:space="preserve">API pricing</w:t>
            </w:r>
          </w:p>
        </w:tc>
        <w:tc>
          <w:tcPr/>
          <w:p>
            <w:pPr>
              <w:pStyle w:val="Compact"/>
              <w:jc w:val="left"/>
            </w:pPr>
            <w:r>
              <w:t xml:space="preserve">Price drops that shift market expectations</w:t>
            </w:r>
          </w:p>
        </w:tc>
        <w:tc>
          <w:tcPr/>
          <w:p>
            <w:pPr>
              <w:pStyle w:val="Compact"/>
              <w:jc w:val="left"/>
            </w:pPr>
            <w:r>
              <w:t xml:space="preserve">Pressure on our pricing if competitors use cheaper models</w:t>
            </w:r>
          </w:p>
        </w:tc>
      </w:tr>
      <w:tr>
        <w:tc>
          <w:tcPr/>
          <w:p>
            <w:pPr>
              <w:pStyle w:val="Compact"/>
              <w:jc w:val="left"/>
            </w:pPr>
            <w:r>
              <w:rPr>
                <w:bCs/>
                <w:b/>
              </w:rPr>
              <w:t xml:space="preserve">Enterprise features</w:t>
            </w:r>
          </w:p>
        </w:tc>
        <w:tc>
          <w:tcPr/>
          <w:p>
            <w:pPr>
              <w:pStyle w:val="Compact"/>
              <w:jc w:val="left"/>
            </w:pPr>
            <w:r>
              <w:t xml:space="preserve">Data residency, compliance certifications</w:t>
            </w:r>
          </w:p>
        </w:tc>
        <w:tc>
          <w:tcPr/>
          <w:p>
            <w:pPr>
              <w:pStyle w:val="Compact"/>
              <w:jc w:val="left"/>
            </w:pPr>
            <w:r>
              <w:t xml:space="preserve">Enterprise buyers may demand OpenAI model option</w:t>
            </w:r>
          </w:p>
        </w:tc>
      </w:tr>
      <w:tr>
        <w:tc>
          <w:tcPr/>
          <w:p>
            <w:pPr>
              <w:pStyle w:val="Compact"/>
              <w:jc w:val="left"/>
            </w:pPr>
            <w:r>
              <w:rPr>
                <w:bCs/>
                <w:b/>
              </w:rPr>
              <w:t xml:space="preserve">Agents / Swarm</w:t>
            </w:r>
          </w:p>
        </w:tc>
        <w:tc>
          <w:tcPr/>
          <w:p>
            <w:pPr>
              <w:pStyle w:val="Compact"/>
              <w:jc w:val="left"/>
            </w:pPr>
            <w:r>
              <w:t xml:space="preserve">Multi-agent frameworks, production deployment</w:t>
            </w:r>
          </w:p>
        </w:tc>
        <w:tc>
          <w:tcPr/>
          <w:p>
            <w:pPr>
              <w:pStyle w:val="Compact"/>
              <w:jc w:val="left"/>
            </w:pPr>
            <w:r>
              <w:t xml:space="preserve">Reference architecture for our agentic AI (Phase 4)</w:t>
            </w:r>
          </w:p>
        </w:tc>
      </w:tr>
      <w:tr>
        <w:tc>
          <w:tcPr/>
          <w:p>
            <w:pPr>
              <w:pStyle w:val="Compact"/>
              <w:jc w:val="left"/>
            </w:pPr>
            <w:r>
              <w:rPr>
                <w:bCs/>
                <w:b/>
              </w:rPr>
              <w:t xml:space="preserve">X accounts</w:t>
            </w:r>
          </w:p>
        </w:tc>
        <w:tc>
          <w:tcPr/>
          <w:p>
            <w:pPr>
              <w:pStyle w:val="Compact"/>
              <w:jc w:val="left"/>
            </w:pPr>
            <w:r>
              <w:t xml:space="preserve">@OpenAI</w:t>
            </w:r>
            <w:r>
              <w:t xml:space="preserve">,</w:t>
            </w:r>
            <w:r>
              <w:t xml:space="preserve"> </w:t>
            </w:r>
            <w:r>
              <w:t xml:space="preserve">@sama</w:t>
            </w:r>
            <w:r>
              <w:t xml:space="preserve">,</w:t>
            </w:r>
            <w:r>
              <w:t xml:space="preserve"> </w:t>
            </w:r>
            <w:r>
              <w:t xml:space="preserve">@gabornadel</w:t>
            </w:r>
            <w:r>
              <w:t xml:space="preserve"> </w:t>
            </w:r>
            <w:r>
              <w:t xml:space="preserve">(Greg Brockman)</w:t>
            </w:r>
          </w:p>
        </w:tc>
        <w:tc>
          <w:tcPr/>
          <w:p>
            <w:pPr>
              <w:pStyle w:val="Compact"/>
            </w:pPr>
          </w:p>
        </w:tc>
      </w:tr>
    </w:tbl>
    <w:bookmarkEnd w:id="103"/>
    <w:bookmarkStart w:id="104" w:name="chinese-llms-deepseek-qwen-yi-baichuan"/>
    <w:p>
      <w:pPr>
        <w:pStyle w:val="Heading4"/>
      </w:pPr>
      <w:r>
        <w:t xml:space="preserve">Chinese LLMs (DeepSeek, Qwen, Yi, Baichuan)</w:t>
      </w:r>
    </w:p>
    <w:tbl>
      <w:tblPr>
        <w:tblStyle w:val="Table"/>
        <w:tblW w:type="pct" w:w="5000"/>
        <w:tblLook w:firstRow="1" w:lastRow="0" w:firstColumn="0" w:lastColumn="0" w:noHBand="0" w:noVBand="0" w:val="0020"/>
        <w:jc w:val="start"/>
      </w:tblPr>
      <w:tblGrid>
        <w:gridCol w:w="1415"/>
        <w:gridCol w:w="2477"/>
        <w:gridCol w:w="4026"/>
      </w:tblGrid>
      <w:tr>
        <w:trPr>
          <w:tblHeader w:val="true"/>
        </w:trPr>
        <w:tc>
          <w:tcPr/>
          <w:p>
            <w:pPr>
              <w:pStyle w:val="Compact"/>
              <w:jc w:val="left"/>
            </w:pPr>
            <w:r>
              <w:t xml:space="preserve">Signal</w:t>
            </w:r>
          </w:p>
        </w:tc>
        <w:tc>
          <w:tcPr/>
          <w:p>
            <w:pPr>
              <w:pStyle w:val="Compact"/>
              <w:jc w:val="left"/>
            </w:pPr>
            <w:r>
              <w:t xml:space="preserve">Watch For</w:t>
            </w:r>
          </w:p>
        </w:tc>
        <w:tc>
          <w:tcPr/>
          <w:p>
            <w:pPr>
              <w:pStyle w:val="Compact"/>
              <w:jc w:val="left"/>
            </w:pPr>
            <w:r>
              <w:t xml:space="preserve">Roadmap Impact</w:t>
            </w:r>
          </w:p>
        </w:tc>
      </w:tr>
      <w:tr>
        <w:tc>
          <w:tcPr/>
          <w:p>
            <w:pPr>
              <w:pStyle w:val="Compact"/>
              <w:jc w:val="left"/>
            </w:pPr>
            <w:r>
              <w:rPr>
                <w:bCs/>
                <w:b/>
              </w:rPr>
              <w:t xml:space="preserve">DeepSeek</w:t>
            </w:r>
          </w:p>
        </w:tc>
        <w:tc>
          <w:tcPr/>
          <w:p>
            <w:pPr>
              <w:pStyle w:val="Compact"/>
              <w:jc w:val="left"/>
            </w:pPr>
            <w:r>
              <w:t xml:space="preserve">V3+, R1 reasoning, open-source releases, cost leadership</w:t>
            </w:r>
          </w:p>
        </w:tc>
        <w:tc>
          <w:tcPr/>
          <w:p>
            <w:pPr>
              <w:pStyle w:val="Compact"/>
              <w:jc w:val="left"/>
            </w:pPr>
            <w:r>
              <w:t xml:space="preserve">If DeepSeek quality matches Claude at 10x lower cost → evaluate for non-sensitive workloads</w:t>
            </w:r>
          </w:p>
        </w:tc>
      </w:tr>
      <w:tr>
        <w:tc>
          <w:tcPr/>
          <w:p>
            <w:pPr>
              <w:pStyle w:val="Compact"/>
              <w:jc w:val="left"/>
            </w:pPr>
            <w:r>
              <w:rPr>
                <w:bCs/>
                <w:b/>
              </w:rPr>
              <w:t xml:space="preserve">Qwen (Alibaba)</w:t>
            </w:r>
          </w:p>
        </w:tc>
        <w:tc>
          <w:tcPr/>
          <w:p>
            <w:pPr>
              <w:pStyle w:val="Compact"/>
              <w:jc w:val="left"/>
            </w:pPr>
            <w:r>
              <w:t xml:space="preserve">Qwen 3+, multilingual EU language support</w:t>
            </w:r>
          </w:p>
        </w:tc>
        <w:tc>
          <w:tcPr/>
          <w:p>
            <w:pPr>
              <w:pStyle w:val="Compact"/>
              <w:jc w:val="left"/>
            </w:pPr>
            <w:r>
              <w:t xml:space="preserve">Potential for Finnish/German/Swedish language tasks</w:t>
            </w:r>
          </w:p>
        </w:tc>
      </w:tr>
      <w:tr>
        <w:tc>
          <w:tcPr/>
          <w:p>
            <w:pPr>
              <w:pStyle w:val="Compact"/>
              <w:jc w:val="left"/>
            </w:pPr>
            <w:r>
              <w:rPr>
                <w:bCs/>
                <w:b/>
              </w:rPr>
              <w:t xml:space="preserve">Yi (01.AI)</w:t>
            </w:r>
          </w:p>
        </w:tc>
        <w:tc>
          <w:tcPr/>
          <w:p>
            <w:pPr>
              <w:pStyle w:val="Compact"/>
              <w:jc w:val="left"/>
            </w:pPr>
            <w:r>
              <w:t xml:space="preserve">New releases, commercial licensing</w:t>
            </w:r>
          </w:p>
        </w:tc>
        <w:tc>
          <w:tcPr/>
          <w:p>
            <w:pPr>
              <w:pStyle w:val="Compact"/>
              <w:jc w:val="left"/>
            </w:pPr>
            <w:r>
              <w:t xml:space="preserve">Alternative for self-hosted inference</w:t>
            </w:r>
          </w:p>
        </w:tc>
      </w:tr>
      <w:tr>
        <w:tc>
          <w:tcPr/>
          <w:p>
            <w:pPr>
              <w:pStyle w:val="Compact"/>
              <w:jc w:val="left"/>
            </w:pPr>
            <w:r>
              <w:rPr>
                <w:bCs/>
                <w:b/>
              </w:rPr>
              <w:t xml:space="preserve">EU data sovereignty concerns</w:t>
            </w:r>
          </w:p>
        </w:tc>
        <w:tc>
          <w:tcPr/>
          <w:p>
            <w:pPr>
              <w:pStyle w:val="Compact"/>
              <w:jc w:val="left"/>
            </w:pPr>
            <w:r>
              <w:t xml:space="preserve">EU regulatory stance on Chinese AI models</w:t>
            </w:r>
          </w:p>
        </w:tc>
        <w:tc>
          <w:tcPr/>
          <w:p>
            <w:pPr>
              <w:pStyle w:val="Compact"/>
              <w:jc w:val="left"/>
            </w:pPr>
            <w:r>
              <w:t xml:space="preserve">May be blocked for EU compliance workloads — monitor closely</w:t>
            </w:r>
          </w:p>
        </w:tc>
      </w:tr>
      <w:tr>
        <w:tc>
          <w:tcPr/>
          <w:p>
            <w:pPr>
              <w:pStyle w:val="Compact"/>
              <w:jc w:val="left"/>
            </w:pPr>
            <w:r>
              <w:rPr>
                <w:bCs/>
                <w:b/>
              </w:rPr>
              <w:t xml:space="preserve">Cost disruption</w:t>
            </w:r>
          </w:p>
        </w:tc>
        <w:tc>
          <w:tcPr/>
          <w:p>
            <w:pPr>
              <w:pStyle w:val="Compact"/>
              <w:jc w:val="left"/>
            </w:pPr>
            <w:r>
              <w:t xml:space="preserve">If Chinese models commoditize LLM inference</w:t>
            </w:r>
          </w:p>
        </w:tc>
        <w:tc>
          <w:tcPr/>
          <w:p>
            <w:pPr>
              <w:pStyle w:val="Compact"/>
              <w:jc w:val="left"/>
            </w:pPr>
            <w:r>
              <w:t xml:space="preserve">Could pressure DWS7 pricing model downward</w:t>
            </w:r>
          </w:p>
        </w:tc>
      </w:tr>
      <w:tr>
        <w:tc>
          <w:tcPr/>
          <w:p>
            <w:pPr>
              <w:pStyle w:val="Compact"/>
              <w:jc w:val="left"/>
            </w:pPr>
            <w:r>
              <w:rPr>
                <w:bCs/>
                <w:b/>
              </w:rPr>
              <w:t xml:space="preserve">Open-source fine-tuning</w:t>
            </w:r>
          </w:p>
        </w:tc>
        <w:tc>
          <w:tcPr/>
          <w:p>
            <w:pPr>
              <w:pStyle w:val="Compact"/>
              <w:jc w:val="left"/>
            </w:pPr>
            <w:r>
              <w:t xml:space="preserve">Quality of open models for domain-specific tasks</w:t>
            </w:r>
          </w:p>
        </w:tc>
        <w:tc>
          <w:tcPr/>
          <w:p>
            <w:pPr>
              <w:pStyle w:val="Compact"/>
              <w:jc w:val="left"/>
            </w:pPr>
            <w:r>
              <w:t xml:space="preserve">Base model selection for climate LLM (PR 161)</w:t>
            </w:r>
          </w:p>
        </w:tc>
      </w:tr>
      <w:tr>
        <w:tc>
          <w:tcPr/>
          <w:p>
            <w:pPr>
              <w:pStyle w:val="Compact"/>
              <w:jc w:val="left"/>
            </w:pPr>
            <w:r>
              <w:rPr>
                <w:bCs/>
                <w:b/>
              </w:rPr>
              <w:t xml:space="preserve">X accounts</w:t>
            </w:r>
          </w:p>
        </w:tc>
        <w:tc>
          <w:tcPr/>
          <w:p>
            <w:pPr>
              <w:pStyle w:val="Compact"/>
              <w:jc w:val="left"/>
            </w:pPr>
            <w:r>
              <w:t xml:space="preserve">@deepabornadel</w:t>
            </w:r>
            <w:r>
              <w:t xml:space="preserve">,</w:t>
            </w:r>
            <w:r>
              <w:t xml:space="preserve"> </w:t>
            </w:r>
            <w:r>
              <w:t xml:space="preserve">@Alibaba_Qwen</w:t>
            </w:r>
          </w:p>
        </w:tc>
        <w:tc>
          <w:tcPr/>
          <w:p>
            <w:pPr>
              <w:pStyle w:val="Compact"/>
            </w:pPr>
          </w:p>
        </w:tc>
      </w:tr>
    </w:tbl>
    <w:bookmarkEnd w:id="104"/>
    <w:bookmarkStart w:id="105" w:name="platform-decision-matrix"/>
    <w:p>
      <w:pPr>
        <w:pStyle w:val="Heading4"/>
      </w:pPr>
      <w:r>
        <w:t xml:space="preserve">Platform Decision Matrix</w:t>
      </w:r>
    </w:p>
    <w:p>
      <w:pPr>
        <w:pStyle w:val="FirstParagraph"/>
      </w:pPr>
      <w:r>
        <w:t xml:space="preserve">When a major platform announcement occurs, use this framework:</w:t>
      </w:r>
    </w:p>
    <w:p>
      <w:pPr>
        <w:pStyle w:val="SourceCode"/>
      </w:pPr>
      <w:r>
        <w:rPr>
          <w:rStyle w:val="VerbatimChar"/>
        </w:rPr>
        <w:t xml:space="preserve">Big tech announcement detected →</w:t>
      </w:r>
      <w:r>
        <w:br/>
      </w:r>
      <w:r>
        <w:rPr>
          <w:rStyle w:val="VerbatimChar"/>
        </w:rPr>
        <w:t xml:space="preserve">  1. Does it ENABLE something we couldn't do before?</w:t>
      </w:r>
      <w:r>
        <w:br/>
      </w:r>
      <w:r>
        <w:rPr>
          <w:rStyle w:val="VerbatimChar"/>
        </w:rPr>
        <w:t xml:space="preserve">     └─ YES → Add adoption PR, estimate effort and timeline</w:t>
      </w:r>
      <w:r>
        <w:br/>
      </w:r>
      <w:r>
        <w:rPr>
          <w:rStyle w:val="VerbatimChar"/>
        </w:rPr>
        <w:t xml:space="preserve">  2. Does it THREATEN our competitive position?</w:t>
      </w:r>
      <w:r>
        <w:br/>
      </w:r>
      <w:r>
        <w:rPr>
          <w:rStyle w:val="VerbatimChar"/>
        </w:rPr>
        <w:t xml:space="preserve">     └─ YES → Evaluate: Can we integrate it? Switch to it? Or differentiate harder?</w:t>
      </w:r>
      <w:r>
        <w:br/>
      </w:r>
      <w:r>
        <w:rPr>
          <w:rStyle w:val="VerbatimChar"/>
        </w:rPr>
        <w:t xml:space="preserve">  3. Does it change PRICING economics?</w:t>
      </w:r>
      <w:r>
        <w:br/>
      </w:r>
      <w:r>
        <w:rPr>
          <w:rStyle w:val="VerbatimChar"/>
        </w:rPr>
        <w:t xml:space="preserve">     └─ YES → Re-model unit economics, adjust billing (PRs 121-128)</w:t>
      </w:r>
      <w:r>
        <w:br/>
      </w:r>
      <w:r>
        <w:rPr>
          <w:rStyle w:val="VerbatimChar"/>
        </w:rPr>
        <w:t xml:space="preserve">  4. Does it shift CUSTOMER EXPECTATIONS?</w:t>
      </w:r>
      <w:r>
        <w:br/>
      </w:r>
      <w:r>
        <w:rPr>
          <w:rStyle w:val="VerbatimChar"/>
        </w:rPr>
        <w:t xml:space="preserve">     └─ YES → Update roadmap priorities to match what customers now expect</w:t>
      </w:r>
      <w:r>
        <w:br/>
      </w:r>
      <w:r>
        <w:rPr>
          <w:rStyle w:val="VerbatimChar"/>
        </w:rPr>
        <w:t xml:space="preserve">  5. Does it affect EU DATA SOVEREIGNTY?</w:t>
      </w:r>
      <w:r>
        <w:br/>
      </w:r>
      <w:r>
        <w:rPr>
          <w:rStyle w:val="VerbatimChar"/>
        </w:rPr>
        <w:t xml:space="preserve">     └─ YES → Flag immediately — compliance is non-negotiable</w:t>
      </w:r>
    </w:p>
    <w:bookmarkEnd w:id="105"/>
    <w:bookmarkEnd w:id="106"/>
    <w:bookmarkStart w:id="107" w:name="Xac3fd72a9fd5a30e7e4c9cde52c93dbc0982f65"/>
    <w:p>
      <w:pPr>
        <w:pStyle w:val="Heading3"/>
      </w:pPr>
      <w:r>
        <w:t xml:space="preserve">Technology Watch List (Frameworks &amp; Infrastructure)</w:t>
      </w:r>
    </w:p>
    <w:tbl>
      <w:tblPr>
        <w:tblStyle w:val="Table"/>
        <w:tblW w:type="pct" w:w="5000"/>
        <w:tblLook w:firstRow="1" w:lastRow="0" w:firstColumn="0" w:lastColumn="0" w:noHBand="0" w:noVBand="0" w:val="0020"/>
        <w:jc w:val="start"/>
      </w:tblPr>
      <w:tblGrid>
        <w:gridCol w:w="2063"/>
        <w:gridCol w:w="3261"/>
        <w:gridCol w:w="2595"/>
      </w:tblGrid>
      <w:tr>
        <w:trPr>
          <w:tblHeader w:val="true"/>
        </w:trPr>
        <w:tc>
          <w:tcPr/>
          <w:p>
            <w:pPr>
              <w:pStyle w:val="Compact"/>
              <w:jc w:val="left"/>
            </w:pPr>
            <w:r>
              <w:t xml:space="preserve">Technology</w:t>
            </w:r>
          </w:p>
        </w:tc>
        <w:tc>
          <w:tcPr/>
          <w:p>
            <w:pPr>
              <w:pStyle w:val="Compact"/>
              <w:jc w:val="left"/>
            </w:pPr>
            <w:r>
              <w:t xml:space="preserve">Watch For</w:t>
            </w:r>
          </w:p>
        </w:tc>
        <w:tc>
          <w:tcPr/>
          <w:p>
            <w:pPr>
              <w:pStyle w:val="Compact"/>
              <w:jc w:val="left"/>
            </w:pPr>
            <w:r>
              <w:t xml:space="preserve">Impact on DWS7</w:t>
            </w:r>
          </w:p>
        </w:tc>
      </w:tr>
      <w:tr>
        <w:tc>
          <w:tcPr/>
          <w:p>
            <w:pPr>
              <w:pStyle w:val="Compact"/>
              <w:jc w:val="left"/>
            </w:pPr>
            <w:r>
              <w:rPr>
                <w:bCs/>
                <w:b/>
              </w:rPr>
              <w:t xml:space="preserve">React</w:t>
            </w:r>
          </w:p>
        </w:tc>
        <w:tc>
          <w:tcPr/>
          <w:p>
            <w:pPr>
              <w:pStyle w:val="Compact"/>
              <w:jc w:val="left"/>
            </w:pPr>
            <w:r>
              <w:t xml:space="preserve">React 20+, Server Components maturity</w:t>
            </w:r>
          </w:p>
        </w:tc>
        <w:tc>
          <w:tcPr/>
          <w:p>
            <w:pPr>
              <w:pStyle w:val="Compact"/>
              <w:jc w:val="left"/>
            </w:pPr>
            <w:r>
              <w:t xml:space="preserve">Dashboard architecture decisions</w:t>
            </w:r>
          </w:p>
        </w:tc>
      </w:tr>
      <w:tr>
        <w:tc>
          <w:tcPr/>
          <w:p>
            <w:pPr>
              <w:pStyle w:val="Compact"/>
              <w:jc w:val="left"/>
            </w:pPr>
            <w:r>
              <w:rPr>
                <w:bCs/>
                <w:b/>
              </w:rPr>
              <w:t xml:space="preserve">Vite</w:t>
            </w:r>
          </w:p>
        </w:tc>
        <w:tc>
          <w:tcPr/>
          <w:p>
            <w:pPr>
              <w:pStyle w:val="Compact"/>
              <w:jc w:val="left"/>
            </w:pPr>
            <w:r>
              <w:t xml:space="preserve">Major releases, new features</w:t>
            </w:r>
          </w:p>
        </w:tc>
        <w:tc>
          <w:tcPr/>
          <w:p>
            <w:pPr>
              <w:pStyle w:val="Compact"/>
              <w:jc w:val="left"/>
            </w:pPr>
            <w:r>
              <w:t xml:space="preserve">Build tooling updates</w:t>
            </w:r>
          </w:p>
        </w:tc>
      </w:tr>
      <w:tr>
        <w:tc>
          <w:tcPr/>
          <w:p>
            <w:pPr>
              <w:pStyle w:val="Compact"/>
              <w:jc w:val="left"/>
            </w:pPr>
            <w:r>
              <w:rPr>
                <w:bCs/>
                <w:b/>
              </w:rPr>
              <w:t xml:space="preserve">Supabase</w:t>
            </w:r>
          </w:p>
        </w:tc>
        <w:tc>
          <w:tcPr/>
          <w:p>
            <w:pPr>
              <w:pStyle w:val="Compact"/>
              <w:jc w:val="left"/>
            </w:pPr>
            <w:r>
              <w:t xml:space="preserve">New features (vectors, branching, edge functions)</w:t>
            </w:r>
          </w:p>
        </w:tc>
        <w:tc>
          <w:tcPr/>
          <w:p>
            <w:pPr>
              <w:pStyle w:val="Compact"/>
              <w:jc w:val="left"/>
            </w:pPr>
            <w:r>
              <w:t xml:space="preserve">Database architecture, new capabilities</w:t>
            </w:r>
          </w:p>
        </w:tc>
      </w:tr>
      <w:tr>
        <w:tc>
          <w:tcPr/>
          <w:p>
            <w:pPr>
              <w:pStyle w:val="Compact"/>
              <w:jc w:val="left"/>
            </w:pPr>
            <w:r>
              <w:rPr>
                <w:bCs/>
                <w:b/>
              </w:rPr>
              <w:t xml:space="preserve">Temporal.io</w:t>
            </w:r>
          </w:p>
        </w:tc>
        <w:tc>
          <w:tcPr/>
          <w:p>
            <w:pPr>
              <w:pStyle w:val="Compact"/>
              <w:jc w:val="left"/>
            </w:pPr>
            <w:r>
              <w:t xml:space="preserve">SDK updates, new workflow patterns</w:t>
            </w:r>
          </w:p>
        </w:tc>
        <w:tc>
          <w:tcPr/>
          <w:p>
            <w:pPr>
              <w:pStyle w:val="Compact"/>
              <w:jc w:val="left"/>
            </w:pPr>
            <w:r>
              <w:t xml:space="preserve">Agent orchestration improvements</w:t>
            </w:r>
          </w:p>
        </w:tc>
      </w:tr>
      <w:tr>
        <w:tc>
          <w:tcPr/>
          <w:p>
            <w:pPr>
              <w:pStyle w:val="Compact"/>
              <w:jc w:val="left"/>
            </w:pPr>
            <w:r>
              <w:rPr>
                <w:bCs/>
                <w:b/>
              </w:rPr>
              <w:t xml:space="preserve">Cloudflare</w:t>
            </w:r>
          </w:p>
        </w:tc>
        <w:tc>
          <w:tcPr/>
          <w:p>
            <w:pPr>
              <w:pStyle w:val="Compact"/>
              <w:jc w:val="left"/>
            </w:pPr>
            <w:r>
              <w:t xml:space="preserve">Workers AI, D1, new edge features</w:t>
            </w:r>
          </w:p>
        </w:tc>
        <w:tc>
          <w:tcPr/>
          <w:p>
            <w:pPr>
              <w:pStyle w:val="Compact"/>
              <w:jc w:val="left"/>
            </w:pPr>
            <w:r>
              <w:t xml:space="preserve">Edge deployment strategy</w:t>
            </w:r>
          </w:p>
        </w:tc>
      </w:tr>
      <w:tr>
        <w:tc>
          <w:tcPr/>
          <w:p>
            <w:pPr>
              <w:pStyle w:val="Compact"/>
              <w:jc w:val="left"/>
            </w:pPr>
            <w:r>
              <w:rPr>
                <w:bCs/>
                <w:b/>
              </w:rPr>
              <w:t xml:space="preserve">EU Digital Product Passport</w:t>
            </w:r>
          </w:p>
        </w:tc>
        <w:tc>
          <w:tcPr/>
          <w:p>
            <w:pPr>
              <w:pStyle w:val="Compact"/>
              <w:jc w:val="left"/>
            </w:pPr>
            <w:r>
              <w:t xml:space="preserve">Standard finalization, implementation guides</w:t>
            </w:r>
          </w:p>
        </w:tc>
        <w:tc>
          <w:tcPr/>
          <w:p>
            <w:pPr>
              <w:pStyle w:val="Compact"/>
              <w:jc w:val="left"/>
            </w:pPr>
            <w:r>
              <w:t xml:space="preserve">PR 235 timing and scope</w:t>
            </w:r>
          </w:p>
        </w:tc>
      </w:tr>
      <w:tr>
        <w:tc>
          <w:tcPr/>
          <w:p>
            <w:pPr>
              <w:pStyle w:val="Compact"/>
              <w:jc w:val="left"/>
            </w:pPr>
            <w:r>
              <w:rPr>
                <w:bCs/>
                <w:b/>
              </w:rPr>
              <w:t xml:space="preserve">pgvector / embeddings</w:t>
            </w:r>
          </w:p>
        </w:tc>
        <w:tc>
          <w:tcPr/>
          <w:p>
            <w:pPr>
              <w:pStyle w:val="Compact"/>
              <w:jc w:val="left"/>
            </w:pPr>
            <w:r>
              <w:t xml:space="preserve">Performance improvements, new models</w:t>
            </w:r>
          </w:p>
        </w:tc>
        <w:tc>
          <w:tcPr/>
          <w:p>
            <w:pPr>
              <w:pStyle w:val="Compact"/>
              <w:jc w:val="left"/>
            </w:pPr>
            <w:r>
              <w:t xml:space="preserve">RAG pipeline optimization (PR 162)</w:t>
            </w:r>
          </w:p>
        </w:tc>
      </w:tr>
      <w:tr>
        <w:tc>
          <w:tcPr/>
          <w:p>
            <w:pPr>
              <w:pStyle w:val="Compact"/>
              <w:jc w:val="left"/>
            </w:pPr>
            <w:r>
              <w:rPr>
                <w:bCs/>
                <w:b/>
              </w:rPr>
              <w:t xml:space="preserve">LangChain / LlamaIndex</w:t>
            </w:r>
          </w:p>
        </w:tc>
        <w:tc>
          <w:tcPr/>
          <w:p>
            <w:pPr>
              <w:pStyle w:val="Compact"/>
              <w:jc w:val="left"/>
            </w:pPr>
            <w:r>
              <w:t xml:space="preserve">Agent framework updates, tool ecosystems</w:t>
            </w:r>
          </w:p>
        </w:tc>
        <w:tc>
          <w:tcPr/>
          <w:p>
            <w:pPr>
              <w:pStyle w:val="Compact"/>
              <w:jc w:val="left"/>
            </w:pPr>
            <w:r>
              <w:t xml:space="preserve">Evaluate vs custom MCP implementation</w:t>
            </w:r>
          </w:p>
        </w:tc>
      </w:tr>
      <w:tr>
        <w:tc>
          <w:tcPr/>
          <w:p>
            <w:pPr>
              <w:pStyle w:val="Compact"/>
              <w:jc w:val="left"/>
            </w:pPr>
            <w:r>
              <w:rPr>
                <w:bCs/>
                <w:b/>
              </w:rPr>
              <w:t xml:space="preserve">Deno / Bun</w:t>
            </w:r>
          </w:p>
        </w:tc>
        <w:tc>
          <w:tcPr/>
          <w:p>
            <w:pPr>
              <w:pStyle w:val="Compact"/>
              <w:jc w:val="left"/>
            </w:pPr>
            <w:r>
              <w:t xml:space="preserve">Runtime performance, TypeScript support</w:t>
            </w:r>
          </w:p>
        </w:tc>
        <w:tc>
          <w:tcPr/>
          <w:p>
            <w:pPr>
              <w:pStyle w:val="Compact"/>
              <w:jc w:val="left"/>
            </w:pPr>
            <w:r>
              <w:t xml:space="preserve">Future backend runtime consideration</w:t>
            </w:r>
          </w:p>
        </w:tc>
      </w:tr>
      <w:tr>
        <w:tc>
          <w:tcPr/>
          <w:p>
            <w:pPr>
              <w:pStyle w:val="Compact"/>
              <w:jc w:val="left"/>
            </w:pPr>
            <w:r>
              <w:rPr>
                <w:bCs/>
                <w:b/>
              </w:rPr>
              <w:t xml:space="preserve">Tailwind CSS</w:t>
            </w:r>
          </w:p>
        </w:tc>
        <w:tc>
          <w:tcPr/>
          <w:p>
            <w:pPr>
              <w:pStyle w:val="Compact"/>
              <w:jc w:val="left"/>
            </w:pPr>
            <w:r>
              <w:t xml:space="preserve">v5+ major changes, new utility patterns</w:t>
            </w:r>
          </w:p>
        </w:tc>
        <w:tc>
          <w:tcPr/>
          <w:p>
            <w:pPr>
              <w:pStyle w:val="Compact"/>
              <w:jc w:val="left"/>
            </w:pPr>
            <w:r>
              <w:t xml:space="preserve">Dashboard styling approach</w:t>
            </w:r>
          </w:p>
        </w:tc>
      </w:tr>
    </w:tbl>
    <w:bookmarkEnd w:id="107"/>
    <w:bookmarkStart w:id="108" w:name="industry-watch-list-16-eu-industries"/>
    <w:p>
      <w:pPr>
        <w:pStyle w:val="Heading3"/>
      </w:pPr>
      <w:r>
        <w:t xml:space="preserve">Industry Watch List (16 EU Industries)</w:t>
      </w:r>
    </w:p>
    <w:p>
      <w:pPr>
        <w:pStyle w:val="FirstParagraph"/>
      </w:pPr>
      <w:r>
        <w:t xml:space="preserve">Each of DWS7’s 16 target industries has its own regulatory shifts, technology disruptions, and competitive dynamics. Track weekly.</w:t>
      </w:r>
    </w:p>
    <w:tbl>
      <w:tblPr>
        <w:tblStyle w:val="Table"/>
        <w:tblW w:type="pct" w:w="5000"/>
        <w:tblLook w:firstRow="1" w:lastRow="0" w:firstColumn="0" w:lastColumn="0" w:noHBand="0" w:noVBand="0" w:val="0020"/>
        <w:jc w:val="start"/>
      </w:tblPr>
      <w:tblGrid>
        <w:gridCol w:w="94"/>
        <w:gridCol w:w="788"/>
        <w:gridCol w:w="978"/>
        <w:gridCol w:w="3186"/>
        <w:gridCol w:w="1514"/>
        <w:gridCol w:w="1356"/>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Key Regulation</w:t>
            </w:r>
          </w:p>
        </w:tc>
        <w:tc>
          <w:tcPr/>
          <w:p>
            <w:pPr>
              <w:pStyle w:val="Compact"/>
              <w:jc w:val="left"/>
            </w:pPr>
            <w:r>
              <w:t xml:space="preserve">Watch For</w:t>
            </w:r>
          </w:p>
        </w:tc>
        <w:tc>
          <w:tcPr/>
          <w:p>
            <w:pPr>
              <w:pStyle w:val="Compact"/>
              <w:jc w:val="left"/>
            </w:pPr>
            <w:r>
              <w:t xml:space="preserve">Signal Sources</w:t>
            </w:r>
          </w:p>
        </w:tc>
        <w:tc>
          <w:tcPr/>
          <w:p>
            <w:pPr>
              <w:pStyle w:val="Compact"/>
              <w:jc w:val="left"/>
            </w:pPr>
            <w:r>
              <w:t xml:space="preserve">Roadmap Impact</w:t>
            </w:r>
          </w:p>
        </w:tc>
      </w:tr>
      <w:tr>
        <w:tc>
          <w:tcPr/>
          <w:p>
            <w:pPr>
              <w:pStyle w:val="Compact"/>
              <w:jc w:val="left"/>
            </w:pPr>
            <w:r>
              <w:t xml:space="preserve">1</w:t>
            </w:r>
          </w:p>
        </w:tc>
        <w:tc>
          <w:tcPr/>
          <w:p>
            <w:pPr>
              <w:pStyle w:val="Compact"/>
              <w:jc w:val="left"/>
            </w:pPr>
            <w:r>
              <w:rPr>
                <w:bCs/>
                <w:b/>
              </w:rPr>
              <w:t xml:space="preserve">Construction</w:t>
            </w:r>
          </w:p>
        </w:tc>
        <w:tc>
          <w:tcPr/>
          <w:p>
            <w:pPr>
              <w:pStyle w:val="Compact"/>
              <w:jc w:val="left"/>
            </w:pPr>
            <w:r>
              <w:t xml:space="preserve">EPBD, CPR, EN 15978</w:t>
            </w:r>
          </w:p>
        </w:tc>
        <w:tc>
          <w:tcPr/>
          <w:p>
            <w:pPr>
              <w:pStyle w:val="Compact"/>
              <w:jc w:val="left"/>
            </w:pPr>
            <w:r>
              <w:t xml:space="preserve">Digital product passports (Jul 2027), nearly-zero energy buildings mandate, One Click LCA moves</w:t>
            </w:r>
          </w:p>
        </w:tc>
        <w:tc>
          <w:tcPr/>
          <w:p>
            <w:pPr>
              <w:pStyle w:val="Compact"/>
              <w:jc w:val="left"/>
            </w:pPr>
            <w:r>
              <w:t xml:space="preserve">European Commission DG GROW, BuildingSMART</w:t>
            </w:r>
          </w:p>
        </w:tc>
        <w:tc>
          <w:tcPr/>
          <w:p>
            <w:pPr>
              <w:pStyle w:val="Compact"/>
              <w:jc w:val="left"/>
            </w:pPr>
            <w:r>
              <w:t xml:space="preserve">PRs 187, 235 timing</w:t>
            </w:r>
          </w:p>
        </w:tc>
      </w:tr>
      <w:tr>
        <w:tc>
          <w:tcPr/>
          <w:p>
            <w:pPr>
              <w:pStyle w:val="Compact"/>
              <w:jc w:val="left"/>
            </w:pPr>
            <w:r>
              <w:t xml:space="preserve">2</w:t>
            </w:r>
          </w:p>
        </w:tc>
        <w:tc>
          <w:tcPr/>
          <w:p>
            <w:pPr>
              <w:pStyle w:val="Compact"/>
              <w:jc w:val="left"/>
            </w:pPr>
            <w:r>
              <w:rPr>
                <w:bCs/>
                <w:b/>
              </w:rPr>
              <w:t xml:space="preserve">Steel</w:t>
            </w:r>
          </w:p>
        </w:tc>
        <w:tc>
          <w:tcPr/>
          <w:p>
            <w:pPr>
              <w:pStyle w:val="Compact"/>
              <w:jc w:val="left"/>
            </w:pPr>
            <w:r>
              <w:t xml:space="preserve">ETS, CBAM</w:t>
            </w:r>
          </w:p>
        </w:tc>
        <w:tc>
          <w:tcPr/>
          <w:p>
            <w:pPr>
              <w:pStyle w:val="Compact"/>
              <w:jc w:val="left"/>
            </w:pPr>
            <w:r>
              <w:t xml:space="preserve">Green steel premiums, H2-DRI adoption rates, ArcelorMittal/SSAB announcements</w:t>
            </w:r>
          </w:p>
        </w:tc>
        <w:tc>
          <w:tcPr/>
          <w:p>
            <w:pPr>
              <w:pStyle w:val="Compact"/>
              <w:jc w:val="left"/>
            </w:pPr>
            <w:r>
              <w:t xml:space="preserve">Eurofer, World Steel Association</w:t>
            </w:r>
          </w:p>
        </w:tc>
        <w:tc>
          <w:tcPr/>
          <w:p>
            <w:pPr>
              <w:pStyle w:val="Compact"/>
              <w:jc w:val="left"/>
            </w:pPr>
            <w:r>
              <w:t xml:space="preserve">PR 188 scope, free allowance calcs</w:t>
            </w:r>
          </w:p>
        </w:tc>
      </w:tr>
      <w:tr>
        <w:tc>
          <w:tcPr/>
          <w:p>
            <w:pPr>
              <w:pStyle w:val="Compact"/>
              <w:jc w:val="left"/>
            </w:pPr>
            <w:r>
              <w:t xml:space="preserve">3</w:t>
            </w:r>
          </w:p>
        </w:tc>
        <w:tc>
          <w:tcPr/>
          <w:p>
            <w:pPr>
              <w:pStyle w:val="Compact"/>
              <w:jc w:val="left"/>
            </w:pPr>
            <w:r>
              <w:rPr>
                <w:bCs/>
                <w:b/>
              </w:rPr>
              <w:t xml:space="preserve">Cement</w:t>
            </w:r>
          </w:p>
        </w:tc>
        <w:tc>
          <w:tcPr/>
          <w:p>
            <w:pPr>
              <w:pStyle w:val="Compact"/>
              <w:jc w:val="left"/>
            </w:pPr>
            <w:r>
              <w:t xml:space="preserve">ETS, CBAM</w:t>
            </w:r>
          </w:p>
        </w:tc>
        <w:tc>
          <w:tcPr/>
          <w:p>
            <w:pPr>
              <w:pStyle w:val="Compact"/>
              <w:jc w:val="left"/>
            </w:pPr>
            <w:r>
              <w:t xml:space="preserve">Clinker substitution breakthroughs, CCUS deployment, Heidelberg/Holcim strategy</w:t>
            </w:r>
          </w:p>
        </w:tc>
        <w:tc>
          <w:tcPr/>
          <w:p>
            <w:pPr>
              <w:pStyle w:val="Compact"/>
              <w:jc w:val="left"/>
            </w:pPr>
            <w:r>
              <w:t xml:space="preserve">CEMBUREAU, Global Cement Review</w:t>
            </w:r>
          </w:p>
        </w:tc>
        <w:tc>
          <w:tcPr/>
          <w:p>
            <w:pPr>
              <w:pStyle w:val="Compact"/>
              <w:jc w:val="left"/>
            </w:pPr>
            <w:r>
              <w:t xml:space="preserve">PR 189 calculation methods</w:t>
            </w:r>
          </w:p>
        </w:tc>
      </w:tr>
      <w:tr>
        <w:tc>
          <w:tcPr/>
          <w:p>
            <w:pPr>
              <w:pStyle w:val="Compact"/>
              <w:jc w:val="left"/>
            </w:pPr>
            <w:r>
              <w:t xml:space="preserve">4</w:t>
            </w:r>
          </w:p>
        </w:tc>
        <w:tc>
          <w:tcPr/>
          <w:p>
            <w:pPr>
              <w:pStyle w:val="Compact"/>
              <w:jc w:val="left"/>
            </w:pPr>
            <w:r>
              <w:rPr>
                <w:bCs/>
                <w:b/>
              </w:rPr>
              <w:t xml:space="preserve">Chemicals</w:t>
            </w:r>
          </w:p>
        </w:tc>
        <w:tc>
          <w:tcPr/>
          <w:p>
            <w:pPr>
              <w:pStyle w:val="Compact"/>
              <w:jc w:val="left"/>
            </w:pPr>
            <w:r>
              <w:t xml:space="preserve">ETS, REACH update</w:t>
            </w:r>
          </w:p>
        </w:tc>
        <w:tc>
          <w:tcPr/>
          <w:p>
            <w:pPr>
              <w:pStyle w:val="Compact"/>
              <w:jc w:val="left"/>
            </w:pPr>
            <w:r>
              <w:t xml:space="preserve">Bio-based feedstock shifts, PFAS restriction proposals, BASF/Evonik pivots</w:t>
            </w:r>
          </w:p>
        </w:tc>
        <w:tc>
          <w:tcPr/>
          <w:p>
            <w:pPr>
              <w:pStyle w:val="Compact"/>
              <w:jc w:val="left"/>
            </w:pPr>
            <w:r>
              <w:t xml:space="preserve">CEFIC, ECHA consultations</w:t>
            </w:r>
          </w:p>
        </w:tc>
        <w:tc>
          <w:tcPr/>
          <w:p>
            <w:pPr>
              <w:pStyle w:val="Compact"/>
              <w:jc w:val="left"/>
            </w:pPr>
            <w:r>
              <w:t xml:space="preserve">PR 190 product scope</w:t>
            </w:r>
          </w:p>
        </w:tc>
      </w:tr>
      <w:tr>
        <w:tc>
          <w:tcPr/>
          <w:p>
            <w:pPr>
              <w:pStyle w:val="Compact"/>
              <w:jc w:val="left"/>
            </w:pPr>
            <w:r>
              <w:t xml:space="preserve">5</w:t>
            </w:r>
          </w:p>
        </w:tc>
        <w:tc>
          <w:tcPr/>
          <w:p>
            <w:pPr>
              <w:pStyle w:val="Compact"/>
              <w:jc w:val="left"/>
            </w:pPr>
            <w:r>
              <w:rPr>
                <w:bCs/>
                <w:b/>
              </w:rPr>
              <w:t xml:space="preserve">Aluminum</w:t>
            </w:r>
          </w:p>
        </w:tc>
        <w:tc>
          <w:tcPr/>
          <w:p>
            <w:pPr>
              <w:pStyle w:val="Compact"/>
              <w:jc w:val="left"/>
            </w:pPr>
            <w:r>
              <w:t xml:space="preserve">ETS, CBAM</w:t>
            </w:r>
          </w:p>
        </w:tc>
        <w:tc>
          <w:tcPr/>
          <w:p>
            <w:pPr>
              <w:pStyle w:val="Compact"/>
              <w:jc w:val="left"/>
            </w:pPr>
            <w:r>
              <w:t xml:space="preserve">Inert anode tech (Elysis), recycled content mandates, Hydro/Norsk Hydro moves</w:t>
            </w:r>
          </w:p>
        </w:tc>
        <w:tc>
          <w:tcPr/>
          <w:p>
            <w:pPr>
              <w:pStyle w:val="Compact"/>
              <w:jc w:val="left"/>
            </w:pPr>
            <w:r>
              <w:t xml:space="preserve">European Aluminium, IAI</w:t>
            </w:r>
          </w:p>
        </w:tc>
        <w:tc>
          <w:tcPr/>
          <w:p>
            <w:pPr>
              <w:pStyle w:val="Compact"/>
              <w:jc w:val="left"/>
            </w:pPr>
            <w:r>
              <w:t xml:space="preserve">PR 191 emission factors</w:t>
            </w:r>
          </w:p>
        </w:tc>
      </w:tr>
      <w:tr>
        <w:tc>
          <w:tcPr/>
          <w:p>
            <w:pPr>
              <w:pStyle w:val="Compact"/>
              <w:jc w:val="left"/>
            </w:pPr>
            <w:r>
              <w:t xml:space="preserve">6</w:t>
            </w:r>
          </w:p>
        </w:tc>
        <w:tc>
          <w:tcPr/>
          <w:p>
            <w:pPr>
              <w:pStyle w:val="Compact"/>
              <w:jc w:val="left"/>
            </w:pPr>
            <w:r>
              <w:rPr>
                <w:bCs/>
                <w:b/>
              </w:rPr>
              <w:t xml:space="preserve">Manufacturing</w:t>
            </w:r>
          </w:p>
        </w:tc>
        <w:tc>
          <w:tcPr/>
          <w:p>
            <w:pPr>
              <w:pStyle w:val="Compact"/>
              <w:jc w:val="left"/>
            </w:pPr>
            <w:r>
              <w:t xml:space="preserve">EED, ETS for scope expansion</w:t>
            </w:r>
          </w:p>
        </w:tc>
        <w:tc>
          <w:tcPr/>
          <w:p>
            <w:pPr>
              <w:pStyle w:val="Compact"/>
              <w:jc w:val="left"/>
            </w:pPr>
            <w:r>
              <w:t xml:space="preserve">Industry 4.0 + sustainability convergence, digital twin adoption</w:t>
            </w:r>
          </w:p>
        </w:tc>
        <w:tc>
          <w:tcPr/>
          <w:p>
            <w:pPr>
              <w:pStyle w:val="Compact"/>
              <w:jc w:val="left"/>
            </w:pPr>
            <w:r>
              <w:t xml:space="preserve">Eurostat energy balances, VDMA</w:t>
            </w:r>
          </w:p>
        </w:tc>
        <w:tc>
          <w:tcPr/>
          <w:p>
            <w:pPr>
              <w:pStyle w:val="Compact"/>
              <w:jc w:val="left"/>
            </w:pPr>
            <w:r>
              <w:t xml:space="preserve">PR 192 OEE integration</w:t>
            </w:r>
          </w:p>
        </w:tc>
      </w:tr>
      <w:tr>
        <w:tc>
          <w:tcPr/>
          <w:p>
            <w:pPr>
              <w:pStyle w:val="Compact"/>
              <w:jc w:val="left"/>
            </w:pPr>
            <w:r>
              <w:t xml:space="preserve">7</w:t>
            </w:r>
          </w:p>
        </w:tc>
        <w:tc>
          <w:tcPr/>
          <w:p>
            <w:pPr>
              <w:pStyle w:val="Compact"/>
              <w:jc w:val="left"/>
            </w:pPr>
            <w:r>
              <w:rPr>
                <w:bCs/>
                <w:b/>
              </w:rPr>
              <w:t xml:space="preserve">Logistics &amp; Transport</w:t>
            </w:r>
          </w:p>
        </w:tc>
        <w:tc>
          <w:tcPr/>
          <w:p>
            <w:pPr>
              <w:pStyle w:val="Compact"/>
              <w:jc w:val="left"/>
            </w:pPr>
            <w:r>
              <w:t xml:space="preserve">ReFuelEU, FuelEU Maritime</w:t>
            </w:r>
          </w:p>
        </w:tc>
        <w:tc>
          <w:tcPr/>
          <w:p>
            <w:pPr>
              <w:pStyle w:val="Compact"/>
              <w:jc w:val="left"/>
            </w:pPr>
            <w:r>
              <w:t xml:space="preserve">SAF mandates (2% 2025 → 6% 2030), e-truck adoption, Maersk/DHL announcements</w:t>
            </w:r>
          </w:p>
        </w:tc>
        <w:tc>
          <w:tcPr/>
          <w:p>
            <w:pPr>
              <w:pStyle w:val="Compact"/>
              <w:jc w:val="left"/>
            </w:pPr>
            <w:r>
              <w:t xml:space="preserve">IATA, IMO, IRU</w:t>
            </w:r>
          </w:p>
        </w:tc>
        <w:tc>
          <w:tcPr/>
          <w:p>
            <w:pPr>
              <w:pStyle w:val="Compact"/>
              <w:jc w:val="left"/>
            </w:pPr>
            <w:r>
              <w:t xml:space="preserve">PR 193 fleet emissions</w:t>
            </w:r>
          </w:p>
        </w:tc>
      </w:tr>
      <w:tr>
        <w:tc>
          <w:tcPr/>
          <w:p>
            <w:pPr>
              <w:pStyle w:val="Compact"/>
              <w:jc w:val="left"/>
            </w:pPr>
            <w:r>
              <w:t xml:space="preserve">8</w:t>
            </w:r>
          </w:p>
        </w:tc>
        <w:tc>
          <w:tcPr/>
          <w:p>
            <w:pPr>
              <w:pStyle w:val="Compact"/>
              <w:jc w:val="left"/>
            </w:pPr>
            <w:r>
              <w:rPr>
                <w:bCs/>
                <w:b/>
              </w:rPr>
              <w:t xml:space="preserve">Energy Production</w:t>
            </w:r>
          </w:p>
        </w:tc>
        <w:tc>
          <w:tcPr/>
          <w:p>
            <w:pPr>
              <w:pStyle w:val="Compact"/>
              <w:jc w:val="left"/>
            </w:pPr>
            <w:r>
              <w:t xml:space="preserve">RED III, ETS</w:t>
            </w:r>
          </w:p>
        </w:tc>
        <w:tc>
          <w:tcPr/>
          <w:p>
            <w:pPr>
              <w:pStyle w:val="Compact"/>
              <w:jc w:val="left"/>
            </w:pPr>
            <w:r>
              <w:t xml:space="preserve">Offshore wind expansion, nuclear renaissance, grid storage breakthroughs</w:t>
            </w:r>
          </w:p>
        </w:tc>
        <w:tc>
          <w:tcPr/>
          <w:p>
            <w:pPr>
              <w:pStyle w:val="Compact"/>
              <w:jc w:val="left"/>
            </w:pPr>
            <w:r>
              <w:t xml:space="preserve">ENTSO-E, IRENA, IEA</w:t>
            </w:r>
          </w:p>
        </w:tc>
        <w:tc>
          <w:tcPr/>
          <w:p>
            <w:pPr>
              <w:pStyle w:val="Compact"/>
              <w:jc w:val="left"/>
            </w:pPr>
            <w:r>
              <w:t xml:space="preserve">PR 194 generation mix</w:t>
            </w:r>
          </w:p>
        </w:tc>
      </w:tr>
      <w:tr>
        <w:tc>
          <w:tcPr/>
          <w:p>
            <w:pPr>
              <w:pStyle w:val="Compact"/>
              <w:jc w:val="left"/>
            </w:pPr>
            <w:r>
              <w:t xml:space="preserve">9</w:t>
            </w:r>
          </w:p>
        </w:tc>
        <w:tc>
          <w:tcPr/>
          <w:p>
            <w:pPr>
              <w:pStyle w:val="Compact"/>
              <w:jc w:val="left"/>
            </w:pPr>
            <w:r>
              <w:rPr>
                <w:bCs/>
                <w:b/>
              </w:rPr>
              <w:t xml:space="preserve">Mining</w:t>
            </w:r>
          </w:p>
        </w:tc>
        <w:tc>
          <w:tcPr/>
          <w:p>
            <w:pPr>
              <w:pStyle w:val="Compact"/>
              <w:jc w:val="left"/>
            </w:pPr>
            <w:r>
              <w:t xml:space="preserve">CSRD, Taxonomy</w:t>
            </w:r>
          </w:p>
        </w:tc>
        <w:tc>
          <w:tcPr/>
          <w:p>
            <w:pPr>
              <w:pStyle w:val="Compact"/>
              <w:jc w:val="left"/>
            </w:pPr>
            <w:r>
              <w:t xml:space="preserve">Critical raw materials act, ESG due diligence for minerals, Boliden/LKAB updates</w:t>
            </w:r>
          </w:p>
        </w:tc>
        <w:tc>
          <w:tcPr/>
          <w:p>
            <w:pPr>
              <w:pStyle w:val="Compact"/>
              <w:jc w:val="left"/>
            </w:pPr>
            <w:r>
              <w:t xml:space="preserve">EIT RawMaterials, ICMM</w:t>
            </w:r>
          </w:p>
        </w:tc>
        <w:tc>
          <w:tcPr/>
          <w:p>
            <w:pPr>
              <w:pStyle w:val="Compact"/>
              <w:jc w:val="left"/>
            </w:pPr>
            <w:r>
              <w:t xml:space="preserve">PR 195 extraction metrics</w:t>
            </w:r>
          </w:p>
        </w:tc>
      </w:tr>
      <w:tr>
        <w:tc>
          <w:tcPr/>
          <w:p>
            <w:pPr>
              <w:pStyle w:val="Compact"/>
              <w:jc w:val="left"/>
            </w:pPr>
            <w:r>
              <w:t xml:space="preserve">10</w:t>
            </w:r>
          </w:p>
        </w:tc>
        <w:tc>
          <w:tcPr/>
          <w:p>
            <w:pPr>
              <w:pStyle w:val="Compact"/>
              <w:jc w:val="left"/>
            </w:pPr>
            <w:r>
              <w:rPr>
                <w:bCs/>
                <w:b/>
              </w:rPr>
              <w:t xml:space="preserve">Healthcare</w:t>
            </w:r>
          </w:p>
        </w:tc>
        <w:tc>
          <w:tcPr/>
          <w:p>
            <w:pPr>
              <w:pStyle w:val="Compact"/>
              <w:jc w:val="left"/>
            </w:pPr>
            <w:r>
              <w:t xml:space="preserve">CSRD, medical device regulation</w:t>
            </w:r>
          </w:p>
        </w:tc>
        <w:tc>
          <w:tcPr/>
          <w:p>
            <w:pPr>
              <w:pStyle w:val="Compact"/>
              <w:jc w:val="left"/>
            </w:pPr>
            <w:r>
              <w:t xml:space="preserve">Sustainable healthcare initiatives, hospital energy optimization, Philips/Siemens Healthineers</w:t>
            </w:r>
          </w:p>
        </w:tc>
        <w:tc>
          <w:tcPr/>
          <w:p>
            <w:pPr>
              <w:pStyle w:val="Compact"/>
              <w:jc w:val="left"/>
            </w:pPr>
            <w:r>
              <w:t xml:space="preserve">WHO green healthcare, HCWH Europe</w:t>
            </w:r>
          </w:p>
        </w:tc>
        <w:tc>
          <w:tcPr/>
          <w:p>
            <w:pPr>
              <w:pStyle w:val="Compact"/>
              <w:jc w:val="left"/>
            </w:pPr>
            <w:r>
              <w:t xml:space="preserve">PR 196 facility tracking</w:t>
            </w:r>
          </w:p>
        </w:tc>
      </w:tr>
      <w:tr>
        <w:tc>
          <w:tcPr/>
          <w:p>
            <w:pPr>
              <w:pStyle w:val="Compact"/>
              <w:jc w:val="left"/>
            </w:pPr>
            <w:r>
              <w:t xml:space="preserve">11</w:t>
            </w:r>
          </w:p>
        </w:tc>
        <w:tc>
          <w:tcPr/>
          <w:p>
            <w:pPr>
              <w:pStyle w:val="Compact"/>
              <w:jc w:val="left"/>
            </w:pPr>
            <w:r>
              <w:rPr>
                <w:bCs/>
                <w:b/>
              </w:rPr>
              <w:t xml:space="preserve">Real Estate</w:t>
            </w:r>
          </w:p>
        </w:tc>
        <w:tc>
          <w:tcPr/>
          <w:p>
            <w:pPr>
              <w:pStyle w:val="Compact"/>
              <w:jc w:val="left"/>
            </w:pPr>
            <w:r>
              <w:t xml:space="preserve">EPBD recast, Taxonomy</w:t>
            </w:r>
          </w:p>
        </w:tc>
        <w:tc>
          <w:tcPr/>
          <w:p>
            <w:pPr>
              <w:pStyle w:val="Compact"/>
              <w:jc w:val="left"/>
            </w:pPr>
            <w:r>
              <w:t xml:space="preserve">Minimum Energy Performance Standards (MEPS 2030), renovation wave funding</w:t>
            </w:r>
          </w:p>
        </w:tc>
        <w:tc>
          <w:tcPr/>
          <w:p>
            <w:pPr>
              <w:pStyle w:val="Compact"/>
              <w:jc w:val="left"/>
            </w:pPr>
            <w:r>
              <w:t xml:space="preserve">European Commission DG ENER, BPIE</w:t>
            </w:r>
          </w:p>
        </w:tc>
        <w:tc>
          <w:tcPr/>
          <w:p>
            <w:pPr>
              <w:pStyle w:val="Compact"/>
              <w:jc w:val="left"/>
            </w:pPr>
            <w:r>
              <w:t xml:space="preserve">PR 197 EPC integration</w:t>
            </w:r>
          </w:p>
        </w:tc>
      </w:tr>
      <w:tr>
        <w:tc>
          <w:tcPr/>
          <w:p>
            <w:pPr>
              <w:pStyle w:val="Compact"/>
              <w:jc w:val="left"/>
            </w:pPr>
            <w:r>
              <w:t xml:space="preserve">12</w:t>
            </w:r>
          </w:p>
        </w:tc>
        <w:tc>
          <w:tcPr/>
          <w:p>
            <w:pPr>
              <w:pStyle w:val="Compact"/>
              <w:jc w:val="left"/>
            </w:pPr>
            <w:r>
              <w:rPr>
                <w:bCs/>
                <w:b/>
              </w:rPr>
              <w:t xml:space="preserve">Public Sector</w:t>
            </w:r>
          </w:p>
        </w:tc>
        <w:tc>
          <w:tcPr/>
          <w:p>
            <w:pPr>
              <w:pStyle w:val="Compact"/>
              <w:jc w:val="left"/>
            </w:pPr>
            <w:r>
              <w:t xml:space="preserve">Green public procurement</w:t>
            </w:r>
          </w:p>
        </w:tc>
        <w:tc>
          <w:tcPr/>
          <w:p>
            <w:pPr>
              <w:pStyle w:val="Compact"/>
              <w:jc w:val="left"/>
            </w:pPr>
            <w:r>
              <w:t xml:space="preserve">Net-zero government targets, climate-neutral cities mission (100 by 2030)</w:t>
            </w:r>
          </w:p>
        </w:tc>
        <w:tc>
          <w:tcPr/>
          <w:p>
            <w:pPr>
              <w:pStyle w:val="Compact"/>
              <w:jc w:val="left"/>
            </w:pPr>
            <w:r>
              <w:t xml:space="preserve">EU Mission Cities, national procurement agencies</w:t>
            </w:r>
          </w:p>
        </w:tc>
        <w:tc>
          <w:tcPr/>
          <w:p>
            <w:pPr>
              <w:pStyle w:val="Compact"/>
              <w:jc w:val="left"/>
            </w:pPr>
            <w:r>
              <w:t xml:space="preserve">PR 198 procurement tracking</w:t>
            </w:r>
          </w:p>
        </w:tc>
      </w:tr>
      <w:tr>
        <w:tc>
          <w:tcPr/>
          <w:p>
            <w:pPr>
              <w:pStyle w:val="Compact"/>
              <w:jc w:val="left"/>
            </w:pPr>
            <w:r>
              <w:t xml:space="preserve">13</w:t>
            </w:r>
          </w:p>
        </w:tc>
        <w:tc>
          <w:tcPr/>
          <w:p>
            <w:pPr>
              <w:pStyle w:val="Compact"/>
              <w:jc w:val="left"/>
            </w:pPr>
            <w:r>
              <w:rPr>
                <w:bCs/>
                <w:b/>
              </w:rPr>
              <w:t xml:space="preserve">Financial Services</w:t>
            </w:r>
          </w:p>
        </w:tc>
        <w:tc>
          <w:tcPr/>
          <w:p>
            <w:pPr>
              <w:pStyle w:val="Compact"/>
              <w:jc w:val="left"/>
            </w:pPr>
            <w:r>
              <w:t xml:space="preserve">SFDR, DORA, Taxonomy</w:t>
            </w:r>
          </w:p>
        </w:tc>
        <w:tc>
          <w:tcPr/>
          <w:p>
            <w:pPr>
              <w:pStyle w:val="Compact"/>
              <w:jc w:val="left"/>
            </w:pPr>
            <w:r>
              <w:t xml:space="preserve">Scope 3 financed emissions mandates, climate stress tests, ECB/EBA guidance</w:t>
            </w:r>
          </w:p>
        </w:tc>
        <w:tc>
          <w:tcPr/>
          <w:p>
            <w:pPr>
              <w:pStyle w:val="Compact"/>
              <w:jc w:val="left"/>
            </w:pPr>
            <w:r>
              <w:t xml:space="preserve">ECB, EBA, ESMA</w:t>
            </w:r>
          </w:p>
        </w:tc>
        <w:tc>
          <w:tcPr/>
          <w:p>
            <w:pPr>
              <w:pStyle w:val="Compact"/>
              <w:jc w:val="left"/>
            </w:pPr>
            <w:r>
              <w:t xml:space="preserve">New PR candidate: financed emissions module</w:t>
            </w:r>
          </w:p>
        </w:tc>
      </w:tr>
      <w:tr>
        <w:tc>
          <w:tcPr/>
          <w:p>
            <w:pPr>
              <w:pStyle w:val="Compact"/>
              <w:jc w:val="left"/>
            </w:pPr>
            <w:r>
              <w:t xml:space="preserve">14</w:t>
            </w:r>
          </w:p>
        </w:tc>
        <w:tc>
          <w:tcPr/>
          <w:p>
            <w:pPr>
              <w:pStyle w:val="Compact"/>
              <w:jc w:val="left"/>
            </w:pPr>
            <w:r>
              <w:rPr>
                <w:bCs/>
                <w:b/>
              </w:rPr>
              <w:t xml:space="preserve">Food &amp; Agriculture</w:t>
            </w:r>
          </w:p>
        </w:tc>
        <w:tc>
          <w:tcPr/>
          <w:p>
            <w:pPr>
              <w:pStyle w:val="Compact"/>
              <w:jc w:val="left"/>
            </w:pPr>
            <w:r>
              <w:t xml:space="preserve">CAP reform, LULUCF</w:t>
            </w:r>
          </w:p>
        </w:tc>
        <w:tc>
          <w:tcPr/>
          <w:p>
            <w:pPr>
              <w:pStyle w:val="Compact"/>
              <w:jc w:val="left"/>
            </w:pPr>
            <w:r>
              <w:t xml:space="preserve">Farm-to-fork emissions, methane reduction tech, carbon farming credits</w:t>
            </w:r>
          </w:p>
        </w:tc>
        <w:tc>
          <w:tcPr/>
          <w:p>
            <w:pPr>
              <w:pStyle w:val="Compact"/>
              <w:jc w:val="left"/>
            </w:pPr>
            <w:r>
              <w:t xml:space="preserve">DG AGRI, EEA</w:t>
            </w:r>
          </w:p>
        </w:tc>
        <w:tc>
          <w:tcPr/>
          <w:p>
            <w:pPr>
              <w:pStyle w:val="Compact"/>
              <w:jc w:val="left"/>
            </w:pPr>
            <w:r>
              <w:t xml:space="preserve">New PR candidate: agricultural emissions</w:t>
            </w:r>
          </w:p>
        </w:tc>
      </w:tr>
      <w:tr>
        <w:tc>
          <w:tcPr/>
          <w:p>
            <w:pPr>
              <w:pStyle w:val="Compact"/>
              <w:jc w:val="left"/>
            </w:pPr>
            <w:r>
              <w:t xml:space="preserve">15</w:t>
            </w:r>
          </w:p>
        </w:tc>
        <w:tc>
          <w:tcPr/>
          <w:p>
            <w:pPr>
              <w:pStyle w:val="Compact"/>
              <w:jc w:val="left"/>
            </w:pPr>
            <w:r>
              <w:rPr>
                <w:bCs/>
                <w:b/>
              </w:rPr>
              <w:t xml:space="preserve">Textiles</w:t>
            </w:r>
          </w:p>
        </w:tc>
        <w:tc>
          <w:tcPr/>
          <w:p>
            <w:pPr>
              <w:pStyle w:val="Compact"/>
              <w:jc w:val="left"/>
            </w:pPr>
            <w:r>
              <w:t xml:space="preserve">ESPR, CSRD</w:t>
            </w:r>
          </w:p>
        </w:tc>
        <w:tc>
          <w:tcPr/>
          <w:p>
            <w:pPr>
              <w:pStyle w:val="Compact"/>
              <w:jc w:val="left"/>
            </w:pPr>
            <w:r>
              <w:t xml:space="preserve">EU Strategy for Sustainable Textiles, digital product passports, H&amp;M/Inditex moves</w:t>
            </w:r>
          </w:p>
        </w:tc>
        <w:tc>
          <w:tcPr/>
          <w:p>
            <w:pPr>
              <w:pStyle w:val="Compact"/>
              <w:jc w:val="left"/>
            </w:pPr>
            <w:r>
              <w:t xml:space="preserve">EURATEX, European Commission DG GROW</w:t>
            </w:r>
          </w:p>
        </w:tc>
        <w:tc>
          <w:tcPr/>
          <w:p>
            <w:pPr>
              <w:pStyle w:val="Compact"/>
              <w:jc w:val="left"/>
            </w:pPr>
            <w:r>
              <w:t xml:space="preserve">New PR candidate: textile supply chain</w:t>
            </w:r>
          </w:p>
        </w:tc>
      </w:tr>
      <w:tr>
        <w:tc>
          <w:tcPr/>
          <w:p>
            <w:pPr>
              <w:pStyle w:val="Compact"/>
              <w:jc w:val="left"/>
            </w:pPr>
            <w:r>
              <w:t xml:space="preserve">16</w:t>
            </w:r>
          </w:p>
        </w:tc>
        <w:tc>
          <w:tcPr/>
          <w:p>
            <w:pPr>
              <w:pStyle w:val="Compact"/>
              <w:jc w:val="left"/>
            </w:pPr>
            <w:r>
              <w:rPr>
                <w:bCs/>
                <w:b/>
              </w:rPr>
              <w:t xml:space="preserve">ICT &amp; Data Centers</w:t>
            </w:r>
          </w:p>
        </w:tc>
        <w:tc>
          <w:tcPr/>
          <w:p>
            <w:pPr>
              <w:pStyle w:val="Compact"/>
              <w:jc w:val="left"/>
            </w:pPr>
            <w:r>
              <w:t xml:space="preserve">EED Art. 12, Code of Conduct</w:t>
            </w:r>
          </w:p>
        </w:tc>
        <w:tc>
          <w:tcPr/>
          <w:p>
            <w:pPr>
              <w:pStyle w:val="Compact"/>
              <w:jc w:val="left"/>
            </w:pPr>
            <w:r>
              <w:t xml:space="preserve">Energy efficiency reporting obligations (from 2024), PUE mandates, hyperscaler sustainability reports</w:t>
            </w:r>
          </w:p>
        </w:tc>
        <w:tc>
          <w:tcPr/>
          <w:p>
            <w:pPr>
              <w:pStyle w:val="Compact"/>
              <w:jc w:val="left"/>
            </w:pPr>
            <w:r>
              <w:t xml:space="preserve">European Commission JRC, EUDCA</w:t>
            </w:r>
          </w:p>
        </w:tc>
        <w:tc>
          <w:tcPr/>
          <w:p>
            <w:pPr>
              <w:pStyle w:val="Compact"/>
              <w:jc w:val="left"/>
            </w:pPr>
            <w:r>
              <w:t xml:space="preserve">New PR candidate: data center emissions</w:t>
            </w:r>
          </w:p>
        </w:tc>
      </w:tr>
    </w:tbl>
    <w:bookmarkEnd w:id="108"/>
    <w:bookmarkStart w:id="109" w:name="industry-signal-response-matrix"/>
    <w:p>
      <w:pPr>
        <w:pStyle w:val="Heading3"/>
      </w:pPr>
      <w:r>
        <w:t xml:space="preserve">Industry Signal Response Matrix</w:t>
      </w:r>
    </w:p>
    <w:p>
      <w:pPr>
        <w:pStyle w:val="FirstParagraph"/>
      </w:pPr>
      <w:r>
        <w:t xml:space="preserve">When an industry signal fires, use this decision matrix:</w:t>
      </w:r>
    </w:p>
    <w:p>
      <w:pPr>
        <w:pStyle w:val="SourceCode"/>
      </w:pPr>
      <w:r>
        <w:rPr>
          <w:rStyle w:val="VerbatimChar"/>
        </w:rPr>
        <w:t xml:space="preserve">Signal detected → Is it regulatory?</w:t>
      </w:r>
      <w:r>
        <w:br/>
      </w:r>
      <w:r>
        <w:rPr>
          <w:rStyle w:val="VerbatimChar"/>
        </w:rPr>
        <w:t xml:space="preserve">  ├─ YES → Does it change compliance requirements?</w:t>
      </w:r>
      <w:r>
        <w:br/>
      </w:r>
      <w:r>
        <w:rPr>
          <w:rStyle w:val="VerbatimChar"/>
        </w:rPr>
        <w:t xml:space="preserve">  │   ├─ YES → Add/modify compliance PR, adjust Phase 2-3 scope</w:t>
      </w:r>
      <w:r>
        <w:br/>
      </w:r>
      <w:r>
        <w:rPr>
          <w:rStyle w:val="VerbatimChar"/>
        </w:rPr>
        <w:t xml:space="preserve">  │   └─ NO (just timeline shift) → Update deadline in compliance calendar</w:t>
      </w:r>
      <w:r>
        <w:br/>
      </w:r>
      <w:r>
        <w:rPr>
          <w:rStyle w:val="VerbatimChar"/>
        </w:rPr>
        <w:t xml:space="preserve">  └─ NO → Is it competitive?</w:t>
      </w:r>
      <w:r>
        <w:br/>
      </w:r>
      <w:r>
        <w:rPr>
          <w:rStyle w:val="VerbatimChar"/>
        </w:rPr>
        <w:t xml:space="preserve">      ├─ YES → Does a competitor now serve this industry better?</w:t>
      </w:r>
      <w:r>
        <w:br/>
      </w:r>
      <w:r>
        <w:rPr>
          <w:rStyle w:val="VerbatimChar"/>
        </w:rPr>
        <w:t xml:space="preserve">      │   ├─ YES → Promote industry module PR to P0, add differentiation PRs</w:t>
      </w:r>
      <w:r>
        <w:br/>
      </w:r>
      <w:r>
        <w:rPr>
          <w:rStyle w:val="VerbatimChar"/>
        </w:rPr>
        <w:t xml:space="preserve">      │   └─ NO → Log and monitor</w:t>
      </w:r>
      <w:r>
        <w:br/>
      </w:r>
      <w:r>
        <w:rPr>
          <w:rStyle w:val="VerbatimChar"/>
        </w:rPr>
        <w:t xml:space="preserve">      └─ NO → Is it technology?</w:t>
      </w:r>
      <w:r>
        <w:br/>
      </w:r>
      <w:r>
        <w:rPr>
          <w:rStyle w:val="VerbatimChar"/>
        </w:rPr>
        <w:t xml:space="preserve">          ├─ YES → Does it enable better/cheaper solution?</w:t>
      </w:r>
      <w:r>
        <w:br/>
      </w:r>
      <w:r>
        <w:rPr>
          <w:rStyle w:val="VerbatimChar"/>
        </w:rPr>
        <w:t xml:space="preserve">          │   ├─ YES → Evaluate effort, add tech adoption PR if ROI &gt; 3x</w:t>
      </w:r>
      <w:r>
        <w:br/>
      </w:r>
      <w:r>
        <w:rPr>
          <w:rStyle w:val="VerbatimChar"/>
        </w:rPr>
        <w:t xml:space="preserve">          │   └─ NO → Log for future consideration</w:t>
      </w:r>
      <w:r>
        <w:br/>
      </w:r>
      <w:r>
        <w:rPr>
          <w:rStyle w:val="VerbatimChar"/>
        </w:rPr>
        <w:t xml:space="preserve">          └─ NO → Log in weekly report, review quarterly</w:t>
      </w:r>
    </w:p>
    <w:bookmarkEnd w:id="109"/>
    <w:bookmarkStart w:id="113" w:name="x-twitter-intelligence-feed"/>
    <w:p>
      <w:pPr>
        <w:pStyle w:val="Heading3"/>
      </w:pPr>
      <w:r>
        <w:t xml:space="preserve">X (Twitter) Intelligence Feed</w:t>
      </w:r>
    </w:p>
    <w:p>
      <w:pPr>
        <w:pStyle w:val="FirstParagraph"/>
      </w:pPr>
      <w:r>
        <w:t xml:space="preserve">X has been a primary source of early signals for AI, climate-tech, and EU regulation. Track these accounts and topics weekly.</w:t>
      </w:r>
    </w:p>
    <w:bookmarkStart w:id="110" w:name="key-accounts-to-monitor"/>
    <w:p>
      <w:pPr>
        <w:pStyle w:val="Heading4"/>
      </w:pPr>
      <w:r>
        <w:t xml:space="preserve">Key Accounts to Monitor</w:t>
      </w:r>
    </w:p>
    <w:p>
      <w:pPr>
        <w:pStyle w:val="FirstParagraph"/>
      </w:pPr>
      <w:r>
        <w:rPr>
          <w:bCs/>
          <w:b/>
        </w:rPr>
        <w:t xml:space="preserve">AI &amp; Development:</w:t>
      </w:r>
    </w:p>
    <w:tbl>
      <w:tblPr>
        <w:tblStyle w:val="Table"/>
        <w:tblW w:type="pct" w:w="5000"/>
        <w:tblLook w:firstRow="1" w:lastRow="0" w:firstColumn="0" w:lastColumn="0" w:noHBand="0" w:noVBand="0" w:val="0020"/>
        <w:jc w:val="start"/>
      </w:tblPr>
      <w:tblGrid>
        <w:gridCol w:w="2187"/>
        <w:gridCol w:w="3846"/>
        <w:gridCol w:w="1885"/>
      </w:tblGrid>
      <w:tr>
        <w:trPr>
          <w:tblHeader w:val="true"/>
        </w:trPr>
        <w:tc>
          <w:tcPr/>
          <w:p>
            <w:pPr>
              <w:pStyle w:val="Compact"/>
              <w:jc w:val="left"/>
            </w:pPr>
            <w:r>
              <w:t xml:space="preserve">Account</w:t>
            </w:r>
          </w:p>
        </w:tc>
        <w:tc>
          <w:tcPr/>
          <w:p>
            <w:pPr>
              <w:pStyle w:val="Compact"/>
              <w:jc w:val="left"/>
            </w:pPr>
            <w:r>
              <w:t xml:space="preserve">Why</w:t>
            </w:r>
          </w:p>
        </w:tc>
        <w:tc>
          <w:tcPr/>
          <w:p>
            <w:pPr>
              <w:pStyle w:val="Compact"/>
              <w:jc w:val="left"/>
            </w:pPr>
            <w:r>
              <w:t xml:space="preserve">Signal Type</w:t>
            </w:r>
          </w:p>
        </w:tc>
      </w:tr>
      <w:tr>
        <w:tc>
          <w:tcPr/>
          <w:p>
            <w:pPr>
              <w:pStyle w:val="Compact"/>
              <w:jc w:val="left"/>
            </w:pPr>
            <w:r>
              <w:t xml:space="preserve">@AnthropicAI</w:t>
            </w:r>
          </w:p>
        </w:tc>
        <w:tc>
          <w:tcPr/>
          <w:p>
            <w:pPr>
              <w:pStyle w:val="Compact"/>
              <w:jc w:val="left"/>
            </w:pPr>
            <w:r>
              <w:t xml:space="preserve">Claude model releases, MCP updates, safety research</w:t>
            </w:r>
          </w:p>
        </w:tc>
        <w:tc>
          <w:tcPr/>
          <w:p>
            <w:pPr>
              <w:pStyle w:val="Compact"/>
              <w:jc w:val="left"/>
            </w:pPr>
            <w:r>
              <w:t xml:space="preserve">Tech: agent capabilities</w:t>
            </w:r>
          </w:p>
        </w:tc>
      </w:tr>
      <w:tr>
        <w:tc>
          <w:tcPr/>
          <w:p>
            <w:pPr>
              <w:pStyle w:val="Compact"/>
              <w:jc w:val="left"/>
            </w:pPr>
            <w:r>
              <w:t xml:space="preserve">@kabornadel</w:t>
            </w:r>
            <w:r>
              <w:t xml:space="preserve"> </w:t>
            </w:r>
            <w:r>
              <w:t xml:space="preserve">(Andrej Karpathy)</w:t>
            </w:r>
          </w:p>
        </w:tc>
        <w:tc>
          <w:tcPr/>
          <w:p>
            <w:pPr>
              <w:pStyle w:val="Compact"/>
              <w:jc w:val="left"/>
            </w:pPr>
            <w:r>
              <w:t xml:space="preserve">AI development philosophy, agentic coding insights</w:t>
            </w:r>
          </w:p>
        </w:tc>
        <w:tc>
          <w:tcPr/>
          <w:p>
            <w:pPr>
              <w:pStyle w:val="Compact"/>
              <w:jc w:val="left"/>
            </w:pPr>
            <w:r>
              <w:t xml:space="preserve">Tech: dev practices</w:t>
            </w:r>
          </w:p>
        </w:tc>
      </w:tr>
      <w:tr>
        <w:tc>
          <w:tcPr/>
          <w:p>
            <w:pPr>
              <w:pStyle w:val="Compact"/>
              <w:jc w:val="left"/>
            </w:pPr>
            <w:r>
              <w:t xml:space="preserve">@dabornadel</w:t>
            </w:r>
            <w:r>
              <w:t xml:space="preserve"> </w:t>
            </w:r>
            <w:r>
              <w:t xml:space="preserve">(Daniel San)</w:t>
            </w:r>
          </w:p>
        </w:tc>
        <w:tc>
          <w:tcPr/>
          <w:p>
            <w:pPr>
              <w:pStyle w:val="Compact"/>
              <w:jc w:val="left"/>
            </w:pPr>
            <w:r>
              <w:t xml:space="preserve">Claude Code workflows, worktrees, Ghostty patterns</w:t>
            </w:r>
          </w:p>
        </w:tc>
        <w:tc>
          <w:tcPr/>
          <w:p>
            <w:pPr>
              <w:pStyle w:val="Compact"/>
              <w:jc w:val="left"/>
            </w:pPr>
            <w:r>
              <w:t xml:space="preserve">Tech: dev tooling</w:t>
            </w:r>
          </w:p>
        </w:tc>
      </w:tr>
      <w:tr>
        <w:tc>
          <w:tcPr/>
          <w:p>
            <w:pPr>
              <w:pStyle w:val="Compact"/>
              <w:jc w:val="left"/>
            </w:pPr>
            <w:r>
              <w:t xml:space="preserve">@OpenAI</w:t>
            </w:r>
          </w:p>
        </w:tc>
        <w:tc>
          <w:tcPr/>
          <w:p>
            <w:pPr>
              <w:pStyle w:val="Compact"/>
              <w:jc w:val="left"/>
            </w:pPr>
            <w:r>
              <w:t xml:space="preserve">GPT model advances, competitive pressure</w:t>
            </w:r>
          </w:p>
        </w:tc>
        <w:tc>
          <w:tcPr/>
          <w:p>
            <w:pPr>
              <w:pStyle w:val="Compact"/>
              <w:jc w:val="left"/>
            </w:pPr>
            <w:r>
              <w:t xml:space="preserve">Competitor: AI models</w:t>
            </w:r>
          </w:p>
        </w:tc>
      </w:tr>
      <w:tr>
        <w:tc>
          <w:tcPr/>
          <w:p>
            <w:pPr>
              <w:pStyle w:val="Compact"/>
              <w:jc w:val="left"/>
            </w:pPr>
            <w:r>
              <w:t xml:space="preserve">@GoogleAI</w:t>
            </w:r>
          </w:p>
        </w:tc>
        <w:tc>
          <w:tcPr/>
          <w:p>
            <w:pPr>
              <w:pStyle w:val="Compact"/>
              <w:jc w:val="left"/>
            </w:pPr>
            <w:r>
              <w:t xml:space="preserve">Gemini updates, Vertex AI features</w:t>
            </w:r>
          </w:p>
        </w:tc>
        <w:tc>
          <w:tcPr/>
          <w:p>
            <w:pPr>
              <w:pStyle w:val="Compact"/>
              <w:jc w:val="left"/>
            </w:pPr>
            <w:r>
              <w:t xml:space="preserve">Competitor: AI models</w:t>
            </w:r>
          </w:p>
        </w:tc>
      </w:tr>
      <w:tr>
        <w:tc>
          <w:tcPr/>
          <w:p>
            <w:pPr>
              <w:pStyle w:val="Compact"/>
              <w:jc w:val="left"/>
            </w:pPr>
            <w:r>
              <w:t xml:space="preserve">@MetaAI</w:t>
            </w:r>
          </w:p>
        </w:tc>
        <w:tc>
          <w:tcPr/>
          <w:p>
            <w:pPr>
              <w:pStyle w:val="Compact"/>
              <w:jc w:val="left"/>
            </w:pPr>
            <w:r>
              <w:t xml:space="preserve">Llama releases, open-source LLM advances</w:t>
            </w:r>
          </w:p>
        </w:tc>
        <w:tc>
          <w:tcPr/>
          <w:p>
            <w:pPr>
              <w:pStyle w:val="Compact"/>
              <w:jc w:val="left"/>
            </w:pPr>
            <w:r>
              <w:t xml:space="preserve">Tech: fine-tuning base</w:t>
            </w:r>
          </w:p>
        </w:tc>
      </w:tr>
      <w:tr>
        <w:tc>
          <w:tcPr/>
          <w:p>
            <w:pPr>
              <w:pStyle w:val="Compact"/>
              <w:jc w:val="left"/>
            </w:pPr>
            <w:r>
              <w:t xml:space="preserve">@GroqInc</w:t>
            </w:r>
          </w:p>
        </w:tc>
        <w:tc>
          <w:tcPr/>
          <w:p>
            <w:pPr>
              <w:pStyle w:val="Compact"/>
              <w:jc w:val="left"/>
            </w:pPr>
            <w:r>
              <w:t xml:space="preserve">Inference speed improvements, new models</w:t>
            </w:r>
          </w:p>
        </w:tc>
        <w:tc>
          <w:tcPr/>
          <w:p>
            <w:pPr>
              <w:pStyle w:val="Compact"/>
              <w:jc w:val="left"/>
            </w:pPr>
            <w:r>
              <w:t xml:space="preserve">Tech: LLM inference</w:t>
            </w:r>
          </w:p>
        </w:tc>
      </w:tr>
      <w:tr>
        <w:tc>
          <w:tcPr/>
          <w:p>
            <w:pPr>
              <w:pStyle w:val="Compact"/>
              <w:jc w:val="left"/>
            </w:pPr>
            <w:r>
              <w:t xml:space="preserve">@suabornadel</w:t>
            </w:r>
          </w:p>
        </w:tc>
        <w:tc>
          <w:tcPr/>
          <w:p>
            <w:pPr>
              <w:pStyle w:val="Compact"/>
              <w:jc w:val="left"/>
            </w:pPr>
            <w:r>
              <w:t xml:space="preserve">Supabase features, edge functions, vectors</w:t>
            </w:r>
          </w:p>
        </w:tc>
        <w:tc>
          <w:tcPr/>
          <w:p>
            <w:pPr>
              <w:pStyle w:val="Compact"/>
              <w:jc w:val="left"/>
            </w:pPr>
            <w:r>
              <w:t xml:space="preserve">Tech: database</w:t>
            </w:r>
          </w:p>
        </w:tc>
      </w:tr>
      <w:tr>
        <w:tc>
          <w:tcPr/>
          <w:p>
            <w:pPr>
              <w:pStyle w:val="Compact"/>
              <w:jc w:val="left"/>
            </w:pPr>
            <w:r>
              <w:t xml:space="preserve">@temporalio</w:t>
            </w:r>
          </w:p>
        </w:tc>
        <w:tc>
          <w:tcPr/>
          <w:p>
            <w:pPr>
              <w:pStyle w:val="Compact"/>
              <w:jc w:val="left"/>
            </w:pPr>
            <w:r>
              <w:t xml:space="preserve">Workflow orchestration patterns</w:t>
            </w:r>
          </w:p>
        </w:tc>
        <w:tc>
          <w:tcPr/>
          <w:p>
            <w:pPr>
              <w:pStyle w:val="Compact"/>
              <w:jc w:val="left"/>
            </w:pPr>
            <w:r>
              <w:t xml:space="preserve">Tech: agent orchestration</w:t>
            </w:r>
          </w:p>
        </w:tc>
      </w:tr>
      <w:tr>
        <w:tc>
          <w:tcPr/>
          <w:p>
            <w:pPr>
              <w:pStyle w:val="Compact"/>
              <w:jc w:val="left"/>
            </w:pPr>
            <w:r>
              <w:t xml:space="preserve">@CloudflareDev</w:t>
            </w:r>
          </w:p>
        </w:tc>
        <w:tc>
          <w:tcPr/>
          <w:p>
            <w:pPr>
              <w:pStyle w:val="Compact"/>
              <w:jc w:val="left"/>
            </w:pPr>
            <w:r>
              <w:t xml:space="preserve">Workers updates, edge AI, Pages features</w:t>
            </w:r>
          </w:p>
        </w:tc>
        <w:tc>
          <w:tcPr/>
          <w:p>
            <w:pPr>
              <w:pStyle w:val="Compact"/>
              <w:jc w:val="left"/>
            </w:pPr>
            <w:r>
              <w:t xml:space="preserve">Tech: deployment</w:t>
            </w:r>
          </w:p>
        </w:tc>
      </w:tr>
    </w:tbl>
    <w:p>
      <w:pPr>
        <w:pStyle w:val="BodyText"/>
      </w:pPr>
      <w:r>
        <w:rPr>
          <w:bCs/>
          <w:b/>
        </w:rPr>
        <w:t xml:space="preserve">Climate-Tech &amp; Compliance:</w:t>
      </w:r>
    </w:p>
    <w:tbl>
      <w:tblPr>
        <w:tblStyle w:val="Table"/>
        <w:tblW w:type="pct" w:w="5000"/>
        <w:tblLook w:firstRow="1" w:lastRow="0" w:firstColumn="0" w:lastColumn="0" w:noHBand="0" w:noVBand="0" w:val="0020"/>
        <w:jc w:val="start"/>
      </w:tblPr>
      <w:tblGrid>
        <w:gridCol w:w="1662"/>
        <w:gridCol w:w="4400"/>
        <w:gridCol w:w="1857"/>
      </w:tblGrid>
      <w:tr>
        <w:trPr>
          <w:tblHeader w:val="true"/>
        </w:trPr>
        <w:tc>
          <w:tcPr/>
          <w:p>
            <w:pPr>
              <w:pStyle w:val="Compact"/>
              <w:jc w:val="left"/>
            </w:pPr>
            <w:r>
              <w:t xml:space="preserve">Account</w:t>
            </w:r>
          </w:p>
        </w:tc>
        <w:tc>
          <w:tcPr/>
          <w:p>
            <w:pPr>
              <w:pStyle w:val="Compact"/>
              <w:jc w:val="left"/>
            </w:pPr>
            <w:r>
              <w:t xml:space="preserve">Why</w:t>
            </w:r>
          </w:p>
        </w:tc>
        <w:tc>
          <w:tcPr/>
          <w:p>
            <w:pPr>
              <w:pStyle w:val="Compact"/>
              <w:jc w:val="left"/>
            </w:pPr>
            <w:r>
              <w:t xml:space="preserve">Signal Type</w:t>
            </w:r>
          </w:p>
        </w:tc>
      </w:tr>
      <w:tr>
        <w:tc>
          <w:tcPr/>
          <w:p>
            <w:pPr>
              <w:pStyle w:val="Compact"/>
              <w:jc w:val="left"/>
            </w:pPr>
            <w:r>
              <w:t xml:space="preserve">@EU_Commission</w:t>
            </w:r>
          </w:p>
        </w:tc>
        <w:tc>
          <w:tcPr/>
          <w:p>
            <w:pPr>
              <w:pStyle w:val="Compact"/>
              <w:jc w:val="left"/>
            </w:pPr>
            <w:r>
              <w:t xml:space="preserve">Policy announcements, Fit-for-55 updates</w:t>
            </w:r>
          </w:p>
        </w:tc>
        <w:tc>
          <w:tcPr/>
          <w:p>
            <w:pPr>
              <w:pStyle w:val="Compact"/>
              <w:jc w:val="left"/>
            </w:pPr>
            <w:r>
              <w:t xml:space="preserve">Regulation</w:t>
            </w:r>
          </w:p>
        </w:tc>
      </w:tr>
      <w:tr>
        <w:tc>
          <w:tcPr/>
          <w:p>
            <w:pPr>
              <w:pStyle w:val="Compact"/>
              <w:jc w:val="left"/>
            </w:pPr>
            <w:r>
              <w:t xml:space="preserve">@EUClimateAction</w:t>
            </w:r>
          </w:p>
        </w:tc>
        <w:tc>
          <w:tcPr/>
          <w:p>
            <w:pPr>
              <w:pStyle w:val="Compact"/>
              <w:jc w:val="left"/>
            </w:pPr>
            <w:r>
              <w:t xml:space="preserve">ETS, CBAM implementation details</w:t>
            </w:r>
          </w:p>
        </w:tc>
        <w:tc>
          <w:tcPr/>
          <w:p>
            <w:pPr>
              <w:pStyle w:val="Compact"/>
              <w:jc w:val="left"/>
            </w:pPr>
            <w:r>
              <w:t xml:space="preserve">Regulation</w:t>
            </w:r>
          </w:p>
        </w:tc>
      </w:tr>
      <w:tr>
        <w:tc>
          <w:tcPr/>
          <w:p>
            <w:pPr>
              <w:pStyle w:val="Compact"/>
              <w:jc w:val="left"/>
            </w:pPr>
            <w:r>
              <w:t xml:space="preserve">@ABORNADEL</w:t>
            </w:r>
            <w:r>
              <w:t xml:space="preserve"> </w:t>
            </w:r>
            <w:r>
              <w:t xml:space="preserve">(EEA)</w:t>
            </w:r>
          </w:p>
        </w:tc>
        <w:tc>
          <w:tcPr/>
          <w:p>
            <w:pPr>
              <w:pStyle w:val="Compact"/>
              <w:jc w:val="left"/>
            </w:pPr>
            <w:r>
              <w:t xml:space="preserve">European environment data, emissions reports</w:t>
            </w:r>
          </w:p>
        </w:tc>
        <w:tc>
          <w:tcPr/>
          <w:p>
            <w:pPr>
              <w:pStyle w:val="Compact"/>
              <w:jc w:val="left"/>
            </w:pPr>
            <w:r>
              <w:t xml:space="preserve">Industry data</w:t>
            </w:r>
          </w:p>
        </w:tc>
      </w:tr>
      <w:tr>
        <w:tc>
          <w:tcPr/>
          <w:p>
            <w:pPr>
              <w:pStyle w:val="Compact"/>
              <w:jc w:val="left"/>
            </w:pPr>
            <w:r>
              <w:t xml:space="preserve">@PersefoniAI</w:t>
            </w:r>
          </w:p>
        </w:tc>
        <w:tc>
          <w:tcPr/>
          <w:p>
            <w:pPr>
              <w:pStyle w:val="Compact"/>
              <w:jc w:val="left"/>
            </w:pPr>
            <w:r>
              <w:t xml:space="preserve">Product launches, EU expansion signals</w:t>
            </w:r>
          </w:p>
        </w:tc>
        <w:tc>
          <w:tcPr/>
          <w:p>
            <w:pPr>
              <w:pStyle w:val="Compact"/>
              <w:jc w:val="left"/>
            </w:pPr>
            <w:r>
              <w:t xml:space="preserve">Competitor</w:t>
            </w:r>
          </w:p>
        </w:tc>
      </w:tr>
      <w:tr>
        <w:tc>
          <w:tcPr/>
          <w:p>
            <w:pPr>
              <w:pStyle w:val="Compact"/>
              <w:jc w:val="left"/>
            </w:pPr>
            <w:r>
              <w:t xml:space="preserve">@watershedclimate</w:t>
            </w:r>
          </w:p>
        </w:tc>
        <w:tc>
          <w:tcPr/>
          <w:p>
            <w:pPr>
              <w:pStyle w:val="Compact"/>
              <w:jc w:val="left"/>
            </w:pPr>
            <w:r>
              <w:t xml:space="preserve">Feature announcements, enterprise wins</w:t>
            </w:r>
          </w:p>
        </w:tc>
        <w:tc>
          <w:tcPr/>
          <w:p>
            <w:pPr>
              <w:pStyle w:val="Compact"/>
              <w:jc w:val="left"/>
            </w:pPr>
            <w:r>
              <w:t xml:space="preserve">Competitor</w:t>
            </w:r>
          </w:p>
        </w:tc>
      </w:tr>
      <w:tr>
        <w:tc>
          <w:tcPr/>
          <w:p>
            <w:pPr>
              <w:pStyle w:val="Compact"/>
              <w:jc w:val="left"/>
            </w:pPr>
            <w:r>
              <w:t xml:space="preserve">@sweabornadel</w:t>
            </w:r>
          </w:p>
        </w:tc>
        <w:tc>
          <w:tcPr/>
          <w:p>
            <w:pPr>
              <w:pStyle w:val="Compact"/>
              <w:jc w:val="left"/>
            </w:pPr>
            <w:r>
              <w:t xml:space="preserve">CSRD features, pricing moves</w:t>
            </w:r>
          </w:p>
        </w:tc>
        <w:tc>
          <w:tcPr/>
          <w:p>
            <w:pPr>
              <w:pStyle w:val="Compact"/>
              <w:jc w:val="left"/>
            </w:pPr>
            <w:r>
              <w:t xml:space="preserve">Competitor</w:t>
            </w:r>
          </w:p>
        </w:tc>
      </w:tr>
      <w:tr>
        <w:tc>
          <w:tcPr/>
          <w:p>
            <w:pPr>
              <w:pStyle w:val="Compact"/>
              <w:jc w:val="left"/>
            </w:pPr>
            <w:r>
              <w:t xml:space="preserve">@OneClickLCA</w:t>
            </w:r>
          </w:p>
        </w:tc>
        <w:tc>
          <w:tcPr/>
          <w:p>
            <w:pPr>
              <w:pStyle w:val="Compact"/>
              <w:jc w:val="left"/>
            </w:pPr>
            <w:r>
              <w:t xml:space="preserve">Construction LCA updates, SimaPro integration</w:t>
            </w:r>
          </w:p>
        </w:tc>
        <w:tc>
          <w:tcPr/>
          <w:p>
            <w:pPr>
              <w:pStyle w:val="Compact"/>
              <w:jc w:val="left"/>
            </w:pPr>
            <w:r>
              <w:t xml:space="preserve">Competitor</w:t>
            </w:r>
          </w:p>
        </w:tc>
      </w:tr>
      <w:tr>
        <w:tc>
          <w:tcPr/>
          <w:p>
            <w:pPr>
              <w:pStyle w:val="Compact"/>
              <w:jc w:val="left"/>
            </w:pPr>
            <w:r>
              <w:t xml:space="preserve">@PlanA_earth</w:t>
            </w:r>
          </w:p>
        </w:tc>
        <w:tc>
          <w:tcPr/>
          <w:p>
            <w:pPr>
              <w:pStyle w:val="Compact"/>
              <w:jc w:val="left"/>
            </w:pPr>
            <w:r>
              <w:t xml:space="preserve">German market moves, certifications</w:t>
            </w:r>
          </w:p>
        </w:tc>
        <w:tc>
          <w:tcPr/>
          <w:p>
            <w:pPr>
              <w:pStyle w:val="Compact"/>
              <w:jc w:val="left"/>
            </w:pPr>
            <w:r>
              <w:t xml:space="preserve">Competitor</w:t>
            </w:r>
          </w:p>
        </w:tc>
      </w:tr>
      <w:tr>
        <w:tc>
          <w:tcPr/>
          <w:p>
            <w:pPr>
              <w:pStyle w:val="Compact"/>
              <w:jc w:val="left"/>
            </w:pPr>
            <w:r>
              <w:t xml:space="preserve">@CarbonBrief</w:t>
            </w:r>
          </w:p>
        </w:tc>
        <w:tc>
          <w:tcPr/>
          <w:p>
            <w:pPr>
              <w:pStyle w:val="Compact"/>
              <w:jc w:val="left"/>
            </w:pPr>
            <w:r>
              <w:t xml:space="preserve">Carbon market analysis, policy explainers</w:t>
            </w:r>
          </w:p>
        </w:tc>
        <w:tc>
          <w:tcPr/>
          <w:p>
            <w:pPr>
              <w:pStyle w:val="Compact"/>
              <w:jc w:val="left"/>
            </w:pPr>
            <w:r>
              <w:t xml:space="preserve">Market intelligence</w:t>
            </w:r>
          </w:p>
        </w:tc>
      </w:tr>
      <w:tr>
        <w:tc>
          <w:tcPr/>
          <w:p>
            <w:pPr>
              <w:pStyle w:val="Compact"/>
              <w:jc w:val="left"/>
            </w:pPr>
            <w:r>
              <w:t xml:space="preserve">@BloombergNEF</w:t>
            </w:r>
          </w:p>
        </w:tc>
        <w:tc>
          <w:tcPr/>
          <w:p>
            <w:pPr>
              <w:pStyle w:val="Compact"/>
              <w:jc w:val="left"/>
            </w:pPr>
            <w:r>
              <w:t xml:space="preserve">Carbon price forecasts, clean energy data</w:t>
            </w:r>
          </w:p>
        </w:tc>
        <w:tc>
          <w:tcPr/>
          <w:p>
            <w:pPr>
              <w:pStyle w:val="Compact"/>
              <w:jc w:val="left"/>
            </w:pPr>
            <w:r>
              <w:t xml:space="preserve">Market data</w:t>
            </w:r>
          </w:p>
        </w:tc>
      </w:tr>
      <w:tr>
        <w:tc>
          <w:tcPr/>
          <w:p>
            <w:pPr>
              <w:pStyle w:val="Compact"/>
              <w:jc w:val="left"/>
            </w:pPr>
            <w:r>
              <w:t xml:space="preserve">@IEA</w:t>
            </w:r>
          </w:p>
        </w:tc>
        <w:tc>
          <w:tcPr/>
          <w:p>
            <w:pPr>
              <w:pStyle w:val="Compact"/>
              <w:jc w:val="left"/>
            </w:pPr>
            <w:r>
              <w:t xml:space="preserve">Global energy and emissions outlook</w:t>
            </w:r>
          </w:p>
        </w:tc>
        <w:tc>
          <w:tcPr/>
          <w:p>
            <w:pPr>
              <w:pStyle w:val="Compact"/>
              <w:jc w:val="left"/>
            </w:pPr>
            <w:r>
              <w:t xml:space="preserve">Industry data</w:t>
            </w:r>
          </w:p>
        </w:tc>
      </w:tr>
    </w:tbl>
    <w:p>
      <w:pPr>
        <w:pStyle w:val="BodyText"/>
      </w:pPr>
      <w:r>
        <w:rPr>
          <w:bCs/>
          <w:b/>
        </w:rPr>
        <w:t xml:space="preserve">Industry Verticals:</w:t>
      </w:r>
    </w:p>
    <w:tbl>
      <w:tblPr>
        <w:tblStyle w:val="Table"/>
        <w:tblW w:type="pct" w:w="5000"/>
        <w:tblLook w:firstRow="1" w:lastRow="0" w:firstColumn="0" w:lastColumn="0" w:noHBand="0" w:noVBand="0" w:val="0020"/>
        <w:jc w:val="start"/>
      </w:tblPr>
      <w:tblGrid>
        <w:gridCol w:w="2057"/>
        <w:gridCol w:w="3908"/>
        <w:gridCol w:w="1954"/>
      </w:tblGrid>
      <w:tr>
        <w:trPr>
          <w:tblHeader w:val="true"/>
        </w:trPr>
        <w:tc>
          <w:tcPr/>
          <w:p>
            <w:pPr>
              <w:pStyle w:val="Compact"/>
              <w:jc w:val="left"/>
            </w:pPr>
            <w:r>
              <w:t xml:space="preserve">Account</w:t>
            </w:r>
          </w:p>
        </w:tc>
        <w:tc>
          <w:tcPr/>
          <w:p>
            <w:pPr>
              <w:pStyle w:val="Compact"/>
              <w:jc w:val="left"/>
            </w:pPr>
            <w:r>
              <w:t xml:space="preserve">Why</w:t>
            </w:r>
          </w:p>
        </w:tc>
        <w:tc>
          <w:tcPr/>
          <w:p>
            <w:pPr>
              <w:pStyle w:val="Compact"/>
              <w:jc w:val="left"/>
            </w:pPr>
            <w:r>
              <w:t xml:space="preserve">Signal Type</w:t>
            </w:r>
          </w:p>
        </w:tc>
      </w:tr>
      <w:tr>
        <w:tc>
          <w:tcPr/>
          <w:p>
            <w:pPr>
              <w:pStyle w:val="Compact"/>
              <w:jc w:val="left"/>
            </w:pPr>
            <w:r>
              <w:t xml:space="preserve">@ABORNADEL</w:t>
            </w:r>
            <w:r>
              <w:t xml:space="preserve"> </w:t>
            </w:r>
            <w:r>
              <w:t xml:space="preserve">(Eurofer)</w:t>
            </w:r>
          </w:p>
        </w:tc>
        <w:tc>
          <w:tcPr/>
          <w:p>
            <w:pPr>
              <w:pStyle w:val="Compact"/>
              <w:jc w:val="left"/>
            </w:pPr>
            <w:r>
              <w:t xml:space="preserve">Steel industry policy positions</w:t>
            </w:r>
          </w:p>
        </w:tc>
        <w:tc>
          <w:tcPr/>
          <w:p>
            <w:pPr>
              <w:pStyle w:val="Compact"/>
              <w:jc w:val="left"/>
            </w:pPr>
            <w:r>
              <w:t xml:space="preserve">Industry: steel</w:t>
            </w:r>
          </w:p>
        </w:tc>
      </w:tr>
      <w:tr>
        <w:tc>
          <w:tcPr/>
          <w:p>
            <w:pPr>
              <w:pStyle w:val="Compact"/>
              <w:jc w:val="left"/>
            </w:pPr>
            <w:r>
              <w:t xml:space="preserve">@CEMBUREAU</w:t>
            </w:r>
          </w:p>
        </w:tc>
        <w:tc>
          <w:tcPr/>
          <w:p>
            <w:pPr>
              <w:pStyle w:val="Compact"/>
              <w:jc w:val="left"/>
            </w:pPr>
            <w:r>
              <w:t xml:space="preserve">Cement decarbonization progress</w:t>
            </w:r>
          </w:p>
        </w:tc>
        <w:tc>
          <w:tcPr/>
          <w:p>
            <w:pPr>
              <w:pStyle w:val="Compact"/>
              <w:jc w:val="left"/>
            </w:pPr>
            <w:r>
              <w:t xml:space="preserve">Industry: cement</w:t>
            </w:r>
          </w:p>
        </w:tc>
      </w:tr>
      <w:tr>
        <w:tc>
          <w:tcPr/>
          <w:p>
            <w:pPr>
              <w:pStyle w:val="Compact"/>
              <w:jc w:val="left"/>
            </w:pPr>
            <w:r>
              <w:t xml:space="preserve">@CEFIC_EU</w:t>
            </w:r>
          </w:p>
        </w:tc>
        <w:tc>
          <w:tcPr/>
          <w:p>
            <w:pPr>
              <w:pStyle w:val="Compact"/>
              <w:jc w:val="left"/>
            </w:pPr>
            <w:r>
              <w:t xml:space="preserve">Chemical industry sustainability</w:t>
            </w:r>
          </w:p>
        </w:tc>
        <w:tc>
          <w:tcPr/>
          <w:p>
            <w:pPr>
              <w:pStyle w:val="Compact"/>
              <w:jc w:val="left"/>
            </w:pPr>
            <w:r>
              <w:t xml:space="preserve">Industry: chemicals</w:t>
            </w:r>
          </w:p>
        </w:tc>
      </w:tr>
      <w:tr>
        <w:tc>
          <w:tcPr/>
          <w:p>
            <w:pPr>
              <w:pStyle w:val="Compact"/>
              <w:jc w:val="left"/>
            </w:pPr>
            <w:r>
              <w:t xml:space="preserve">@ArcelorMittal</w:t>
            </w:r>
          </w:p>
        </w:tc>
        <w:tc>
          <w:tcPr/>
          <w:p>
            <w:pPr>
              <w:pStyle w:val="Compact"/>
              <w:jc w:val="left"/>
            </w:pPr>
            <w:r>
              <w:t xml:space="preserve">Green steel announcements</w:t>
            </w:r>
          </w:p>
        </w:tc>
        <w:tc>
          <w:tcPr/>
          <w:p>
            <w:pPr>
              <w:pStyle w:val="Compact"/>
              <w:jc w:val="left"/>
            </w:pPr>
            <w:r>
              <w:t xml:space="preserve">Industry: steel</w:t>
            </w:r>
          </w:p>
        </w:tc>
      </w:tr>
      <w:tr>
        <w:tc>
          <w:tcPr/>
          <w:p>
            <w:pPr>
              <w:pStyle w:val="Compact"/>
              <w:jc w:val="left"/>
            </w:pPr>
            <w:r>
              <w:t xml:space="preserve">@HeidelbergCement</w:t>
            </w:r>
          </w:p>
        </w:tc>
        <w:tc>
          <w:tcPr/>
          <w:p>
            <w:pPr>
              <w:pStyle w:val="Compact"/>
              <w:jc w:val="left"/>
            </w:pPr>
            <w:r>
              <w:t xml:space="preserve">Low-carbon cement tech</w:t>
            </w:r>
          </w:p>
        </w:tc>
        <w:tc>
          <w:tcPr/>
          <w:p>
            <w:pPr>
              <w:pStyle w:val="Compact"/>
              <w:jc w:val="left"/>
            </w:pPr>
            <w:r>
              <w:t xml:space="preserve">Industry: cement</w:t>
            </w:r>
          </w:p>
        </w:tc>
      </w:tr>
      <w:tr>
        <w:tc>
          <w:tcPr/>
          <w:p>
            <w:pPr>
              <w:pStyle w:val="Compact"/>
              <w:jc w:val="left"/>
            </w:pPr>
            <w:r>
              <w:t xml:space="preserve">@SSAB</w:t>
            </w:r>
          </w:p>
        </w:tc>
        <w:tc>
          <w:tcPr/>
          <w:p>
            <w:pPr>
              <w:pStyle w:val="Compact"/>
              <w:jc w:val="left"/>
            </w:pPr>
            <w:r>
              <w:t xml:space="preserve">Fossil-free steel (HYBRIT) progress</w:t>
            </w:r>
          </w:p>
        </w:tc>
        <w:tc>
          <w:tcPr/>
          <w:p>
            <w:pPr>
              <w:pStyle w:val="Compact"/>
              <w:jc w:val="left"/>
            </w:pPr>
            <w:r>
              <w:t xml:space="preserve">Industry: steel</w:t>
            </w:r>
          </w:p>
        </w:tc>
      </w:tr>
      <w:tr>
        <w:tc>
          <w:tcPr/>
          <w:p>
            <w:pPr>
              <w:pStyle w:val="Compact"/>
              <w:jc w:val="left"/>
            </w:pPr>
            <w:r>
              <w:t xml:space="preserve">@Maersk</w:t>
            </w:r>
          </w:p>
        </w:tc>
        <w:tc>
          <w:tcPr/>
          <w:p>
            <w:pPr>
              <w:pStyle w:val="Compact"/>
              <w:jc w:val="left"/>
            </w:pPr>
            <w:r>
              <w:t xml:space="preserve">Green shipping, methanol fuel adoption</w:t>
            </w:r>
          </w:p>
        </w:tc>
        <w:tc>
          <w:tcPr/>
          <w:p>
            <w:pPr>
              <w:pStyle w:val="Compact"/>
              <w:jc w:val="left"/>
            </w:pPr>
            <w:r>
              <w:t xml:space="preserve">Industry: logistics</w:t>
            </w:r>
          </w:p>
        </w:tc>
      </w:tr>
      <w:tr>
        <w:tc>
          <w:tcPr/>
          <w:p>
            <w:pPr>
              <w:pStyle w:val="Compact"/>
              <w:jc w:val="left"/>
            </w:pPr>
            <w:r>
              <w:t xml:space="preserve">@Schneider_EU</w:t>
            </w:r>
          </w:p>
        </w:tc>
        <w:tc>
          <w:tcPr/>
          <w:p>
            <w:pPr>
              <w:pStyle w:val="Compact"/>
              <w:jc w:val="left"/>
            </w:pPr>
            <w:r>
              <w:t xml:space="preserve">Industrial IoT + sustainability</w:t>
            </w:r>
          </w:p>
        </w:tc>
        <w:tc>
          <w:tcPr/>
          <w:p>
            <w:pPr>
              <w:pStyle w:val="Compact"/>
              <w:jc w:val="left"/>
            </w:pPr>
            <w:r>
              <w:t xml:space="preserve">Competitor: IoT</w:t>
            </w:r>
          </w:p>
        </w:tc>
      </w:tr>
      <w:tr>
        <w:tc>
          <w:tcPr/>
          <w:p>
            <w:pPr>
              <w:pStyle w:val="Compact"/>
              <w:jc w:val="left"/>
            </w:pPr>
            <w:r>
              <w:t xml:space="preserve">@SiemensInfra</w:t>
            </w:r>
          </w:p>
        </w:tc>
        <w:tc>
          <w:tcPr/>
          <w:p>
            <w:pPr>
              <w:pStyle w:val="Compact"/>
              <w:jc w:val="left"/>
            </w:pPr>
            <w:r>
              <w:t xml:space="preserve">Building X, digital twin updates</w:t>
            </w:r>
          </w:p>
        </w:tc>
        <w:tc>
          <w:tcPr/>
          <w:p>
            <w:pPr>
              <w:pStyle w:val="Compact"/>
              <w:jc w:val="left"/>
            </w:pPr>
            <w:r>
              <w:t xml:space="preserve">Competitor: IoT</w:t>
            </w:r>
          </w:p>
        </w:tc>
      </w:tr>
      <w:tr>
        <w:tc>
          <w:tcPr/>
          <w:p>
            <w:pPr>
              <w:pStyle w:val="Compact"/>
              <w:jc w:val="left"/>
            </w:pPr>
            <w:r>
              <w:t xml:space="preserve">@NVIDIA</w:t>
            </w:r>
          </w:p>
        </w:tc>
        <w:tc>
          <w:tcPr/>
          <w:p>
            <w:pPr>
              <w:pStyle w:val="Compact"/>
              <w:jc w:val="left"/>
            </w:pPr>
            <w:r>
              <w:t xml:space="preserve">Jetson updates, edge AI platform</w:t>
            </w:r>
          </w:p>
        </w:tc>
        <w:tc>
          <w:tcPr/>
          <w:p>
            <w:pPr>
              <w:pStyle w:val="Compact"/>
              <w:jc w:val="left"/>
            </w:pPr>
            <w:r>
              <w:t xml:space="preserve">Tech: edge AI</w:t>
            </w:r>
          </w:p>
        </w:tc>
      </w:tr>
    </w:tbl>
    <w:bookmarkEnd w:id="110"/>
    <w:bookmarkStart w:id="111" w:name="x-signal-topics-search-weekly"/>
    <w:p>
      <w:pPr>
        <w:pStyle w:val="Heading4"/>
      </w:pPr>
      <w:r>
        <w:t xml:space="preserve">X Signal Topics (Search Weekly)</w:t>
      </w:r>
    </w:p>
    <w:tbl>
      <w:tblPr>
        <w:tblStyle w:val="Table"/>
        <w:tblW w:type="pct" w:w="5000"/>
        <w:tblLook w:firstRow="1" w:lastRow="0" w:firstColumn="0" w:lastColumn="0" w:noHBand="0" w:noVBand="0" w:val="0020"/>
        <w:jc w:val="start"/>
      </w:tblPr>
      <w:tblGrid>
        <w:gridCol w:w="4122"/>
        <w:gridCol w:w="3797"/>
      </w:tblGrid>
      <w:tr>
        <w:trPr>
          <w:tblHeader w:val="true"/>
        </w:trPr>
        <w:tc>
          <w:tcPr/>
          <w:p>
            <w:pPr>
              <w:pStyle w:val="Compact"/>
              <w:jc w:val="left"/>
            </w:pPr>
            <w:r>
              <w:t xml:space="preserve">Search Query</w:t>
            </w:r>
          </w:p>
        </w:tc>
        <w:tc>
          <w:tcPr/>
          <w:p>
            <w:pPr>
              <w:pStyle w:val="Compact"/>
              <w:jc w:val="left"/>
            </w:pPr>
            <w:r>
              <w:t xml:space="preserve">Purpose</w:t>
            </w:r>
          </w:p>
        </w:tc>
      </w:tr>
      <w:tr>
        <w:tc>
          <w:tcPr/>
          <w:p>
            <w:pPr>
              <w:pStyle w:val="Compact"/>
              <w:jc w:val="left"/>
            </w:pPr>
            <w:r>
              <w:rPr>
                <w:rStyle w:val="VerbatimChar"/>
              </w:rPr>
              <w:t xml:space="preserve">"EU ETS" carbon price</w:t>
            </w:r>
          </w:p>
        </w:tc>
        <w:tc>
          <w:tcPr/>
          <w:p>
            <w:pPr>
              <w:pStyle w:val="Compact"/>
              <w:jc w:val="left"/>
            </w:pPr>
            <w:r>
              <w:t xml:space="preserve">Track weekly EUA price sentiment</w:t>
            </w:r>
          </w:p>
        </w:tc>
      </w:tr>
      <w:tr>
        <w:tc>
          <w:tcPr/>
          <w:p>
            <w:pPr>
              <w:pStyle w:val="Compact"/>
              <w:jc w:val="left"/>
            </w:pPr>
            <w:r>
              <w:rPr>
                <w:rStyle w:val="VerbatimChar"/>
              </w:rPr>
              <w:t xml:space="preserve">CBAM implementation 2026</w:t>
            </w:r>
          </w:p>
        </w:tc>
        <w:tc>
          <w:tcPr/>
          <w:p>
            <w:pPr>
              <w:pStyle w:val="Compact"/>
              <w:jc w:val="left"/>
            </w:pPr>
            <w:r>
              <w:t xml:space="preserve">CBAM transitional period updates</w:t>
            </w:r>
          </w:p>
        </w:tc>
      </w:tr>
      <w:tr>
        <w:tc>
          <w:tcPr/>
          <w:p>
            <w:pPr>
              <w:pStyle w:val="Compact"/>
              <w:jc w:val="left"/>
            </w:pPr>
            <w:r>
              <w:rPr>
                <w:rStyle w:val="VerbatimChar"/>
              </w:rPr>
              <w:t xml:space="preserve">CSRD reporting software</w:t>
            </w:r>
          </w:p>
        </w:tc>
        <w:tc>
          <w:tcPr/>
          <w:p>
            <w:pPr>
              <w:pStyle w:val="Compact"/>
              <w:jc w:val="left"/>
            </w:pPr>
            <w:r>
              <w:t xml:space="preserve">Competitor product launches</w:t>
            </w:r>
          </w:p>
        </w:tc>
      </w:tr>
      <w:tr>
        <w:tc>
          <w:tcPr/>
          <w:p>
            <w:pPr>
              <w:pStyle w:val="Compact"/>
              <w:jc w:val="left"/>
            </w:pPr>
            <w:r>
              <w:rPr>
                <w:rStyle w:val="VerbatimChar"/>
              </w:rPr>
              <w:t xml:space="preserve">"EU AI Act" compliance</w:t>
            </w:r>
          </w:p>
        </w:tc>
        <w:tc>
          <w:tcPr/>
          <w:p>
            <w:pPr>
              <w:pStyle w:val="Compact"/>
              <w:jc w:val="left"/>
            </w:pPr>
            <w:r>
              <w:t xml:space="preserve">Article 12 implementation guidance</w:t>
            </w:r>
          </w:p>
        </w:tc>
      </w:tr>
      <w:tr>
        <w:tc>
          <w:tcPr/>
          <w:p>
            <w:pPr>
              <w:pStyle w:val="Compact"/>
              <w:jc w:val="left"/>
            </w:pPr>
            <w:r>
              <w:rPr>
                <w:rStyle w:val="VerbatimChar"/>
              </w:rPr>
              <w:t xml:space="preserve">"green steel" OR "fossil-free steel"</w:t>
            </w:r>
          </w:p>
        </w:tc>
        <w:tc>
          <w:tcPr/>
          <w:p>
            <w:pPr>
              <w:pStyle w:val="Compact"/>
              <w:jc w:val="left"/>
            </w:pPr>
            <w:r>
              <w:t xml:space="preserve">Steel industry decarbonization pace</w:t>
            </w:r>
          </w:p>
        </w:tc>
      </w:tr>
      <w:tr>
        <w:tc>
          <w:tcPr/>
          <w:p>
            <w:pPr>
              <w:pStyle w:val="Compact"/>
              <w:jc w:val="left"/>
            </w:pPr>
            <w:r>
              <w:rPr>
                <w:rStyle w:val="VerbatimChar"/>
              </w:rPr>
              <w:t xml:space="preserve">"digital product passport" EU</w:t>
            </w:r>
          </w:p>
        </w:tc>
        <w:tc>
          <w:tcPr/>
          <w:p>
            <w:pPr>
              <w:pStyle w:val="Compact"/>
              <w:jc w:val="left"/>
            </w:pPr>
            <w:r>
              <w:t xml:space="preserve">CPR implementation timeline</w:t>
            </w:r>
          </w:p>
        </w:tc>
      </w:tr>
      <w:tr>
        <w:tc>
          <w:tcPr/>
          <w:p>
            <w:pPr>
              <w:pStyle w:val="Compact"/>
              <w:jc w:val="left"/>
            </w:pPr>
            <w:r>
              <w:rPr>
                <w:rStyle w:val="VerbatimChar"/>
              </w:rPr>
              <w:t xml:space="preserve">Claude Code OR "claude agent"</w:t>
            </w:r>
          </w:p>
        </w:tc>
        <w:tc>
          <w:tcPr/>
          <w:p>
            <w:pPr>
              <w:pStyle w:val="Compact"/>
              <w:jc w:val="left"/>
            </w:pPr>
            <w:r>
              <w:t xml:space="preserve">AI dev tooling advances</w:t>
            </w:r>
          </w:p>
        </w:tc>
      </w:tr>
      <w:tr>
        <w:tc>
          <w:tcPr/>
          <w:p>
            <w:pPr>
              <w:pStyle w:val="Compact"/>
              <w:jc w:val="left"/>
            </w:pPr>
            <w:r>
              <w:rPr>
                <w:rStyle w:val="VerbatimChar"/>
              </w:rPr>
              <w:t xml:space="preserve">MCP "model context protocol"</w:t>
            </w:r>
          </w:p>
        </w:tc>
        <w:tc>
          <w:tcPr/>
          <w:p>
            <w:pPr>
              <w:pStyle w:val="Compact"/>
              <w:jc w:val="left"/>
            </w:pPr>
            <w:r>
              <w:t xml:space="preserve">MCP ecosystem growth</w:t>
            </w:r>
          </w:p>
        </w:tc>
      </w:tr>
      <w:tr>
        <w:tc>
          <w:tcPr/>
          <w:p>
            <w:pPr>
              <w:pStyle w:val="Compact"/>
              <w:jc w:val="left"/>
            </w:pPr>
            <w:r>
              <w:rPr>
                <w:rStyle w:val="VerbatimChar"/>
              </w:rPr>
              <w:t xml:space="preserve">"climate tech" funding</w:t>
            </w:r>
          </w:p>
        </w:tc>
        <w:tc>
          <w:tcPr/>
          <w:p>
            <w:pPr>
              <w:pStyle w:val="Compact"/>
              <w:jc w:val="left"/>
            </w:pPr>
            <w:r>
              <w:t xml:space="preserve">Competitor funding rounds</w:t>
            </w:r>
          </w:p>
        </w:tc>
      </w:tr>
      <w:tr>
        <w:tc>
          <w:tcPr/>
          <w:p>
            <w:pPr>
              <w:pStyle w:val="Compact"/>
              <w:jc w:val="left"/>
            </w:pPr>
            <w:r>
              <w:rPr>
                <w:rStyle w:val="VerbatimChar"/>
              </w:rPr>
              <w:t xml:space="preserve">Supabase OR "edge function" release</w:t>
            </w:r>
          </w:p>
        </w:tc>
        <w:tc>
          <w:tcPr/>
          <w:p>
            <w:pPr>
              <w:pStyle w:val="Compact"/>
              <w:jc w:val="left"/>
            </w:pPr>
            <w:r>
              <w:t xml:space="preserve">Infrastructure capabilities</w:t>
            </w:r>
          </w:p>
        </w:tc>
      </w:tr>
    </w:tbl>
    <w:bookmarkEnd w:id="111"/>
    <w:bookmarkStart w:id="112" w:name="x-signal-roadmap-action-process"/>
    <w:p>
      <w:pPr>
        <w:pStyle w:val="Heading4"/>
      </w:pPr>
      <w:r>
        <w:t xml:space="preserve">X Signal → Roadmap Action Process</w:t>
      </w:r>
    </w:p>
    <w:p>
      <w:pPr>
        <w:pStyle w:val="SourceCode"/>
      </w:pPr>
      <w:r>
        <w:rPr>
          <w:rStyle w:val="VerbatimChar"/>
        </w:rPr>
        <w:t xml:space="preserve">1. Spot signal on X</w:t>
      </w:r>
      <w:r>
        <w:br/>
      </w:r>
      <w:r>
        <w:rPr>
          <w:rStyle w:val="VerbatimChar"/>
        </w:rPr>
        <w:t xml:space="preserve">2. Log in weekly GitHub Issue (roadmap-tracker label)</w:t>
      </w:r>
      <w:r>
        <w:br/>
      </w:r>
      <w:r>
        <w:rPr>
          <w:rStyle w:val="VerbatimChar"/>
        </w:rPr>
        <w:t xml:space="preserve">3. Assess: Does this change a PR priority, scope, or timeline?</w:t>
      </w:r>
      <w:r>
        <w:br/>
      </w:r>
      <w:r>
        <w:rPr>
          <w:rStyle w:val="VerbatimChar"/>
        </w:rPr>
        <w:t xml:space="preserve">   ├─ YES → Commit correction to Correction Changelog with X post link</w:t>
      </w:r>
      <w:r>
        <w:br/>
      </w:r>
      <w:r>
        <w:rPr>
          <w:rStyle w:val="VerbatimChar"/>
        </w:rPr>
        <w:t xml:space="preserve">   └─ NO → Archive in weekly report for quarterly review</w:t>
      </w:r>
    </w:p>
    <w:bookmarkEnd w:id="112"/>
    <w:bookmarkEnd w:id="113"/>
    <w:bookmarkStart w:id="114" w:name="correction-changelog"/>
    <w:p>
      <w:pPr>
        <w:pStyle w:val="Heading3"/>
      </w:pPr>
      <w:r>
        <w:t xml:space="preserve">Correction Changelog</w:t>
      </w:r>
    </w:p>
    <w:p>
      <w:pPr>
        <w:pStyle w:val="FirstParagraph"/>
      </w:pPr>
      <w:r>
        <w:t xml:space="preserve">Record every weekly correction here to maintain reasoning lineage.</w:t>
      </w:r>
    </w:p>
    <w:tbl>
      <w:tblPr>
        <w:tblStyle w:val="Table"/>
        <w:tblW w:type="pct" w:w="5000"/>
        <w:tblLook w:firstRow="1" w:lastRow="0" w:firstColumn="0" w:lastColumn="0" w:noHBand="0" w:noVBand="0" w:val="0020"/>
        <w:jc w:val="start"/>
      </w:tblPr>
      <w:tblGrid>
        <w:gridCol w:w="99"/>
        <w:gridCol w:w="247"/>
        <w:gridCol w:w="1658"/>
        <w:gridCol w:w="4430"/>
        <w:gridCol w:w="1485"/>
      </w:tblGrid>
      <w:tr>
        <w:trPr>
          <w:tblHeader w:val="true"/>
        </w:trPr>
        <w:tc>
          <w:tcPr/>
          <w:p>
            <w:pPr>
              <w:pStyle w:val="Compact"/>
              <w:jc w:val="left"/>
            </w:pPr>
            <w:r>
              <w:t xml:space="preserve">Week</w:t>
            </w:r>
          </w:p>
        </w:tc>
        <w:tc>
          <w:tcPr/>
          <w:p>
            <w:pPr>
              <w:pStyle w:val="Compact"/>
              <w:jc w:val="left"/>
            </w:pPr>
            <w:r>
              <w:t xml:space="preserve">Date</w:t>
            </w:r>
          </w:p>
        </w:tc>
        <w:tc>
          <w:tcPr/>
          <w:p>
            <w:pPr>
              <w:pStyle w:val="Compact"/>
              <w:jc w:val="left"/>
            </w:pPr>
            <w:r>
              <w:t xml:space="preserve">Correction</w:t>
            </w:r>
          </w:p>
        </w:tc>
        <w:tc>
          <w:tcPr/>
          <w:p>
            <w:pPr>
              <w:pStyle w:val="Compact"/>
              <w:jc w:val="left"/>
            </w:pPr>
            <w:r>
              <w:t xml:space="preserve">Reason</w:t>
            </w:r>
          </w:p>
        </w:tc>
        <w:tc>
          <w:tcPr/>
          <w:p>
            <w:pPr>
              <w:pStyle w:val="Compact"/>
              <w:jc w:val="left"/>
            </w:pPr>
            <w:r>
              <w:t xml:space="preserve">Source</w:t>
            </w:r>
          </w:p>
        </w:tc>
      </w:tr>
      <w:tr>
        <w:tc>
          <w:tcPr/>
          <w:p>
            <w:pPr>
              <w:pStyle w:val="Compact"/>
              <w:jc w:val="left"/>
            </w:pPr>
            <w:r>
              <w:t xml:space="preserve">W07</w:t>
            </w:r>
          </w:p>
        </w:tc>
        <w:tc>
          <w:tcPr/>
          <w:p>
            <w:pPr>
              <w:pStyle w:val="Compact"/>
              <w:jc w:val="left"/>
            </w:pPr>
            <w:r>
              <w:t xml:space="preserve">2026-02-12</w:t>
            </w:r>
          </w:p>
        </w:tc>
        <w:tc>
          <w:tcPr/>
          <w:p>
            <w:pPr>
              <w:pStyle w:val="Compact"/>
              <w:jc w:val="left"/>
            </w:pPr>
            <w:r>
              <w:t xml:space="preserve">Initial roadmap created</w:t>
            </w:r>
          </w:p>
        </w:tc>
        <w:tc>
          <w:tcPr/>
          <w:p>
            <w:pPr>
              <w:pStyle w:val="Compact"/>
              <w:jc w:val="left"/>
            </w:pPr>
            <w:r>
              <w:t xml:space="preserve">Baseline: 247 PRs across 6 phases</w:t>
            </w:r>
          </w:p>
        </w:tc>
        <w:tc>
          <w:tcPr/>
          <w:p>
            <w:pPr>
              <w:pStyle w:val="Compact"/>
              <w:jc w:val="left"/>
            </w:pPr>
            <w:r>
              <w:t xml:space="preserve">Codebase analysis + competitive research</w:t>
            </w:r>
          </w:p>
        </w:tc>
      </w:tr>
      <w:tr>
        <w:tc>
          <w:tcPr/>
          <w:p>
            <w:pPr>
              <w:pStyle w:val="Compact"/>
              <w:jc w:val="left"/>
            </w:pPr>
            <w:r>
              <w:t xml:space="preserve">W09</w:t>
            </w:r>
          </w:p>
        </w:tc>
        <w:tc>
          <w:tcPr/>
          <w:p>
            <w:pPr>
              <w:pStyle w:val="Compact"/>
              <w:jc w:val="left"/>
            </w:pPr>
            <w:r>
              <w:t xml:space="preserve">2026-02-24</w:t>
            </w:r>
          </w:p>
        </w:tc>
        <w:tc>
          <w:tcPr/>
          <w:p>
            <w:pPr>
              <w:pStyle w:val="Compact"/>
              <w:jc w:val="left"/>
            </w:pPr>
            <w:r>
              <w:rPr>
                <w:bCs/>
                <w:b/>
              </w:rPr>
              <w:t xml:space="preserve">DWS7 Agent Modernization — 6 critical fixes implemented in DWS6</w:t>
            </w:r>
          </w:p>
        </w:tc>
        <w:tc>
          <w:tcPr/>
          <w:p>
            <w:pPr>
              <w:pStyle w:val="Compact"/>
              <w:jc w:val="left"/>
            </w:pPr>
            <w:r>
              <w:t xml:space="preserve">Ship now for DWS6 customers, not wait for DWS7 Phase 4. Accelerates PRs 078, 079, 138–150</w:t>
            </w:r>
          </w:p>
        </w:tc>
        <w:tc>
          <w:tcPr/>
          <w:p>
            <w:pPr>
              <w:pStyle w:val="Compact"/>
              <w:jc w:val="left"/>
            </w:pPr>
            <w:r>
              <w:t xml:space="preserve">Session: claude/modernize-dws7-77v2B</w:t>
            </w:r>
          </w:p>
        </w:tc>
      </w:tr>
      <w:tr>
        <w:tc>
          <w:tcPr/>
          <w:p>
            <w:pPr>
              <w:pStyle w:val="Compact"/>
              <w:jc w:val="left"/>
            </w:pPr>
            <w:r>
              <w:t xml:space="preserve">W12</w:t>
            </w:r>
          </w:p>
        </w:tc>
        <w:tc>
          <w:tcPr/>
          <w:p>
            <w:pPr>
              <w:pStyle w:val="Compact"/>
              <w:jc w:val="left"/>
            </w:pPr>
            <w:r>
              <w:t xml:space="preserve">2026-03-16</w:t>
            </w:r>
          </w:p>
        </w:tc>
        <w:tc>
          <w:tcPr/>
          <w:p>
            <w:pPr>
              <w:pStyle w:val="Compact"/>
              <w:jc w:val="left"/>
            </w:pPr>
            <w:r>
              <w:rPr>
                <w:bCs/>
                <w:b/>
              </w:rPr>
              <w:t xml:space="preserve">NVIDIA GTC 2026 — 6 roadmap additions</w:t>
            </w:r>
          </w:p>
        </w:tc>
        <w:tc>
          <w:tcPr/>
          <w:p>
            <w:pPr>
              <w:pStyle w:val="Compact"/>
              <w:jc w:val="left"/>
            </w:pPr>
            <w:r>
              <w:t xml:space="preserve">NemoClaw/OpenClaw (Phase 2), Groq 3 LPU (Phase 3), cuDF structured data (Phase 3), Vera Rubin infra (Phase 4), DRIVE Hyperion fleet (Phase 5), DWS 8 roadmap created (Feynman 2028)</w:t>
            </w:r>
          </w:p>
        </w:tc>
        <w:tc>
          <w:tcPr/>
          <w:p>
            <w:pPr>
              <w:pStyle w:val="Compact"/>
              <w:jc w:val="left"/>
            </w:pPr>
            <w:r>
              <w:t xml:space="preserve">Field note: 2026-03-16-nvidia-gtc-2026-keynote-dws-impact.md</w:t>
            </w:r>
          </w:p>
        </w:tc>
      </w:tr>
    </w:tbl>
    <w:p>
      <w:r>
        <w:pict>
          <v:rect style="width:0;height:1.5pt" o:hralign="center" o:hrstd="t" o:hr="t"/>
        </w:pict>
      </w:r>
    </w:p>
    <w:bookmarkEnd w:id="114"/>
    <w:bookmarkEnd w:id="115"/>
    <w:bookmarkStart w:id="119" w:name="X42c424818e45fb92253c572c96cf3d28ec05e65"/>
    <w:p>
      <w:pPr>
        <w:pStyle w:val="Heading2"/>
      </w:pPr>
      <w:r>
        <w:t xml:space="preserve">NVIDIA GTC 2026 — Technology Integration Plan</w:t>
      </w:r>
    </w:p>
    <w:p>
      <w:pPr>
        <w:pStyle w:val="FirstParagraph"/>
      </w:pPr>
      <w:r>
        <w:rPr>
          <w:iCs/>
          <w:i/>
        </w:rPr>
        <w:t xml:space="preserve">Added: 2026-03-16 | Session: claude/nvidia-gtc-2026-notes-cYO48</w:t>
      </w:r>
      <w:r>
        <w:t xml:space="preserve"> </w:t>
      </w:r>
      <w:r>
        <w:rPr>
          <w:iCs/>
          <w:i/>
        </w:rPr>
        <w:t xml:space="preserve">Source: Jensen Huang GTC 2026 Keynote (March 16, 2026, SAP Center, San Jose)</w:t>
      </w:r>
    </w:p>
    <w:p>
      <w:pPr>
        <w:pStyle w:val="BodyText"/>
      </w:pPr>
      <w:r>
        <w:t xml:space="preserve">GTC 2026 announced 7 platform shifts. 5 directly impact DWS architecture. Items are mapped to existing phases — no new phases required.</w:t>
      </w:r>
    </w:p>
    <w:bookmarkStart w:id="116" w:name="gtc-2026-dws-7-mapping"/>
    <w:p>
      <w:pPr>
        <w:pStyle w:val="Heading3"/>
      </w:pPr>
      <w:r>
        <w:t xml:space="preserve">GTC 2026 → DWS 7 Mapping</w:t>
      </w:r>
    </w:p>
    <w:tbl>
      <w:tblPr>
        <w:tblStyle w:val="Table"/>
        <w:tblW w:type="pct" w:w="5000"/>
        <w:tblLook w:firstRow="1" w:lastRow="0" w:firstColumn="0" w:lastColumn="0" w:noHBand="0" w:noVBand="0" w:val="0020"/>
        <w:jc w:val="start"/>
      </w:tblPr>
      <w:tblGrid>
        <w:gridCol w:w="85"/>
        <w:gridCol w:w="102"/>
        <w:gridCol w:w="716"/>
        <w:gridCol w:w="136"/>
        <w:gridCol w:w="751"/>
        <w:gridCol w:w="6127"/>
      </w:tblGrid>
      <w:tr>
        <w:trPr>
          <w:tblHeader w:val="true"/>
        </w:trPr>
        <w:tc>
          <w:tcPr/>
          <w:p>
            <w:pPr>
              <w:pStyle w:val="Compact"/>
              <w:jc w:val="left"/>
            </w:pPr>
            <w:r>
              <w:t xml:space="preserve">Phase</w:t>
            </w:r>
          </w:p>
        </w:tc>
        <w:tc>
          <w:tcPr/>
          <w:p>
            <w:pPr>
              <w:pStyle w:val="Compact"/>
              <w:jc w:val="left"/>
            </w:pPr>
            <w:r>
              <w:t xml:space="preserve">New PR</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Source Technology</w:t>
            </w:r>
          </w:p>
        </w:tc>
        <w:tc>
          <w:tcPr/>
          <w:p>
            <w:pPr>
              <w:pStyle w:val="Compact"/>
              <w:jc w:val="left"/>
            </w:pPr>
            <w:r>
              <w:t xml:space="preserve">Description</w:t>
            </w:r>
          </w:p>
        </w:tc>
      </w:tr>
      <w:tr>
        <w:tc>
          <w:tcPr/>
          <w:p>
            <w:pPr>
              <w:pStyle w:val="Compact"/>
              <w:jc w:val="left"/>
            </w:pPr>
            <w:r>
              <w:t xml:space="preserve">2</w:t>
            </w:r>
          </w:p>
        </w:tc>
        <w:tc>
          <w:tcPr/>
          <w:p>
            <w:pPr>
              <w:pStyle w:val="Compact"/>
              <w:jc w:val="left"/>
            </w:pPr>
            <w:r>
              <w:t xml:space="preserve">248</w:t>
            </w:r>
          </w:p>
        </w:tc>
        <w:tc>
          <w:tcPr/>
          <w:p>
            <w:pPr>
              <w:pStyle w:val="Compact"/>
              <w:jc w:val="left"/>
            </w:pPr>
            <w:r>
              <w:t xml:space="preserve">NemoClaw/OpenClaw agent sandbox evaluation</w:t>
            </w:r>
          </w:p>
        </w:tc>
        <w:tc>
          <w:tcPr/>
          <w:p>
            <w:pPr>
              <w:pStyle w:val="Compact"/>
              <w:jc w:val="left"/>
            </w:pPr>
            <w:r>
              <w:t xml:space="preserve">P1</w:t>
            </w:r>
          </w:p>
        </w:tc>
        <w:tc>
          <w:tcPr/>
          <w:p>
            <w:pPr>
              <w:pStyle w:val="Compact"/>
              <w:jc w:val="left"/>
            </w:pPr>
            <w:r>
              <w:t xml:space="preserve">NemoClaw stack</w:t>
            </w:r>
          </w:p>
        </w:tc>
        <w:tc>
          <w:tcPr/>
          <w:p>
            <w:pPr>
              <w:pStyle w:val="Compact"/>
              <w:jc w:val="left"/>
            </w:pPr>
            <w:r>
              <w:rPr>
                <w:bCs/>
                <w:b/>
              </w:rPr>
              <w:t xml:space="preserve">Closed 2026-05-16</w:t>
            </w:r>
            <w:r>
              <w:t xml:space="preserve">: Nemotron 3 Super selected as Climate LLM Primary tier on the Spark (replaces Llama 3.3 70B) — ~4.5× faster decode at Q4_K_M, native NVFP4 pretraining,</w:t>
            </w:r>
            <w:r>
              <w:t xml:space="preserve"> </w:t>
            </w:r>
            <w:r>
              <w:rPr>
                <w:rStyle w:val="VerbatimChar"/>
              </w:rPr>
              <w:t xml:space="preserve">thinking</w:t>
            </w:r>
            <w:r>
              <w:t xml:space="preserve"> </w:t>
            </w:r>
            <w:r>
              <w:t xml:space="preserve">+ tool-calling capabilities. OpenClaw wired into docker-compose as EU-sovereign local agent runtime. Remaining: OpenShell Runtime KYA-attested sandbox layer for L4 telemetry.</w:t>
            </w:r>
          </w:p>
        </w:tc>
      </w:tr>
      <w:tr>
        <w:tc>
          <w:tcPr/>
          <w:p>
            <w:pPr>
              <w:pStyle w:val="Compact"/>
              <w:jc w:val="left"/>
            </w:pPr>
            <w:r>
              <w:t xml:space="preserve">2</w:t>
            </w:r>
          </w:p>
        </w:tc>
        <w:tc>
          <w:tcPr/>
          <w:p>
            <w:pPr>
              <w:pStyle w:val="Compact"/>
              <w:jc w:val="left"/>
            </w:pPr>
            <w:r>
              <w:t xml:space="preserve">249</w:t>
            </w:r>
          </w:p>
        </w:tc>
        <w:tc>
          <w:tcPr/>
          <w:p>
            <w:pPr>
              <w:pStyle w:val="Compact"/>
              <w:jc w:val="left"/>
            </w:pPr>
            <w:r>
              <w:t xml:space="preserve">NVIDIA Agent Toolkit as MCP tool provider</w:t>
            </w:r>
          </w:p>
        </w:tc>
        <w:tc>
          <w:tcPr/>
          <w:p>
            <w:pPr>
              <w:pStyle w:val="Compact"/>
              <w:jc w:val="left"/>
            </w:pPr>
            <w:r>
              <w:t xml:space="preserve">P2</w:t>
            </w:r>
          </w:p>
        </w:tc>
        <w:tc>
          <w:tcPr/>
          <w:p>
            <w:pPr>
              <w:pStyle w:val="Compact"/>
              <w:jc w:val="left"/>
            </w:pPr>
            <w:r>
              <w:t xml:space="preserve">NemoClaw stack</w:t>
            </w:r>
          </w:p>
        </w:tc>
        <w:tc>
          <w:tcPr/>
          <w:p>
            <w:pPr>
              <w:pStyle w:val="Compact"/>
              <w:jc w:val="left"/>
            </w:pPr>
            <w:r>
              <w:t xml:space="preserve">Integrate NVIDIA Agent Toolkit tools into DWS MCP server. Expands agent capabilities via NVIDIA-backed tooling</w:t>
            </w:r>
          </w:p>
        </w:tc>
      </w:tr>
      <w:tr>
        <w:tc>
          <w:tcPr/>
          <w:p>
            <w:pPr>
              <w:pStyle w:val="Compact"/>
              <w:jc w:val="left"/>
            </w:pPr>
            <w:r>
              <w:t xml:space="preserve">3</w:t>
            </w:r>
          </w:p>
        </w:tc>
        <w:tc>
          <w:tcPr/>
          <w:p>
            <w:pPr>
              <w:pStyle w:val="Compact"/>
              <w:jc w:val="left"/>
            </w:pPr>
            <w:r>
              <w:t xml:space="preserve">250</w:t>
            </w:r>
          </w:p>
        </w:tc>
        <w:tc>
          <w:tcPr/>
          <w:p>
            <w:pPr>
              <w:pStyle w:val="Compact"/>
              <w:jc w:val="left"/>
            </w:pPr>
            <w:r>
              <w:t xml:space="preserve">Groq 3 LPU inference benchmarking</w:t>
            </w:r>
          </w:p>
        </w:tc>
        <w:tc>
          <w:tcPr/>
          <w:p>
            <w:pPr>
              <w:pStyle w:val="Compact"/>
              <w:jc w:val="left"/>
            </w:pPr>
            <w:r>
              <w:t xml:space="preserve">P1</w:t>
            </w:r>
          </w:p>
        </w:tc>
        <w:tc>
          <w:tcPr/>
          <w:p>
            <w:pPr>
              <w:pStyle w:val="Compact"/>
              <w:jc w:val="left"/>
            </w:pPr>
            <w:r>
              <w:t xml:space="preserve">Groq acquisition ($20B, full asset purchase)</w:t>
            </w:r>
          </w:p>
        </w:tc>
        <w:tc>
          <w:tcPr/>
          <w:p>
            <w:pPr>
              <w:pStyle w:val="Compact"/>
              <w:jc w:val="left"/>
            </w:pPr>
            <w:r>
              <w:t xml:space="preserve">Benchmark DWS agent latency on Groq 3 LPU vs GPU inference. Disaggregated inference: GPU for context, LPU for reasoning. NVIDIA now owns training AND inference silicon. Ships Q3 2026</w:t>
            </w:r>
          </w:p>
        </w:tc>
      </w:tr>
      <w:tr>
        <w:tc>
          <w:tcPr/>
          <w:p>
            <w:pPr>
              <w:pStyle w:val="Compact"/>
              <w:jc w:val="left"/>
            </w:pPr>
            <w:r>
              <w:t xml:space="preserve">4</w:t>
            </w:r>
          </w:p>
        </w:tc>
        <w:tc>
          <w:tcPr/>
          <w:p>
            <w:pPr>
              <w:pStyle w:val="Compact"/>
              <w:jc w:val="left"/>
            </w:pPr>
            <w:r>
              <w:t xml:space="preserve">251</w:t>
            </w:r>
          </w:p>
        </w:tc>
        <w:tc>
          <w:tcPr/>
          <w:p>
            <w:pPr>
              <w:pStyle w:val="Compact"/>
              <w:jc w:val="left"/>
            </w:pPr>
            <w:r>
              <w:t xml:space="preserve">Vera Rubin infrastructure planning</w:t>
            </w:r>
          </w:p>
        </w:tc>
        <w:tc>
          <w:tcPr/>
          <w:p>
            <w:pPr>
              <w:pStyle w:val="Compact"/>
              <w:jc w:val="left"/>
            </w:pPr>
            <w:r>
              <w:t xml:space="preserve">P2</w:t>
            </w:r>
          </w:p>
        </w:tc>
        <w:tc>
          <w:tcPr/>
          <w:p>
            <w:pPr>
              <w:pStyle w:val="Compact"/>
              <w:jc w:val="left"/>
            </w:pPr>
            <w:r>
              <w:t xml:space="preserve">Vera Rubin platform</w:t>
            </w:r>
          </w:p>
        </w:tc>
        <w:tc>
          <w:tcPr/>
          <w:p>
            <w:pPr>
              <w:pStyle w:val="Compact"/>
              <w:jc w:val="left"/>
            </w:pPr>
            <w:r>
              <w:t xml:space="preserve">Plan next-gen sovereign on-premise hardware. 10x perf/watt vs Blackwell. Monitor EU cloud availability (AWS/Azure/GCP). Shipping H2 2026</w:t>
            </w:r>
          </w:p>
        </w:tc>
      </w:tr>
      <w:tr>
        <w:tc>
          <w:tcPr/>
          <w:p>
            <w:pPr>
              <w:pStyle w:val="Compact"/>
              <w:jc w:val="left"/>
            </w:pPr>
            <w:r>
              <w:t xml:space="preserve">5</w:t>
            </w:r>
          </w:p>
        </w:tc>
        <w:tc>
          <w:tcPr/>
          <w:p>
            <w:pPr>
              <w:pStyle w:val="Compact"/>
              <w:jc w:val="left"/>
            </w:pPr>
            <w:r>
              <w:t xml:space="preserve">252</w:t>
            </w:r>
          </w:p>
        </w:tc>
        <w:tc>
          <w:tcPr/>
          <w:p>
            <w:pPr>
              <w:pStyle w:val="Compact"/>
              <w:jc w:val="left"/>
            </w:pPr>
            <w:r>
              <w:t xml:space="preserve">DRIVE Hyperion fleet evaluation</w:t>
            </w:r>
          </w:p>
        </w:tc>
        <w:tc>
          <w:tcPr/>
          <w:p>
            <w:pPr>
              <w:pStyle w:val="Compact"/>
              <w:jc w:val="left"/>
            </w:pPr>
            <w:r>
              <w:t xml:space="preserve">P3</w:t>
            </w:r>
          </w:p>
        </w:tc>
        <w:tc>
          <w:tcPr/>
          <w:p>
            <w:pPr>
              <w:pStyle w:val="Compact"/>
              <w:jc w:val="left"/>
            </w:pPr>
            <w:r>
              <w:t xml:space="preserve">Autonomous driving</w:t>
            </w:r>
          </w:p>
        </w:tc>
        <w:tc>
          <w:tcPr/>
          <w:p>
            <w:pPr>
              <w:pStyle w:val="Compact"/>
              <w:jc w:val="left"/>
            </w:pPr>
            <w:r>
              <w:t xml:space="preserve">Evaluate NVIDIA DRIVE Hyperion for Lifetime Fleet autonomous logistics on industrial sites. SiteSense agent monitoring for autonomous vehicles</w:t>
            </w:r>
          </w:p>
        </w:tc>
      </w:tr>
      <w:tr>
        <w:tc>
          <w:tcPr/>
          <w:p>
            <w:pPr>
              <w:pStyle w:val="Compact"/>
              <w:jc w:val="left"/>
            </w:pPr>
            <w:r>
              <w:t xml:space="preserve">3</w:t>
            </w:r>
          </w:p>
        </w:tc>
        <w:tc>
          <w:tcPr/>
          <w:p>
            <w:pPr>
              <w:pStyle w:val="Compact"/>
              <w:jc w:val="left"/>
            </w:pPr>
            <w:r>
              <w:t xml:space="preserve">253</w:t>
            </w:r>
          </w:p>
        </w:tc>
        <w:tc>
          <w:tcPr/>
          <w:p>
            <w:pPr>
              <w:pStyle w:val="Compact"/>
              <w:jc w:val="left"/>
            </w:pPr>
            <w:r>
              <w:t xml:space="preserve">cuDF pilot for compliance bulk assessment</w:t>
            </w:r>
          </w:p>
        </w:tc>
        <w:tc>
          <w:tcPr/>
          <w:p>
            <w:pPr>
              <w:pStyle w:val="Compact"/>
              <w:jc w:val="left"/>
            </w:pPr>
            <w:r>
              <w:t xml:space="preserve">P2</w:t>
            </w:r>
          </w:p>
        </w:tc>
        <w:tc>
          <w:tcPr/>
          <w:p>
            <w:pPr>
              <w:pStyle w:val="Compact"/>
              <w:jc w:val="left"/>
            </w:pPr>
            <w:r>
              <w:t xml:space="preserve">cuDF ($120B structured data)</w:t>
            </w:r>
          </w:p>
        </w:tc>
        <w:tc>
          <w:tcPr/>
          <w:p>
            <w:pPr>
              <w:pStyle w:val="Compact"/>
              <w:jc w:val="left"/>
            </w:pPr>
            <w:r>
              <w:t xml:space="preserve">GPU-accelerated DataFrame processing on GN100 for bulk ETS/CBAM calculations (10,000+ records). Replace Pandas with cuDF in workflow/ and Firehorse/ Python pipelines. Complement pg_duckdb database-level acceleration</w:t>
            </w:r>
          </w:p>
        </w:tc>
      </w:tr>
    </w:tbl>
    <w:p>
      <w:pPr>
        <w:pStyle w:val="BodyText"/>
      </w:pPr>
      <w:r>
        <w:rPr>
          <w:bCs/>
          <w:b/>
        </w:rPr>
        <w:t xml:space="preserve">Updated totals:</w:t>
      </w:r>
      <w:r>
        <w:t xml:space="preserve"> </w:t>
      </w:r>
      <w:r>
        <w:t xml:space="preserve">261 PRs (was 253) across 6 phases.</w:t>
      </w:r>
    </w:p>
    <w:bookmarkEnd w:id="116"/>
    <w:bookmarkStart w:id="117" w:name="strategic-context"/>
    <w:p>
      <w:pPr>
        <w:pStyle w:val="Heading3"/>
      </w:pPr>
      <w:r>
        <w:t xml:space="preserve">Strategic Context</w:t>
      </w:r>
    </w:p>
    <w:p>
      <w:pPr>
        <w:numPr>
          <w:ilvl w:val="0"/>
          <w:numId w:val="1008"/>
        </w:numPr>
        <w:pStyle w:val="Compact"/>
      </w:pPr>
      <w:r>
        <w:rPr>
          <w:bCs/>
          <w:b/>
        </w:rPr>
        <w:t xml:space="preserve">NVIDIA ISV Partnership:</w:t>
      </w:r>
      <w:r>
        <w:t xml:space="preserve"> </w:t>
      </w:r>
      <w:r>
        <w:t xml:space="preserve">Lifetime Oy is approved NVIDIA Connect ISV Partner (2026-03-08). GTC announcements unlock: NemoClaw early access, Vera Rubin allocation via partner channel, Groq 3 beta testing,</w:t>
      </w:r>
      <w:r>
        <w:t xml:space="preserve"> </w:t>
      </w:r>
      <w:r>
        <w:t xml:space="preserve">“</w:t>
      </w:r>
      <w:r>
        <w:t xml:space="preserve">Built on NVIDIA</w:t>
      </w:r>
      <w:r>
        <w:t xml:space="preserve">”</w:t>
      </w:r>
      <w:r>
        <w:t xml:space="preserve"> </w:t>
      </w:r>
      <w:r>
        <w:t xml:space="preserve">co-marketing.</w:t>
      </w:r>
    </w:p>
    <w:p>
      <w:pPr>
        <w:numPr>
          <w:ilvl w:val="0"/>
          <w:numId w:val="1008"/>
        </w:numPr>
        <w:pStyle w:val="Compact"/>
      </w:pPr>
      <w:r>
        <w:rPr>
          <w:bCs/>
          <w:b/>
        </w:rPr>
        <w:t xml:space="preserve">Groq dependency strengthened:</w:t>
      </w:r>
      <w:r>
        <w:t xml:space="preserve"> </w:t>
      </w:r>
      <w:r>
        <w:t xml:space="preserve">DWS already uses Groq as provider in</w:t>
      </w:r>
      <w:r>
        <w:t xml:space="preserve"> </w:t>
      </w:r>
      <w:r>
        <w:rPr>
          <w:rStyle w:val="VerbatimChar"/>
        </w:rPr>
        <w:t xml:space="preserve">src/agents/llm-client.ts</w:t>
      </w:r>
      <w:r>
        <w:t xml:space="preserve">. NVIDIA’s $20B Groq acquisition aligns DWS inference stack with NVIDIA ecosystem. GN100 (Blackwell) provides independent fallback.</w:t>
      </w:r>
    </w:p>
    <w:p>
      <w:pPr>
        <w:numPr>
          <w:ilvl w:val="0"/>
          <w:numId w:val="1008"/>
        </w:numPr>
        <w:pStyle w:val="Compact"/>
      </w:pPr>
      <w:r>
        <w:rPr>
          <w:bCs/>
          <w:b/>
        </w:rPr>
        <w:t xml:space="preserve">$1T order book:</w:t>
      </w:r>
      <w:r>
        <w:t xml:space="preserve"> </w:t>
      </w:r>
      <w:r>
        <w:t xml:space="preserve">Combined Blackwell + Vera Rubin orders through 2027 signal sustained NVIDIA infrastructure investment — safe to build on.</w:t>
      </w:r>
    </w:p>
    <w:bookmarkEnd w:id="117"/>
    <w:bookmarkStart w:id="118" w:name="dws-8-horizon-items-not-dws-7"/>
    <w:p>
      <w:pPr>
        <w:pStyle w:val="Heading3"/>
      </w:pPr>
      <w:r>
        <w:t xml:space="preserve">DWS 8 Horizon Items (Not DWS 7)</w:t>
      </w:r>
    </w:p>
    <w:p>
      <w:pPr>
        <w:pStyle w:val="FirstParagraph"/>
      </w:pPr>
      <w:r>
        <w:t xml:space="preserve">These technologies are tracked for DWS 8 (2028+), not DWS 7:</w:t>
      </w:r>
    </w:p>
    <w:tbl>
      <w:tblPr>
        <w:tblStyle w:val="Table"/>
        <w:tblW w:type="pct" w:w="5000"/>
        <w:tblLook w:firstRow="1" w:lastRow="0" w:firstColumn="0" w:lastColumn="0" w:noHBand="0" w:noVBand="0" w:val="0020"/>
        <w:jc w:val="start"/>
      </w:tblPr>
      <w:tblGrid>
        <w:gridCol w:w="2911"/>
        <w:gridCol w:w="4542"/>
        <w:gridCol w:w="465"/>
      </w:tblGrid>
      <w:tr>
        <w:trPr>
          <w:tblHeader w:val="true"/>
        </w:trPr>
        <w:tc>
          <w:tcPr/>
          <w:p>
            <w:pPr>
              <w:pStyle w:val="Compact"/>
              <w:jc w:val="left"/>
            </w:pPr>
            <w:r>
              <w:t xml:space="preserve">Technology</w:t>
            </w:r>
          </w:p>
        </w:tc>
        <w:tc>
          <w:tcPr/>
          <w:p>
            <w:pPr>
              <w:pStyle w:val="Compact"/>
              <w:jc w:val="left"/>
            </w:pPr>
            <w:r>
              <w:t xml:space="preserve">Why DWS 8</w:t>
            </w:r>
          </w:p>
        </w:tc>
        <w:tc>
          <w:tcPr/>
          <w:p>
            <w:pPr>
              <w:pStyle w:val="Compact"/>
              <w:jc w:val="left"/>
            </w:pPr>
            <w:r>
              <w:t xml:space="preserve">Timeline</w:t>
            </w:r>
          </w:p>
        </w:tc>
      </w:tr>
      <w:tr>
        <w:tc>
          <w:tcPr/>
          <w:p>
            <w:pPr>
              <w:pStyle w:val="Compact"/>
              <w:jc w:val="left"/>
            </w:pPr>
            <w:r>
              <w:t xml:space="preserve">Feynman architecture (Rosa CPU, LP40, BlueField-5)</w:t>
            </w:r>
          </w:p>
        </w:tc>
        <w:tc>
          <w:tcPr/>
          <w:p>
            <w:pPr>
              <w:pStyle w:val="Compact"/>
              <w:jc w:val="left"/>
            </w:pPr>
            <w:r>
              <w:t xml:space="preserve">Purpose-built agentic CPU not available until 2028</w:t>
            </w:r>
          </w:p>
        </w:tc>
        <w:tc>
          <w:tcPr/>
          <w:p>
            <w:pPr>
              <w:pStyle w:val="Compact"/>
              <w:jc w:val="left"/>
            </w:pPr>
            <w:r>
              <w:t xml:space="preserve">2028</w:t>
            </w:r>
          </w:p>
        </w:tc>
      </w:tr>
      <w:tr>
        <w:tc>
          <w:tcPr/>
          <w:p>
            <w:pPr>
              <w:pStyle w:val="Compact"/>
              <w:jc w:val="left"/>
            </w:pPr>
            <w:r>
              <w:t xml:space="preserve">Silicon photonics</w:t>
            </w:r>
          </w:p>
        </w:tc>
        <w:tc>
          <w:tcPr/>
          <w:p>
            <w:pPr>
              <w:pStyle w:val="Compact"/>
              <w:jc w:val="left"/>
            </w:pPr>
            <w:r>
              <w:t xml:space="preserve">Optical interconnects for sovereign on-premise — lower power, higher density</w:t>
            </w:r>
          </w:p>
        </w:tc>
        <w:tc>
          <w:tcPr/>
          <w:p>
            <w:pPr>
              <w:pStyle w:val="Compact"/>
              <w:jc w:val="left"/>
            </w:pPr>
            <w:r>
              <w:t xml:space="preserve">2028</w:t>
            </w:r>
          </w:p>
        </w:tc>
      </w:tr>
      <w:tr>
        <w:tc>
          <w:tcPr/>
          <w:p>
            <w:pPr>
              <w:pStyle w:val="Compact"/>
              <w:jc w:val="left"/>
            </w:pPr>
            <w:r>
              <w:t xml:space="preserve">Space-1 orbital data centers</w:t>
            </w:r>
          </w:p>
        </w:tc>
        <w:tc>
          <w:tcPr/>
          <w:p>
            <w:pPr>
              <w:pStyle w:val="Compact"/>
              <w:jc w:val="left"/>
            </w:pPr>
            <w:r>
              <w:t xml:space="preserve">Validates edge paradigm but no commercial application yet</w:t>
            </w:r>
          </w:p>
        </w:tc>
        <w:tc>
          <w:tcPr/>
          <w:p>
            <w:pPr>
              <w:pStyle w:val="Compact"/>
              <w:jc w:val="left"/>
            </w:pPr>
            <w:r>
              <w:t xml:space="preserve">2029+</w:t>
            </w:r>
          </w:p>
        </w:tc>
      </w:tr>
      <w:tr>
        <w:tc>
          <w:tcPr/>
          <w:p>
            <w:pPr>
              <w:pStyle w:val="Compact"/>
              <w:jc w:val="left"/>
            </w:pPr>
            <w:r>
              <w:t xml:space="preserve">DLSS 5 neural rendering</w:t>
            </w:r>
          </w:p>
        </w:tc>
        <w:tc>
          <w:tcPr/>
          <w:p>
            <w:pPr>
              <w:pStyle w:val="Compact"/>
              <w:jc w:val="left"/>
            </w:pPr>
            <w:r>
              <w:t xml:space="preserve">Gaming tech — only relevant if DWS builds Omniverse digital twin visualization</w:t>
            </w:r>
          </w:p>
        </w:tc>
        <w:tc>
          <w:tcPr/>
          <w:p>
            <w:pPr>
              <w:pStyle w:val="Compact"/>
              <w:jc w:val="left"/>
            </w:pPr>
            <w:r>
              <w:t xml:space="preserve">N/A</w:t>
            </w:r>
          </w:p>
        </w:tc>
      </w:tr>
    </w:tbl>
    <w:p>
      <w:pPr>
        <w:pStyle w:val="BodyText"/>
      </w:pPr>
      <w:r>
        <w:t xml:space="preserve">See</w:t>
      </w:r>
      <w:r>
        <w:t xml:space="preserve"> </w:t>
      </w:r>
      <w:r>
        <w:rPr>
          <w:rStyle w:val="VerbatimChar"/>
        </w:rPr>
        <w:t xml:space="preserve">DWS8_ROADMAP.md</w:t>
      </w:r>
      <w:r>
        <w:t xml:space="preserve"> </w:t>
      </w:r>
      <w:r>
        <w:t xml:space="preserve">for full DWS 8 planning.</w:t>
      </w:r>
    </w:p>
    <w:p>
      <w:r>
        <w:pict>
          <v:rect style="width:0;height:1.5pt" o:hralign="center" o:hrstd="t" o:hr="t"/>
        </w:pict>
      </w:r>
    </w:p>
    <w:bookmarkEnd w:id="118"/>
    <w:bookmarkEnd w:id="119"/>
    <w:bookmarkStart w:id="125" w:name="agent-evolution-roadmap"/>
    <w:p>
      <w:pPr>
        <w:pStyle w:val="Heading2"/>
      </w:pPr>
      <w:r>
        <w:t xml:space="preserve">Agent Evolution Roadmap</w:t>
      </w:r>
    </w:p>
    <w:p>
      <w:pPr>
        <w:pStyle w:val="FirstParagraph"/>
      </w:pPr>
      <w:r>
        <w:rPr>
          <w:iCs/>
          <w:i/>
        </w:rPr>
        <w:t xml:space="preserve">Added: 2026-02-24 | Session: claude/modernize-dws7-77v2B</w:t>
      </w:r>
    </w:p>
    <w:p>
      <w:pPr>
        <w:pStyle w:val="BodyText"/>
      </w:pPr>
      <w:r>
        <w:t xml:space="preserve">The DWS7 agent modernization was accelerated to ship in</w:t>
      </w:r>
      <w:r>
        <w:t xml:space="preserve"> </w:t>
      </w:r>
      <w:r>
        <w:rPr>
          <w:bCs/>
          <w:b/>
        </w:rPr>
        <w:t xml:space="preserve">DWS6</w:t>
      </w:r>
      <w:r>
        <w:t xml:space="preserve"> </w:t>
      </w:r>
      <w:r>
        <w:t xml:space="preserve">to enable customer acquisition now, not at DWS7 Phase 4 (Nov 2026). This section tracks what was implemented, what it maps to in the roadmap, and what remains.</w:t>
      </w:r>
    </w:p>
    <w:bookmarkStart w:id="120" w:name="delivered-in-dws6-2026-02-24"/>
    <w:p>
      <w:pPr>
        <w:pStyle w:val="Heading3"/>
      </w:pPr>
      <w:r>
        <w:t xml:space="preserve">Delivered in DWS6 (2026-02-24)</w:t>
      </w:r>
    </w:p>
    <w:p>
      <w:pPr>
        <w:pStyle w:val="FirstParagraph"/>
      </w:pPr>
      <w:r>
        <w:t xml:space="preserve">These capabilities are</w:t>
      </w:r>
      <w:r>
        <w:t xml:space="preserve"> </w:t>
      </w:r>
      <w:r>
        <w:rPr>
          <w:bCs/>
          <w:b/>
        </w:rPr>
        <w:t xml:space="preserve">production-ready in DWS6</w:t>
      </w:r>
      <w:r>
        <w:t xml:space="preserve"> </w:t>
      </w:r>
      <w:r>
        <w:t xml:space="preserve">on branch</w:t>
      </w:r>
      <w:r>
        <w:t xml:space="preserve"> </w:t>
      </w:r>
      <w:r>
        <w:rPr>
          <w:rStyle w:val="VerbatimChar"/>
        </w:rPr>
        <w:t xml:space="preserve">claude/modernize-dws7-77v2B</w:t>
      </w:r>
      <w:r>
        <w:t xml:space="preserve">:</w:t>
      </w:r>
    </w:p>
    <w:tbl>
      <w:tblPr>
        <w:tblStyle w:val="Table"/>
        <w:tblW w:type="pct" w:w="5000"/>
        <w:tblLook w:firstRow="1" w:lastRow="0" w:firstColumn="0" w:lastColumn="0" w:noHBand="0" w:noVBand="0" w:val="0020"/>
        <w:jc w:val="start"/>
      </w:tblPr>
      <w:tblGrid>
        <w:gridCol w:w="3340"/>
        <w:gridCol w:w="2262"/>
        <w:gridCol w:w="1562"/>
        <w:gridCol w:w="754"/>
      </w:tblGrid>
      <w:tr>
        <w:trPr>
          <w:tblHeader w:val="true"/>
        </w:trPr>
        <w:tc>
          <w:tcPr/>
          <w:p>
            <w:pPr>
              <w:pStyle w:val="Compact"/>
              <w:jc w:val="left"/>
            </w:pPr>
            <w:r>
              <w:t xml:space="preserve">Capability</w:t>
            </w:r>
          </w:p>
        </w:tc>
        <w:tc>
          <w:tcPr/>
          <w:p>
            <w:pPr>
              <w:pStyle w:val="Compact"/>
              <w:jc w:val="left"/>
            </w:pPr>
            <w:r>
              <w:t xml:space="preserve">Files</w:t>
            </w:r>
          </w:p>
        </w:tc>
        <w:tc>
          <w:tcPr/>
          <w:p>
            <w:pPr>
              <w:pStyle w:val="Compact"/>
              <w:jc w:val="left"/>
            </w:pPr>
            <w:r>
              <w:t xml:space="preserve">Maps to PRs</w:t>
            </w:r>
          </w:p>
        </w:tc>
        <w:tc>
          <w:tcPr/>
          <w:p>
            <w:pPr>
              <w:pStyle w:val="Compact"/>
              <w:jc w:val="left"/>
            </w:pPr>
            <w:r>
              <w:t xml:space="preserve">Status</w:t>
            </w:r>
          </w:p>
        </w:tc>
      </w:tr>
      <w:tr>
        <w:tc>
          <w:tcPr/>
          <w:p>
            <w:pPr>
              <w:pStyle w:val="Compact"/>
              <w:jc w:val="left"/>
            </w:pPr>
            <w:r>
              <w:rPr>
                <w:bCs/>
                <w:b/>
              </w:rPr>
              <w:t xml:space="preserve">Observe-think-act agentic loop</w:t>
            </w:r>
          </w:p>
        </w:tc>
        <w:tc>
          <w:tcPr/>
          <w:p>
            <w:pPr>
              <w:pStyle w:val="Compact"/>
              <w:jc w:val="left"/>
            </w:pPr>
            <w:r>
              <w:rPr>
                <w:rStyle w:val="VerbatimChar"/>
              </w:rPr>
              <w:t xml:space="preserve">src/agents/base.agent.ts</w:t>
            </w:r>
            <w:r>
              <w:t xml:space="preserve"> </w:t>
            </w:r>
            <w:r>
              <w:t xml:space="preserve">(</w:t>
            </w:r>
            <w:r>
              <w:rPr>
                <w:rStyle w:val="VerbatimChar"/>
              </w:rPr>
              <w:t xml:space="preserve">runLoop()</w:t>
            </w:r>
            <w:r>
              <w:t xml:space="preserve">)</w:t>
            </w:r>
          </w:p>
        </w:tc>
        <w:tc>
          <w:tcPr/>
          <w:p>
            <w:pPr>
              <w:pStyle w:val="Compact"/>
              <w:jc w:val="left"/>
            </w:pPr>
            <w:r>
              <w:t xml:space="preserve">PR 138 (partial), PR 079</w:t>
            </w:r>
          </w:p>
        </w:tc>
        <w:tc>
          <w:tcPr/>
          <w:p>
            <w:pPr>
              <w:pStyle w:val="Compact"/>
              <w:jc w:val="left"/>
            </w:pPr>
            <w:r>
              <w:t xml:space="preserve">✅ Implemented</w:t>
            </w:r>
          </w:p>
        </w:tc>
      </w:tr>
      <w:tr>
        <w:tc>
          <w:tcPr/>
          <w:p>
            <w:pPr>
              <w:pStyle w:val="Compact"/>
              <w:jc w:val="left"/>
            </w:pPr>
            <w:r>
              <w:rPr>
                <w:bCs/>
                <w:b/>
              </w:rPr>
              <w:t xml:space="preserve">Tool use / function calling</w:t>
            </w:r>
          </w:p>
        </w:tc>
        <w:tc>
          <w:tcPr/>
          <w:p>
            <w:pPr>
              <w:pStyle w:val="Compact"/>
              <w:jc w:val="left"/>
            </w:pPr>
            <w:r>
              <w:rPr>
                <w:rStyle w:val="VerbatimChar"/>
              </w:rPr>
              <w:t xml:space="preserve">src/agents/tools.ts</w:t>
            </w:r>
            <w:r>
              <w:t xml:space="preserve">,</w:t>
            </w:r>
            <w:r>
              <w:t xml:space="preserve"> </w:t>
            </w:r>
            <w:r>
              <w:rPr>
                <w:rStyle w:val="VerbatimChar"/>
              </w:rPr>
              <w:t xml:space="preserve">types.ts</w:t>
            </w:r>
          </w:p>
        </w:tc>
        <w:tc>
          <w:tcPr/>
          <w:p>
            <w:pPr>
              <w:pStyle w:val="Compact"/>
              <w:jc w:val="left"/>
            </w:pPr>
            <w:r>
              <w:t xml:space="preserve">PR 138 (partial), PR 140</w:t>
            </w:r>
          </w:p>
        </w:tc>
        <w:tc>
          <w:tcPr/>
          <w:p>
            <w:pPr>
              <w:pStyle w:val="Compact"/>
              <w:jc w:val="left"/>
            </w:pPr>
            <w:r>
              <w:t xml:space="preserve">✅ Implemented</w:t>
            </w:r>
          </w:p>
        </w:tc>
      </w:tr>
      <w:tr>
        <w:tc>
          <w:tcPr/>
          <w:p>
            <w:pPr>
              <w:pStyle w:val="Compact"/>
              <w:jc w:val="left"/>
            </w:pPr>
            <w:r>
              <w:rPr>
                <w:bCs/>
                <w:b/>
              </w:rPr>
              <w:t xml:space="preserve">Multi-provider LLM client</w:t>
            </w:r>
            <w:r>
              <w:t xml:space="preserve"> </w:t>
            </w:r>
            <w:r>
              <w:t xml:space="preserve">(Anthropic, Groq, OpenAI-compat)</w:t>
            </w:r>
          </w:p>
        </w:tc>
        <w:tc>
          <w:tcPr/>
          <w:p>
            <w:pPr>
              <w:pStyle w:val="Compact"/>
              <w:jc w:val="left"/>
            </w:pPr>
            <w:r>
              <w:rPr>
                <w:rStyle w:val="VerbatimChar"/>
              </w:rPr>
              <w:t xml:space="preserve">src/agents/llm-client.ts</w:t>
            </w:r>
          </w:p>
        </w:tc>
        <w:tc>
          <w:tcPr/>
          <w:p>
            <w:pPr>
              <w:pStyle w:val="Compact"/>
              <w:jc w:val="left"/>
            </w:pPr>
            <w:r>
              <w:t xml:space="preserve">PR 161 (infrastructure)</w:t>
            </w:r>
          </w:p>
        </w:tc>
        <w:tc>
          <w:tcPr/>
          <w:p>
            <w:pPr>
              <w:pStyle w:val="Compact"/>
              <w:jc w:val="left"/>
            </w:pPr>
            <w:r>
              <w:t xml:space="preserve">✅ Implemented</w:t>
            </w:r>
          </w:p>
        </w:tc>
      </w:tr>
      <w:tr>
        <w:tc>
          <w:tcPr/>
          <w:p>
            <w:pPr>
              <w:pStyle w:val="Compact"/>
              <w:jc w:val="left"/>
            </w:pPr>
            <w:r>
              <w:rPr>
                <w:bCs/>
                <w:b/>
              </w:rPr>
              <w:t xml:space="preserve">Agent-to-agent delegation</w:t>
            </w:r>
          </w:p>
        </w:tc>
        <w:tc>
          <w:tcPr/>
          <w:p>
            <w:pPr>
              <w:pStyle w:val="Compact"/>
              <w:jc w:val="left"/>
            </w:pPr>
            <w:r>
              <w:rPr>
                <w:rStyle w:val="VerbatimChar"/>
              </w:rPr>
              <w:t xml:space="preserve">src/agents/index.ts</w:t>
            </w:r>
            <w:r>
              <w:t xml:space="preserve"> </w:t>
            </w:r>
            <w:r>
              <w:t xml:space="preserve">(delegate_to_agent)</w:t>
            </w:r>
          </w:p>
        </w:tc>
        <w:tc>
          <w:tcPr/>
          <w:p>
            <w:pPr>
              <w:pStyle w:val="Compact"/>
              <w:jc w:val="left"/>
            </w:pPr>
            <w:r>
              <w:t xml:space="preserve">PR 138 (partial)</w:t>
            </w:r>
          </w:p>
        </w:tc>
        <w:tc>
          <w:tcPr/>
          <w:p>
            <w:pPr>
              <w:pStyle w:val="Compact"/>
              <w:jc w:val="left"/>
            </w:pPr>
            <w:r>
              <w:t xml:space="preserve">✅ Implemented</w:t>
            </w:r>
          </w:p>
        </w:tc>
      </w:tr>
      <w:tr>
        <w:tc>
          <w:tcPr/>
          <w:p>
            <w:pPr>
              <w:pStyle w:val="Compact"/>
              <w:jc w:val="left"/>
            </w:pPr>
            <w:r>
              <w:rPr>
                <w:bCs/>
                <w:b/>
              </w:rPr>
              <w:t xml:space="preserve">MCP Agent Server</w:t>
            </w:r>
            <w:r>
              <w:t xml:space="preserve"> </w:t>
            </w:r>
            <w:r>
              <w:t xml:space="preserve">(/mcp endpoint, 22+ tools)</w:t>
            </w:r>
          </w:p>
        </w:tc>
        <w:tc>
          <w:tcPr/>
          <w:p>
            <w:pPr>
              <w:pStyle w:val="Compact"/>
              <w:jc w:val="left"/>
            </w:pPr>
            <w:r>
              <w:rPr>
                <w:rStyle w:val="VerbatimChar"/>
              </w:rPr>
              <w:t xml:space="preserve">src/mcp/agent-server.ts</w:t>
            </w:r>
          </w:p>
        </w:tc>
        <w:tc>
          <w:tcPr/>
          <w:p>
            <w:pPr>
              <w:pStyle w:val="Compact"/>
              <w:jc w:val="left"/>
            </w:pPr>
            <w:r>
              <w:t xml:space="preserve">New — not in original roadmap</w:t>
            </w:r>
          </w:p>
        </w:tc>
        <w:tc>
          <w:tcPr/>
          <w:p>
            <w:pPr>
              <w:pStyle w:val="Compact"/>
              <w:jc w:val="left"/>
            </w:pPr>
            <w:r>
              <w:t xml:space="preserve">✅ Implemented</w:t>
            </w:r>
          </w:p>
        </w:tc>
      </w:tr>
      <w:tr>
        <w:tc>
          <w:tcPr/>
          <w:p>
            <w:pPr>
              <w:pStyle w:val="Compact"/>
              <w:jc w:val="left"/>
            </w:pPr>
            <w:r>
              <w:rPr>
                <w:bCs/>
                <w:b/>
              </w:rPr>
              <w:t xml:space="preserve">Event bus</w:t>
            </w:r>
            <w:r>
              <w:t xml:space="preserve"> </w:t>
            </w:r>
            <w:r>
              <w:t xml:space="preserve">(in-process + Redis Streams)</w:t>
            </w:r>
          </w:p>
        </w:tc>
        <w:tc>
          <w:tcPr/>
          <w:p>
            <w:pPr>
              <w:pStyle w:val="Compact"/>
              <w:jc w:val="left"/>
            </w:pPr>
            <w:r>
              <w:rPr>
                <w:rStyle w:val="VerbatimChar"/>
              </w:rPr>
              <w:t xml:space="preserve">src/agents/event-bus.ts</w:t>
            </w:r>
          </w:p>
        </w:tc>
        <w:tc>
          <w:tcPr/>
          <w:p>
            <w:pPr>
              <w:pStyle w:val="Compact"/>
              <w:jc w:val="left"/>
            </w:pPr>
            <w:r>
              <w:t xml:space="preserve">PR 149 (partial)</w:t>
            </w:r>
          </w:p>
        </w:tc>
        <w:tc>
          <w:tcPr/>
          <w:p>
            <w:pPr>
              <w:pStyle w:val="Compact"/>
              <w:jc w:val="left"/>
            </w:pPr>
            <w:r>
              <w:t xml:space="preserve">✅ Implemented</w:t>
            </w:r>
          </w:p>
        </w:tc>
      </w:tr>
      <w:tr>
        <w:tc>
          <w:tcPr/>
          <w:p>
            <w:pPr>
              <w:pStyle w:val="Compact"/>
              <w:jc w:val="left"/>
            </w:pPr>
            <w:r>
              <w:rPr>
                <w:bCs/>
                <w:b/>
              </w:rPr>
              <w:t xml:space="preserve">Workflow definitions &amp; executor</w:t>
            </w:r>
          </w:p>
        </w:tc>
        <w:tc>
          <w:tcPr/>
          <w:p>
            <w:pPr>
              <w:pStyle w:val="Compact"/>
              <w:jc w:val="left"/>
            </w:pPr>
            <w:r>
              <w:rPr>
                <w:rStyle w:val="VerbatimChar"/>
              </w:rPr>
              <w:t xml:space="preserve">src/agents/workflows.ts</w:t>
            </w:r>
          </w:p>
        </w:tc>
        <w:tc>
          <w:tcPr/>
          <w:p>
            <w:pPr>
              <w:pStyle w:val="Compact"/>
              <w:jc w:val="left"/>
            </w:pPr>
            <w:r>
              <w:t xml:space="preserve">PR 138 (partial)</w:t>
            </w:r>
          </w:p>
        </w:tc>
        <w:tc>
          <w:tcPr/>
          <w:p>
            <w:pPr>
              <w:pStyle w:val="Compact"/>
              <w:jc w:val="left"/>
            </w:pPr>
            <w:r>
              <w:t xml:space="preserve">✅ Implemented</w:t>
            </w:r>
          </w:p>
        </w:tc>
      </w:tr>
      <w:tr>
        <w:tc>
          <w:tcPr/>
          <w:p>
            <w:pPr>
              <w:pStyle w:val="Compact"/>
              <w:jc w:val="left"/>
            </w:pPr>
            <w:r>
              <w:rPr>
                <w:bCs/>
                <w:b/>
              </w:rPr>
              <w:t xml:space="preserve">Article 12 loop iteration logging</w:t>
            </w:r>
          </w:p>
        </w:tc>
        <w:tc>
          <w:tcPr/>
          <w:p>
            <w:pPr>
              <w:pStyle w:val="Compact"/>
              <w:jc w:val="left"/>
            </w:pPr>
            <w:r>
              <w:rPr>
                <w:rStyle w:val="VerbatimChar"/>
              </w:rPr>
              <w:t xml:space="preserve">base.agent.ts</w:t>
            </w:r>
            <w:r>
              <w:t xml:space="preserve"> </w:t>
            </w:r>
            <w:r>
              <w:t xml:space="preserve">(</w:t>
            </w:r>
            <w:r>
              <w:rPr>
                <w:rStyle w:val="VerbatimChar"/>
              </w:rPr>
              <w:t xml:space="preserve">logLoopIterations()</w:t>
            </w:r>
            <w:r>
              <w:t xml:space="preserve">)</w:t>
            </w:r>
          </w:p>
        </w:tc>
        <w:tc>
          <w:tcPr/>
          <w:p>
            <w:pPr>
              <w:pStyle w:val="Compact"/>
              <w:jc w:val="left"/>
            </w:pPr>
            <w:r>
              <w:t xml:space="preserve">PR 078, PR 079</w:t>
            </w:r>
          </w:p>
        </w:tc>
        <w:tc>
          <w:tcPr/>
          <w:p>
            <w:pPr>
              <w:pStyle w:val="Compact"/>
              <w:jc w:val="left"/>
            </w:pPr>
            <w:r>
              <w:t xml:space="preserve">✅ Implemented</w:t>
            </w:r>
          </w:p>
        </w:tc>
      </w:tr>
      <w:tr>
        <w:tc>
          <w:tcPr/>
          <w:p>
            <w:pPr>
              <w:pStyle w:val="Compact"/>
              <w:jc w:val="left"/>
            </w:pPr>
            <w:r>
              <w:rPr>
                <w:bCs/>
                <w:b/>
              </w:rPr>
              <w:t xml:space="preserve">Delegation depth tracking</w:t>
            </w:r>
            <w:r>
              <w:t xml:space="preserve"> </w:t>
            </w:r>
            <w:r>
              <w:t xml:space="preserve">(anti-loop)</w:t>
            </w:r>
          </w:p>
        </w:tc>
        <w:tc>
          <w:tcPr/>
          <w:p>
            <w:pPr>
              <w:pStyle w:val="Compact"/>
              <w:jc w:val="left"/>
            </w:pPr>
            <w:r>
              <w:rPr>
                <w:rStyle w:val="VerbatimChar"/>
              </w:rPr>
              <w:t xml:space="preserve">src/agents/index.ts</w:t>
            </w:r>
          </w:p>
        </w:tc>
        <w:tc>
          <w:tcPr/>
          <w:p>
            <w:pPr>
              <w:pStyle w:val="Compact"/>
              <w:jc w:val="left"/>
            </w:pPr>
            <w:r>
              <w:t xml:space="preserve">PR 150 (partial)</w:t>
            </w:r>
          </w:p>
        </w:tc>
        <w:tc>
          <w:tcPr/>
          <w:p>
            <w:pPr>
              <w:pStyle w:val="Compact"/>
              <w:jc w:val="left"/>
            </w:pPr>
            <w:r>
              <w:t xml:space="preserve">✅ Implemented</w:t>
            </w:r>
          </w:p>
        </w:tc>
      </w:tr>
      <w:tr>
        <w:tc>
          <w:tcPr/>
          <w:p>
            <w:pPr>
              <w:pStyle w:val="Compact"/>
              <w:jc w:val="left"/>
            </w:pPr>
            <w:r>
              <w:rPr>
                <w:bCs/>
                <w:b/>
              </w:rPr>
              <w:t xml:space="preserve">Agent discovery by capability</w:t>
            </w:r>
            <w:r>
              <w:t xml:space="preserve"> </w:t>
            </w:r>
            <w:r>
              <w:t xml:space="preserve">(A2A)</w:t>
            </w:r>
          </w:p>
        </w:tc>
        <w:tc>
          <w:tcPr/>
          <w:p>
            <w:pPr>
              <w:pStyle w:val="Compact"/>
              <w:jc w:val="left"/>
            </w:pPr>
            <w:r>
              <w:rPr>
                <w:rStyle w:val="VerbatimChar"/>
              </w:rPr>
              <w:t xml:space="preserve">src/agents/index.ts</w:t>
            </w:r>
            <w:r>
              <w:t xml:space="preserve"> </w:t>
            </w:r>
            <w:r>
              <w:t xml:space="preserve">(</w:t>
            </w:r>
            <w:r>
              <w:rPr>
                <w:rStyle w:val="VerbatimChar"/>
              </w:rPr>
              <w:t xml:space="preserve">discoverAgents()</w:t>
            </w:r>
            <w:r>
              <w:t xml:space="preserve">)</w:t>
            </w:r>
          </w:p>
        </w:tc>
        <w:tc>
          <w:tcPr/>
          <w:p>
            <w:pPr>
              <w:pStyle w:val="Compact"/>
              <w:jc w:val="left"/>
            </w:pPr>
            <w:r>
              <w:t xml:space="preserve">New — A2A protocol prep</w:t>
            </w:r>
          </w:p>
        </w:tc>
        <w:tc>
          <w:tcPr/>
          <w:p>
            <w:pPr>
              <w:pStyle w:val="Compact"/>
              <w:jc w:val="left"/>
            </w:pPr>
            <w:r>
              <w:t xml:space="preserve">✅ Implemented</w:t>
            </w:r>
          </w:p>
        </w:tc>
      </w:tr>
      <w:tr>
        <w:tc>
          <w:tcPr/>
          <w:p>
            <w:pPr>
              <w:pStyle w:val="Compact"/>
              <w:jc w:val="left"/>
            </w:pPr>
            <w:r>
              <w:rPr>
                <w:bCs/>
                <w:b/>
              </w:rPr>
              <w:t xml:space="preserve">SSRF protection on agent tools</w:t>
            </w:r>
          </w:p>
        </w:tc>
        <w:tc>
          <w:tcPr/>
          <w:p>
            <w:pPr>
              <w:pStyle w:val="Compact"/>
              <w:jc w:val="left"/>
            </w:pPr>
            <w:r>
              <w:rPr>
                <w:rStyle w:val="VerbatimChar"/>
              </w:rPr>
              <w:t xml:space="preserve">src/agents/tools.ts</w:t>
            </w:r>
            <w:r>
              <w:t xml:space="preserve"> </w:t>
            </w:r>
            <w:r>
              <w:t xml:space="preserve">(domain allowlist)</w:t>
            </w:r>
          </w:p>
        </w:tc>
        <w:tc>
          <w:tcPr/>
          <w:p>
            <w:pPr>
              <w:pStyle w:val="Compact"/>
              <w:jc w:val="left"/>
            </w:pPr>
            <w:r>
              <w:t xml:space="preserve">PR 103 (partial)</w:t>
            </w:r>
          </w:p>
        </w:tc>
        <w:tc>
          <w:tcPr/>
          <w:p>
            <w:pPr>
              <w:pStyle w:val="Compact"/>
              <w:jc w:val="left"/>
            </w:pPr>
            <w:r>
              <w:t xml:space="preserve">✅ Implemented</w:t>
            </w:r>
          </w:p>
        </w:tc>
      </w:tr>
      <w:tr>
        <w:tc>
          <w:tcPr/>
          <w:p>
            <w:pPr>
              <w:pStyle w:val="Compact"/>
              <w:jc w:val="left"/>
            </w:pPr>
            <w:r>
              <w:rPr>
                <w:bCs/>
                <w:b/>
              </w:rPr>
              <w:t xml:space="preserve">Predefined workflows</w:t>
            </w:r>
            <w:r>
              <w:t xml:space="preserve"> </w:t>
            </w:r>
            <w:r>
              <w:t xml:space="preserve">(compliance, construction, SEO)</w:t>
            </w:r>
          </w:p>
        </w:tc>
        <w:tc>
          <w:tcPr/>
          <w:p>
            <w:pPr>
              <w:pStyle w:val="Compact"/>
              <w:jc w:val="left"/>
            </w:pPr>
            <w:r>
              <w:rPr>
                <w:rStyle w:val="VerbatimChar"/>
              </w:rPr>
              <w:t xml:space="preserve">src/agents/workflows.ts</w:t>
            </w:r>
          </w:p>
        </w:tc>
        <w:tc>
          <w:tcPr/>
          <w:p>
            <w:pPr>
              <w:pStyle w:val="Compact"/>
              <w:jc w:val="left"/>
            </w:pPr>
            <w:r>
              <w:t xml:space="preserve">PR 138 (partial)</w:t>
            </w:r>
          </w:p>
        </w:tc>
        <w:tc>
          <w:tcPr/>
          <w:p>
            <w:pPr>
              <w:pStyle w:val="Compact"/>
              <w:jc w:val="left"/>
            </w:pPr>
            <w:r>
              <w:t xml:space="preserve">✅ Implemented</w:t>
            </w:r>
          </w:p>
        </w:tc>
      </w:tr>
    </w:tbl>
    <w:bookmarkEnd w:id="120"/>
    <w:bookmarkStart w:id="121" w:name="standards-updated-2026-02-24"/>
    <w:p>
      <w:pPr>
        <w:pStyle w:val="Heading3"/>
      </w:pPr>
      <w:r>
        <w:t xml:space="preserve">Standards Updated (2026-02-24)</w:t>
      </w:r>
    </w:p>
    <w:tbl>
      <w:tblPr>
        <w:tblStyle w:val="Table"/>
        <w:tblW w:type="pct" w:w="5000"/>
        <w:tblLook w:firstRow="1" w:lastRow="0" w:firstColumn="0" w:lastColumn="0" w:noHBand="0" w:noVBand="0" w:val="0020"/>
        <w:jc w:val="start"/>
      </w:tblPr>
      <w:tblGrid>
        <w:gridCol w:w="1700"/>
        <w:gridCol w:w="2526"/>
        <w:gridCol w:w="3692"/>
      </w:tblGrid>
      <w:tr>
        <w:trPr>
          <w:tblHeader w:val="true"/>
        </w:trPr>
        <w:tc>
          <w:tcPr/>
          <w:p>
            <w:pPr>
              <w:pStyle w:val="Compact"/>
              <w:jc w:val="left"/>
            </w:pPr>
            <w:r>
              <w:t xml:space="preserve">Standard</w:t>
            </w:r>
          </w:p>
        </w:tc>
        <w:tc>
          <w:tcPr/>
          <w:p>
            <w:pPr>
              <w:pStyle w:val="Compact"/>
              <w:jc w:val="left"/>
            </w:pPr>
            <w:r>
              <w:t xml:space="preserve">Section Added</w:t>
            </w:r>
          </w:p>
        </w:tc>
        <w:tc>
          <w:tcPr/>
          <w:p>
            <w:pPr>
              <w:pStyle w:val="Compact"/>
              <w:jc w:val="left"/>
            </w:pPr>
            <w:r>
              <w:t xml:space="preserve">Purpose</w:t>
            </w:r>
          </w:p>
        </w:tc>
      </w:tr>
      <w:tr>
        <w:tc>
          <w:tcPr/>
          <w:p>
            <w:pPr>
              <w:pStyle w:val="Compact"/>
              <w:jc w:val="left"/>
            </w:pPr>
            <w:r>
              <w:rPr>
                <w:rStyle w:val="VerbatimChar"/>
              </w:rPr>
              <w:t xml:space="preserve">DWS_SECURITY_STANDARD.md</w:t>
            </w:r>
            <w:r>
              <w:t xml:space="preserve"> </w:t>
            </w:r>
            <w:r>
              <w:t xml:space="preserve">v1.3</w:t>
            </w:r>
          </w:p>
        </w:tc>
        <w:tc>
          <w:tcPr/>
          <w:p>
            <w:pPr>
              <w:pStyle w:val="Compact"/>
              <w:jc w:val="left"/>
            </w:pPr>
            <w:r>
              <w:t xml:space="preserve">§16: Agent Event-Driven Arch, §17: MCP Tool Approval</w:t>
            </w:r>
          </w:p>
        </w:tc>
        <w:tc>
          <w:tcPr/>
          <w:p>
            <w:pPr>
              <w:pStyle w:val="Compact"/>
              <w:jc w:val="left"/>
            </w:pPr>
            <w:r>
              <w:t xml:space="preserve">Security controls for new agent runtime</w:t>
            </w:r>
          </w:p>
        </w:tc>
      </w:tr>
      <w:tr>
        <w:tc>
          <w:tcPr/>
          <w:p>
            <w:pPr>
              <w:pStyle w:val="Compact"/>
              <w:jc w:val="left"/>
            </w:pPr>
            <w:r>
              <w:rPr>
                <w:rStyle w:val="VerbatimChar"/>
              </w:rPr>
              <w:t xml:space="preserve">Admin/SECURITY_COMPLIANCE.md</w:t>
            </w:r>
            <w:r>
              <w:t xml:space="preserve"> </w:t>
            </w:r>
            <w:r>
              <w:t xml:space="preserve">v1.5</w:t>
            </w:r>
          </w:p>
        </w:tc>
        <w:tc>
          <w:tcPr/>
          <w:p>
            <w:pPr>
              <w:pStyle w:val="Compact"/>
              <w:jc w:val="left"/>
            </w:pPr>
            <w:r>
              <w:t xml:space="preserve">Agent Runtime Security Controls</w:t>
            </w:r>
          </w:p>
        </w:tc>
        <w:tc>
          <w:tcPr/>
          <w:p>
            <w:pPr>
              <w:pStyle w:val="Compact"/>
              <w:jc w:val="left"/>
            </w:pPr>
            <w:r>
              <w:t xml:space="preserve">Error handling, autonomy tiers, MCP endpoint security</w:t>
            </w:r>
          </w:p>
        </w:tc>
      </w:tr>
      <w:tr>
        <w:tc>
          <w:tcPr/>
          <w:p>
            <w:pPr>
              <w:pStyle w:val="Compact"/>
              <w:jc w:val="left"/>
            </w:pPr>
            <w:r>
              <w:rPr>
                <w:rStyle w:val="VerbatimChar"/>
              </w:rPr>
              <w:t xml:space="preserve">SITE_QUALITY_STANDARDS.md</w:t>
            </w:r>
          </w:p>
        </w:tc>
        <w:tc>
          <w:tcPr/>
          <w:p>
            <w:pPr>
              <w:pStyle w:val="Compact"/>
              <w:jc w:val="left"/>
            </w:pPr>
            <w:r>
              <w:t xml:space="preserve">Agent-Driven UI Patterns</w:t>
            </w:r>
          </w:p>
        </w:tc>
        <w:tc>
          <w:tcPr/>
          <w:p>
            <w:pPr>
              <w:pStyle w:val="Compact"/>
              <w:jc w:val="left"/>
            </w:pPr>
            <w:r>
              <w:t xml:space="preserve">Frontend patterns for agent results, workflows, events</w:t>
            </w:r>
          </w:p>
        </w:tc>
      </w:tr>
      <w:tr>
        <w:tc>
          <w:tcPr/>
          <w:p>
            <w:pPr>
              <w:pStyle w:val="Compact"/>
              <w:jc w:val="left"/>
            </w:pPr>
            <w:r>
              <w:rPr>
                <w:rStyle w:val="VerbatimChar"/>
              </w:rPr>
              <w:t xml:space="preserve">docs/CLOUD_ENVIRONMENTS.md</w:t>
            </w:r>
          </w:p>
        </w:tc>
        <w:tc>
          <w:tcPr/>
          <w:p>
            <w:pPr>
              <w:pStyle w:val="Compact"/>
              <w:jc w:val="left"/>
            </w:pPr>
            <w:r>
              <w:t xml:space="preserve">§13: MCP Agent Server</w:t>
            </w:r>
          </w:p>
        </w:tc>
        <w:tc>
          <w:tcPr/>
          <w:p>
            <w:pPr>
              <w:pStyle w:val="Compact"/>
              <w:jc w:val="left"/>
            </w:pPr>
            <w:r>
              <w:t xml:space="preserve">Deployment, endpoints, event streaming architecture</w:t>
            </w:r>
          </w:p>
        </w:tc>
      </w:tr>
      <w:tr>
        <w:tc>
          <w:tcPr/>
          <w:p>
            <w:pPr>
              <w:pStyle w:val="Compact"/>
              <w:jc w:val="left"/>
            </w:pPr>
            <w:r>
              <w:rPr>
                <w:rStyle w:val="VerbatimChar"/>
              </w:rPr>
              <w:t xml:space="preserve">DWS7_ROADMAP.md</w:t>
            </w:r>
          </w:p>
        </w:tc>
        <w:tc>
          <w:tcPr/>
          <w:p>
            <w:pPr>
              <w:pStyle w:val="Compact"/>
              <w:jc w:val="left"/>
            </w:pPr>
            <w:r>
              <w:t xml:space="preserve">Agent Evolution Roadmap (this section)</w:t>
            </w:r>
          </w:p>
        </w:tc>
        <w:tc>
          <w:tcPr/>
          <w:p>
            <w:pPr>
              <w:pStyle w:val="Compact"/>
              <w:jc w:val="left"/>
            </w:pPr>
            <w:r>
              <w:t xml:space="preserve">Track what shipped early vs what remains</w:t>
            </w:r>
          </w:p>
        </w:tc>
      </w:tr>
      <w:tr>
        <w:tc>
          <w:tcPr/>
          <w:p>
            <w:pPr>
              <w:pStyle w:val="Compact"/>
              <w:jc w:val="left"/>
            </w:pPr>
            <w:r>
              <w:rPr>
                <w:rStyle w:val="VerbatimChar"/>
              </w:rPr>
              <w:t xml:space="preserve">docs/DWS7_CLI_ROADMAP.md</w:t>
            </w:r>
          </w:p>
        </w:tc>
        <w:tc>
          <w:tcPr/>
          <w:p>
            <w:pPr>
              <w:pStyle w:val="Compact"/>
              <w:jc w:val="left"/>
            </w:pPr>
            <w:r>
              <w:t xml:space="preserve">CLI Roadmap (50 PRs, 6 phases)</w:t>
            </w:r>
          </w:p>
        </w:tc>
        <w:tc>
          <w:tcPr/>
          <w:p>
            <w:pPr>
              <w:pStyle w:val="Compact"/>
              <w:jc w:val="left"/>
            </w:pPr>
            <w:r>
              <w:t xml:space="preserve">Terminal-native agent platform: dry-run, memory, model routing, batch, fleet</w:t>
            </w:r>
          </w:p>
        </w:tc>
      </w:tr>
    </w:tbl>
    <w:bookmarkEnd w:id="121"/>
    <w:bookmarkStart w:id="122" w:name="what-still-needs-dws7-phase-4"/>
    <w:p>
      <w:pPr>
        <w:pStyle w:val="Heading3"/>
      </w:pPr>
      <w:r>
        <w:t xml:space="preserve">What Still Needs DWS7 Phase 4</w:t>
      </w:r>
    </w:p>
    <w:p>
      <w:pPr>
        <w:pStyle w:val="FirstParagraph"/>
      </w:pPr>
      <w:r>
        <w:t xml:space="preserve">These PRs are</w:t>
      </w:r>
      <w:r>
        <w:t xml:space="preserve"> </w:t>
      </w:r>
      <w:r>
        <w:rPr>
          <w:bCs/>
          <w:b/>
        </w:rPr>
        <w:t xml:space="preserve">not yet implemented</w:t>
      </w:r>
      <w:r>
        <w:t xml:space="preserve"> </w:t>
      </w:r>
      <w:r>
        <w:t xml:space="preserve">and remain in the Phase 4 timeline:</w:t>
      </w:r>
    </w:p>
    <w:tbl>
      <w:tblPr>
        <w:tblStyle w:val="Table"/>
        <w:tblW w:type="pct" w:w="5000"/>
        <w:tblLook w:firstRow="1" w:lastRow="0" w:firstColumn="0" w:lastColumn="0" w:noHBand="0" w:noVBand="0" w:val="0020"/>
        <w:jc w:val="start"/>
      </w:tblPr>
      <w:tblGrid>
        <w:gridCol w:w="206"/>
        <w:gridCol w:w="2548"/>
        <w:gridCol w:w="5165"/>
      </w:tblGrid>
      <w:tr>
        <w:trPr>
          <w:tblHeader w:val="true"/>
        </w:trPr>
        <w:tc>
          <w:tcPr/>
          <w:p>
            <w:pPr>
              <w:pStyle w:val="Compact"/>
              <w:jc w:val="left"/>
            </w:pPr>
            <w:r>
              <w:t xml:space="preserve">PR</w:t>
            </w:r>
          </w:p>
        </w:tc>
        <w:tc>
          <w:tcPr/>
          <w:p>
            <w:pPr>
              <w:pStyle w:val="Compact"/>
              <w:jc w:val="left"/>
            </w:pPr>
            <w:r>
              <w:t xml:space="preserve">Title</w:t>
            </w:r>
          </w:p>
        </w:tc>
        <w:tc>
          <w:tcPr/>
          <w:p>
            <w:pPr>
              <w:pStyle w:val="Compact"/>
              <w:jc w:val="left"/>
            </w:pPr>
            <w:r>
              <w:t xml:space="preserve">Why Not Yet</w:t>
            </w:r>
          </w:p>
        </w:tc>
      </w:tr>
      <w:tr>
        <w:tc>
          <w:tcPr/>
          <w:p>
            <w:pPr>
              <w:pStyle w:val="Compact"/>
              <w:jc w:val="left"/>
            </w:pPr>
            <w:r>
              <w:t xml:space="preserve">138</w:t>
            </w:r>
          </w:p>
        </w:tc>
        <w:tc>
          <w:tcPr/>
          <w:p>
            <w:pPr>
              <w:pStyle w:val="Compact"/>
              <w:jc w:val="left"/>
            </w:pPr>
            <w:r>
              <w:t xml:space="preserve">Temporal.io integration</w:t>
            </w:r>
          </w:p>
        </w:tc>
        <w:tc>
          <w:tcPr/>
          <w:p>
            <w:pPr>
              <w:pStyle w:val="Compact"/>
              <w:jc w:val="left"/>
            </w:pPr>
            <w:r>
              <w:t xml:space="preserve">Workflow executor runs in-process; Temporal wiring needs infra provisioning</w:t>
            </w:r>
          </w:p>
        </w:tc>
      </w:tr>
      <w:tr>
        <w:tc>
          <w:tcPr/>
          <w:p>
            <w:pPr>
              <w:pStyle w:val="Compact"/>
              <w:jc w:val="left"/>
            </w:pPr>
            <w:r>
              <w:t xml:space="preserve">140</w:t>
            </w:r>
          </w:p>
        </w:tc>
        <w:tc>
          <w:tcPr/>
          <w:p>
            <w:pPr>
              <w:pStyle w:val="Compact"/>
              <w:jc w:val="left"/>
            </w:pPr>
            <w:r>
              <w:t xml:space="preserve">Data collection agent</w:t>
            </w:r>
          </w:p>
        </w:tc>
        <w:tc>
          <w:tcPr/>
          <w:p>
            <w:pPr>
              <w:pStyle w:val="Compact"/>
              <w:jc w:val="left"/>
            </w:pPr>
            <w:r>
              <w:t xml:space="preserve">Need ERP connectors (PRs 129-137) first</w:t>
            </w:r>
          </w:p>
        </w:tc>
      </w:tr>
      <w:tr>
        <w:tc>
          <w:tcPr/>
          <w:p>
            <w:pPr>
              <w:pStyle w:val="Compact"/>
              <w:jc w:val="left"/>
            </w:pPr>
            <w:r>
              <w:t xml:space="preserve">141</w:t>
            </w:r>
          </w:p>
        </w:tc>
        <w:tc>
          <w:tcPr/>
          <w:p>
            <w:pPr>
              <w:pStyle w:val="Compact"/>
              <w:jc w:val="left"/>
            </w:pPr>
            <w:r>
              <w:t xml:space="preserve">Report generation agent</w:t>
            </w:r>
          </w:p>
        </w:tc>
        <w:tc>
          <w:tcPr/>
          <w:p>
            <w:pPr>
              <w:pStyle w:val="Compact"/>
              <w:jc w:val="left"/>
            </w:pPr>
            <w:r>
              <w:t xml:space="preserve">Need ESRS report builder (PR 072) first</w:t>
            </w:r>
          </w:p>
        </w:tc>
      </w:tr>
      <w:tr>
        <w:tc>
          <w:tcPr/>
          <w:p>
            <w:pPr>
              <w:pStyle w:val="Compact"/>
              <w:jc w:val="left"/>
            </w:pPr>
            <w:r>
              <w:t xml:space="preserve">142</w:t>
            </w:r>
          </w:p>
        </w:tc>
        <w:tc>
          <w:tcPr/>
          <w:p>
            <w:pPr>
              <w:pStyle w:val="Compact"/>
              <w:jc w:val="left"/>
            </w:pPr>
            <w:r>
              <w:t xml:space="preserve">Anomaly detection agent</w:t>
            </w:r>
          </w:p>
        </w:tc>
        <w:tc>
          <w:tcPr/>
          <w:p>
            <w:pPr>
              <w:pStyle w:val="Compact"/>
              <w:jc w:val="left"/>
            </w:pPr>
            <w:r>
              <w:t xml:space="preserve">Need IoT pipeline (PRs 151-153) first</w:t>
            </w:r>
          </w:p>
        </w:tc>
      </w:tr>
      <w:tr>
        <w:tc>
          <w:tcPr/>
          <w:p>
            <w:pPr>
              <w:pStyle w:val="Compact"/>
              <w:jc w:val="left"/>
            </w:pPr>
            <w:r>
              <w:t xml:space="preserve">143</w:t>
            </w:r>
          </w:p>
        </w:tc>
        <w:tc>
          <w:tcPr/>
          <w:p>
            <w:pPr>
              <w:pStyle w:val="Compact"/>
              <w:jc w:val="left"/>
            </w:pPr>
            <w:r>
              <w:t xml:space="preserve">Deadline reminder agent</w:t>
            </w:r>
          </w:p>
        </w:tc>
        <w:tc>
          <w:tcPr/>
          <w:p>
            <w:pPr>
              <w:pStyle w:val="Compact"/>
              <w:jc w:val="left"/>
            </w:pPr>
            <w:r>
              <w:t xml:space="preserve">Need compliance calendar (PR 053) first</w:t>
            </w:r>
          </w:p>
        </w:tc>
      </w:tr>
      <w:tr>
        <w:tc>
          <w:tcPr/>
          <w:p>
            <w:pPr>
              <w:pStyle w:val="Compact"/>
              <w:jc w:val="left"/>
            </w:pPr>
            <w:r>
              <w:t xml:space="preserve">144</w:t>
            </w:r>
          </w:p>
        </w:tc>
        <w:tc>
          <w:tcPr/>
          <w:p>
            <w:pPr>
              <w:pStyle w:val="Compact"/>
              <w:jc w:val="left"/>
            </w:pPr>
            <w:r>
              <w:t xml:space="preserve">Supplier outreach agent</w:t>
            </w:r>
          </w:p>
        </w:tc>
        <w:tc>
          <w:tcPr/>
          <w:p>
            <w:pPr>
              <w:pStyle w:val="Compact"/>
              <w:jc w:val="left"/>
            </w:pPr>
            <w:r>
              <w:t xml:space="preserve">Need CBAM supplier portal (PR 060) first</w:t>
            </w:r>
          </w:p>
        </w:tc>
      </w:tr>
      <w:tr>
        <w:tc>
          <w:tcPr/>
          <w:p>
            <w:pPr>
              <w:pStyle w:val="Compact"/>
              <w:jc w:val="left"/>
            </w:pPr>
            <w:r>
              <w:t xml:space="preserve">145</w:t>
            </w:r>
          </w:p>
        </w:tc>
        <w:tc>
          <w:tcPr/>
          <w:p>
            <w:pPr>
              <w:pStyle w:val="Compact"/>
              <w:jc w:val="left"/>
            </w:pPr>
            <w:r>
              <w:t xml:space="preserve">Agent execution dashboard (UI)</w:t>
            </w:r>
          </w:p>
        </w:tc>
        <w:tc>
          <w:tcPr/>
          <w:p>
            <w:pPr>
              <w:pStyle w:val="Compact"/>
              <w:jc w:val="left"/>
            </w:pPr>
            <w:r>
              <w:t xml:space="preserve">Frontend — need dashboard v10 completion (Phase 1.3)</w:t>
            </w:r>
          </w:p>
        </w:tc>
      </w:tr>
      <w:tr>
        <w:tc>
          <w:tcPr/>
          <w:p>
            <w:pPr>
              <w:pStyle w:val="Compact"/>
              <w:jc w:val="left"/>
            </w:pPr>
            <w:r>
              <w:t xml:space="preserve">146</w:t>
            </w:r>
          </w:p>
        </w:tc>
        <w:tc>
          <w:tcPr/>
          <w:p>
            <w:pPr>
              <w:pStyle w:val="Compact"/>
              <w:jc w:val="left"/>
            </w:pPr>
            <w:r>
              <w:t xml:space="preserve">Agent approval workflow (UI)</w:t>
            </w:r>
          </w:p>
        </w:tc>
        <w:tc>
          <w:tcPr/>
          <w:p>
            <w:pPr>
              <w:pStyle w:val="Compact"/>
              <w:jc w:val="left"/>
            </w:pPr>
            <w:r>
              <w:t xml:space="preserve">Frontend — need dashboard v10 + agent execution dashboard</w:t>
            </w:r>
          </w:p>
        </w:tc>
      </w:tr>
      <w:tr>
        <w:tc>
          <w:tcPr/>
          <w:p>
            <w:pPr>
              <w:pStyle w:val="Compact"/>
              <w:jc w:val="left"/>
            </w:pPr>
            <w:r>
              <w:t xml:space="preserve">147</w:t>
            </w:r>
          </w:p>
        </w:tc>
        <w:tc>
          <w:tcPr/>
          <w:p>
            <w:pPr>
              <w:pStyle w:val="Compact"/>
              <w:jc w:val="left"/>
            </w:pPr>
            <w:r>
              <w:t xml:space="preserve">Agent performance analytics</w:t>
            </w:r>
          </w:p>
        </w:tc>
        <w:tc>
          <w:tcPr/>
          <w:p>
            <w:pPr>
              <w:pStyle w:val="Compact"/>
              <w:jc w:val="left"/>
            </w:pPr>
            <w:r>
              <w:t xml:space="preserve">Need execution data collected over time</w:t>
            </w:r>
          </w:p>
        </w:tc>
      </w:tr>
      <w:tr>
        <w:tc>
          <w:tcPr/>
          <w:p>
            <w:pPr>
              <w:pStyle w:val="Compact"/>
              <w:jc w:val="left"/>
            </w:pPr>
            <w:r>
              <w:t xml:space="preserve">148</w:t>
            </w:r>
          </w:p>
        </w:tc>
        <w:tc>
          <w:tcPr/>
          <w:p>
            <w:pPr>
              <w:pStyle w:val="Compact"/>
              <w:jc w:val="left"/>
            </w:pPr>
            <w:r>
              <w:t xml:space="preserve">Multi-agent pipeline builder (visual)</w:t>
            </w:r>
          </w:p>
        </w:tc>
        <w:tc>
          <w:tcPr/>
          <w:p>
            <w:pPr>
              <w:pStyle w:val="Compact"/>
              <w:jc w:val="left"/>
            </w:pPr>
            <w:r>
              <w:t xml:space="preserve">Complex UI — Phase 4 proper</w:t>
            </w:r>
          </w:p>
        </w:tc>
      </w:tr>
    </w:tbl>
    <w:bookmarkEnd w:id="122"/>
    <w:bookmarkStart w:id="123" w:name="pr-acceleration-impact"/>
    <w:p>
      <w:pPr>
        <w:pStyle w:val="Heading3"/>
      </w:pPr>
      <w:r>
        <w:t xml:space="preserve">PR Acceleration Impact</w:t>
      </w:r>
    </w:p>
    <w:p>
      <w:pPr>
        <w:pStyle w:val="FirstParagraph"/>
      </w:pPr>
      <w:r>
        <w:t xml:space="preserve">The DWS6 agent modernization</w:t>
      </w:r>
      <w:r>
        <w:t xml:space="preserve"> </w:t>
      </w:r>
      <w:r>
        <w:rPr>
          <w:bCs/>
          <w:b/>
        </w:rPr>
        <w:t xml:space="preserve">accelerates 12 PRs</w:t>
      </w:r>
      <w:r>
        <w:t xml:space="preserve"> </w:t>
      </w:r>
      <w:r>
        <w:t xml:space="preserve">from Phase 4 (Nov 2026) to Phase 1 (Feb 2026):</w:t>
      </w:r>
    </w:p>
    <w:p>
      <w:pPr>
        <w:pStyle w:val="SourceCode"/>
      </w:pPr>
      <w:r>
        <w:rPr>
          <w:rStyle w:val="VerbatimChar"/>
        </w:rPr>
        <w:t xml:space="preserve">Original Phase 4 timeline:     Nov 2026 - Jan 2027</w:t>
      </w:r>
      <w:r>
        <w:br/>
      </w:r>
      <w:r>
        <w:rPr>
          <w:rStyle w:val="VerbatimChar"/>
        </w:rPr>
        <w:t xml:space="preserve">Accelerated to DWS6 (now):     Feb 2026</w:t>
      </w:r>
      <w:r>
        <w:br/>
      </w:r>
      <w:r>
        <w:br/>
      </w:r>
      <w:r>
        <w:rPr>
          <w:rStyle w:val="VerbatimChar"/>
        </w:rPr>
        <w:t xml:space="preserve">PRs affected:</w:t>
      </w:r>
      <w:r>
        <w:br/>
      </w:r>
      <w:r>
        <w:rPr>
          <w:rStyle w:val="VerbatimChar"/>
        </w:rPr>
        <w:t xml:space="preserve">  078 (Article 12 logging)     — PARTIALLY COMPLETE (loop iteration logging)</w:t>
      </w:r>
      <w:r>
        <w:br/>
      </w:r>
      <w:r>
        <w:rPr>
          <w:rStyle w:val="VerbatimChar"/>
        </w:rPr>
        <w:t xml:space="preserve">  079 (Reasoning lineage)      — PARTIALLY COMPLETE (agentic loop traces)</w:t>
      </w:r>
      <w:r>
        <w:br/>
      </w:r>
      <w:r>
        <w:rPr>
          <w:rStyle w:val="VerbatimChar"/>
        </w:rPr>
        <w:t xml:space="preserve">  138 (Agent orchestration)    — PARTIALLY COMPLETE (in-process, no Temporal)</w:t>
      </w:r>
      <w:r>
        <w:br/>
      </w:r>
      <w:r>
        <w:rPr>
          <w:rStyle w:val="VerbatimChar"/>
        </w:rPr>
        <w:t xml:space="preserve">  139 (Compliance agent)       — ALREADY EXISTS (enhanced with tool use)</w:t>
      </w:r>
      <w:r>
        <w:br/>
      </w:r>
      <w:r>
        <w:rPr>
          <w:rStyle w:val="VerbatimChar"/>
        </w:rPr>
        <w:t xml:space="preserve">  145 (Agent execution dash)   — BACKEND READY (API endpoints exist)</w:t>
      </w:r>
      <w:r>
        <w:br/>
      </w:r>
      <w:r>
        <w:rPr>
          <w:rStyle w:val="VerbatimChar"/>
        </w:rPr>
        <w:t xml:space="preserve">  146 (Agent approval workflow) — BACKEND READY (governance engine exists)</w:t>
      </w:r>
      <w:r>
        <w:br/>
      </w:r>
      <w:r>
        <w:rPr>
          <w:rStyle w:val="VerbatimChar"/>
        </w:rPr>
        <w:t xml:space="preserve">  149 (Agent notification)     — PARTIALLY COMPLETE (event bus exists)</w:t>
      </w:r>
      <w:r>
        <w:br/>
      </w:r>
      <w:r>
        <w:rPr>
          <w:rStyle w:val="VerbatimChar"/>
        </w:rPr>
        <w:t xml:space="preserve">  150 (Agent retry/recovery)   — PARTIALLY COMPLETE (graceful degradation)</w:t>
      </w:r>
      <w:r>
        <w:br/>
      </w:r>
      <w:r>
        <w:br/>
      </w:r>
      <w:r>
        <w:rPr>
          <w:rStyle w:val="VerbatimChar"/>
        </w:rPr>
        <w:t xml:space="preserve">Net effect: -8 PRs from Phase 4, saving ~3 weeks of Phase 4 work</w:t>
      </w:r>
      <w:r>
        <w:br/>
      </w:r>
      <w:r>
        <w:rPr>
          <w:rStyle w:val="VerbatimChar"/>
        </w:rPr>
        <w:t xml:space="preserve">Customer value: Agentic AI capabilities available NOW for pilot customers</w:t>
      </w:r>
    </w:p>
    <w:bookmarkEnd w:id="123"/>
    <w:bookmarkStart w:id="124" w:name="new-api-endpoints-dws6"/>
    <w:p>
      <w:pPr>
        <w:pStyle w:val="Heading3"/>
      </w:pPr>
      <w:r>
        <w:t xml:space="preserve">New API Endpoints (DWS6)</w:t>
      </w:r>
    </w:p>
    <w:p>
      <w:pPr>
        <w:pStyle w:val="FirstParagraph"/>
      </w:pPr>
      <w:r>
        <w:t xml:space="preserve">These endpoints are</w:t>
      </w:r>
      <w:r>
        <w:t xml:space="preserve"> </w:t>
      </w:r>
      <w:r>
        <w:rPr>
          <w:bCs/>
          <w:b/>
        </w:rPr>
        <w:t xml:space="preserve">live</w:t>
      </w:r>
      <w:r>
        <w:t xml:space="preserve"> </w:t>
      </w:r>
      <w:r>
        <w:t xml:space="preserve">after the modernization and ready for customer-facing demos:</w:t>
      </w:r>
    </w:p>
    <w:tbl>
      <w:tblPr>
        <w:tblStyle w:val="Table"/>
        <w:tblW w:type="pct" w:w="5000"/>
        <w:tblLook w:firstRow="1" w:lastRow="0" w:firstColumn="0" w:lastColumn="0" w:noHBand="0" w:noVBand="0" w:val="0020"/>
        <w:jc w:val="start"/>
      </w:tblPr>
      <w:tblGrid>
        <w:gridCol w:w="2904"/>
        <w:gridCol w:w="704"/>
        <w:gridCol w:w="4312"/>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Purpose</w:t>
            </w:r>
          </w:p>
        </w:tc>
      </w:tr>
      <w:tr>
        <w:tc>
          <w:tcPr/>
          <w:p>
            <w:pPr>
              <w:pStyle w:val="Compact"/>
              <w:jc w:val="left"/>
            </w:pPr>
            <w:r>
              <w:rPr>
                <w:rStyle w:val="VerbatimChar"/>
              </w:rPr>
              <w:t xml:space="preserve">POST /mcp</w:t>
            </w:r>
          </w:p>
        </w:tc>
        <w:tc>
          <w:tcPr/>
          <w:p>
            <w:pPr>
              <w:pStyle w:val="Compact"/>
              <w:jc w:val="left"/>
            </w:pPr>
            <w:r>
              <w:t xml:space="preserve">JSON-RPC</w:t>
            </w:r>
          </w:p>
        </w:tc>
        <w:tc>
          <w:tcPr/>
          <w:p>
            <w:pPr>
              <w:pStyle w:val="Compact"/>
              <w:jc w:val="left"/>
            </w:pPr>
            <w:r>
              <w:t xml:space="preserve">MCP protocol — external ADEs call agents as tools</w:t>
            </w:r>
          </w:p>
        </w:tc>
      </w:tr>
      <w:tr>
        <w:tc>
          <w:tcPr/>
          <w:p>
            <w:pPr>
              <w:pStyle w:val="Compact"/>
              <w:jc w:val="left"/>
            </w:pPr>
            <w:r>
              <w:rPr>
                <w:rStyle w:val="VerbatimChar"/>
              </w:rPr>
              <w:t xml:space="preserve">GET /mcp/sse</w:t>
            </w:r>
          </w:p>
        </w:tc>
        <w:tc>
          <w:tcPr/>
          <w:p>
            <w:pPr>
              <w:pStyle w:val="Compact"/>
              <w:jc w:val="left"/>
            </w:pPr>
            <w:r>
              <w:t xml:space="preserve">SSE</w:t>
            </w:r>
          </w:p>
        </w:tc>
        <w:tc>
          <w:tcPr/>
          <w:p>
            <w:pPr>
              <w:pStyle w:val="Compact"/>
              <w:jc w:val="left"/>
            </w:pPr>
            <w:r>
              <w:t xml:space="preserve">Real-time agent event stream</w:t>
            </w:r>
          </w:p>
        </w:tc>
      </w:tr>
      <w:tr>
        <w:tc>
          <w:tcPr/>
          <w:p>
            <w:pPr>
              <w:pStyle w:val="Compact"/>
              <w:jc w:val="left"/>
            </w:pPr>
            <w:r>
              <w:rPr>
                <w:rStyle w:val="VerbatimChar"/>
              </w:rPr>
              <w:t xml:space="preserve">GET /mcp/health</w:t>
            </w:r>
          </w:p>
        </w:tc>
        <w:tc>
          <w:tcPr/>
          <w:p>
            <w:pPr>
              <w:pStyle w:val="Compact"/>
              <w:jc w:val="left"/>
            </w:pPr>
            <w:r>
              <w:t xml:space="preserve">GET</w:t>
            </w:r>
          </w:p>
        </w:tc>
        <w:tc>
          <w:tcPr/>
          <w:p>
            <w:pPr>
              <w:pStyle w:val="Compact"/>
              <w:jc w:val="left"/>
            </w:pPr>
            <w:r>
              <w:t xml:space="preserve">MCP server health</w:t>
            </w:r>
          </w:p>
        </w:tc>
      </w:tr>
      <w:tr>
        <w:tc>
          <w:tcPr/>
          <w:p>
            <w:pPr>
              <w:pStyle w:val="Compact"/>
              <w:jc w:val="left"/>
            </w:pPr>
            <w:r>
              <w:rPr>
                <w:rStyle w:val="VerbatimChar"/>
              </w:rPr>
              <w:t xml:space="preserve">GET /api/agents/discover/:cap</w:t>
            </w:r>
          </w:p>
        </w:tc>
        <w:tc>
          <w:tcPr/>
          <w:p>
            <w:pPr>
              <w:pStyle w:val="Compact"/>
              <w:jc w:val="left"/>
            </w:pPr>
            <w:r>
              <w:t xml:space="preserve">GET</w:t>
            </w:r>
          </w:p>
        </w:tc>
        <w:tc>
          <w:tcPr/>
          <w:p>
            <w:pPr>
              <w:pStyle w:val="Compact"/>
              <w:jc w:val="left"/>
            </w:pPr>
            <w:r>
              <w:t xml:space="preserve">Find agents by capability</w:t>
            </w:r>
          </w:p>
        </w:tc>
      </w:tr>
      <w:tr>
        <w:tc>
          <w:tcPr/>
          <w:p>
            <w:pPr>
              <w:pStyle w:val="Compact"/>
              <w:jc w:val="left"/>
            </w:pPr>
            <w:r>
              <w:rPr>
                <w:rStyle w:val="VerbatimChar"/>
              </w:rPr>
              <w:t xml:space="preserve">GET /api/agents/workflows</w:t>
            </w:r>
          </w:p>
        </w:tc>
        <w:tc>
          <w:tcPr/>
          <w:p>
            <w:pPr>
              <w:pStyle w:val="Compact"/>
              <w:jc w:val="left"/>
            </w:pPr>
            <w:r>
              <w:t xml:space="preserve">GET</w:t>
            </w:r>
          </w:p>
        </w:tc>
        <w:tc>
          <w:tcPr/>
          <w:p>
            <w:pPr>
              <w:pStyle w:val="Compact"/>
              <w:jc w:val="left"/>
            </w:pPr>
            <w:r>
              <w:t xml:space="preserve">List predefined workflows</w:t>
            </w:r>
          </w:p>
        </w:tc>
      </w:tr>
      <w:tr>
        <w:tc>
          <w:tcPr/>
          <w:p>
            <w:pPr>
              <w:pStyle w:val="Compact"/>
              <w:jc w:val="left"/>
            </w:pPr>
            <w:r>
              <w:rPr>
                <w:rStyle w:val="VerbatimChar"/>
              </w:rPr>
              <w:t xml:space="preserve">POST /api/agents/workflow/:name</w:t>
            </w:r>
          </w:p>
        </w:tc>
        <w:tc>
          <w:tcPr/>
          <w:p>
            <w:pPr>
              <w:pStyle w:val="Compact"/>
              <w:jc w:val="left"/>
            </w:pPr>
            <w:r>
              <w:t xml:space="preserve">POST</w:t>
            </w:r>
          </w:p>
        </w:tc>
        <w:tc>
          <w:tcPr/>
          <w:p>
            <w:pPr>
              <w:pStyle w:val="Compact"/>
              <w:jc w:val="left"/>
            </w:pPr>
            <w:r>
              <w:t xml:space="preserve">Trigger multi-agent workflow</w:t>
            </w:r>
          </w:p>
        </w:tc>
      </w:tr>
      <w:tr>
        <w:tc>
          <w:tcPr/>
          <w:p>
            <w:pPr>
              <w:pStyle w:val="Compact"/>
              <w:jc w:val="left"/>
            </w:pPr>
            <w:r>
              <w:rPr>
                <w:rStyle w:val="VerbatimChar"/>
              </w:rPr>
              <w:t xml:space="preserve">GET /api/agents/events</w:t>
            </w:r>
          </w:p>
        </w:tc>
        <w:tc>
          <w:tcPr/>
          <w:p>
            <w:pPr>
              <w:pStyle w:val="Compact"/>
              <w:jc w:val="left"/>
            </w:pPr>
            <w:r>
              <w:t xml:space="preserve">GET</w:t>
            </w:r>
          </w:p>
        </w:tc>
        <w:tc>
          <w:tcPr/>
          <w:p>
            <w:pPr>
              <w:pStyle w:val="Compact"/>
              <w:jc w:val="left"/>
            </w:pPr>
            <w:r>
              <w:t xml:space="preserve">Event bus history</w:t>
            </w:r>
          </w:p>
        </w:tc>
      </w:tr>
    </w:tbl>
    <w:p>
      <w:r>
        <w:pict>
          <v:rect style="width:0;height:1.5pt" o:hralign="center" o:hrstd="t" o:hr="t"/>
        </w:pict>
      </w:r>
    </w:p>
    <w:bookmarkEnd w:id="124"/>
    <w:bookmarkEnd w:id="125"/>
    <w:bookmarkStart w:id="131" w:name="X89a07dfe7bf4ad4657d6fa94ebbb282b245ab76"/>
    <w:p>
      <w:pPr>
        <w:pStyle w:val="Heading2"/>
      </w:pPr>
      <w:r>
        <w:t xml:space="preserve">DWS 7 MVP V1 Feature List (Audited 2026-03-15)</w:t>
      </w:r>
    </w:p>
    <w:p>
      <w:pPr>
        <w:pStyle w:val="FirstParagraph"/>
      </w:pPr>
      <w:r>
        <w:t xml:space="preserve">Complete feature inventory for DWS 7 MVP V1, based on codebase audit of 1,846 commits and 342 merged PRs.</w:t>
      </w:r>
    </w:p>
    <w:bookmarkStart w:id="126" w:name="shipped-features-working"/>
    <w:p>
      <w:pPr>
        <w:pStyle w:val="Heading3"/>
      </w:pPr>
      <w:r>
        <w:t xml:space="preserve">Shipped Features (Working)</w:t>
      </w:r>
    </w:p>
    <w:tbl>
      <w:tblPr>
        <w:tblStyle w:val="Table"/>
        <w:tblW w:type="pct" w:w="5000"/>
        <w:tblLook w:firstRow="1" w:lastRow="0" w:firstColumn="0" w:lastColumn="0" w:noHBand="0" w:noVBand="0" w:val="0020"/>
        <w:jc w:val="start"/>
      </w:tblPr>
      <w:tblGrid>
        <w:gridCol w:w="88"/>
        <w:gridCol w:w="741"/>
        <w:gridCol w:w="6822"/>
        <w:gridCol w:w="266"/>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Components</w:t>
            </w:r>
          </w:p>
        </w:tc>
        <w:tc>
          <w:tcPr/>
          <w:p>
            <w:pPr>
              <w:pStyle w:val="Compact"/>
              <w:jc w:val="left"/>
            </w:pPr>
            <w:r>
              <w:t xml:space="preserve">Readiness</w:t>
            </w:r>
          </w:p>
        </w:tc>
      </w:tr>
      <w:tr>
        <w:tc>
          <w:tcPr/>
          <w:p>
            <w:pPr>
              <w:pStyle w:val="Compact"/>
              <w:jc w:val="left"/>
            </w:pPr>
            <w:r>
              <w:t xml:space="preserve">1</w:t>
            </w:r>
          </w:p>
        </w:tc>
        <w:tc>
          <w:tcPr/>
          <w:p>
            <w:pPr>
              <w:pStyle w:val="Compact"/>
              <w:jc w:val="left"/>
            </w:pPr>
            <w:r>
              <w:rPr>
                <w:bCs/>
                <w:b/>
              </w:rPr>
              <w:t xml:space="preserve">Agent Swarm Platform</w:t>
            </w:r>
          </w:p>
        </w:tc>
        <w:tc>
          <w:tcPr/>
          <w:p>
            <w:pPr>
              <w:pStyle w:val="Compact"/>
              <w:jc w:val="left"/>
            </w:pPr>
            <w:r>
              <w:t xml:space="preserve">15 AI agents (8 platform + 7 specialized), BaseAgent framework, Nemotron 3 Super (Spark Primary) + Groq Llama 3.3 70B Versatile (cloud fallback)</w:t>
            </w:r>
          </w:p>
        </w:tc>
        <w:tc>
          <w:tcPr/>
          <w:p>
            <w:pPr>
              <w:pStyle w:val="Compact"/>
              <w:jc w:val="left"/>
            </w:pPr>
            <w:r>
              <w:t xml:space="preserve">85%</w:t>
            </w:r>
          </w:p>
        </w:tc>
      </w:tr>
      <w:tr>
        <w:tc>
          <w:tcPr/>
          <w:p>
            <w:pPr>
              <w:pStyle w:val="Compact"/>
              <w:jc w:val="left"/>
            </w:pPr>
            <w:r>
              <w:t xml:space="preserve">2</w:t>
            </w:r>
          </w:p>
        </w:tc>
        <w:tc>
          <w:tcPr/>
          <w:p>
            <w:pPr>
              <w:pStyle w:val="Compact"/>
              <w:jc w:val="left"/>
            </w:pPr>
            <w:r>
              <w:rPr>
                <w:bCs/>
                <w:b/>
              </w:rPr>
              <w:t xml:space="preserve">MCP Orchestration</w:t>
            </w:r>
          </w:p>
        </w:tc>
        <w:tc>
          <w:tcPr/>
          <w:p>
            <w:pPr>
              <w:pStyle w:val="Compact"/>
              <w:jc w:val="left"/>
            </w:pPr>
            <w:r>
              <w:t xml:space="preserve">6 MCP servers, JSON-RPC 2.0,</w:t>
            </w:r>
            <w:r>
              <w:t xml:space="preserve"> </w:t>
            </w:r>
            <w:r>
              <w:rPr>
                <w:rStyle w:val="VerbatimChar"/>
              </w:rPr>
              <w:t xml:space="preserve">/mcp</w:t>
            </w:r>
            <w:r>
              <w:t xml:space="preserve"> </w:t>
            </w:r>
            <w:r>
              <w:t xml:space="preserve">endpoint, SSE events, workflows</w:t>
            </w:r>
          </w:p>
        </w:tc>
        <w:tc>
          <w:tcPr/>
          <w:p>
            <w:pPr>
              <w:pStyle w:val="Compact"/>
              <w:jc w:val="left"/>
            </w:pPr>
            <w:r>
              <w:t xml:space="preserve">80%</w:t>
            </w:r>
          </w:p>
        </w:tc>
      </w:tr>
      <w:tr>
        <w:tc>
          <w:tcPr/>
          <w:p>
            <w:pPr>
              <w:pStyle w:val="Compact"/>
              <w:jc w:val="left"/>
            </w:pPr>
            <w:r>
              <w:t xml:space="preserve">3</w:t>
            </w:r>
          </w:p>
        </w:tc>
        <w:tc>
          <w:tcPr/>
          <w:p>
            <w:pPr>
              <w:pStyle w:val="Compact"/>
              <w:jc w:val="left"/>
            </w:pPr>
            <w:r>
              <w:rPr>
                <w:bCs/>
                <w:b/>
              </w:rPr>
              <w:t xml:space="preserve">CLI Interface</w:t>
            </w:r>
          </w:p>
        </w:tc>
        <w:tc>
          <w:tcPr/>
          <w:p>
            <w:pPr>
              <w:pStyle w:val="Compact"/>
              <w:jc w:val="left"/>
            </w:pPr>
            <w:r>
              <w:rPr>
                <w:rStyle w:val="VerbatimChar"/>
              </w:rPr>
              <w:t xml:space="preserve">dws agents</w:t>
            </w:r>
            <w:r>
              <w:t xml:space="preserve">,</w:t>
            </w:r>
            <w:r>
              <w:t xml:space="preserve"> </w:t>
            </w:r>
            <w:r>
              <w:rPr>
                <w:rStyle w:val="VerbatimChar"/>
              </w:rPr>
              <w:t xml:space="preserve">dws run</w:t>
            </w:r>
            <w:r>
              <w:t xml:space="preserve">,</w:t>
            </w:r>
            <w:r>
              <w:t xml:space="preserve"> </w:t>
            </w:r>
            <w:r>
              <w:rPr>
                <w:rStyle w:val="VerbatimChar"/>
              </w:rPr>
              <w:t xml:space="preserve">dws workflow</w:t>
            </w:r>
            <w:r>
              <w:t xml:space="preserve">, structured JSON output</w:t>
            </w:r>
          </w:p>
        </w:tc>
        <w:tc>
          <w:tcPr/>
          <w:p>
            <w:pPr>
              <w:pStyle w:val="Compact"/>
              <w:jc w:val="left"/>
            </w:pPr>
            <w:r>
              <w:t xml:space="preserve">75%</w:t>
            </w:r>
          </w:p>
        </w:tc>
      </w:tr>
      <w:tr>
        <w:tc>
          <w:tcPr/>
          <w:p>
            <w:pPr>
              <w:pStyle w:val="Compact"/>
              <w:jc w:val="left"/>
            </w:pPr>
            <w:r>
              <w:t xml:space="preserve">4</w:t>
            </w:r>
          </w:p>
        </w:tc>
        <w:tc>
          <w:tcPr/>
          <w:p>
            <w:pPr>
              <w:pStyle w:val="Compact"/>
              <w:jc w:val="left"/>
            </w:pPr>
            <w:r>
              <w:rPr>
                <w:bCs/>
                <w:b/>
              </w:rPr>
              <w:t xml:space="preserve">17 Claude Code Skills</w:t>
            </w:r>
          </w:p>
        </w:tc>
        <w:tc>
          <w:tcPr/>
          <w:p>
            <w:pPr>
              <w:pStyle w:val="Compact"/>
              <w:jc w:val="left"/>
            </w:pPr>
            <w:r>
              <w:t xml:space="preserve">/compliance-check, /agent-run, /workflow, /discover-agents, /site-safety, /carbon-analysis, /remote-control, /sovereignty-assess, /flow-status, /email, /plan-ceo-review, /plan-eng-review, /review, /ship, /browse, /retro, /simplify</w:t>
            </w:r>
          </w:p>
        </w:tc>
        <w:tc>
          <w:tcPr/>
          <w:p>
            <w:pPr>
              <w:pStyle w:val="Compact"/>
              <w:jc w:val="left"/>
            </w:pPr>
            <w:r>
              <w:t xml:space="preserve">90%</w:t>
            </w:r>
          </w:p>
        </w:tc>
      </w:tr>
      <w:tr>
        <w:tc>
          <w:tcPr/>
          <w:p>
            <w:pPr>
              <w:pStyle w:val="Compact"/>
              <w:jc w:val="left"/>
            </w:pPr>
            <w:r>
              <w:t xml:space="preserve">5</w:t>
            </w:r>
          </w:p>
        </w:tc>
        <w:tc>
          <w:tcPr/>
          <w:p>
            <w:pPr>
              <w:pStyle w:val="Compact"/>
              <w:jc w:val="left"/>
            </w:pPr>
            <w:r>
              <w:rPr>
                <w:bCs/>
                <w:b/>
              </w:rPr>
              <w:t xml:space="preserve">Backend API</w:t>
            </w:r>
          </w:p>
        </w:tc>
        <w:tc>
          <w:tcPr/>
          <w:p>
            <w:pPr>
              <w:pStyle w:val="Compact"/>
              <w:jc w:val="left"/>
            </w:pPr>
            <w:r>
              <w:t xml:space="preserve">Express/TS, JWT auth, Helmet, CORS, versioned routes</w:t>
            </w:r>
          </w:p>
        </w:tc>
        <w:tc>
          <w:tcPr/>
          <w:p>
            <w:pPr>
              <w:pStyle w:val="Compact"/>
              <w:jc w:val="left"/>
            </w:pPr>
            <w:r>
              <w:t xml:space="preserve">75%</w:t>
            </w:r>
          </w:p>
        </w:tc>
      </w:tr>
      <w:tr>
        <w:tc>
          <w:tcPr/>
          <w:p>
            <w:pPr>
              <w:pStyle w:val="Compact"/>
              <w:jc w:val="left"/>
            </w:pPr>
            <w:r>
              <w:t xml:space="preserve">6</w:t>
            </w:r>
          </w:p>
        </w:tc>
        <w:tc>
          <w:tcPr/>
          <w:p>
            <w:pPr>
              <w:pStyle w:val="Compact"/>
              <w:jc w:val="left"/>
            </w:pPr>
            <w:r>
              <w:rPr>
                <w:bCs/>
                <w:b/>
              </w:rPr>
              <w:t xml:space="preserve">Database</w:t>
            </w:r>
          </w:p>
        </w:tc>
        <w:tc>
          <w:tcPr/>
          <w:p>
            <w:pPr>
              <w:pStyle w:val="Compact"/>
              <w:jc w:val="left"/>
            </w:pPr>
            <w:r>
              <w:t xml:space="preserve">Supabase PostgreSQL, 52 migrations, pgvector, RLS, EU data residency (europe-north1)</w:t>
            </w:r>
          </w:p>
        </w:tc>
        <w:tc>
          <w:tcPr/>
          <w:p>
            <w:pPr>
              <w:pStyle w:val="Compact"/>
              <w:jc w:val="left"/>
            </w:pPr>
            <w:r>
              <w:t xml:space="preserve">80%</w:t>
            </w:r>
          </w:p>
        </w:tc>
      </w:tr>
      <w:tr>
        <w:tc>
          <w:tcPr/>
          <w:p>
            <w:pPr>
              <w:pStyle w:val="Compact"/>
              <w:jc w:val="left"/>
            </w:pPr>
            <w:r>
              <w:t xml:space="preserve">7</w:t>
            </w:r>
          </w:p>
        </w:tc>
        <w:tc>
          <w:tcPr/>
          <w:p>
            <w:pPr>
              <w:pStyle w:val="Compact"/>
              <w:jc w:val="left"/>
            </w:pPr>
            <w:r>
              <w:rPr>
                <w:bCs/>
                <w:b/>
              </w:rPr>
              <w:t xml:space="preserve">Email System</w:t>
            </w:r>
          </w:p>
        </w:tc>
        <w:tc>
          <w:tcPr/>
          <w:p>
            <w:pPr>
              <w:pStyle w:val="Compact"/>
              <w:jc w:val="left"/>
            </w:pPr>
            <w:r>
              <w:t xml:space="preserve">SES SMTP primary + Resend fallback, templates, batch, webhook processing</w:t>
            </w:r>
          </w:p>
        </w:tc>
        <w:tc>
          <w:tcPr/>
          <w:p>
            <w:pPr>
              <w:pStyle w:val="Compact"/>
              <w:jc w:val="left"/>
            </w:pPr>
            <w:r>
              <w:t xml:space="preserve">90%</w:t>
            </w:r>
          </w:p>
        </w:tc>
      </w:tr>
      <w:tr>
        <w:tc>
          <w:tcPr/>
          <w:p>
            <w:pPr>
              <w:pStyle w:val="Compact"/>
              <w:jc w:val="left"/>
            </w:pPr>
            <w:r>
              <w:t xml:space="preserve">8</w:t>
            </w:r>
          </w:p>
        </w:tc>
        <w:tc>
          <w:tcPr/>
          <w:p>
            <w:pPr>
              <w:pStyle w:val="Compact"/>
              <w:jc w:val="left"/>
            </w:pPr>
            <w:r>
              <w:rPr>
                <w:bCs/>
                <w:b/>
              </w:rPr>
              <w:t xml:space="preserve">CI/CD Pipeline</w:t>
            </w:r>
          </w:p>
        </w:tc>
        <w:tc>
          <w:tcPr/>
          <w:p>
            <w:pPr>
              <w:pStyle w:val="Compact"/>
              <w:jc w:val="left"/>
            </w:pPr>
            <w:r>
              <w:t xml:space="preserve">38 GitHub workflows, branch validation, security checks, auto-deploy</w:t>
            </w:r>
          </w:p>
        </w:tc>
        <w:tc>
          <w:tcPr/>
          <w:p>
            <w:pPr>
              <w:pStyle w:val="Compact"/>
              <w:jc w:val="left"/>
            </w:pPr>
            <w:r>
              <w:t xml:space="preserve">85%</w:t>
            </w:r>
          </w:p>
        </w:tc>
      </w:tr>
      <w:tr>
        <w:tc>
          <w:tcPr/>
          <w:p>
            <w:pPr>
              <w:pStyle w:val="Compact"/>
              <w:jc w:val="left"/>
            </w:pPr>
            <w:r>
              <w:t xml:space="preserve">9</w:t>
            </w:r>
          </w:p>
        </w:tc>
        <w:tc>
          <w:tcPr/>
          <w:p>
            <w:pPr>
              <w:pStyle w:val="Compact"/>
              <w:jc w:val="left"/>
            </w:pPr>
            <w:r>
              <w:rPr>
                <w:bCs/>
                <w:b/>
              </w:rPr>
              <w:t xml:space="preserve">Landing Pages</w:t>
            </w:r>
          </w:p>
        </w:tc>
        <w:tc>
          <w:tcPr/>
          <w:p>
            <w:pPr>
              <w:pStyle w:val="Compact"/>
              <w:jc w:val="left"/>
            </w:pPr>
            <w:r>
              <w:t xml:space="preserve">3 sites on Cloudflare Pages (dws10.com, dws6.com, onelifetime.world)</w:t>
            </w:r>
          </w:p>
        </w:tc>
        <w:tc>
          <w:tcPr/>
          <w:p>
            <w:pPr>
              <w:pStyle w:val="Compact"/>
              <w:jc w:val="left"/>
            </w:pPr>
            <w:r>
              <w:t xml:space="preserve">85%</w:t>
            </w:r>
          </w:p>
        </w:tc>
      </w:tr>
      <w:tr>
        <w:tc>
          <w:tcPr/>
          <w:p>
            <w:pPr>
              <w:pStyle w:val="Compact"/>
              <w:jc w:val="left"/>
            </w:pPr>
            <w:r>
              <w:t xml:space="preserve">10</w:t>
            </w:r>
          </w:p>
        </w:tc>
        <w:tc>
          <w:tcPr/>
          <w:p>
            <w:pPr>
              <w:pStyle w:val="Compact"/>
              <w:jc w:val="left"/>
            </w:pPr>
            <w:r>
              <w:rPr>
                <w:bCs/>
                <w:b/>
              </w:rPr>
              <w:t xml:space="preserve">DWS Store</w:t>
            </w:r>
          </w:p>
        </w:tc>
        <w:tc>
          <w:tcPr/>
          <w:p>
            <w:pPr>
              <w:pStyle w:val="Compact"/>
              <w:jc w:val="left"/>
            </w:pPr>
            <w:r>
              <w:t xml:space="preserve">4 products, YAML frontmatter, Google Merchant feed, ironclad-nav</w:t>
            </w:r>
          </w:p>
        </w:tc>
        <w:tc>
          <w:tcPr/>
          <w:p>
            <w:pPr>
              <w:pStyle w:val="Compact"/>
              <w:jc w:val="left"/>
            </w:pPr>
            <w:r>
              <w:t xml:space="preserve">85%</w:t>
            </w:r>
          </w:p>
        </w:tc>
      </w:tr>
      <w:tr>
        <w:tc>
          <w:tcPr/>
          <w:p>
            <w:pPr>
              <w:pStyle w:val="Compact"/>
              <w:jc w:val="left"/>
            </w:pPr>
            <w:r>
              <w:t xml:space="preserve">11</w:t>
            </w:r>
          </w:p>
        </w:tc>
        <w:tc>
          <w:tcPr/>
          <w:p>
            <w:pPr>
              <w:pStyle w:val="Compact"/>
              <w:jc w:val="left"/>
            </w:pPr>
            <w:r>
              <w:rPr>
                <w:bCs/>
                <w:b/>
              </w:rPr>
              <w:t xml:space="preserve">Security Framework</w:t>
            </w:r>
          </w:p>
        </w:tc>
        <w:tc>
          <w:tcPr/>
          <w:p>
            <w:pPr>
              <w:pStyle w:val="Compact"/>
              <w:jc w:val="left"/>
            </w:pPr>
            <w:r>
              <w:t xml:space="preserve">KYA governance standard, EU AI Act Article 12, GDPR, SRI hashes, schema drift checks</w:t>
            </w:r>
          </w:p>
        </w:tc>
        <w:tc>
          <w:tcPr/>
          <w:p>
            <w:pPr>
              <w:pStyle w:val="Compact"/>
              <w:jc w:val="left"/>
            </w:pPr>
            <w:r>
              <w:t xml:space="preserve">80%</w:t>
            </w:r>
          </w:p>
        </w:tc>
      </w:tr>
      <w:tr>
        <w:tc>
          <w:tcPr/>
          <w:p>
            <w:pPr>
              <w:pStyle w:val="Compact"/>
              <w:jc w:val="left"/>
            </w:pPr>
            <w:r>
              <w:t xml:space="preserve">12</w:t>
            </w:r>
          </w:p>
        </w:tc>
        <w:tc>
          <w:tcPr/>
          <w:p>
            <w:pPr>
              <w:pStyle w:val="Compact"/>
              <w:jc w:val="left"/>
            </w:pPr>
            <w:r>
              <w:rPr>
                <w:bCs/>
                <w:b/>
              </w:rPr>
              <w:t xml:space="preserve">Docker Infrastructure</w:t>
            </w:r>
          </w:p>
        </w:tc>
        <w:tc>
          <w:tcPr/>
          <w:p>
            <w:pPr>
              <w:pStyle w:val="Compact"/>
              <w:jc w:val="left"/>
            </w:pPr>
            <w:r>
              <w:t xml:space="preserve">hybrid compose, Lightpanda browser, Jitsi video, Cloud Run deployment</w:t>
            </w:r>
          </w:p>
        </w:tc>
        <w:tc>
          <w:tcPr/>
          <w:p>
            <w:pPr>
              <w:pStyle w:val="Compact"/>
              <w:jc w:val="left"/>
            </w:pPr>
            <w:r>
              <w:t xml:space="preserve">70%</w:t>
            </w:r>
          </w:p>
        </w:tc>
      </w:tr>
      <w:tr>
        <w:tc>
          <w:tcPr/>
          <w:p>
            <w:pPr>
              <w:pStyle w:val="Compact"/>
              <w:jc w:val="left"/>
            </w:pPr>
            <w:r>
              <w:t xml:space="preserve">13</w:t>
            </w:r>
          </w:p>
        </w:tc>
        <w:tc>
          <w:tcPr/>
          <w:p>
            <w:pPr>
              <w:pStyle w:val="Compact"/>
              <w:jc w:val="left"/>
            </w:pPr>
            <w:r>
              <w:rPr>
                <w:bCs/>
                <w:b/>
              </w:rPr>
              <w:t xml:space="preserve">Agent Browser</w:t>
            </w:r>
          </w:p>
        </w:tc>
        <w:tc>
          <w:tcPr/>
          <w:p>
            <w:pPr>
              <w:pStyle w:val="Compact"/>
              <w:jc w:val="left"/>
            </w:pPr>
            <w:r>
              <w:t xml:space="preserve">Lightpanda headless (Rust CDP),</w:t>
            </w:r>
            <w:r>
              <w:t xml:space="preserve"> </w:t>
            </w:r>
            <w:r>
              <w:rPr>
                <w:rStyle w:val="VerbatimChar"/>
              </w:rPr>
              <w:t xml:space="preserve">/browse</w:t>
            </w:r>
            <w:r>
              <w:t xml:space="preserve"> </w:t>
            </w:r>
            <w:r>
              <w:t xml:space="preserve">skill for QA automation</w:t>
            </w:r>
          </w:p>
        </w:tc>
        <w:tc>
          <w:tcPr/>
          <w:p>
            <w:pPr>
              <w:pStyle w:val="Compact"/>
              <w:jc w:val="left"/>
            </w:pPr>
            <w:r>
              <w:t xml:space="preserve">75%</w:t>
            </w:r>
          </w:p>
        </w:tc>
      </w:tr>
      <w:tr>
        <w:tc>
          <w:tcPr/>
          <w:p>
            <w:pPr>
              <w:pStyle w:val="Compact"/>
              <w:jc w:val="left"/>
            </w:pPr>
            <w:r>
              <w:t xml:space="preserve">14</w:t>
            </w:r>
          </w:p>
        </w:tc>
        <w:tc>
          <w:tcPr/>
          <w:p>
            <w:pPr>
              <w:pStyle w:val="Compact"/>
              <w:jc w:val="left"/>
            </w:pPr>
            <w:r>
              <w:rPr>
                <w:bCs/>
                <w:b/>
              </w:rPr>
              <w:t xml:space="preserve">Firehorse Report</w:t>
            </w:r>
          </w:p>
        </w:tc>
        <w:tc>
          <w:tcPr/>
          <w:p>
            <w:pPr>
              <w:pStyle w:val="Compact"/>
              <w:jc w:val="left"/>
            </w:pPr>
            <w:r>
              <w:t xml:space="preserve">Report engine (Python), European templates, PDF generation</w:t>
            </w:r>
          </w:p>
        </w:tc>
        <w:tc>
          <w:tcPr/>
          <w:p>
            <w:pPr>
              <w:pStyle w:val="Compact"/>
              <w:jc w:val="left"/>
            </w:pPr>
            <w:r>
              <w:t xml:space="preserve">70%</w:t>
            </w:r>
          </w:p>
        </w:tc>
      </w:tr>
      <w:tr>
        <w:tc>
          <w:tcPr/>
          <w:p>
            <w:pPr>
              <w:pStyle w:val="Compact"/>
              <w:jc w:val="left"/>
            </w:pPr>
            <w:r>
              <w:t xml:space="preserve">15</w:t>
            </w:r>
          </w:p>
        </w:tc>
        <w:tc>
          <w:tcPr/>
          <w:p>
            <w:pPr>
              <w:pStyle w:val="Compact"/>
              <w:jc w:val="left"/>
            </w:pPr>
            <w:r>
              <w:rPr>
                <w:bCs/>
                <w:b/>
              </w:rPr>
              <w:t xml:space="preserve">Firehorse Omnichannel</w:t>
            </w:r>
          </w:p>
        </w:tc>
        <w:tc>
          <w:tcPr/>
          <w:p>
            <w:pPr>
              <w:pStyle w:val="Compact"/>
              <w:jc w:val="left"/>
            </w:pPr>
            <w:r>
              <w:t xml:space="preserve">Multi-channel communication, email sequences</w:t>
            </w:r>
          </w:p>
        </w:tc>
        <w:tc>
          <w:tcPr/>
          <w:p>
            <w:pPr>
              <w:pStyle w:val="Compact"/>
              <w:jc w:val="left"/>
            </w:pPr>
            <w:r>
              <w:t xml:space="preserve">65%</w:t>
            </w:r>
          </w:p>
        </w:tc>
      </w:tr>
    </w:tbl>
    <w:bookmarkEnd w:id="126"/>
    <w:bookmarkStart w:id="127" w:name="partial-features-in-progress"/>
    <w:p>
      <w:pPr>
        <w:pStyle w:val="Heading3"/>
      </w:pPr>
      <w:r>
        <w:t xml:space="preserve">Partial Features (In Progress)</w:t>
      </w:r>
    </w:p>
    <w:tbl>
      <w:tblPr>
        <w:tblStyle w:val="Table"/>
        <w:tblW w:type="pct" w:w="5000"/>
        <w:tblLook w:firstRow="1" w:lastRow="0" w:firstColumn="0" w:lastColumn="0" w:noHBand="0" w:noVBand="0" w:val="0020"/>
        <w:jc w:val="start"/>
      </w:tblPr>
      <w:tblGrid>
        <w:gridCol w:w="146"/>
        <w:gridCol w:w="1222"/>
        <w:gridCol w:w="3324"/>
        <w:gridCol w:w="2786"/>
        <w:gridCol w:w="44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What Exists</w:t>
            </w:r>
          </w:p>
        </w:tc>
        <w:tc>
          <w:tcPr/>
          <w:p>
            <w:pPr>
              <w:pStyle w:val="Compact"/>
              <w:jc w:val="left"/>
            </w:pPr>
            <w:r>
              <w:t xml:space="preserve">What’s Missing</w:t>
            </w:r>
          </w:p>
        </w:tc>
        <w:tc>
          <w:tcPr/>
          <w:p>
            <w:pPr>
              <w:pStyle w:val="Compact"/>
              <w:jc w:val="left"/>
            </w:pPr>
            <w:r>
              <w:t xml:space="preserve">Readiness</w:t>
            </w:r>
          </w:p>
        </w:tc>
      </w:tr>
      <w:tr>
        <w:tc>
          <w:tcPr/>
          <w:p>
            <w:pPr>
              <w:pStyle w:val="Compact"/>
              <w:jc w:val="left"/>
            </w:pPr>
            <w:r>
              <w:t xml:space="preserve">16</w:t>
            </w:r>
          </w:p>
        </w:tc>
        <w:tc>
          <w:tcPr/>
          <w:p>
            <w:pPr>
              <w:pStyle w:val="Compact"/>
              <w:jc w:val="left"/>
            </w:pPr>
            <w:r>
              <w:rPr>
                <w:bCs/>
                <w:b/>
              </w:rPr>
              <w:t xml:space="preserve">React Dashboard</w:t>
            </w:r>
          </w:p>
        </w:tc>
        <w:tc>
          <w:tcPr/>
          <w:p>
            <w:pPr>
              <w:pStyle w:val="Compact"/>
              <w:jc w:val="left"/>
            </w:pPr>
            <w:r>
              <w:t xml:space="preserve">v9-react, Vite 7, React 19, TailwindCSS, auth hook, pages</w:t>
            </w:r>
          </w:p>
        </w:tc>
        <w:tc>
          <w:tcPr/>
          <w:p>
            <w:pPr>
              <w:pStyle w:val="Compact"/>
              <w:jc w:val="left"/>
            </w:pPr>
            <w:r>
              <w:t xml:space="preserve">Error boundaries, loading states, responsive layout</w:t>
            </w:r>
          </w:p>
        </w:tc>
        <w:tc>
          <w:tcPr/>
          <w:p>
            <w:pPr>
              <w:pStyle w:val="Compact"/>
              <w:jc w:val="left"/>
            </w:pPr>
            <w:r>
              <w:t xml:space="preserve">60%</w:t>
            </w:r>
          </w:p>
        </w:tc>
      </w:tr>
      <w:tr>
        <w:tc>
          <w:tcPr/>
          <w:p>
            <w:pPr>
              <w:pStyle w:val="Compact"/>
              <w:jc w:val="left"/>
            </w:pPr>
            <w:r>
              <w:t xml:space="preserve">17</w:t>
            </w:r>
          </w:p>
        </w:tc>
        <w:tc>
          <w:tcPr/>
          <w:p>
            <w:pPr>
              <w:pStyle w:val="Compact"/>
              <w:jc w:val="left"/>
            </w:pPr>
            <w:r>
              <w:rPr>
                <w:bCs/>
                <w:b/>
              </w:rPr>
              <w:t xml:space="preserve">Compliance Engine</w:t>
            </w:r>
          </w:p>
        </w:tc>
        <w:tc>
          <w:tcPr/>
          <w:p>
            <w:pPr>
              <w:pStyle w:val="Compact"/>
              <w:jc w:val="left"/>
            </w:pPr>
            <w:r>
              <w:t xml:space="preserve">Compliance agent, CSRD/ETS/CBAM agents exist</w:t>
            </w:r>
          </w:p>
        </w:tc>
        <w:tc>
          <w:tcPr/>
          <w:p>
            <w:pPr>
              <w:pStyle w:val="Compact"/>
              <w:jc w:val="left"/>
            </w:pPr>
            <w:r>
              <w:t xml:space="preserve">Real scoring engine, data models, calculators (stub data)</w:t>
            </w:r>
          </w:p>
        </w:tc>
        <w:tc>
          <w:tcPr/>
          <w:p>
            <w:pPr>
              <w:pStyle w:val="Compact"/>
              <w:jc w:val="left"/>
            </w:pPr>
            <w:r>
              <w:t xml:space="preserve">45%</w:t>
            </w:r>
          </w:p>
        </w:tc>
      </w:tr>
      <w:tr>
        <w:tc>
          <w:tcPr/>
          <w:p>
            <w:pPr>
              <w:pStyle w:val="Compact"/>
              <w:jc w:val="left"/>
            </w:pPr>
            <w:r>
              <w:t xml:space="preserve">18</w:t>
            </w:r>
          </w:p>
        </w:tc>
        <w:tc>
          <w:tcPr/>
          <w:p>
            <w:pPr>
              <w:pStyle w:val="Compact"/>
              <w:jc w:val="left"/>
            </w:pPr>
            <w:r>
              <w:rPr>
                <w:bCs/>
                <w:b/>
              </w:rPr>
              <w:t xml:space="preserve">ERP Integrations</w:t>
            </w:r>
          </w:p>
        </w:tc>
        <w:tc>
          <w:tcPr/>
          <w:p>
            <w:pPr>
              <w:pStyle w:val="Compact"/>
              <w:jc w:val="left"/>
            </w:pPr>
            <w:r>
              <w:t xml:space="preserve">Connector scaffolding for SAP, IFS, Dynamics, Monitor, Visma, Jeeves</w:t>
            </w:r>
          </w:p>
        </w:tc>
        <w:tc>
          <w:tcPr/>
          <w:p>
            <w:pPr>
              <w:pStyle w:val="Compact"/>
              <w:jc w:val="left"/>
            </w:pPr>
            <w:r>
              <w:t xml:space="preserve">Production-verified connections, data mapping</w:t>
            </w:r>
          </w:p>
        </w:tc>
        <w:tc>
          <w:tcPr/>
          <w:p>
            <w:pPr>
              <w:pStyle w:val="Compact"/>
              <w:jc w:val="left"/>
            </w:pPr>
            <w:r>
              <w:t xml:space="preserve">50%</w:t>
            </w:r>
          </w:p>
        </w:tc>
      </w:tr>
      <w:tr>
        <w:tc>
          <w:tcPr/>
          <w:p>
            <w:pPr>
              <w:pStyle w:val="Compact"/>
              <w:jc w:val="left"/>
            </w:pPr>
            <w:r>
              <w:t xml:space="preserve">19</w:t>
            </w:r>
          </w:p>
        </w:tc>
        <w:tc>
          <w:tcPr/>
          <w:p>
            <w:pPr>
              <w:pStyle w:val="Compact"/>
              <w:jc w:val="left"/>
            </w:pPr>
            <w:r>
              <w:rPr>
                <w:bCs/>
                <w:b/>
              </w:rPr>
              <w:t xml:space="preserve">ESG Integrations</w:t>
            </w:r>
          </w:p>
        </w:tc>
        <w:tc>
          <w:tcPr/>
          <w:p>
            <w:pPr>
              <w:pStyle w:val="Compact"/>
              <w:jc w:val="left"/>
            </w:pPr>
            <w:r>
              <w:t xml:space="preserve">Worldfavor, PositionGreen connector stubs</w:t>
            </w:r>
          </w:p>
        </w:tc>
        <w:tc>
          <w:tcPr/>
          <w:p>
            <w:pPr>
              <w:pStyle w:val="Compact"/>
              <w:jc w:val="left"/>
            </w:pPr>
            <w:r>
              <w:t xml:space="preserve">End-to-end data flow</w:t>
            </w:r>
          </w:p>
        </w:tc>
        <w:tc>
          <w:tcPr/>
          <w:p>
            <w:pPr>
              <w:pStyle w:val="Compact"/>
              <w:jc w:val="left"/>
            </w:pPr>
            <w:r>
              <w:t xml:space="preserve">50%</w:t>
            </w:r>
          </w:p>
        </w:tc>
      </w:tr>
      <w:tr>
        <w:tc>
          <w:tcPr/>
          <w:p>
            <w:pPr>
              <w:pStyle w:val="Compact"/>
              <w:jc w:val="left"/>
            </w:pPr>
            <w:r>
              <w:t xml:space="preserve">20</w:t>
            </w:r>
          </w:p>
        </w:tc>
        <w:tc>
          <w:tcPr/>
          <w:p>
            <w:pPr>
              <w:pStyle w:val="Compact"/>
              <w:jc w:val="left"/>
            </w:pPr>
            <w:r>
              <w:rPr>
                <w:bCs/>
                <w:b/>
              </w:rPr>
              <w:t xml:space="preserve">Test Suite</w:t>
            </w:r>
          </w:p>
        </w:tc>
        <w:tc>
          <w:tcPr/>
          <w:p>
            <w:pPr>
              <w:pStyle w:val="Compact"/>
              <w:jc w:val="left"/>
            </w:pPr>
            <w:r>
              <w:t xml:space="preserve">17 test files, Vitest configured</w:t>
            </w:r>
          </w:p>
        </w:tc>
        <w:tc>
          <w:tcPr/>
          <w:p>
            <w:pPr>
              <w:pStyle w:val="Compact"/>
              <w:jc w:val="left"/>
            </w:pPr>
            <w:r>
              <w:t xml:space="preserve">Coverage gate, integration tests, E2E smoke tests</w:t>
            </w:r>
          </w:p>
        </w:tc>
        <w:tc>
          <w:tcPr/>
          <w:p>
            <w:pPr>
              <w:pStyle w:val="Compact"/>
              <w:jc w:val="left"/>
            </w:pPr>
            <w:r>
              <w:t xml:space="preserve">55%</w:t>
            </w:r>
          </w:p>
        </w:tc>
      </w:tr>
      <w:tr>
        <w:tc>
          <w:tcPr/>
          <w:p>
            <w:pPr>
              <w:pStyle w:val="Compact"/>
              <w:jc w:val="left"/>
            </w:pPr>
            <w:r>
              <w:t xml:space="preserve">21</w:t>
            </w:r>
          </w:p>
        </w:tc>
        <w:tc>
          <w:tcPr/>
          <w:p>
            <w:pPr>
              <w:pStyle w:val="Compact"/>
              <w:jc w:val="left"/>
            </w:pPr>
            <w:r>
              <w:rPr>
                <w:bCs/>
                <w:b/>
              </w:rPr>
              <w:t xml:space="preserve">Customer Onboarding</w:t>
            </w:r>
          </w:p>
        </w:tc>
        <w:tc>
          <w:tcPr/>
          <w:p>
            <w:pPr>
              <w:pStyle w:val="Compact"/>
              <w:jc w:val="left"/>
            </w:pPr>
            <w:r>
              <w:t xml:space="preserve">Auth (register/login/JWT)</w:t>
            </w:r>
          </w:p>
        </w:tc>
        <w:tc>
          <w:tcPr/>
          <w:p>
            <w:pPr>
              <w:pStyle w:val="Compact"/>
              <w:jc w:val="left"/>
            </w:pPr>
            <w:r>
              <w:t xml:space="preserve">Onboarding wizard, welcome emails, first-run assessment</w:t>
            </w:r>
          </w:p>
        </w:tc>
        <w:tc>
          <w:tcPr/>
          <w:p>
            <w:pPr>
              <w:pStyle w:val="Compact"/>
              <w:jc w:val="left"/>
            </w:pPr>
            <w:r>
              <w:t xml:space="preserve">30%</w:t>
            </w:r>
          </w:p>
        </w:tc>
      </w:tr>
      <w:tr>
        <w:tc>
          <w:tcPr/>
          <w:p>
            <w:pPr>
              <w:pStyle w:val="Compact"/>
              <w:jc w:val="left"/>
            </w:pPr>
            <w:r>
              <w:t xml:space="preserve">22</w:t>
            </w:r>
          </w:p>
        </w:tc>
        <w:tc>
          <w:tcPr/>
          <w:p>
            <w:pPr>
              <w:pStyle w:val="Compact"/>
              <w:jc w:val="left"/>
            </w:pPr>
            <w:r>
              <w:rPr>
                <w:bCs/>
                <w:b/>
              </w:rPr>
              <w:t xml:space="preserve">Firehorse Automation</w:t>
            </w:r>
          </w:p>
        </w:tc>
        <w:tc>
          <w:tcPr/>
          <w:p>
            <w:pPr>
              <w:pStyle w:val="Compact"/>
              <w:jc w:val="left"/>
            </w:pPr>
            <w:r>
              <w:t xml:space="preserve">Automation module, state machine</w:t>
            </w:r>
          </w:p>
        </w:tc>
        <w:tc>
          <w:tcPr/>
          <w:p>
            <w:pPr>
              <w:pStyle w:val="Compact"/>
              <w:jc w:val="left"/>
            </w:pPr>
            <w:r>
              <w:t xml:space="preserve">Production workflows, trigger system</w:t>
            </w:r>
          </w:p>
        </w:tc>
        <w:tc>
          <w:tcPr/>
          <w:p>
            <w:pPr>
              <w:pStyle w:val="Compact"/>
              <w:jc w:val="left"/>
            </w:pPr>
            <w:r>
              <w:t xml:space="preserve">60%</w:t>
            </w:r>
          </w:p>
        </w:tc>
      </w:tr>
      <w:tr>
        <w:tc>
          <w:tcPr/>
          <w:p>
            <w:pPr>
              <w:pStyle w:val="Compact"/>
              <w:jc w:val="left"/>
            </w:pPr>
            <w:r>
              <w:t xml:space="preserve">23</w:t>
            </w:r>
          </w:p>
        </w:tc>
        <w:tc>
          <w:tcPr/>
          <w:p>
            <w:pPr>
              <w:pStyle w:val="Compact"/>
              <w:jc w:val="left"/>
            </w:pPr>
            <w:r>
              <w:rPr>
                <w:bCs/>
                <w:b/>
              </w:rPr>
              <w:t xml:space="preserve">Firehorse ContentMS</w:t>
            </w:r>
          </w:p>
        </w:tc>
        <w:tc>
          <w:tcPr/>
          <w:p>
            <w:pPr>
              <w:pStyle w:val="Compact"/>
              <w:jc w:val="left"/>
            </w:pPr>
            <w:r>
              <w:t xml:space="preserve">DMS schema, templates</w:t>
            </w:r>
          </w:p>
        </w:tc>
        <w:tc>
          <w:tcPr/>
          <w:p>
            <w:pPr>
              <w:pStyle w:val="Compact"/>
              <w:jc w:val="left"/>
            </w:pPr>
            <w:r>
              <w:t xml:space="preserve">Content pipeline, versioning</w:t>
            </w:r>
          </w:p>
        </w:tc>
        <w:tc>
          <w:tcPr/>
          <w:p>
            <w:pPr>
              <w:pStyle w:val="Compact"/>
              <w:jc w:val="left"/>
            </w:pPr>
            <w:r>
              <w:t xml:space="preserve">55%</w:t>
            </w:r>
          </w:p>
        </w:tc>
      </w:tr>
      <w:tr>
        <w:tc>
          <w:tcPr/>
          <w:p>
            <w:pPr>
              <w:pStyle w:val="Compact"/>
              <w:jc w:val="left"/>
            </w:pPr>
            <w:r>
              <w:t xml:space="preserve">24</w:t>
            </w:r>
          </w:p>
        </w:tc>
        <w:tc>
          <w:tcPr/>
          <w:p>
            <w:pPr>
              <w:pStyle w:val="Compact"/>
              <w:jc w:val="left"/>
            </w:pPr>
            <w:r>
              <w:rPr>
                <w:bCs/>
                <w:b/>
              </w:rPr>
              <w:t xml:space="preserve">ICEYE SAR Integration</w:t>
            </w:r>
          </w:p>
        </w:tc>
        <w:tc>
          <w:tcPr/>
          <w:p>
            <w:pPr>
              <w:pStyle w:val="Compact"/>
              <w:jc w:val="left"/>
            </w:pPr>
            <w:r>
              <w:t xml:space="preserve">Argus agent, trade integration module</w:t>
            </w:r>
          </w:p>
        </w:tc>
        <w:tc>
          <w:tcPr/>
          <w:p>
            <w:pPr>
              <w:pStyle w:val="Compact"/>
              <w:jc w:val="left"/>
            </w:pPr>
            <w:r>
              <w:t xml:space="preserve">Live satellite data pipeline</w:t>
            </w:r>
          </w:p>
        </w:tc>
        <w:tc>
          <w:tcPr/>
          <w:p>
            <w:pPr>
              <w:pStyle w:val="Compact"/>
              <w:jc w:val="left"/>
            </w:pPr>
            <w:r>
              <w:t xml:space="preserve">40%</w:t>
            </w:r>
          </w:p>
        </w:tc>
      </w:tr>
      <w:tr>
        <w:tc>
          <w:tcPr/>
          <w:p>
            <w:pPr>
              <w:pStyle w:val="Compact"/>
              <w:jc w:val="left"/>
            </w:pPr>
            <w:r>
              <w:t xml:space="preserve">25</w:t>
            </w:r>
          </w:p>
        </w:tc>
        <w:tc>
          <w:tcPr/>
          <w:p>
            <w:pPr>
              <w:pStyle w:val="Compact"/>
              <w:jc w:val="left"/>
            </w:pPr>
            <w:r>
              <w:rPr>
                <w:bCs/>
                <w:b/>
              </w:rPr>
              <w:t xml:space="preserve">Firehorse Mobile</w:t>
            </w:r>
          </w:p>
        </w:tc>
        <w:tc>
          <w:tcPr/>
          <w:p>
            <w:pPr>
              <w:pStyle w:val="Compact"/>
              <w:jc w:val="left"/>
            </w:pPr>
            <w:r>
              <w:t xml:space="preserve">Mobile app package (zip), Situation Control rooms</w:t>
            </w:r>
          </w:p>
        </w:tc>
        <w:tc>
          <w:tcPr/>
          <w:p>
            <w:pPr>
              <w:pStyle w:val="Compact"/>
              <w:jc w:val="left"/>
            </w:pPr>
            <w:r>
              <w:t xml:space="preserve">Production build, app store deployment</w:t>
            </w:r>
          </w:p>
        </w:tc>
        <w:tc>
          <w:tcPr/>
          <w:p>
            <w:pPr>
              <w:pStyle w:val="Compact"/>
              <w:jc w:val="left"/>
            </w:pPr>
            <w:r>
              <w:t xml:space="preserve">45%</w:t>
            </w:r>
          </w:p>
        </w:tc>
      </w:tr>
    </w:tbl>
    <w:bookmarkEnd w:id="127"/>
    <w:bookmarkStart w:id="128" w:name="not-started-phase-2"/>
    <w:p>
      <w:pPr>
        <w:pStyle w:val="Heading3"/>
      </w:pPr>
      <w:r>
        <w:t xml:space="preserve">Not Started (Phase 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Target Phase</w:t>
            </w:r>
          </w:p>
        </w:tc>
      </w:tr>
      <w:tr>
        <w:tc>
          <w:tcPr/>
          <w:p>
            <w:pPr>
              <w:pStyle w:val="Compact"/>
              <w:jc w:val="left"/>
            </w:pPr>
            <w:r>
              <w:t xml:space="preserve">26</w:t>
            </w:r>
          </w:p>
        </w:tc>
        <w:tc>
          <w:tcPr/>
          <w:p>
            <w:pPr>
              <w:pStyle w:val="Compact"/>
              <w:jc w:val="left"/>
            </w:pPr>
            <w:r>
              <w:t xml:space="preserve">Full Sovereignty EU AI Act compliance layer</w:t>
            </w:r>
          </w:p>
        </w:tc>
        <w:tc>
          <w:tcPr/>
          <w:p>
            <w:pPr>
              <w:pStyle w:val="Compact"/>
              <w:jc w:val="left"/>
            </w:pPr>
            <w:r>
              <w:t xml:space="preserve">Phase 2</w:t>
            </w:r>
          </w:p>
        </w:tc>
      </w:tr>
      <w:tr>
        <w:tc>
          <w:tcPr/>
          <w:p>
            <w:pPr>
              <w:pStyle w:val="Compact"/>
              <w:jc w:val="left"/>
            </w:pPr>
            <w:r>
              <w:t xml:space="preserve">27</w:t>
            </w:r>
          </w:p>
        </w:tc>
        <w:tc>
          <w:tcPr/>
          <w:p>
            <w:pPr>
              <w:pStyle w:val="Compact"/>
              <w:jc w:val="left"/>
            </w:pPr>
            <w:r>
              <w:t xml:space="preserve">Multi-tenancy / tenant isolation</w:t>
            </w:r>
          </w:p>
        </w:tc>
        <w:tc>
          <w:tcPr/>
          <w:p>
            <w:pPr>
              <w:pStyle w:val="Compact"/>
              <w:jc w:val="left"/>
            </w:pPr>
            <w:r>
              <w:t xml:space="preserve">Phase 3</w:t>
            </w:r>
          </w:p>
        </w:tc>
      </w:tr>
      <w:tr>
        <w:tc>
          <w:tcPr/>
          <w:p>
            <w:pPr>
              <w:pStyle w:val="Compact"/>
              <w:jc w:val="left"/>
            </w:pPr>
            <w:r>
              <w:t xml:space="preserve">28</w:t>
            </w:r>
          </w:p>
        </w:tc>
        <w:tc>
          <w:tcPr/>
          <w:p>
            <w:pPr>
              <w:pStyle w:val="Compact"/>
              <w:jc w:val="left"/>
            </w:pPr>
            <w:r>
              <w:t xml:space="preserve">ISO 27001 / SOC 2 certification</w:t>
            </w:r>
          </w:p>
        </w:tc>
        <w:tc>
          <w:tcPr/>
          <w:p>
            <w:pPr>
              <w:pStyle w:val="Compact"/>
              <w:jc w:val="left"/>
            </w:pPr>
            <w:r>
              <w:t xml:space="preserve">Phase 3</w:t>
            </w:r>
          </w:p>
        </w:tc>
      </w:tr>
      <w:tr>
        <w:tc>
          <w:tcPr/>
          <w:p>
            <w:pPr>
              <w:pStyle w:val="Compact"/>
              <w:jc w:val="left"/>
            </w:pPr>
            <w:r>
              <w:t xml:space="preserve">29</w:t>
            </w:r>
          </w:p>
        </w:tc>
        <w:tc>
          <w:tcPr/>
          <w:p>
            <w:pPr>
              <w:pStyle w:val="Compact"/>
              <w:jc w:val="left"/>
            </w:pPr>
            <w:r>
              <w:t xml:space="preserve">IoT pipeline (Jetson Orin Nano)</w:t>
            </w:r>
          </w:p>
        </w:tc>
        <w:tc>
          <w:tcPr/>
          <w:p>
            <w:pPr>
              <w:pStyle w:val="Compact"/>
              <w:jc w:val="left"/>
            </w:pPr>
            <w:r>
              <w:t xml:space="preserve">Phase 4</w:t>
            </w:r>
          </w:p>
        </w:tc>
      </w:tr>
      <w:tr>
        <w:tc>
          <w:tcPr/>
          <w:p>
            <w:pPr>
              <w:pStyle w:val="Compact"/>
              <w:jc w:val="left"/>
            </w:pPr>
            <w:r>
              <w:t xml:space="preserve">30</w:t>
            </w:r>
          </w:p>
        </w:tc>
        <w:tc>
          <w:tcPr/>
          <w:p>
            <w:pPr>
              <w:pStyle w:val="Compact"/>
              <w:jc w:val="left"/>
            </w:pPr>
            <w:r>
              <w:t xml:space="preserve">XBRL/XML regulatory export</w:t>
            </w:r>
          </w:p>
        </w:tc>
        <w:tc>
          <w:tcPr/>
          <w:p>
            <w:pPr>
              <w:pStyle w:val="Compact"/>
              <w:jc w:val="left"/>
            </w:pPr>
            <w:r>
              <w:t xml:space="preserve">Phase 2</w:t>
            </w:r>
          </w:p>
        </w:tc>
      </w:tr>
      <w:tr>
        <w:tc>
          <w:tcPr/>
          <w:p>
            <w:pPr>
              <w:pStyle w:val="Compact"/>
              <w:jc w:val="left"/>
            </w:pPr>
            <w:r>
              <w:t xml:space="preserve">31</w:t>
            </w:r>
          </w:p>
        </w:tc>
        <w:tc>
          <w:tcPr/>
          <w:p>
            <w:pPr>
              <w:pStyle w:val="Compact"/>
              <w:jc w:val="left"/>
            </w:pPr>
            <w:r>
              <w:t xml:space="preserve">Supplier self-service portal (CBAM)</w:t>
            </w:r>
          </w:p>
        </w:tc>
        <w:tc>
          <w:tcPr/>
          <w:p>
            <w:pPr>
              <w:pStyle w:val="Compact"/>
              <w:jc w:val="left"/>
            </w:pPr>
            <w:r>
              <w:t xml:space="preserve">Phase 2</w:t>
            </w:r>
          </w:p>
        </w:tc>
      </w:tr>
      <w:tr>
        <w:tc>
          <w:tcPr/>
          <w:p>
            <w:pPr>
              <w:pStyle w:val="Compact"/>
              <w:jc w:val="left"/>
            </w:pPr>
            <w:r>
              <w:t xml:space="preserve">32</w:t>
            </w:r>
          </w:p>
        </w:tc>
        <w:tc>
          <w:tcPr/>
          <w:p>
            <w:pPr>
              <w:pStyle w:val="Compact"/>
              <w:jc w:val="left"/>
            </w:pPr>
            <w:r>
              <w:t xml:space="preserve">On-premise AI inference (GN100)</w:t>
            </w:r>
          </w:p>
        </w:tc>
        <w:tc>
          <w:tcPr/>
          <w:p>
            <w:pPr>
              <w:pStyle w:val="Compact"/>
              <w:jc w:val="left"/>
            </w:pPr>
            <w:r>
              <w:t xml:space="preserve">Phase 3</w:t>
            </w:r>
          </w:p>
        </w:tc>
      </w:tr>
      <w:tr>
        <w:tc>
          <w:tcPr/>
          <w:p>
            <w:pPr>
              <w:pStyle w:val="Compact"/>
              <w:jc w:val="left"/>
            </w:pPr>
            <w:r>
              <w:t xml:space="preserve">33</w:t>
            </w:r>
          </w:p>
        </w:tc>
        <w:tc>
          <w:tcPr/>
          <w:p>
            <w:pPr>
              <w:pStyle w:val="Compact"/>
              <w:jc w:val="left"/>
            </w:pPr>
            <w:r>
              <w:t xml:space="preserve">Temporal.io workflow orchestration</w:t>
            </w:r>
          </w:p>
        </w:tc>
        <w:tc>
          <w:tcPr/>
          <w:p>
            <w:pPr>
              <w:pStyle w:val="Compact"/>
              <w:jc w:val="left"/>
            </w:pPr>
            <w:r>
              <w:t xml:space="preserve">Phase 4</w:t>
            </w:r>
          </w:p>
        </w:tc>
      </w:tr>
      <w:tr>
        <w:tc>
          <w:tcPr/>
          <w:p>
            <w:pPr>
              <w:pStyle w:val="Compact"/>
              <w:jc w:val="left"/>
            </w:pPr>
            <w:r>
              <w:t xml:space="preserve">34</w:t>
            </w:r>
          </w:p>
        </w:tc>
        <w:tc>
          <w:tcPr/>
          <w:p>
            <w:pPr>
              <w:pStyle w:val="Compact"/>
              <w:jc w:val="left"/>
            </w:pPr>
            <w:r>
              <w:t xml:space="preserve">Climate LLM fine-tuning</w:t>
            </w:r>
          </w:p>
        </w:tc>
        <w:tc>
          <w:tcPr/>
          <w:p>
            <w:pPr>
              <w:pStyle w:val="Compact"/>
              <w:jc w:val="left"/>
            </w:pPr>
            <w:r>
              <w:t xml:space="preserve">Phase 4</w:t>
            </w:r>
          </w:p>
        </w:tc>
      </w:tr>
      <w:tr>
        <w:tc>
          <w:tcPr/>
          <w:p>
            <w:pPr>
              <w:pStyle w:val="Compact"/>
              <w:jc w:val="left"/>
            </w:pPr>
            <w:r>
              <w:t xml:space="preserve">35</w:t>
            </w:r>
          </w:p>
        </w:tc>
        <w:tc>
          <w:tcPr/>
          <w:p>
            <w:pPr>
              <w:pStyle w:val="Compact"/>
              <w:jc w:val="left"/>
            </w:pPr>
            <w:r>
              <w:t xml:space="preserve">Partner ecosystem (5 partners)</w:t>
            </w:r>
          </w:p>
        </w:tc>
        <w:tc>
          <w:tcPr/>
          <w:p>
            <w:pPr>
              <w:pStyle w:val="Compact"/>
              <w:jc w:val="left"/>
            </w:pPr>
            <w:r>
              <w:t xml:space="preserve">Phase 5</w:t>
            </w:r>
          </w:p>
        </w:tc>
      </w:tr>
    </w:tbl>
    <w:bookmarkEnd w:id="128"/>
    <w:bookmarkStart w:id="129" w:name="readiness-summary"/>
    <w:p>
      <w:pPr>
        <w:pStyle w:val="Heading3"/>
      </w:pPr>
      <w:r>
        <w:t xml:space="preserve">Readiness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Scope</w:t>
            </w:r>
          </w:p>
        </w:tc>
        <w:tc>
          <w:tcPr/>
          <w:p>
            <w:pPr>
              <w:pStyle w:val="Compact"/>
              <w:jc w:val="left"/>
            </w:pPr>
            <w:r>
              <w:t xml:space="preserve">Features</w:t>
            </w:r>
          </w:p>
        </w:tc>
        <w:tc>
          <w:tcPr/>
          <w:p>
            <w:pPr>
              <w:pStyle w:val="Compact"/>
              <w:jc w:val="left"/>
            </w:pPr>
            <w:r>
              <w:t xml:space="preserve">Avg Readiness</w:t>
            </w:r>
          </w:p>
        </w:tc>
      </w:tr>
      <w:tr>
        <w:tc>
          <w:tcPr/>
          <w:p>
            <w:pPr>
              <w:pStyle w:val="Compact"/>
              <w:jc w:val="left"/>
            </w:pPr>
            <w:r>
              <w:t xml:space="preserve">Shipped (working)</w:t>
            </w:r>
          </w:p>
        </w:tc>
        <w:tc>
          <w:tcPr/>
          <w:p>
            <w:pPr>
              <w:pStyle w:val="Compact"/>
              <w:jc w:val="left"/>
            </w:pPr>
            <w:r>
              <w:t xml:space="preserve">15 features</w:t>
            </w:r>
          </w:p>
        </w:tc>
        <w:tc>
          <w:tcPr/>
          <w:p>
            <w:pPr>
              <w:pStyle w:val="Compact"/>
              <w:jc w:val="left"/>
            </w:pPr>
            <w:r>
              <w:rPr>
                <w:bCs/>
                <w:b/>
              </w:rPr>
              <w:t xml:space="preserve">80%</w:t>
            </w:r>
          </w:p>
        </w:tc>
      </w:tr>
      <w:tr>
        <w:tc>
          <w:tcPr/>
          <w:p>
            <w:pPr>
              <w:pStyle w:val="Compact"/>
              <w:jc w:val="left"/>
            </w:pPr>
            <w:r>
              <w:t xml:space="preserve">Partial (in progress)</w:t>
            </w:r>
          </w:p>
        </w:tc>
        <w:tc>
          <w:tcPr/>
          <w:p>
            <w:pPr>
              <w:pStyle w:val="Compact"/>
              <w:jc w:val="left"/>
            </w:pPr>
            <w:r>
              <w:t xml:space="preserve">10 features</w:t>
            </w:r>
          </w:p>
        </w:tc>
        <w:tc>
          <w:tcPr/>
          <w:p>
            <w:pPr>
              <w:pStyle w:val="Compact"/>
              <w:jc w:val="left"/>
            </w:pPr>
            <w:r>
              <w:rPr>
                <w:bCs/>
                <w:b/>
              </w:rPr>
              <w:t xml:space="preserve">49%</w:t>
            </w:r>
          </w:p>
        </w:tc>
      </w:tr>
      <w:tr>
        <w:tc>
          <w:tcPr/>
          <w:p>
            <w:pPr>
              <w:pStyle w:val="Compact"/>
              <w:jc w:val="left"/>
            </w:pPr>
            <w:r>
              <w:t xml:space="preserve">Not started</w:t>
            </w:r>
          </w:p>
        </w:tc>
        <w:tc>
          <w:tcPr/>
          <w:p>
            <w:pPr>
              <w:pStyle w:val="Compact"/>
              <w:jc w:val="left"/>
            </w:pPr>
            <w:r>
              <w:t xml:space="preserve">10 features</w:t>
            </w:r>
          </w:p>
        </w:tc>
        <w:tc>
          <w:tcPr/>
          <w:p>
            <w:pPr>
              <w:pStyle w:val="Compact"/>
              <w:jc w:val="left"/>
            </w:pPr>
            <w:r>
              <w:rPr>
                <w:bCs/>
                <w:b/>
              </w:rPr>
              <w:t xml:space="preserve">0%</w:t>
            </w:r>
          </w:p>
        </w:tc>
      </w:tr>
      <w:tr>
        <w:tc>
          <w:tcPr/>
          <w:p>
            <w:pPr>
              <w:pStyle w:val="Compact"/>
              <w:jc w:val="left"/>
            </w:pPr>
            <w:r>
              <w:rPr>
                <w:bCs/>
                <w:b/>
              </w:rPr>
              <w:t xml:space="preserve">DWS IQ 6 V1 (Platform)</w:t>
            </w:r>
          </w:p>
        </w:tc>
        <w:tc>
          <w:tcPr/>
          <w:p>
            <w:pPr>
              <w:pStyle w:val="Compact"/>
              <w:jc w:val="left"/>
            </w:pPr>
            <w:r>
              <w:rPr>
                <w:bCs/>
                <w:b/>
              </w:rPr>
              <w:t xml:space="preserve">25 features</w:t>
            </w:r>
          </w:p>
        </w:tc>
        <w:tc>
          <w:tcPr/>
          <w:p>
            <w:pPr>
              <w:pStyle w:val="Compact"/>
              <w:jc w:val="left"/>
            </w:pPr>
            <w:r>
              <w:rPr>
                <w:bCs/>
                <w:b/>
              </w:rPr>
              <w:t xml:space="preserve">75%</w:t>
            </w:r>
          </w:p>
        </w:tc>
      </w:tr>
      <w:tr>
        <w:tc>
          <w:tcPr/>
          <w:p>
            <w:pPr>
              <w:pStyle w:val="Compact"/>
              <w:jc w:val="left"/>
            </w:pPr>
            <w:r>
              <w:rPr>
                <w:bCs/>
                <w:b/>
              </w:rPr>
              <w:t xml:space="preserve">DWS 7 MVP V1 (Full Product)</w:t>
            </w:r>
          </w:p>
        </w:tc>
        <w:tc>
          <w:tcPr/>
          <w:p>
            <w:pPr>
              <w:pStyle w:val="Compact"/>
              <w:jc w:val="left"/>
            </w:pPr>
            <w:r>
              <w:rPr>
                <w:bCs/>
                <w:b/>
              </w:rPr>
              <w:t xml:space="preserve">35 features</w:t>
            </w:r>
          </w:p>
        </w:tc>
        <w:tc>
          <w:tcPr/>
          <w:p>
            <w:pPr>
              <w:pStyle w:val="Compact"/>
              <w:jc w:val="left"/>
            </w:pPr>
            <w:r>
              <w:rPr>
                <w:bCs/>
                <w:b/>
              </w:rPr>
              <w:t xml:space="preserve">55%</w:t>
            </w:r>
          </w:p>
        </w:tc>
      </w:tr>
    </w:tbl>
    <w:bookmarkEnd w:id="129"/>
    <w:bookmarkStart w:id="130" w:name="critical-path-to-ship"/>
    <w:p>
      <w:pPr>
        <w:pStyle w:val="Heading3"/>
      </w:pPr>
      <w:r>
        <w:t xml:space="preserve">Critical Path to Ship</w:t>
      </w:r>
    </w:p>
    <w:p>
      <w:pPr>
        <w:numPr>
          <w:ilvl w:val="0"/>
          <w:numId w:val="1009"/>
        </w:numPr>
        <w:pStyle w:val="Compact"/>
      </w:pPr>
      <w:r>
        <w:rPr>
          <w:bCs/>
          <w:b/>
        </w:rPr>
        <w:t xml:space="preserve">Compliance engine</w:t>
      </w:r>
      <w:r>
        <w:t xml:space="preserve"> </w:t>
      </w:r>
      <w:r>
        <w:t xml:space="preserve">(45% → 80%) — Build CSRD data model + real scoring. This IS the product.</w:t>
      </w:r>
    </w:p>
    <w:p>
      <w:pPr>
        <w:numPr>
          <w:ilvl w:val="0"/>
          <w:numId w:val="1009"/>
        </w:numPr>
        <w:pStyle w:val="Compact"/>
      </w:pPr>
      <w:r>
        <w:rPr>
          <w:bCs/>
          <w:b/>
        </w:rPr>
        <w:t xml:space="preserve">Dashboard resilience</w:t>
      </w:r>
      <w:r>
        <w:t xml:space="preserve"> </w:t>
      </w:r>
      <w:r>
        <w:t xml:space="preserve">(60% → 80%) — Error boundaries, loading states. Enterprise-grade UX.</w:t>
      </w:r>
    </w:p>
    <w:p>
      <w:pPr>
        <w:numPr>
          <w:ilvl w:val="0"/>
          <w:numId w:val="1009"/>
        </w:numPr>
        <w:pStyle w:val="Compact"/>
      </w:pPr>
      <w:r>
        <w:rPr>
          <w:bCs/>
          <w:b/>
        </w:rPr>
        <w:t xml:space="preserve">Customer onboarding</w:t>
      </w:r>
      <w:r>
        <w:t xml:space="preserve"> </w:t>
      </w:r>
      <w:r>
        <w:t xml:space="preserve">(30% → 70%) — 4-step wizard. Without this, every customer needs hand-holding.</w:t>
      </w:r>
    </w:p>
    <w:p>
      <w:pPr>
        <w:numPr>
          <w:ilvl w:val="0"/>
          <w:numId w:val="1009"/>
        </w:numPr>
        <w:pStyle w:val="Compact"/>
      </w:pPr>
      <w:r>
        <w:rPr>
          <w:bCs/>
          <w:b/>
        </w:rPr>
        <w:t xml:space="preserve">Test coverage</w:t>
      </w:r>
      <w:r>
        <w:t xml:space="preserve"> </w:t>
      </w:r>
      <w:r>
        <w:t xml:space="preserve">(55% → 70%) — Coverage gate + critical path tests. Confidence to deploy.</w:t>
      </w:r>
    </w:p>
    <w:p>
      <w:pPr>
        <w:numPr>
          <w:ilvl w:val="0"/>
          <w:numId w:val="1009"/>
        </w:numPr>
        <w:pStyle w:val="Compact"/>
      </w:pPr>
      <w:r>
        <w:rPr>
          <w:bCs/>
          <w:b/>
        </w:rPr>
        <w:t xml:space="preserve">1 ERP integration verified</w:t>
      </w:r>
      <w:r>
        <w:t xml:space="preserve"> </w:t>
      </w:r>
      <w:r>
        <w:t xml:space="preserve">(50% → 75%) — Prove the data pipeline works end-to-end.</w:t>
      </w:r>
    </w:p>
    <w:p>
      <w:r>
        <w:pict>
          <v:rect style="width:0;height:1.5pt" o:hralign="center" o:hrstd="t" o:hr="t"/>
        </w:pict>
      </w:r>
    </w:p>
    <w:p>
      <w:pPr>
        <w:pStyle w:val="FirstParagraph"/>
      </w:pPr>
      <w:r>
        <w:rPr>
          <w:iCs/>
          <w:i/>
        </w:rPr>
        <w:t xml:space="preserve">This document is auto-tracked weekly. See</w:t>
      </w:r>
      <w:r>
        <w:rPr>
          <w:iCs/>
          <w:i/>
        </w:rPr>
        <w:t xml:space="preserve"> </w:t>
      </w:r>
      <w:r>
        <w:rPr>
          <w:rStyle w:val="VerbatimChar"/>
          <w:iCs/>
          <w:i/>
        </w:rPr>
        <w:t xml:space="preserve">.github/workflows/roadmap-weekly-tracker.yml</w:t>
      </w:r>
      <w:r>
        <w:rPr>
          <w:iCs/>
          <w:i/>
        </w:rPr>
        <w:t xml:space="preserve">.</w:t>
      </w:r>
      <w:r>
        <w:t xml:space="preserve"> </w:t>
      </w:r>
      <w:r>
        <w:rPr>
          <w:iCs/>
          <w:i/>
        </w:rPr>
        <w:t xml:space="preserve">Last updated: 2026-03-15</w:t>
      </w:r>
    </w:p>
    <w:bookmarkEnd w:id="130"/>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docs/EU_FUNDING_DIGITAL_2026_AI_DATA_10.md" TargetMode="External" /></Relationships>
</file>

<file path=word/_rels/footnotes.xml.rels><?xml version="1.0" encoding="UTF-8"?><Relationships xmlns="http://schemas.openxmlformats.org/package/2006/relationships"><Relationship Type="http://schemas.openxmlformats.org/officeDocument/2006/relationships/hyperlink" Id="rId76" Target="docs/EU_FUNDING_DIGITAL_2026_AI_DATA_1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2026-08-06T05:03:17Z</dcterms:created>
  <dcterms:modified xsi:type="dcterms:W3CDTF">2026-08-06T05:03:17Z</dcterms:modified>
</cp:coreProperties>
</file>

<file path=docProps/custom.xml><?xml version="1.0" encoding="utf-8"?>
<Properties xmlns="http://schemas.openxmlformats.org/officeDocument/2006/custom-properties" xmlns:vt="http://schemas.openxmlformats.org/officeDocument/2006/docPropsVTypes"/>
</file>