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63778495ede64f780ee20a17419b911b803b17"/>
    <w:p>
      <w:pPr>
        <w:pStyle w:val="Heading1"/>
      </w:pPr>
      <w:r>
        <w:t xml:space="preserve">Firehorse Product Manufacturing Operating Model</w:t>
      </w:r>
    </w:p>
    <w:bookmarkStart w:id="20" w:name="X23038f51c82a5836529dc388a6b0ad950b800f0"/>
    <w:p>
      <w:pPr>
        <w:pStyle w:val="Heading2"/>
      </w:pPr>
      <w:r>
        <w:t xml:space="preserve">Hybrid AI-Edge Architecture for Climate-Intelligent Industrial Platforms</w:t>
      </w:r>
    </w:p>
    <w:p>
      <w:r>
        <w:pict>
          <v:rect style="width:0;height:1.5pt" o:hralign="center" o:hrstd="t" o:hr="t"/>
        </w:pict>
      </w:r>
    </w:p>
    <w:bookmarkEnd w:id="20"/>
    <w:bookmarkEnd w:id="21"/>
    <w:bookmarkStart w:id="26" w:name="version-and-agent-history"/>
    <w:p>
      <w:pPr>
        <w:pStyle w:val="Heading1"/>
      </w:pPr>
      <w:r>
        <w:t xml:space="preserve">VERSION AND AGENT HISTORY</w:t>
      </w:r>
    </w:p>
    <w:p>
      <w:pPr>
        <w:pStyle w:val="FirstParagraph"/>
      </w:pPr>
      <w:r>
        <w:t xml:space="preserve">Version: 3.97</w:t>
      </w:r>
      <w:r>
        <w:t xml:space="preserve"> </w:t>
      </w:r>
      <w:r>
        <w:t xml:space="preserve">Sessions &amp; Modifications:</w:t>
      </w:r>
    </w:p>
    <w:p>
      <w:pPr>
        <w:numPr>
          <w:ilvl w:val="0"/>
          <w:numId w:val="1001"/>
        </w:numPr>
      </w:pPr>
      <w:r>
        <w:t xml:space="preserve">Version: 3.97 | Tool: Claude Code (Fable) | Session: claude/agent-factory-research-audit-l6hks2 | Date: 03.08.2026 | Changes: Added §10.28 (Trajectory-Aware Model Escalation: The DWS Factory Router). Implementation evidence per the Thesis Content Scope Rule; the scientific/market-signal counterpart is PHD_FIREHORSE §14.47 / Key Contribution #52, added in the same lockstep. Records the audit-driven adopt/adapt decision on codejunkie99/sageroute (REJECT deployment: external decision-API egress, first-party OAuth client impersonation, 2-day-old codebase; ADAPT the deterministic core), the shipped src/factory/ architecture (dual-wire evidence recovery, deterministic detectors, guarded one-way ladder continue-&gt;switch_model-&gt;restart_clean-&gt;escalate_human with budget-stop, capability-before-retry, and asymmetric-hysteresis guardrails, external verdict API replaced by a transparent local heuristic — EU-sovereign by construction), verification (15 intent tests, full suite unchanged), and productization (factory:route CLI with verdict exit codes, /factory-route skill). Companion: docs/field-notes/2026-08-03-agent-factory-sageroute-audit.md. Lockstep 3.96-&gt;3.97.</w:t>
      </w:r>
    </w:p>
    <w:p>
      <w:pPr>
        <w:numPr>
          <w:ilvl w:val="0"/>
          <w:numId w:val="1001"/>
        </w:numPr>
      </w:pPr>
      <w:r>
        <w:t xml:space="preserve">Version: 3.96 | Tool: Claude Code (Opus 5) | Session: claude/thesis-unlock-and-truth-fix | Date: 01.08.2026 | Changes: Added §10.16 (EU AI Act Article 50 Content Marking — Implementation). Implementation evidence per the Thesis Content Scope Rule; the scientific/market-signal counterpart is PHD_FIREHORSE §14.46 / Key Contribution #51, added in the same lockstep. Records the Article 50 audit of all four public surfaces, the shipped in-media compositing of the EU AI GENERATED icon (ffmpeg overlay, poster and WebM derived from the marked master, each composite verified visually rather than assumed from an exit code), the negative result that a presentation-layer overlay is a caption rather than a marking because the placement requirement is survival of redistribution, and the decision to RETIRE the AI-persona portraits rather than label content already scheduled for replacement. Also fixed pre-existing truth-claim drift surfaced by truth-lint once these files entered lint scope: superseded three-capital references now carry a pointer to the 4P Capital Classes rather than being rewritten (Rule 12), value-metric phrasings reworded with the claim unchanged, and industry counts separated into EU regulatory scope (sectors, number retained) versus DWS platform coverage (canonical captain-hats term). Lockstep 3.95-&gt;3.96.</w:t>
      </w:r>
    </w:p>
    <w:p>
      <w:pPr>
        <w:numPr>
          <w:ilvl w:val="0"/>
          <w:numId w:val="1001"/>
        </w:numPr>
      </w:pPr>
      <w:r>
        <w:t xml:space="preserve">Version: 3.95 | Tool: Claude Code (Opus 5) | Session: claude/traction-truth-reconciliation | Date: 29.07.2026 (merged 30.07.2026, renumbered 3.92→3.95 on merge to avoid colliding with an independently-landed 3.92 from</w:t>
      </w:r>
      <w:r>
        <w:t xml:space="preserve"> </w:t>
      </w:r>
      <w:r>
        <w:rPr>
          <w:rStyle w:val="VerbatimChar"/>
        </w:rPr>
        <w:t xml:space="preserve">claude/enterprise-ai-harness-0anl7s</w:t>
      </w:r>
      <w:r>
        <w:t xml:space="preserve">) | Changes: Lockstep version bump across all 4 thesis files per the CLAUDE.md thesis rule. Substantive change is confined to the master’s thesis target-customer list: the parenthetical</w:t>
      </w:r>
      <w:r>
        <w:t xml:space="preserve"> </w:t>
      </w:r>
      <w:r>
        <w:t xml:space="preserve">“</w:t>
      </w:r>
      <w:r>
        <w:t xml:space="preserve">(EUR 7k MRR live)</w:t>
      </w:r>
      <w:r>
        <w:t xml:space="preserve">”</w:t>
      </w:r>
      <w:r>
        <w:t xml:space="preserve"> </w:t>
      </w:r>
      <w:r>
        <w:t xml:space="preserve">attached to Uber/Bolt/Kela was a false traction claim — that ~€7k/month is services and transport revenue, not software revenue, and those parties are dispatch operators of the licensed transport operation in the Traficom-defined role, not software customers. Corrected against the new canonical source</w:t>
      </w:r>
      <w:r>
        <w:t xml:space="preserve"> </w:t>
      </w:r>
      <w:r>
        <w:rPr>
          <w:rStyle w:val="VerbatimChar"/>
        </w:rPr>
        <w:t xml:space="preserve">docs/TRACTION_CANONICAL.md</w:t>
      </w:r>
      <w:r>
        <w:t xml:space="preserve"> </w:t>
      </w:r>
      <w:r>
        <w:t xml:space="preserve">(founder-confirmed 29.07.2026, registered as</w:t>
      </w:r>
      <w:r>
        <w:t xml:space="preserve"> </w:t>
      </w:r>
      <w:r>
        <w:rPr>
          <w:rStyle w:val="VerbatimChar"/>
        </w:rPr>
        <w:t xml:space="preserve">DWS_TRUTH_STANDARD.md</w:t>
      </w:r>
      <w:r>
        <w:t xml:space="preserve"> </w:t>
      </w:r>
      <w:r>
        <w:t xml:space="preserve">§2 row 32). No PhD-scope content change — recorded here as a lockstep-only entry per the §1.4 master-vs-PhD scope rule.</w:t>
      </w:r>
    </w:p>
    <w:p>
      <w:pPr>
        <w:numPr>
          <w:ilvl w:val="0"/>
          <w:numId w:val="1001"/>
        </w:numPr>
      </w:pPr>
      <w:r>
        <w:t xml:space="preserve">Version: 3.94 | Tool: Claude Code | Session: claude/enterprise-ai-harness-0anl7s | Date: 30.07.2026 | Changes: Lockstep version bump 3.93 -&gt; 3.94 per the CLAUDE.md Thesis Rule. No content change here: the v3.94 correction (marginal token cost on owned hardware is bounded, not zero; and the six-metric requirement before the depth argument may be used as a commercial claim) is market-signal and scientific framing, and lives in PHD_FIREHORSE §14.45.</w:t>
      </w:r>
    </w:p>
    <w:p>
      <w:pPr>
        <w:numPr>
          <w:ilvl w:val="0"/>
          <w:numId w:val="1001"/>
        </w:numPr>
      </w:pPr>
      <w:r>
        <w:t xml:space="preserve">Version: 3.93 | Tool: Claude Code | Session: claude/enterprise-ai-harness-0anl7s | Date: 30.07.2026 | Changes: Lockstep version bump 3.92 -&gt; 3.93 per the CLAUDE.md Thesis Rule. No content change here: the v3.93 addition (the two-operational-profile split, the dimensionable-knee argument, and the compute-plus-jurisdiction coupling) is market-signal and scientific framing, and lives in PHD_FIREHORSE §14.45 Finding 5 / Key Contribution #50.</w:t>
      </w:r>
    </w:p>
    <w:p>
      <w:pPr>
        <w:numPr>
          <w:ilvl w:val="0"/>
          <w:numId w:val="1001"/>
        </w:numPr>
      </w:pPr>
      <w:r>
        <w:t xml:space="preserve">Version: 3.92 | Tool: Claude Code | Session: claude/enterprise-ai-harness-0anl7s | Date: 30.07.2026 | Changes: Lockstep version bump 3.91 -&gt; 3.92 per the CLAUDE.md Thesis Rule. No content change here: the v3.92 addition (the harness-paywall / depth-arbitrage dialectic and its capacity-planning boundary condition) is market-signal and scientific framing, and lives in PHD_FIREHORSE §14.45 / Key Contribution #50.</w:t>
      </w:r>
    </w:p>
    <w:p>
      <w:pPr>
        <w:numPr>
          <w:ilvl w:val="0"/>
          <w:numId w:val="1001"/>
        </w:numPr>
      </w:pPr>
      <w:r>
        <w:t xml:space="preserve">Version: 3.91 | Tool: Claude Code | Session: claude/ollama-orchestration-merge-047pj7 | Date: 26.07.2026 | Changes: Lockstep version bump 3.90 → 3.91 per the CLAUDE.md Thesis Rule. No content change here: the v3.91 addition (a supply-concentration mitigation — non-NVIDIA fallback compute layer at testbed scale converting lock-in into a governed managed dependency) is market-signal/scientific framing and lives in PHD_FIREHORSE §14.44 Finding 3.</w:t>
      </w:r>
    </w:p>
    <w:p>
      <w:pPr>
        <w:numPr>
          <w:ilvl w:val="0"/>
          <w:numId w:val="1001"/>
        </w:numPr>
      </w:pPr>
      <w:r>
        <w:t xml:space="preserve">Version: 3.90 | Tool: Claude Code | Session: claude/ollama-orchestration-merge-047pj7 | Date: 26.07.2026 | Changes: Lockstep version bump 3.89 → 3.90 per the CLAUDE.md Thesis Rule. No content change here: the v3.90 change (Cosmos 3 Edge / DeepSeek-V4-Pro specs VERIFIED against primary sources 26.07.2026; §14.44 caveat upgraded + family-tier/physical-AI refinement + a FI-file placement fix) is market-signal/scientific framing and lives in PHD_FIREHORSE §14.44.</w:t>
      </w:r>
    </w:p>
    <w:p>
      <w:pPr>
        <w:numPr>
          <w:ilvl w:val="0"/>
          <w:numId w:val="1001"/>
        </w:numPr>
      </w:pPr>
      <w:r>
        <w:t xml:space="preserve">Version: 3.89 | Tool: Claude Code | Session: claude/ollama-orchestration-merge-047pj7 | Date: 26.07.2026 | Changes: Lockstep version bump 3.88 → 3.89 across all 4 thesis files per the CLAUDE.md Thesis Rule. No content change in this master’s thesis file: the v3.89 addition (NVIDIA Cosmos 3 Edge on-device world model as the build→adopt inflection for the Lifetime World Model, and the data-sovereign vs supply-concentrated tension) is a market-signal / scientific-framing contribution and per the §1.4 scope rule lives in PHD_FIREHORSE_EN.md §14.44 and Key Contribution #49. When/if Cosmos 3 Edge is actually wired into the stack, the implementation evidence will be added to this file’s Appendix E. Specs are external/unverified (user-reported NVIDIA announcements, July 2026). Companion: docs/field-notes/2026-07-26-cosmos-3-edge-lwm-build-adopt-inflection.md.</w:t>
      </w:r>
    </w:p>
    <w:p>
      <w:pPr>
        <w:numPr>
          <w:ilvl w:val="0"/>
          <w:numId w:val="1001"/>
        </w:numPr>
      </w:pPr>
      <w:r>
        <w:t xml:space="preserve">Version: 3.88 | Tool: Claude Code | Session: claude/ollama-orchestration-merge-047pj7 | Date: 26.07.2026 | Changes: Amended Appendix E (LWM Training Infrastructure) with a verified training-hardware reality subsection (implementation evidence per the §1.4 master-vs-PhD scope rule; the existing QLoRA pipeline text is preserved per Rule 12). Confirms the GN-100 is an edge INFERENCE / development node — feasible for QLoRA fine-tuning of small (~7–13B) models, NOT for full ~55B LWM pretraining (training footprint ~8–16× inference → hundreds of GB–TB vs 128 GB unified). Records the PR #1720 verification demoting the separate on-prem</w:t>
      </w:r>
      <w:r>
        <w:t xml:space="preserve"> </w:t>
      </w:r>
      <w:r>
        <w:t xml:space="preserve">“</w:t>
      </w:r>
      <w:r>
        <w:t xml:space="preserve">Acer Node</w:t>
      </w:r>
      <w:r>
        <w:t xml:space="preserve">”</w:t>
      </w:r>
      <w:r>
        <w:t xml:space="preserve"> </w:t>
      </w:r>
      <w:r>
        <w:t xml:space="preserve">training claim to Pending Hardware (no pipeline code, no such x86/2×RTX-4090 node, no go-live); cloud (GCP A3 Mega) is the only available full-training route. States the realistic pipeline (cloud pretrain/fine-tune → NVFP4 quantise for Blackwell → GN-100 edge inference) and the token-capital framing (moat = learning loop + private evals on owned fleet data, not a from-scratch 55B). Companion: docs/lab-notes/2026-07-26-lwm-training-hardware-reality.md. Lockstep 3.87→3.88 across all 4 thesis files; PHD files receive a lockstep-only entry; Learn/ HTML regeneration PENDING (Pandoc build).</w:t>
      </w:r>
    </w:p>
    <w:p>
      <w:pPr>
        <w:numPr>
          <w:ilvl w:val="0"/>
          <w:numId w:val="1001"/>
        </w:numPr>
      </w:pPr>
      <w:r>
        <w:t xml:space="preserve">Version: 3.87 | Tool: Claude Code (claude-opus-5) | Session: claude/greg-isenberg-field-notes-a2r544 | Date: 25.07.2026 | Changes: Sharpened §10.27 on two points from external review. (1)</w:t>
      </w:r>
      <w:r>
        <w:t xml:space="preserve"> </w:t>
      </w:r>
      <w:r>
        <w:rPr>
          <w:bCs/>
          <w:b/>
        </w:rPr>
        <w:t xml:space="preserve">Reconciliation debt</w:t>
      </w:r>
      <w:r>
        <w:t xml:space="preserve"> </w:t>
      </w:r>
      <w:r>
        <w:t xml:space="preserve">— the original text said legitimacy</w:t>
      </w:r>
      <w:r>
        <w:t xml:space="preserve"> </w:t>
      </w:r>
      <w:r>
        <w:t xml:space="preserve">“</w:t>
      </w:r>
      <w:r>
        <w:t xml:space="preserve">does not move</w:t>
      </w:r>
      <w:r>
        <w:t xml:space="preserve">”</w:t>
      </w:r>
      <w:r>
        <w:t xml:space="preserve">, which understates the risk. A body’s acceptance criteria form by consensus among parties with divergent commercial interests, while a solo-authored artifact optimises for internal coherence because that is the only constraint its author can feel; each unreviewed iteration therefore improves the document against the wrong objective function and may drift FURTHER from adoptability while appearing to improve by every internally visible measure. Unreviewed iteration can accumulate reconciliation debt, and nothing inside the authoring organisation distinguishes the technically-best version from the closest-to-adoptable one. (2) Added</w:t>
      </w:r>
      <w:r>
        <w:t xml:space="preserve"> </w:t>
      </w:r>
      <w:r>
        <w:rPr>
          <w:bCs/>
          <w:b/>
        </w:rPr>
        <w:t xml:space="preserve">“</w:t>
      </w:r>
      <w:r>
        <w:rPr>
          <w:bCs/>
          <w:b/>
        </w:rPr>
        <w:t xml:space="preserve">Default to internal</w:t>
      </w:r>
      <w:r>
        <w:rPr>
          <w:bCs/>
          <w:b/>
        </w:rPr>
        <w:t xml:space="preserve">”</w:t>
      </w:r>
      <w:r>
        <w:t xml:space="preserve"> </w:t>
      </w:r>
      <w:r>
        <w:t xml:space="preserve">as the governing platform principle (now §10.27.4 principle 1, others renumbered 2–5): a specification is an internal working artifact until it earns external validation through the appropriate gate per jurisdiction — the posture is not to publish faster but to earn adoption at the pace each body requires. Deliberately NOT adopted from the same review: the claim that this gap is</w:t>
      </w:r>
      <w:r>
        <w:t xml:space="preserve"> </w:t>
      </w:r>
      <w:r>
        <w:t xml:space="preserve">“</w:t>
      </w:r>
      <w:r>
        <w:t xml:space="preserve">where most AI-native compliance work fails</w:t>
      </w:r>
      <w:r>
        <w:t xml:space="preserve">”</w:t>
      </w:r>
      <w:r>
        <w:t xml:space="preserve">, which is an unevidenced market assertion this programme has no data to support and which would be a conjecture stated as an observation.</w:t>
      </w:r>
    </w:p>
    <w:p>
      <w:pPr>
        <w:numPr>
          <w:ilvl w:val="0"/>
          <w:numId w:val="1001"/>
        </w:numPr>
      </w:pPr>
      <w:r>
        <w:t xml:space="preserve">Version: 3.86 | Tool: Claude Code (claude-opus-5) | Session: claude/greg-isenberg-field-notes-a2r544 | Date: 25.07.2026 | Changes: Added §10.27 (The Artifact–Legitimacy Gap). Names the single largest practical problem encountered building with frontier models through Claude Code: production of a technically complete artifact compresses to hours while the institutional processes that make it LEGITIMATE — adversarial review by competing interests, independent implementation, body acceptance, per-jurisdiction legal review — do not compress at all. Identifies the dangerous second-order effect: specification quality was historically evidence of process (nobody wrote RFC 2119 language, version history and a conformance section alone in an afternoon), frontier models break that correlation, and readers still use fluency as a legitimacy proxy — so THE AUTHOR OVER-CLAIMS WITHOUT INTENDING TO. Uses KYA v1.5 as the worked case (publication-quality, titled</w:t>
      </w:r>
      <w:r>
        <w:t xml:space="preserve"> </w:t>
      </w:r>
      <w:r>
        <w:t xml:space="preserve">“</w:t>
      </w:r>
      <w:r>
        <w:t xml:space="preserve">Open Standard</w:t>
      </w:r>
      <w:r>
        <w:t xml:space="preserve">”</w:t>
      </w:r>
      <w:r>
        <w:t xml:space="preserve">, met ZERO of four gates, retitled Specification 24.07.2026; nothing technically wrong, the CATEGORY was wrong). States the core finding: the same capacity that produced v1.5 in one session can produce v2.0 and v3.0 — the version number accelerates, the legitimacy does not move, because what is missing is not technical. Three-jurisdiction extension makes it measurable (one clock cannot be entered on the author’s initiative at all under Art. 40), yielding: DWS can technically build better KYA versions indefinitely; in practice they remain specifications, and across three jurisdictions three profiles of one specification. Documents DWS_LEARNING_STANDARD §10 as the implemented countermeasure — a rate limiter on legitimacy claims (§10.3 reversibility, §10.3.1 cooling gap, §10.4 verified-vs-propagated, §10.1/§10.6 decision format and cap). Derives FOUR PLATFORM DESIGN PRINCIPLES for compliance intelligence: sell evidence not verdicts; every claim carries its phase adjacent to the claim; profiles not forks; build the rate limiter into the product, not only the process. Closes with why this is a commercial position rather than a limitation — polished compliance documents are now universal, and the scarce capability is saying which parts are load-bearing.</w:t>
      </w:r>
    </w:p>
    <w:p>
      <w:pPr>
        <w:numPr>
          <w:ilvl w:val="0"/>
          <w:numId w:val="1001"/>
        </w:numPr>
      </w:pPr>
      <w:r>
        <w:t xml:space="preserve">Version: 3.85 | Tool: Claude Code (claude-opus-5) | Session: claude/greg-isenberg-field-notes-a2r544 | Date: 25.07.2026 | Changes: Lockstep version bump 3.84 → 3.85 across all 4 thesis files per the CLAUDE.md Thesis Rule. No content change in this file: the session’s new material is standardisation-route and jurisdiction-architecture analysis, which belongs to the PhD per the Thesis Content Scope Rule (see PHD_FIREHORSE §14.43). Implementation evidence from this session remains at §10.26.</w:t>
      </w:r>
    </w:p>
    <w:p>
      <w:pPr>
        <w:numPr>
          <w:ilvl w:val="0"/>
          <w:numId w:val="1001"/>
        </w:numPr>
      </w:pPr>
      <w:r>
        <w:t xml:space="preserve">Version: 3.84 | Tool: Claude Code (claude-opus-5) | Session: claude/greg-isenberg-field-notes-a2r544 | Date: 25.07.2026 | Changes: Added §10.26 (Cryptographic Review of the Verified-Done Attestation Signing Path: Two Findings, and Falsification as a Test-Quality Gate). Implementation evidence per the CLAUDE.md Thesis Content Scope Rule: documents the Ed25519-via-node:crypto dependency decision (narrow trusted computing base over ergonomics); finding F1 (HIGH) that the signature excluded the proof options, leaving proof.created and proof.verificationMethod mutable post-signing — an unprotected Article 12 timestamp and trust-anchor selection from unsigned data; the root cause in TEST DESIGN rather than cryptographic knowledge (the suite tampered the credential subject, never the proof block); the W3C Data Integrity remediation binding proof options into the signing payload; finding F3 (key-type assertion, fail-loud on misconfiguration while unconfigured stays valid); and the methodological contribution — falsification as a test-quality gate, in which the fix was REVERTED and the four new tests confirmed to fail against the defective source before acceptance, yielding the criterion that a test passing both before and after a fix carries no information about that fix (47 → 51 tests). Also records the attestation-anchor schema finding sequencing the tenant fix as a precondition to enabling signatures. Market-signal and scientific framing for the same session is in PHD_FIREHORSE §14.42.</w:t>
      </w:r>
    </w:p>
    <w:p>
      <w:pPr>
        <w:numPr>
          <w:ilvl w:val="0"/>
          <w:numId w:val="1001"/>
        </w:numPr>
      </w:pPr>
      <w:r>
        <w:t xml:space="preserve">Version: 3.83 | Tool: Claude Code | Session: claude/eda-dws-iq-business-case-jm7p3g | Date: 17.07.2026 | Changes: Lockstep version bump 3.82 → 3.83 across all 4 thesis files per CLAUDE.md thesis rule. No content change in this master’s thesis file: the v3.83 addition (DAC 2026’s agentic-EDA tutorial track as cross-disciplinary evidence for the three-vector agentic/open/governed operating-model thesis, and the sovereign design-IP-envelope relocation of the EDA defensible remainder) is a market-signal/scientific-framing contribution and per the §1.4 master-vs-PhD scope rule lives in PHD_FIREHORSE_EN.md §14.41 and Key Contribution #48. Companion artefacts: docs/DGX_SPARK_4X_EDA_BUSINESS_CASE.md, onelifetime.world/posts/ai-supercomputing-meets-eda-sovereign-design.html.</w:t>
      </w:r>
    </w:p>
    <w:p>
      <w:pPr>
        <w:numPr>
          <w:ilvl w:val="0"/>
          <w:numId w:val="1001"/>
        </w:numPr>
      </w:pPr>
      <w:r>
        <w:t xml:space="preserve">Version: 3.82 | Tool: Claude Code (claude-sonnet-5) | Session: claude/nvidia-halos-robotics-suqayg | Date: 10.07.2026 | Changes: Lockstep version bump 3.81 → 3.82 across all 4 thesis files per CLAUDE.md thesis rule. No content change in this master’s thesis file: the v3.82 addition (NVIDIA Halos for Robotics as a standardisation-ahead-of-deadline signal for physical-AI safety certification, the certification-vs-evidence regulatory-object distinction, and the KYA physical-safety binding) is a market-signal/regulatory-pipeline contribution and per the §1.4 master-vs-PhD scope rule lives in PHD_FIREHORSE_EN.md §14.40 and Key Contribution #47. Companion artefact: docs/regulatory-radar/NVIDIA_HALOS_ROBOTICS_BRIEF.md.</w:t>
      </w:r>
    </w:p>
    <w:p>
      <w:pPr>
        <w:numPr>
          <w:ilvl w:val="0"/>
          <w:numId w:val="1001"/>
        </w:numPr>
      </w:pPr>
      <w:r>
        <w:t xml:space="preserve">Version: 3.81 | Tool: Claude Code (Fable 5) | Session: claude/ai-sovereignty-research-9eshgd (merge-integrated) | Date: 07.07.2026 | Changes: Lockstep version bump 3.80 → 3.81 across all 4 thesis files per CLAUDE.md thesis rule. No content change in this master’s thesis file: the v3.81 merge-integrated content (the AI-sovereignty nine-theses framework and the weights-control argument — an optionality definition of sovereignty, three silently-confiscated assets data/weights/value-orientation, the sovereignty–alpha identity, the Theses 6–9 governance layer, and the Palantir connector model as its operational instance) is a scientific/normative-framing contribution and per the §1.4 master-vs-PhD scope rule lives in PHD_FIREHORSE_EN.md §14.39 (renumbered from the branch’s original §14.34 — that slot was independently taken by</w:t>
      </w:r>
      <w:r>
        <w:t xml:space="preserve"> </w:t>
      </w:r>
      <w:r>
        <w:t xml:space="preserve">“</w:t>
      </w:r>
      <w:r>
        <w:t xml:space="preserve">The National Aggregation-Effect Framework</w:t>
      </w:r>
      <w:r>
        <w:t xml:space="preserve">”</w:t>
      </w:r>
      <w:r>
        <w:t xml:space="preserve"> </w:t>
      </w:r>
      <w:r>
        <w:t xml:space="preserve">on main) and Key Contribution #46. Companion artefact: docs/field-notes/2026-07-01-ai-sovereignty-nine-theses.md.</w:t>
      </w:r>
    </w:p>
    <w:p>
      <w:pPr>
        <w:numPr>
          <w:ilvl w:val="0"/>
          <w:numId w:val="1001"/>
        </w:numPr>
      </w:pPr>
      <w:r>
        <w:t xml:space="preserve">Version: 3.80 | Tool: Claude Code (Fable 5) | Session: claude/industry-world-models-study-Mk2mu (merge-integrated) | Date: 07.07.2026 | Changes: Lockstep version bump 3.79 → 3.80 across all 4 thesis files per CLAUDE.md thesis rule. No content change in this master’s thesis file: the v3.80 merge-integrated addition is a market/architecture signal (Karpathy GPT-2 → industry world models, five competing architectures, 16-industry Fit for 55 world model specification matrix, modular world model factory proposal, 2026 ecosystem convergence: AMI Labs / Cosmos 2.5 / Genie 3 / Marble / Siemens Digital Twin Composer) which per the master-vs-PhD scope rule §1.4 belongs in the PhD thesis only. See PHD_FIREHORSE_EN.md §14.38 (Industry World Models, renumbered from the branch’s original §14.20 — that slot was independently taken by</w:t>
      </w:r>
      <w:r>
        <w:t xml:space="preserve"> </w:t>
      </w:r>
      <w:r>
        <w:t xml:space="preserve">“</w:t>
      </w:r>
      <w:r>
        <w:t xml:space="preserve">AI Pricing Capitulation</w:t>
      </w:r>
      <w:r>
        <w:t xml:space="preserve">”</w:t>
      </w:r>
      <w:r>
        <w:t xml:space="preserve"> </w:t>
      </w:r>
      <w:r>
        <w:t xml:space="preserve">on main) and Key Contribution #45 for the scientific framing. Full study: docs/INDUSTRY_WORLD_MODELS_STUDY.md.</w:t>
      </w:r>
    </w:p>
    <w:p>
      <w:pPr>
        <w:numPr>
          <w:ilvl w:val="0"/>
          <w:numId w:val="1001"/>
        </w:numPr>
      </w:pPr>
      <w:r>
        <w:t xml:space="preserve">Version: 3.79 | Tool: Claude Code | Session: claude/aspire-development-evolution-16fxg0 | Date: 07.07.2026 | Changes: Added §10.25.6 (Amendment: The Span-Stamped Authorization Verdict) — external critique (Hakimi) that the GenAI trace records what fired but never whether it should have been able to; verified accurate against the code (LLM client had only the provider Bearer header; KYA enforcement isolated at the sandbox layer). Implemented same-day: KYAVerdict on withAgentSpan/withLLMSpan stamping dws.kya.verdict/trust_score/policy_version/gate alongside gen_ai.*; verdict-less spans stamped</w:t>
      </w:r>
      <w:r>
        <w:t xml:space="preserve"> </w:t>
      </w:r>
      <w:r>
        <w:t xml:space="preserve">‘</w:t>
      </w:r>
      <w:r>
        <w:t xml:space="preserve">ungated</w:t>
      </w:r>
      <w:r>
        <w:t xml:space="preserve">’</w:t>
      </w:r>
      <w:r>
        <w:t xml:space="preserve"> </w:t>
      </w:r>
      <w:r>
        <w:t xml:space="preserve">(never blank) so authorization-coverage gaps are queryable; ungated-span count named as the coverage-gap metric; 2 new unit tests (8/8 passing). PHD files receive the scientific restatement (§14.37.4 correction to KC #44(b)). Lockstep 3.78→3.79; Learn/ HTML regenerated. Companion: docs/field-notes/2026-07-07-hakimi-observability-vs-authorization.md.</w:t>
      </w:r>
    </w:p>
    <w:p>
      <w:pPr>
        <w:numPr>
          <w:ilvl w:val="0"/>
          <w:numId w:val="1001"/>
        </w:numPr>
      </w:pPr>
      <w:r>
        <w:t xml:space="preserve">Version: 3.78 | Tool: Claude Code | Session: claude/aspire-development-evolution-16fxg0 | Date: 07.07.2026 | Changes: Added §10.25 (Polyglot Observability in Production: Aspire Dashboard Adoption and the Silent-Telemetry Incident) — implementation-side content per the master-vs-PhD scope rule: dashboard-only Aspire adoption on DGX Spark (aspire-dashboard:13.3.5 pinned, compose v1.1.1), OTel implementation inventory (otel.ts opt-in init, tracing.ts GenAI semantic-convention span helpers, telemetry.types.ts + migration 066 Article-12 cross-referencing), the July 2026 silent-telemetry incident (all three OTLP producers pushed http/protobuf to the dashboard UI port 18888 instead of the OTLP/HTTP listener 18890 — telemetry silently dropped; fixed in compose v1.3.1), three engineering lessons (behavioral verification, fail-silent subsystems need compensating controls, adjacent-port failure class), and the open GenAI message-content-capture data-protection decision. PHD files receive the market-signal framing (§14.37 + Key Contribution #44). All 4 thesis files bumped 3.77→3.78 in lockstep per CLAUDE.md thesis rule; Learn/ HTML regenerated.</w:t>
      </w:r>
    </w:p>
    <w:p>
      <w:pPr>
        <w:numPr>
          <w:ilvl w:val="0"/>
          <w:numId w:val="1001"/>
        </w:numPr>
      </w:pPr>
      <w:r>
        <w:t xml:space="preserve">Version: 3.77 | Tool: Claude Code | Session: claude/dws-nvidia-os-NDuOs | Date: 19.05.2026 | Changes: Lockstep version bump 3.76 → 3.77 across all 4 thesis files per CLAUDE.md thesis rule. No content change in this master’s thesis file: the v3.77 substantive addition is a research-framing reframe and a 48-hour market signal (Dell + Palantir</w:t>
      </w:r>
      <w:r>
        <w:t xml:space="preserve"> </w:t>
      </w:r>
      <w:r>
        <w:t xml:space="preserve">“</w:t>
      </w:r>
      <w:r>
        <w:t xml:space="preserve">On-Premises AI Operating System</w:t>
      </w:r>
      <w:r>
        <w:t xml:space="preserve">”</w:t>
      </w:r>
      <w:r>
        <w:t xml:space="preserve"> </w:t>
      </w:r>
      <w:r>
        <w:t xml:space="preserve">18.05.2026 + Google</w:t>
      </w:r>
      <w:r>
        <w:t xml:space="preserve"> </w:t>
      </w:r>
      <w:r>
        <w:t xml:space="preserve">“</w:t>
      </w:r>
      <w:r>
        <w:t xml:space="preserve">Antigravity Agent Operating System</w:t>
      </w:r>
      <w:r>
        <w:t xml:space="preserve">”</w:t>
      </w:r>
      <w:r>
        <w:t xml:space="preserve"> </w:t>
      </w:r>
      <w:r>
        <w:t xml:space="preserve">19.05.2026) that names</w:t>
      </w:r>
      <w:r>
        <w:t xml:space="preserve"> </w:t>
      </w:r>
      <w:r>
        <w:rPr>
          <w:iCs/>
          <w:i/>
        </w:rPr>
        <w:t xml:space="preserve">DWS OS</w:t>
      </w:r>
      <w:r>
        <w:t xml:space="preserve"> </w:t>
      </w:r>
      <w:r>
        <w:t xml:space="preserve">as the unifying artefactual spine of the doctoral programme. Per the master-vs-PhD scope rule §1.4, research framing and market signals belong in the PhD thesis only. See PHD_FIREHORSE_EN.md §1.2.2 (Unified DWS OS Spine and Scenario Prioritization) and §14.36 (Two-Signal Convergence) for the scientific framing, and</w:t>
      </w:r>
      <w:r>
        <w:t xml:space="preserve"> </w:t>
      </w:r>
      <w:r>
        <w:rPr>
          <w:rStyle w:val="VerbatimChar"/>
        </w:rPr>
        <w:t xml:space="preserve">docs/DWS_OS_POSITIONING.md</w:t>
      </w:r>
      <w:r>
        <w:t xml:space="preserve"> </w:t>
      </w:r>
      <w:r>
        <w:t xml:space="preserve">+</w:t>
      </w:r>
      <w:r>
        <w:t xml:space="preserve"> </w:t>
      </w:r>
      <w:r>
        <w:rPr>
          <w:rStyle w:val="VerbatimChar"/>
        </w:rPr>
        <w:t xml:space="preserve">docs/lut/</w:t>
      </w:r>
      <w:r>
        <w:t xml:space="preserve"> </w:t>
      </w:r>
      <w:r>
        <w:t xml:space="preserve">for the supervisor-bound deliverables.</w:t>
      </w:r>
      <w:r>
        <w:t xml:space="preserve"> </w:t>
      </w:r>
      <w:r>
        <w:rPr>
          <w:rStyle w:val="VerbatimChar"/>
        </w:rPr>
        <w:t xml:space="preserve">Learn/</w:t>
      </w:r>
      <w:r>
        <w:t xml:space="preserve"> </w:t>
      </w:r>
      <w:r>
        <w:t xml:space="preserve">HTML regeneration required (not in this commit — needs Pandoc build). Merge note (06.07.2026, session claude/dws-nvidia-os-NDuOs merge): originally authored 19.05.2026 as v3.58 / §14.20 / Key Contribution #25; renumbered to v3.77 / §14.36 / Key Contribution #43 on merge because main’s v3.58–v3.76, §14.20–§14.35 and KC#25–#42 were already claimed by other sessions (same convention as the v3.73 renumber).</w:t>
      </w:r>
    </w:p>
    <w:p>
      <w:pPr>
        <w:numPr>
          <w:ilvl w:val="0"/>
          <w:numId w:val="1001"/>
        </w:numPr>
      </w:pPr>
      <w:r>
        <w:t xml:space="preserve">Version: 3.76 | Tool: Claude Code | Session: claude/physical-ai-first-person-3mmu70 | Date: 05.07.2026 | Changes: Lockstep version bump 3.75 → 3.76 across all 4 thesis files per CLAUDE.md thesis rule. The v3.76 substantive content (Jensen Huang’s</w:t>
      </w:r>
      <w:r>
        <w:t xml:space="preserve"> </w:t>
      </w:r>
      <w:r>
        <w:t xml:space="preserve">“</w:t>
      </w:r>
      <w:r>
        <w:t xml:space="preserve">digital robot</w:t>
      </w:r>
      <w:r>
        <w:t xml:space="preserve">”</w:t>
      </w:r>
      <w:r>
        <w:t xml:space="preserve"> </w:t>
      </w:r>
      <w:r>
        <w:t xml:space="preserve">framing of agentic AI and his identification of first-person data — against the world’s overwhelmingly third-person video corpus — as the hardest problem in physical AI; the re-identification of the LWM Phase-3 gating input as first-person operational data rather than compute or alignment; the element-for-element mapping of Huang’s five-element physical-AI stack — data engine / simulator / reward / runtime / computer — onto the Brain–Memory–Body–Hands architecture; the specification of Perception Capital’s production mechanism; and a sovereign, consent-governed, EU-resident first-person-data-provenance predicate extending the four-track KYA suite) is a market signal / scientific framing and per the §1.4 master-vs-PhD scope rule lives in PHD_FIREHORSE_EN.md §14.35 (The First-Person Data Bottleneck) and Key Contribution #42. Section/version/KC numbers advanced from the original v3.71/§14.33/#39 draft to v3.76/§14.35/#42 to avoid collision with main’s already-landed §14.33/§14.34 and KC #39–#41. No implementation has shipped for this signal (thesis/strategy-first decision), so this file receives a lockstep-only version-bump entry and no new sections.</w:t>
      </w:r>
      <w:r>
        <w:t xml:space="preserve"> </w:t>
      </w:r>
      <w:r>
        <w:rPr>
          <w:rStyle w:val="VerbatimChar"/>
        </w:rPr>
        <w:t xml:space="preserve">Learn/</w:t>
      </w:r>
      <w:r>
        <w:t xml:space="preserve"> </w:t>
      </w:r>
      <w:r>
        <w:t xml:space="preserve">HTML regenerated at v3.76 via scripts/gen-thesis-html.cjs. Primary source: Jensen Huang (NVIDIA), public remarks on agentic and physical AI, 2026.</w:t>
      </w:r>
    </w:p>
    <w:p>
      <w:pPr>
        <w:numPr>
          <w:ilvl w:val="0"/>
          <w:numId w:val="1001"/>
        </w:numPr>
      </w:pPr>
      <w:r>
        <w:t xml:space="preserve">Version: 3.75 | Tool: Claude Code | Session: claude/lifetime-handbook-web-updates-lmyi2g | Date: 01.07.2026 | Changes: Lockstep version bump only. Substantive content (Finnish Ministry of Finance security-oriented information management guide, VM 2026:27, mapped to DWS’s Control Room/Situation Room retention model) is regulatory-pipeline/market-signal framing per §1.4 master-vs-PhD scope rule, so it lives in</w:t>
      </w:r>
      <w:r>
        <w:t xml:space="preserve"> </w:t>
      </w:r>
      <w:r>
        <w:rPr>
          <w:rStyle w:val="VerbatimChar"/>
        </w:rPr>
        <w:t xml:space="preserve">docs/PHD_FIREHORSE_EN.md</w:t>
      </w:r>
      <w:r>
        <w:t xml:space="preserve"> </w:t>
      </w:r>
      <w:r>
        <w:t xml:space="preserve">§14.34 and Key Contribution #41. No implementation content added here.</w:t>
      </w:r>
    </w:p>
    <w:p>
      <w:pPr>
        <w:numPr>
          <w:ilvl w:val="0"/>
          <w:numId w:val="1001"/>
        </w:numPr>
      </w:pPr>
      <w:r>
        <w:t xml:space="preserve">Version: 3.74 | Tool: Claude Code (claude-opus-4-8) | Session: claude/anduril-case-study-iridtj | Date: 29.06.2026 | Changes: CSRD scope refined to the FINAL post-Omnibus figure (Council 24.02.2026):</w:t>
      </w:r>
      <w:r>
        <w:t xml:space="preserve"> </w:t>
      </w:r>
      <w:r>
        <w:t xml:space="preserve">“</w:t>
      </w:r>
      <w:r>
        <w:t xml:space="preserve">After Omnibus</w:t>
      </w:r>
      <w:r>
        <w:t xml:space="preserve">”</w:t>
      </w:r>
      <w:r>
        <w:t xml:space="preserve"> </w:t>
      </w:r>
      <w:r>
        <w:t xml:space="preserve">= fewer than ~5,000 large companies (&gt;1,000 employees AND &gt;450M EUR turnover), replacing the interim ~10,000; flat</w:t>
      </w:r>
      <w:r>
        <w:t xml:space="preserve"> </w:t>
      </w:r>
      <w:r>
        <w:t xml:space="preserve">“</w:t>
      </w:r>
      <w:r>
        <w:t xml:space="preserve">50,000+ by 2028</w:t>
      </w:r>
      <w:r>
        <w:t xml:space="preserve">”</w:t>
      </w:r>
      <w:r>
        <w:t xml:space="preserve"> </w:t>
      </w:r>
      <w:r>
        <w:t xml:space="preserve">market-timing claims corrected to post-Omnibus reality + Scope-3 value-chain pull. Lockstep across all 4 thesis files per CLAUDE.md thesis rule; DWS_TRUTH_STANDARD v2.5 section 2C. Learn/ HTML regeneration (Pandoc) + PhD-side figure references PENDING.</w:t>
      </w:r>
    </w:p>
    <w:p>
      <w:pPr>
        <w:numPr>
          <w:ilvl w:val="0"/>
          <w:numId w:val="1001"/>
        </w:numPr>
      </w:pPr>
      <w:r>
        <w:t xml:space="preserve">Version: 3.73 | Tool: Claude Code | Session: claude/article-research-phd-tvmskz | Date: 28.06.2026 | Changes: Merge conflict resolution: merged branch claude/article-research-phd-tvmskz (v3.71 RQGM §14.33) with origin/main (v3.71 interruption-cost §14.20.8 + v3.72 capability-ontology V3Thesis §10.24). KC#39 numbering collision resolved: main used KC#39 for capability ontology (V3Thesis §10.24), this branch used KC#39 for RQGM (PHD §14.33) → RQGM renumbered to KC#40. All 4 thesis files bumped to v3.73 in lockstep.</w:t>
      </w:r>
    </w:p>
    <w:p>
      <w:pPr>
        <w:numPr>
          <w:ilvl w:val="0"/>
          <w:numId w:val="1001"/>
        </w:numPr>
      </w:pPr>
      <w:r>
        <w:t xml:space="preserve">Version: 3.72 | Tool: Claude Code | Session: claude/winning-sales-strategy-qb1boj | Date: 28.06.2026 | Changes: Added §10.24 (Capability Ontology and Three-Pillar Consulting GTM — from agent taxonomy to enterprise delivery). Implementation evidence: 10 LWM-based knowledge graph classes organising 80+ agent capabilities (62 existing + 18 new), three-pillar consulting model (capability training, industry-specific compliance workflow development, disruption-free project continuity with Keskeytyslaskuri integration), Aegis Defence honest capability correction (SAR orbital detection only — no drone detection), and lifetime.fi website deployment with three-pillar consulting section. Companion artefact:</w:t>
      </w:r>
      <w:r>
        <w:t xml:space="preserve"> </w:t>
      </w:r>
      <w:r>
        <w:rPr>
          <w:rStyle w:val="VerbatimChar"/>
        </w:rPr>
        <w:t xml:space="preserve">docs/KONSULTOINNIN_KASIKIRJA_2026.md</w:t>
      </w:r>
      <w:r>
        <w:t xml:space="preserve"> </w:t>
      </w:r>
      <w:r>
        <w:t xml:space="preserve">v1.5 (Consultant Handbook 2026). Key Contribution #39. All 4 thesis files bumped to v3.72 in lockstep per CLAUDE.md thesis rule.</w:t>
      </w:r>
    </w:p>
    <w:p>
      <w:pPr>
        <w:numPr>
          <w:ilvl w:val="0"/>
          <w:numId w:val="1001"/>
        </w:numPr>
      </w:pPr>
      <w:r>
        <w:t xml:space="preserve">Version: 3.71 | Tool: Claude Code | Session: claude/article-research-phd-tvmskz | Date: 27.06.2026 | Changes: Lockstep version bump 3.70 → 3.71 across all 4 thesis files per CLAUDE.md thesis rule. The v3.71 substantive content (the Red Queen Gödel Machine signal — RQGM, Iacob et al., arXiv:2606.26294v1, 24.06.2026, Cambridge / NVIDIA / Flower Labs / MBZUAI / Inria — an evolutionary framework for recursive self-improvement under non-stationary utilities via controlled utility evolution; names the conformance-temporal gap where fixed evaluators degrade as agents improve, empirically 1.91× over-acceptance; extends the KYA four-track suite with epoch subscripts requiring evaluator re-validation; derives an Article 12 evaluator-calibration requirement; identifies Flower Labs federated learning as sovereignty-preserving transport for co-evolutionary improvement) is a market-signal / scientific-framing contribution and per the §1.4 master-vs-PhD scope rule lives in PHD_FIREHORSE_EN.md §14.33 and Key Contribution #40. No implementation has shipped; this file receives a lockstep-only version-bump entry. Companion artefact: docs/field-notes/2026-06-27-red-queen-godel-machine-rqgm.md.</w:t>
      </w:r>
    </w:p>
    <w:p>
      <w:pPr>
        <w:numPr>
          <w:ilvl w:val="0"/>
          <w:numId w:val="1001"/>
        </w:numPr>
      </w:pPr>
      <w:r>
        <w:t xml:space="preserve">Version: 3.71 | Tool: Claude Code | Session: claude/keskeytyslaskuri-lifetime-missing-6uaxvu | Date: 27.06.2026 | Changes: Lockstep version bump 3.70 → 3.71 across all 4 thesis files per CLAUDE.md thesis rule. The v3.71 substantive content (interruption-cost economics as a five-driver model extending the CSB-track with a CSB-I sub-track, derived from the Keskeytyslaskuri tool at lifetime.fi/laskuri/) is a market-signal/cost-analysis contribution and per the §1.4 master-vs-PhD scope rule lives in PHD_FIREHORSE_EN.md §14.20.8. No implementation-side content belongs in this master’s thesis for this signal, so this file receives a lockstep-only version-bump entry and no new sections.</w:t>
      </w:r>
    </w:p>
    <w:p>
      <w:pPr>
        <w:numPr>
          <w:ilvl w:val="0"/>
          <w:numId w:val="1001"/>
        </w:numPr>
      </w:pPr>
      <w:r>
        <w:t xml:space="preserve">Version: 3.70 | Tool: Claude Code | Session: claude/nvidia-vera-rubin-card-be8g7t | Date: 25.06.2026 | Changes: Lockstep version bump 3.69 → 3.70 across all 4 thesis files per CLAUDE.md thesis rule. The v3.70 substantive content (the regulated-industry autonomous-engineer category — composing the 51 Firehorse Skilled Agents + workflow orchestrators + the KYA bridge into NemoClaw long-running agents under OpenShell, with the KYA/Article-12/EU-sovereign envelope as the defensible remainder) is a strategy/market-signal contribution and per the §1.4 master-vs-PhD scope rule lives in PHD_FIREHORSE_EN.md §14.32 and Key Contribution #38. No implementation has shipped (thesis/strategy-first decision); this file receives a lockstep-only version-bump entry.</w:t>
      </w:r>
      <w:r>
        <w:t xml:space="preserve"> </w:t>
      </w:r>
      <w:r>
        <w:rPr>
          <w:rStyle w:val="VerbatimChar"/>
        </w:rPr>
        <w:t xml:space="preserve">Learn/</w:t>
      </w:r>
      <w:r>
        <w:t xml:space="preserve"> </w:t>
      </w:r>
      <w:r>
        <w:t xml:space="preserve">HTML regenerated at v3.70 via scripts/gen-thesis-html.cjs.</w:t>
      </w:r>
    </w:p>
    <w:p>
      <w:pPr>
        <w:numPr>
          <w:ilvl w:val="0"/>
          <w:numId w:val="1001"/>
        </w:numPr>
      </w:pPr>
      <w:r>
        <w:t xml:space="preserve">Version: 3.69 | Tool: Claude Code | Session: claude/nvidia-vera-rubin-card-be8g7t | Date: 25.06.2026 | Changes: Lockstep version bump 3.68 → 3.69 across all 4 thesis files per CLAUDE.md thesis rule. The v3.69 substantive content (NVIDIA’s June-2026 EuroHPC EU AI-Factory buildout as the public EU-sovereign training upstream, and NVIDIA’s open agent security stack — NeMo Agent Toolkit, OpenShell kernel-sandbox runtime, NemoClaw, Hermes/Nous Research — as a vendor-backed reference runtime for the KYA ASB/SIB tracks) is a market signal and per the §1.4 master-vs-PhD scope rule lives in PHD_FIREHORSE_EN.md §14.31 and Key Contribution #37. The one implementation-side consequence — migrating the agent runtime from bare OpenClaw to the OpenShell-sandboxed NemoClaw distribution on security grounds — is tracked as a scoped engineering migration, not a new master’s-thesis section, so this file receives a lockstep-only version-bump entry.</w:t>
      </w:r>
      <w:r>
        <w:t xml:space="preserve"> </w:t>
      </w:r>
      <w:r>
        <w:rPr>
          <w:rStyle w:val="VerbatimChar"/>
        </w:rPr>
        <w:t xml:space="preserve">Learn/</w:t>
      </w:r>
      <w:r>
        <w:t xml:space="preserve"> </w:t>
      </w:r>
      <w:r>
        <w:t xml:space="preserve">HTML regenerated at v3.69 via scripts/gen-thesis-html.cjs.</w:t>
      </w:r>
    </w:p>
    <w:p>
      <w:pPr>
        <w:numPr>
          <w:ilvl w:val="0"/>
          <w:numId w:val="1001"/>
        </w:numPr>
      </w:pPr>
      <w:r>
        <w:t xml:space="preserve">Version: 3.68 | Tool: Claude Code | Session: claude/aegis-multilingual-pages-3clsx0 | Date: 23.06.2026 | Changes: Lockstep version bump 3.67 → 3.68 across all 4 thesis files per CLAUDE.md thesis rule. The v3.68 substantive content (EU multilingual terminology as the canonical conformance layer for sovereign regulatory claims — the Regulation (EU) 2021/821 dual-use term across the official EU languages; the international-short-form-vs-national-official register decision; and sovereign-defence-market positioning relative to the Finnish defence-tech ecosystem — Nokia, Patria, VTT, NATO DIANA Espoo, EDIP 2026–2027) is a market/regulatory-positioning signal and per the §1.4 master-vs-PhD scope rule lives in PHD_FIREHORSE_EN.md §14.30 (The EU-Multilingual Sovereignty Surface) and Key Contribution #36. The implementation-side artefact — the Aegis intro page (/aegis) and product page (/products/aegis) rendered in five EU languages (FI/SV/DE/FR/EN) via the vertical language bar (vertical-lang-bar.js v1.3) with in-place dws-lang-stay switching and dual-folder mirror sync on dws10.com — is a thin web GTM-surface change already covered by the existing operations-model framing and requires no new master’s-thesis section.</w:t>
      </w:r>
      <w:r>
        <w:t xml:space="preserve"> </w:t>
      </w:r>
      <w:r>
        <w:rPr>
          <w:rStyle w:val="VerbatimChar"/>
        </w:rPr>
        <w:t xml:space="preserve">Learn/</w:t>
      </w:r>
      <w:r>
        <w:t xml:space="preserve"> </w:t>
      </w:r>
      <w:r>
        <w:t xml:space="preserve">HTML regenerated at v3.68 via scripts/gen-thesis-html.cjs.</w:t>
      </w:r>
    </w:p>
    <w:p>
      <w:pPr>
        <w:numPr>
          <w:ilvl w:val="0"/>
          <w:numId w:val="1001"/>
        </w:numPr>
      </w:pPr>
      <w:r>
        <w:t xml:space="preserve">Version: 3.67 | Tool: Claude Code | Session: claude/thesis-v3.64-lockstep-kqtal1 | Date: 21.06.2026 | Changes: Lockstep version bump 3.66 → 3.67 across all 4 thesis files per CLAUDE.md thesis rule. The v3.67 substantive content (the VTV 10/2026 supreme-audit signal on Finnish public-sector AI readiness) is a market/regulatory signal and per the §1.4 master-vs-PhD scope rule lives in PHD_FIREHORSE_EN.md §14.29 (The Finnish Public-Sector AI-Adoption Audit Signal) and Key Contribution #35. No implementation-side content belongs in this master’s thesis for this signal, so this file receives a lockstep-only version-bump entry and no new sections.</w:t>
      </w:r>
      <w:r>
        <w:t xml:space="preserve"> </w:t>
      </w:r>
      <w:r>
        <w:rPr>
          <w:rStyle w:val="VerbatimChar"/>
        </w:rPr>
        <w:t xml:space="preserve">Learn/</w:t>
      </w:r>
      <w:r>
        <w:t xml:space="preserve"> </w:t>
      </w:r>
      <w:r>
        <w:t xml:space="preserve">HTML regenerated at v3.67 via scripts/gen-thesis-html.cjs.</w:t>
      </w:r>
    </w:p>
    <w:p>
      <w:pPr>
        <w:numPr>
          <w:ilvl w:val="0"/>
          <w:numId w:val="1001"/>
        </w:numPr>
      </w:pPr>
      <w:r>
        <w:t xml:space="preserve">Version: 3.66 | Tool: Claude Code | Session: claude/thesis-v3.64-lockstep-kqtal1 | Date: 21.06.2026 | Changes: Added §5.2.1 (Milestone: Agents → Loops → Workflows, June 2026) — implementation evidence for the three-layer AI-native stack: 50 production Skilled Agents (BaseAgent + ledger-native output contract per Firehorse 7), the Maker–Checker Loop Engineering primitive (PR #1447, commit d34876a, shipped 2026-06-08; disk-persisted state / budget gate / safety gate / resumable), and live multi-agent Workflows (MCP Hub fan-out/sequential/reflection); summary table included. Provenance: deferred content from branch claude/lifetime-agents-loops-workflows-t3448v (commit abe8409,</w:t>
      </w:r>
      <w:r>
        <w:t xml:space="preserve"> </w:t>
      </w:r>
      <w:r>
        <w:t xml:space="preserve">“</w:t>
      </w:r>
      <w:r>
        <w:t xml:space="preserve">v3.64 lockstep</w:t>
      </w:r>
      <w:r>
        <w:t xml:space="preserve">”</w:t>
      </w:r>
      <w:r>
        <w:t xml:space="preserve">), held back from PR #1465; rebuilt against current main and renumbered v3.64→v3.66 because main had independently consumed v3.63/v3.64. The scientific/operating-model framing (3–7 year horizon, EU AI Act Articles 12/14/15 properties, structural-sequencing thesis) lives in PHD_FIREHORSE_EN/FI §14.28 and Key Contribution #34 per the §1.4 master-vs-PhD scope rule. All 4 thesis files bumped to v3.66 in lockstep.</w:t>
      </w:r>
    </w:p>
    <w:p>
      <w:pPr>
        <w:numPr>
          <w:ilvl w:val="0"/>
          <w:numId w:val="1001"/>
        </w:numPr>
      </w:pPr>
      <w:r>
        <w:t xml:space="preserve">Version: 3.65 | Tool: Claude Code (claude-opus-4-8) | Session: claude/modest-keller-dGHtw | Date: 22.06.2026 | Changes: Lockstep version bump 3.64 → 3.65 across all 4 thesis files per CLAUDE.md thesis rule. No content change in this master’s thesis file: the v3.65 substantive addition is a demand-side market signal (Simon Willison’s 29.05.2026 round-up confirming enterprise customers pay the listed per-token API price as of April 2026, newest frontier models raising price, Anthropic’s reported ~$1.25B/month SpaceX Colossus inference spend, and Opus-4.8 honesty/abstention gains) which per the master-vs-PhD scope rule §1.4 belongs in the PhD thesis only. See PHD_FIREHORSE_EN.md §14.20.7 (Week-22 Confirmation: The April-2026 Full-Price Inflection and the Verification-Cost Corollary) for the scientific framing, including the verification-cost refinement to the CSB-track (cost-surface stability governed by both inbound token price and outbound verification cost). The implementation-side properties of the Firehorse Operations Model exposed to this signal (Spark owned compute §10.10.6.1, prompt caching, OpenClaw on owned hardware) are already documented in this master’s thesis and require no new sections — the signal validates the existing implementation discipline. Companion artefact: docs/field-notes/2026-06-01-simon-willison-pmf-api-cost-edge-moat.md; customer-facing surfacing on dws10.com homepage (</w:t>
      </w:r>
      <w:r>
        <w:t xml:space="preserve">“</w:t>
      </w:r>
      <w:r>
        <w:t xml:space="preserve">The European Moat</w:t>
      </w:r>
      <w:r>
        <w:t xml:space="preserve">”</w:t>
      </w:r>
      <w:r>
        <w:t xml:space="preserve">) and buy page (</w:t>
      </w:r>
      <w:r>
        <w:t xml:space="preserve">“</w:t>
      </w:r>
      <w:r>
        <w:t xml:space="preserve">No Per-Token Cost</w:t>
      </w:r>
      <w:r>
        <w:t xml:space="preserve">”</w:t>
      </w:r>
      <w:r>
        <w:t xml:space="preserve">), both mirrored to landing-pages/dws10-com/.</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3.64 | Tool: Claude Code (claude-sonnet-4-6) | Session: claude/capital-classes-audit-jgworp | Date: 20.06.2026 | Changes: Added §10.23.7 (Mapping the Four Capital Classes to the Architecture) — maps the 4P canon (Prompt, People, Plant, Perception) to the DWS IQ 6 Brain-Memory-Body-Hands architecture with a component mapping table and cross-references; introduces the GTM land-and-expand pattern as the implementation-level consequence of Perception Capital’s accumulation mechanism; Key Contribution #33. Lockstep version bump 3.63 → 3.64 per CLAUDE.md thesis rule; PhD §14.26/§14.27 (theory + Kaukopää case) in PHD_FIREHORSE_EN/FI.md are the scientific framing (PhD scope per §1.4). Companion artefacts: docs/field-notes/2026-06-19-token-capital-human-capital-control-room-capital.md (v2.0), DWS_BRAND_STANDARD.md §23.</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3.63 | Tool: Claude Code (claude-fable-5) | Session: claude/token-human-capital-mjrbc7 | Date: 19.06.2026 | Changes: Added §10.23 (Three-Capital Accumulation Model — Token Capital, Human Capital, Control Room Capital as Durable Assets of the DWS IQ 6 Operating Model). Implementation-side content per the §1.4 master-vs-PhD scope rule: documents the 7-month HIL phase (Oct 2025 – Jun 2026) as a production engineering event, the measured token capital inventory (30+ skills, 150+ field notes, 50-agent foundry, Article 12 audit trail), the Control Room architecture as deployed in DWS IQ 6, and the HIL → HIC operational transition observable from June 2026. The market-signal and scientific framing (Nadella Build 2026, theoretical three-capital model, competitive barrier analysis, KYA Standard extension) lives in PHD_FIREHORSE_EN.md §14.25 and Key Contribution #30. All 4 thesis files bumped to v3.63 in lockstep per CLAUDE.md thesis rule. Companion artefact: docs/field-notes/2026-06-19-token-capital-human-capital-control-room-capital.md.</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3.62 | Tool: Claude Code | Session: claude/ai-spending-coalition-china-b8d2c | Date: 07.06.2026 | Changes: Lockstep version bump 3.61 → 3.62 across all 4 thesis files per CLAUDE.md thesis rule. Per the §1.4 master-vs-PhD scope rule, the v3.62 substantive content (a year-by-year study of AI expenditure by the</w:t>
      </w:r>
      <w:r>
        <w:t xml:space="preserve"> </w:t>
      </w:r>
      <w:r>
        <w:t xml:space="preserve">“</w:t>
      </w:r>
      <w:r>
        <w:t xml:space="preserve">coalition of the willing</w:t>
      </w:r>
      <w:r>
        <w:t xml:space="preserve">”</w:t>
      </w:r>
      <w:r>
        <w:t xml:space="preserve"> </w:t>
      </w:r>
      <w:r>
        <w:t xml:space="preserve">— G7 + aligned partners — versus China, scope = all AI investment) is market-signal / scientific framing and lives in PHD_FIREHORSE_EN.md §14.24 (The AI-Spending Asymmetry: G7-plus-Partners Capital Dominance, China’s Capital-Efficiency Counter-Trajectory, and the Sovereign-Compute Implication) and Key Contribution #29. No implementation-side content belongs in this master’s thesis for this signal, so this file receives a lockstep-only version-bump entry and no new sections. Primary sources for the PhD section: Stanford HAI AI Index Report 2025 &amp; 2026 (Economy chapters); Paris AI Action Summit (Feb 2025); G7 2025 (Canadian presidency) AI Adoption Roadmap.</w:t>
      </w:r>
    </w:p>
    <w:p>
      <w:pPr>
        <w:numPr>
          <w:ilvl w:val="0"/>
          <w:numId w:val="1001"/>
        </w:numPr>
      </w:pPr>
      <w:r>
        <w:t xml:space="preserve">Version: 3.61 | Tool: Claude Code (claude-opus-4-7) | Session: claude/sovereignty-field-note-2-R0Un5 | Date: 28.05.2026 | Changes: Lockstep version bump 3.60 → 3.61 across all 4 thesis files per CLAUDE.md thesis rule. Per the §1.4 master-vs-PhD scope rule, the v3.61 substantive content (the three-pillar × three-jurisdiction sovereignty taxonomy and the post-quantum cryptographic overlay) is market-signal / scientific framing and lives in PHD_FIREHORSE_EN.md §14.23 (Three-Pillar Sovereignty Taxonomy and Jurisdiction-Dependent Dynamics in Global Enterprises) and Key Contribution #28; the §1.2 PhD research questions have been restructured with Sovereignty as item #1 (the connecting research thread) and the §1.6 supervisor letter to Prof. Kari Smolander has been refreshed to v3.61. The implementation-side properties of the Firehorse Operations Model that compose with this taxonomy (DWS6’s Aegis / Sovereign Infra / Connect product segmentation per</w:t>
      </w:r>
      <w:r>
        <w:t xml:space="preserve"> </w:t>
      </w:r>
      <w:r>
        <w:rPr>
          <w:rStyle w:val="VerbatimChar"/>
        </w:rPr>
        <w:t xml:space="preserve">DWS_DEPLOYMENT_STANDARD.md</w:t>
      </w:r>
      <w:r>
        <w:t xml:space="preserve"> </w:t>
      </w:r>
      <w:r>
        <w:t xml:space="preserve">lines 165–172) are already documented in this master’s thesis in the sovereignty segmentation discussions, and no new implementation sections are required. This commit adds a new closing section</w:t>
      </w:r>
      <w:r>
        <w:t xml:space="preserve"> </w:t>
      </w:r>
      <w:r>
        <w:t xml:space="preserve">“</w:t>
      </w:r>
      <w:r>
        <w:t xml:space="preserve">Bibliography (Oxford)</w:t>
      </w:r>
      <w:r>
        <w:t xml:space="preserve">”</w:t>
      </w:r>
      <w:r>
        <w:t xml:space="preserve"> </w:t>
      </w:r>
      <w:r>
        <w:t xml:space="preserve">listing the canonical sources referenced from this master’s thesis, together with the chapter index showing which chapter cites which source (Oxford notes-bibliography style). Companion artefacts: docs/field-notes/2026-05-28-three-pillars-sovereignty-global.md (bilingual EN+FI field note), onelifetime.world/posts/sovereignty-field-note-2-three-pillars.html (EN canonical) + .fi.html (FI mirror) with landing-pages mirrors, docs/sales/2026-05-28-rightful-oy-partnership-proposal.md, and the Shufti partner letter refresh.</w:t>
      </w:r>
    </w:p>
    <w:p>
      <w:pPr>
        <w:numPr>
          <w:ilvl w:val="0"/>
          <w:numId w:val="1001"/>
        </w:numPr>
      </w:pPr>
      <w:r>
        <w:t xml:space="preserve">Version: 3.60 | Tool: Claude Code (claude-opus-4-7) | Session: claude/ai-services-audit-eY3rW | Date: 27.05.2026 | Changes: Lockstep version bump 3.59 → 3.60 across all 4 thesis files per CLAUDE.md thesis rule. No content change in this master’s thesis file: the v3.60 substantive addition is a services-tier market signal (2026-05-04 formation of a $1.5B AI-native enterprise services firm — Anthropic $300M + Blackstone $300M + Hellman &amp; Friedman $300M + Goldman Sachs $150M founding — targeting mid-sized businesses deploying Claude across core operations; 2026-05-21 acquisition of Fractional AI as the operational centrepiece, ending Fractional’s 11-month OpenAI partnership) which per the master-vs-PhD scope rule §1.4 belongs in the PhD thesis only. See PHD_FIREHORSE_EN.md §14.22 (Model-Provider-Aligned Services Tier: The Anthropic / Blackstone / Hellman &amp; Friedman / Goldman Sachs Vehicle and the Sovereign-Outcome Counter-Position) and Key Contribution #27 (Model-Provider-Aligned Services Tier and the Sovereign-Outcome Counter-Position) for the scientific framing, including the elevation of competitive positioning to a KYA conformance predicate testable via the existing four-track ASB / EAB / CSB / SIB vocabulary. The implementation-side properties of the Firehorse Operations Model that compose with this signal (catalogue repositioning of 8 Red-zone consultancy SKUs, two new outcome-priced SKUs AIS-EU-SOV-OC and AIS-OUTCOME-PILOT, retirement of two</w:t>
      </w:r>
      <w:r>
        <w:t xml:space="preserve"> </w:t>
      </w:r>
      <w:r>
        <w:rPr>
          <w:rStyle w:val="VerbatimChar"/>
        </w:rPr>
        <w:t xml:space="preserve">_OLD</w:t>
      </w:r>
      <w:r>
        <w:t xml:space="preserve"> </w:t>
      </w:r>
      <w:r>
        <w:t xml:space="preserve">SKUs, promotion of six defensible regulatory / sovereignty SKUs to featured) are operationally codified in</w:t>
      </w:r>
      <w:r>
        <w:t xml:space="preserve"> </w:t>
      </w:r>
      <w:r>
        <w:rPr>
          <w:rStyle w:val="VerbatimChar"/>
        </w:rPr>
        <w:t xml:space="preserve">scripts/ai_services_audit_apply.py</w:t>
      </w:r>
      <w:r>
        <w:t xml:space="preserve"> </w:t>
      </w:r>
      <w:r>
        <w:t xml:space="preserve">and applied to</w:t>
      </w:r>
      <w:r>
        <w:t xml:space="preserve"> </w:t>
      </w:r>
      <w:r>
        <w:rPr>
          <w:rStyle w:val="VerbatimChar"/>
        </w:rPr>
        <w:t xml:space="preserve">dws10.com/config/products.json</w:t>
      </w:r>
      <w:r>
        <w:t xml:space="preserve"> </w:t>
      </w:r>
      <w:r>
        <w:t xml:space="preserve">plus the dual-folder mirror in the same commit set as part of normal product operations; they do not require new master’s-thesis sections because the catalogue layer is a product-implementation artefact already covered by the existing operations-model framing.</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3.59 | Tool: Claude Code (Opus 4.7) | Session: claude/unitree-robotics-story-Ggp7v | Date: 23.05.2026 | Changes: Lockstep version bump 3.58 → 3.59 across all 4 thesis files per CLAUDE.md thesis rule. No content change in this master’s thesis file: the v3.59 substantive addition is a market signal (Unitree Robotics commercial profile — humanoids at $5,900 vs Boston Dynamics quadruped at $74,500, ~70% global quadruped market, 7,000+ humanoids deployed across 600+ industrial sites, only profitable humanoid manufacturer on Earth + the 200-hour 249,000-package autonomous warehouse run + PLA/Ukraine weaponisation footage and House China Committee letter + documented Go1/G1 security findings: default-credential remote tunnel, fleet-wide shared encryption key, Bluetooth self-propagation, mandatory 5-minute telemetry to PRC-reachable infrastructure on the G1) which per the master-vs-PhD scope rule §1.4 belongs in the PhD thesis only. See PHD_FIREHORSE_EN.md §14.21 (The Chinese Humanoid Signal: Vertical-Integration Moat, Embodied-AI Commercial Maturity, and the Security-vs-Sovereignty Tension) and Key Contribution #26 (The Vertical-Integration Moat and Substrate-Integrity Conformance in Embodied-AI Operating Models) for the scientific framing, including the new SIB-track (Substrate-Integrity Conformance) extending the KYA Standard to a four-track suite ASB / EAB / CSB / SIB and operationally specifying the §14.13 LWM Sequencing Strategy Phase 3 (physical AI) qualifying property. The implementation-side properties of the Firehorse Operations Model that compose with this signal (KYA-bound agent population, hardware-attested harness §14.12, LWM Sequencing Strategy §14.13, owned-substrate testbed) are already documented in their respective sections of this master’s thesis and require no further additions — the signal validates the existing implementation discipline and adds a standards-layer extension (SIB-track) that belongs to the PhD scientific scope rather than master’s product-implementation scope.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3.58 | Tool: Claude Code (Opus 4.7) | Session: claude/ai-pricing-enterprise-Cnzfu | Date: 21.05.2026 | Changes: Lockstep version bump 3.57 → 3.58 across all 4 thesis files per CLAUDE.md thesis rule. No content change in this master’s thesis file: the v3.58 substantive addition is a demand-side market signal (Microsoft cancels internal Claude Code licenses on token-billing grounds despite ~$13B OpenAI stake + Anthropic-powering Azure capacity; Uber CTO memo — entire 2026 AI budget consumed in four months; US AI software prices +20–37% in H1 2026; GitHub flat-rate plans phased out for usage-based billing across Copilot/Codespaces/Actions) which per the master-vs-PhD scope rule §1.4 belongs in the PhD thesis only. See PHD_FIREHORSE_EN.md §14.20 (AI Pricing Capitulation: The Token-Based Billing Squeeze and the Operating-Cost Discipline of Owned-Compute Operations) and Key Contribution #25 (Demand-Side Capitulation and the Cost-Surface Stability Dimension of Agentic AI Conformity) for the scientific framing, including the new CSB-track (Cost-Surface Stability under deployment) extending EU AI Act Article 14 oversight from quality to affordability-stability variable. The implementation-side properties of the Firehorse Operations Model that are exposed to this signal (Spark NVFP4 owned compute §10.10.6.1, prompt caching architecture, OpenClaw on owned hardware, Proton mailbox-per-agent, multi-provider routing with task-aware model-selector) are already documented in their respective sections of this master’s thesis and require no further additions — the signal validates the existing implementation discipline rather than triggering new product work.</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3.57 | Tool: Claude Code (Opus 4.7) | Session: claude/multi-agent-ai-alignment-F2NIO | Date: 17.05.2026 | Changes: Lockstep version bump 3.56 → 3.57 across all 4 thesis files per CLAUDE.md thesis rule. No content change in this master’s thesis file: the v3.57 substantive addition is a market/standardisation signal (Shapira et al. </w:t>
      </w:r>
      <w:r>
        <w:t xml:space="preserve">“</w:t>
      </w:r>
      <w:r>
        <w:t xml:space="preserve">Agents of Chaos</w:t>
      </w:r>
      <w:r>
        <w:t xml:space="preserve">”</w:t>
      </w:r>
      <w:r>
        <w:t xml:space="preserve"> </w:t>
      </w:r>
      <w:r>
        <w:t xml:space="preserve">arXiv:2602.20021 + Emergence AI</w:t>
      </w:r>
      <w:r>
        <w:t xml:space="preserve"> </w:t>
      </w:r>
      <w:r>
        <w:t xml:space="preserve">“</w:t>
      </w:r>
      <w:r>
        <w:t xml:space="preserve">Emergence World</w:t>
      </w:r>
      <w:r>
        <w:t xml:space="preserve">”</w:t>
      </w:r>
      <w:r>
        <w:t xml:space="preserve"> </w:t>
      </w:r>
      <w:r>
        <w:t xml:space="preserve">world.emergence.ai → KYA Standard falsifiability locus) which per the master-vs-PhD scope rule §1.4 belongs in the PhD thesis only. See PHD_FIREHORSE_EN.md §14.19 (Multi-Agent Emergent Misalignment and Incentive Design as the Alignment Unit) and Key Contribution #24 for the scientific framing.</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3.56 | Tool: Claude Code | Session: claude/compare-qwen-deepseek-E6Gly | Date: 16.05.2026 | Changes: Added §10.10.6.1 (Hardware Brain Update — May 2026) documenting the Spark Primary tier swap from</w:t>
      </w:r>
      <w:r>
        <w:t xml:space="preserve"> </w:t>
      </w:r>
      <w:r>
        <w:rPr>
          <w:rStyle w:val="VerbatimChar"/>
        </w:rPr>
        <w:t xml:space="preserve">llama3.3:70b</w:t>
      </w:r>
      <w:r>
        <w:t xml:space="preserve"> </w:t>
      </w:r>
      <w:r>
        <w:t xml:space="preserve">to</w:t>
      </w:r>
      <w:r>
        <w:t xml:space="preserve"> </w:t>
      </w:r>
      <w:r>
        <w:rPr>
          <w:rStyle w:val="VerbatimChar"/>
        </w:rPr>
        <w:t xml:space="preserve">nemotron-3-super</w:t>
      </w:r>
      <w:r>
        <w:t xml:space="preserve"> </w:t>
      </w:r>
      <w:r>
        <w:t xml:space="preserve">(~4.5× decode speedup, MoE 123.6B / 12.7B active, Mamba-2 + attention + Latent MoE, NVFP4-pretrained), the Fast tier upgrade from</w:t>
      </w:r>
      <w:r>
        <w:t xml:space="preserve"> </w:t>
      </w:r>
      <w:r>
        <w:rPr>
          <w:rStyle w:val="VerbatimChar"/>
        </w:rPr>
        <w:t xml:space="preserve">qwen2.5-coder:32b</w:t>
      </w:r>
      <w:r>
        <w:t xml:space="preserve"> </w:t>
      </w:r>
      <w:r>
        <w:t xml:space="preserve">to</w:t>
      </w:r>
      <w:r>
        <w:t xml:space="preserve"> </w:t>
      </w:r>
      <w:r>
        <w:rPr>
          <w:rStyle w:val="VerbatimChar"/>
        </w:rPr>
        <w:t xml:space="preserve">qwen3-coder:30b</w:t>
      </w:r>
      <w:r>
        <w:t xml:space="preserve">, and the addition of OpenClaw as a first-class compose service for EU-sovereign no-egress agent workloads. Implementation artefacts cited: field note 2026-03-29 v1.6, DWS_DEPLOYMENT_STANDARD.md v1.4, docker-compose.yml, DWS7_ROADMAP.md PR 161 re-base. Market-signal rationale (compute scarcity, NVFP4 hardware moat) cross-referenced to PHD_FIREHORSE_EN §14.18 per the master-vs-PhD scope rule §1.4. All 4 thesis files bumped to v3.56 in lockstep per CLAUDE.md thesis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3.55 | Tool: GitHub Copilot CLI (GPT-5.3-Codex) | Session: main | Date: 11.05.2026 | Changes: Version bump from 3.54 to 3.55 in lockstep across all 4 thesis files; fixed VERSION AND AGENT HISTORY closing delimiter to ***; regenerated Learn thesis HTML outputs at v3.55</w:t>
      </w:r>
    </w:p>
    <w:p>
      <w:pPr>
        <w:numPr>
          <w:ilvl w:val="0"/>
          <w:numId w:val="1001"/>
        </w:numPr>
      </w:pPr>
      <w:r>
        <w:t xml:space="preserve">Version: 3.54 | Tool: Claude Code (Sonnet 4.6) | Session: main | Date: 10.05.2026 | Changes: Added §1.4 Content Scope Rule — master’s thesis is product/implementation-focused, excludes market intelligence and long-horizon roadmap; scope rule written into CLAUDE.md and mirrored in all 4 thesis files; PhD thesis differentiation formalized; version bump in lockstep per CLAUDE.md thesis rule</w:t>
      </w:r>
    </w:p>
    <w:p>
      <w:pPr>
        <w:numPr>
          <w:ilvl w:val="0"/>
          <w:numId w:val="1001"/>
        </w:numPr>
      </w:pPr>
      <w:r>
        <w:t xml:space="preserve">Version: 3.53 | Tool: Claude Code (Sonnet 4.6) | Session: main | Date: 10.05.2026 | Changes: Added agent accountability and observability layer as new Key Contribution: AgentLogger (structured JSONL + non-blocking Supabase agent_executions), AgentVersionRegistry for version rollback, drift-detector.ts daily confidence-drop reports, eval-runner.ts compliance dataset scoring — directly implements EU AI Act Articles 9 (risk management), 12 (logging), and 14 (human oversight) obligations as running production code; Baseten added as OpenAI-compatible LLM provider expanding multi-provider routing to Groq/Baseten/OpenAI with task-aware model-selector; /case-run skill registered (Themis v2.0 case-coordinate action — case-type→sub-agent mapping), Legora AOS competitive analysis documenting DWS Case entity roadmap P0 actions; Outokumpu CBAM partnership model as first industrial-buyer compliance cost quantification case; TokenSpeed inference engine field note (LightSeek MIT — TensorRT-LLM-class throughput, DGX Spark fit assessment); all 4 thesis files bumped in lockstep per CLAUDE.md thesis rule</w:t>
      </w:r>
    </w:p>
    <w:p>
      <w:pPr>
        <w:numPr>
          <w:ilvl w:val="0"/>
          <w:numId w:val="1001"/>
        </w:numPr>
      </w:pPr>
      <w:r>
        <w:t xml:space="preserve">Version: 3.52 | Tool: Claude Code (Opus 4.7) | Session: claude/update-thesis-ontology-blog-3RGKG | Date: 29.04.2026 | Changes: Added Section 1.6</w:t>
      </w:r>
      <w:r>
        <w:t xml:space="preserve"> </w:t>
      </w:r>
      <w:r>
        <w:t xml:space="preserve">“</w:t>
      </w:r>
      <w:r>
        <w:t xml:space="preserve">Ontology — Etymology and Philosophical Background</w:t>
      </w:r>
      <w:r>
        <w:t xml:space="preserve">”</w:t>
      </w:r>
      <w:r>
        <w:t xml:space="preserve"> </w:t>
      </w:r>
      <w:r>
        <w:t xml:space="preserve">linking the thesis to ONTOLOGY.md v1.3 (Greek ón + lógos, Aristotle, scholastic 17th–18th c. systematization, modern computer-science meaning). Aligns thesis terminology with the canonical DWS Ontology Standard. All 4 thesis files bumped in lockstep per CLAUDE.md thesis rule.</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ja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 Added Section 10.22 (DWS Skilled Taxonomy — Three Tiers Across Agents, Workflows, and Jurisdictions); deprecated</w:t>
      </w:r>
      <w:r>
        <w:t xml:space="preserve"> </w:t>
      </w:r>
      <w:r>
        <w:t xml:space="preserve">“</w:t>
      </w:r>
      <w:r>
        <w:t xml:space="preserve">GodAgent</w:t>
      </w:r>
      <w:r>
        <w:t xml:space="preserve">”</w:t>
      </w:r>
      <w:r>
        <w:t xml:space="preserve">/</w:t>
      </w:r>
      <w:r>
        <w:t xml:space="preserve">“</w:t>
      </w:r>
      <w:r>
        <w:t xml:space="preserve">Godagent</w:t>
      </w:r>
      <w:r>
        <w:t xml:space="preserve">”</w:t>
      </w:r>
      <w:r>
        <w:t xml:space="preserve"> </w:t>
      </w:r>
      <w:r>
        <w:t xml:space="preserve">branding; codified the</w:t>
      </w:r>
      <w:r>
        <w:t xml:space="preserve"> </w:t>
      </w:r>
      <w:r>
        <w:rPr>
          <w:rStyle w:val="VerbatimChar"/>
        </w:rPr>
        <w:t xml:space="preserve">Skilled &lt;Axis&gt;</w:t>
      </w:r>
      <w:r>
        <w:t xml:space="preserve"> </w:t>
      </w:r>
      <w:r>
        <w:t xml:space="preserve">/</w:t>
      </w:r>
      <w:r>
        <w:t xml:space="preserve"> </w:t>
      </w:r>
      <w:r>
        <w:rPr>
          <w:rStyle w:val="VerbatimChar"/>
        </w:rPr>
        <w:t xml:space="preserve">Industrial Specialist &lt;Axis&gt;</w:t>
      </w:r>
      <w:r>
        <w:t xml:space="preserve"> </w:t>
      </w:r>
      <w:r>
        <w:t xml:space="preserve">/</w:t>
      </w:r>
      <w:r>
        <w:t xml:space="preserve"> </w:t>
      </w:r>
      <w:r>
        <w:rPr>
          <w:rStyle w:val="VerbatimChar"/>
        </w:rPr>
        <w:t xml:space="preserve">Industry &lt;Axis&gt;</w:t>
      </w:r>
      <w:r>
        <w:t xml:space="preserve"> </w:t>
      </w:r>
      <w:r>
        <w:t xml:space="preserve">three-tier pattern across three active axes (Agents, Workflows, Jurisdictions — EU/US/Aiven); pattern designed for extensibility to future capability axes (Datasets, Models, Regulations, Reports); added count-dynamism patterns (open-ended</w:t>
      </w:r>
      <w:r>
        <w:t xml:space="preserve"> </w:t>
      </w:r>
      <w:r>
        <w:rPr>
          <w:rStyle w:val="VerbatimChar"/>
        </w:rPr>
        <w:t xml:space="preserve">18+</w:t>
      </w:r>
      <w:r>
        <w:t xml:space="preserve">, registry-anchored, product-scoped); codified exclusions (Docker/infra identifiers, Pantheon Greek-mythology brand, historical records); canonical source of truth is</w:t>
      </w:r>
      <w:r>
        <w:t xml:space="preserve"> </w:t>
      </w:r>
      <w:r>
        <w:rPr>
          <w:rStyle w:val="VerbatimChar"/>
        </w:rPr>
        <w:t xml:space="preserve">docs/Deputy-Agents-Architecture.md</w:t>
      </w:r>
      <w:r>
        <w:t xml:space="preserve"> </w:t>
      </w:r>
      <w:r>
        <w:t xml:space="preserve">§1 Terminology; added Key Contribution #31</w:t>
      </w:r>
    </w:p>
    <w:p>
      <w:pPr>
        <w:numPr>
          <w:ilvl w:val="0"/>
          <w:numId w:val="1001"/>
        </w:numPr>
      </w:pPr>
      <w:r>
        <w:t xml:space="preserve">Version: 3.36 | Tool: GitHub Copilot CLI (GPT-5.3-Codex) | Session: f2a5b1e0-a01c-489a-8d33-fde09a7dd970 | Date: 21.04.2026 | Changes: Expanded Section 10.21 with Boardy-sourced refinements: KYA open-source standard path via Agentic AI Foundation / Linux Foundation, explicit NIST status (not submitted), Article 1 title lock, 2026-2029 publication phasing, and EIC Step 1 deliverable linkage; added Key Contribution #30</w:t>
      </w:r>
    </w:p>
    <w:p>
      <w:pPr>
        <w:numPr>
          <w:ilvl w:val="0"/>
          <w:numId w:val="1001"/>
        </w:numPr>
      </w:pPr>
      <w:r>
        <w:t xml:space="preserve">Version: 3.35 | Tool: GitHub Copilot CLI (GPT-5.3-Codex) | Session: f2a5b1e0-a01c-489a-8d33-fde09a7dd970 | Date: 21.04.2026 | Changes: Added Section 10.21 (doctoral-track targeting): KYA positioned toward Agentic AI Foundation standardization, DWS 7 objectives as empirical frame, DWS 5 -&gt; hydrogen-economy continuity, dual-use stream with Nokia Defence discussions, Aegis/Sovereign Infra/Connect sovereignty segmentation (core figure), Siemens and NVIDIA Connect collaboration anchors, and supervisor-response structure; added Key Contribution #29</w:t>
      </w:r>
    </w:p>
    <w:p>
      <w:pPr>
        <w:numPr>
          <w:ilvl w:val="0"/>
          <w:numId w:val="1001"/>
        </w:numPr>
      </w:pPr>
      <w:r>
        <w:t xml:space="preserve">Version: 3.34 | Tool: Claude Code (Opus 4.7) | Session: claude/update-thesis-work-EoyoF | Date: 20.04.2026 | Changes: Added Section 10.20 (April 2026 Evolution) — four subsections covering Anthropic Skills Paradigm validation (external confirmation of DWS skill-first architecture from §10.13.3), Lifetime Fleet roadmap crystallization (Finland Drone Strategy 2030 + Baltic-first 12–16wk MVP graduating</w:t>
      </w:r>
      <w:r>
        <w:t xml:space="preserve"> </w:t>
      </w:r>
      <w:r>
        <w:t xml:space="preserve">“</w:t>
      </w:r>
      <w:r>
        <w:t xml:space="preserve">Hands</w:t>
      </w:r>
      <w:r>
        <w:t xml:space="preserve">”</w:t>
      </w:r>
      <w:r>
        <w:t xml:space="preserve"> </w:t>
      </w:r>
      <w:r>
        <w:t xml:space="preserve">layer from spec to timeline), DWS IQ 7 Datacentre Compliance Agent (22nd industry, RFNBO Delegated Regulation 2023/1184 green-hydrogen additionality), Regulatory Stack Expansion to NIS2+CER (Hybridiosaamiskeskus 8.5.2026, CORE resilience model), and Founder→Team Transition (SOLO_FOUNDER_STATEMENT v1.2, CTO co-builder, /investor-outreach skill, 10+ INTRO notes); added Key Contributions #25–#28</w:t>
      </w:r>
    </w:p>
    <w:p>
      <w:pPr>
        <w:numPr>
          <w:ilvl w:val="0"/>
          <w:numId w:val="1001"/>
        </w:numPr>
      </w:pPr>
      <w:r>
        <w:t xml:space="preserve">Version: 3.33 | Tool: Claude Code (Opus 4.6) | Session: claude/add-red-hat-partners-d8Hey | Date: 21.03.2026 | Changes: Added Red Hat Key Findings market data to Platform Economics (§2.2), inference shift validation to Edge Computing (§2.4), Red Hat AgentOps partnership to Strategic Partnerships (§10.12.4), updated SWOT Opportunities with $644B market and inference shift data</w:t>
      </w:r>
    </w:p>
    <w:p>
      <w:pPr>
        <w:numPr>
          <w:ilvl w:val="0"/>
          <w:numId w:val="1001"/>
        </w:numPr>
      </w:pPr>
      <w:r>
        <w:t xml:space="preserve">Version: 3.32 | Tool: Claude Code (Opus 4.6) | Session: claude/review-claude-skills-vZQ0r | Date: 03.04.2026 | Changes: Added Section 10.19 (Thesis Versioning Strategy: v3.30.50 Metropolia Freeze); added Key Contribution #23; created frozen V3Thesis_EN_v3.30.50.md (50-page restructured Metropolia outgoing) while preserving 82-page living document; updated footer with dual-version architecture</w:t>
      </w:r>
    </w:p>
    <w:p>
      <w:pPr>
        <w:numPr>
          <w:ilvl w:val="0"/>
          <w:numId w:val="1001"/>
        </w:numPr>
      </w:pPr>
      <w:r>
        <w:t xml:space="preserve">Version: 3.31 | Tool: Claude Code (Opus 4.6) | Session: claude/review-claude-skills-vZQ0r | Date: 31.03.2026 | Changes: Updated Section 10.13.3 (Skills inventory from 6→21 skills, 4 subagents, 4 discipline skills); added Section 10.13.7 (Competitive Analysis: Domain-Specific vs Generic AI Harness — benchmarking against ECC 136-skill framework, six competitive differentiators documented); added Key Contribution #22</w:t>
      </w:r>
    </w:p>
    <w:p>
      <w:pPr>
        <w:numPr>
          <w:ilvl w:val="0"/>
          <w:numId w:val="1001"/>
        </w:numPr>
      </w:pPr>
      <w:r>
        <w:t xml:space="preserve">Version: 3.30 | Tool: Claude Code (Opus 4.6) | Session: claude/research-leworldmodel-r3VRA | Date: 25.03.2026 | Changes: Added Section 10.18 (LWM Sequencing Strategy — From Regulatory Intelligence to Physical AI): three-phase sequencing (compliance→fleet→Series A), LeWorldModel validation (arXiv:2603.19312), Phase 2 technical gap analysis (input modality, scale, regulatory-physical integration), investor objection handling with Persefoni/Sweep comparables; added Key Contribution #21</w:t>
      </w:r>
    </w:p>
    <w:p>
      <w:pPr>
        <w:numPr>
          <w:ilvl w:val="0"/>
          <w:numId w:val="1001"/>
        </w:numPr>
      </w:pPr>
      <w:r>
        <w:t xml:space="preserve">Version: 3.29 | Tool: Claude Code (Opus 4.6) | Session: claude/add-debit-credit-compliance-FevOa | Date: 24.03.2026 | Changes: Added Section 10.17 (Conclusion: Carbon Balance Sheet as Compliance Infrastructure) — debit-credit ledger thesis, double-entry bookkeeping for CO2 across ETS/CBAM/CSRD/Taxonomy, cross-vertical intelligence via ledger reconciliation, DWS 7 Phase 2.6 implementation plan; added Key Contribution #20 (was #20 Agent Memory — renumbered to #21)</w:t>
      </w:r>
    </w:p>
    <w:p>
      <w:pPr>
        <w:numPr>
          <w:ilvl w:val="0"/>
          <w:numId w:val="1001"/>
        </w:numPr>
      </w:pPr>
      <w:r>
        <w:t xml:space="preserve">Version: 3.28 | Tool: Claude Code (Opus 4.6) | Session: claude/agent-memory-fact-extraction-gLEss | Date: 23.03.2026 | Changes: Added Section 10.10.7 Agent Memory Fact Extraction Pipeline (PR-254): LLM-based structured fact extraction from conversations to subject-predicate-value triples, dual memory architecture (LWM domain knowledge + client relationship memory), three missing execution layers identified (Firehorse state machine, ERP connector layer, KYA governance wrapper); updated PR roadmap with KYA-first ordering (255→KYA audit→257→256→259→258); added Key Contribution #20; noted KYA Standard v1.4 internal / v1.1 public delta</w:t>
      </w:r>
    </w:p>
    <w:p>
      <w:pPr>
        <w:numPr>
          <w:ilvl w:val="0"/>
          <w:numId w:val="1001"/>
        </w:numPr>
      </w:pPr>
      <w:r>
        <w:t xml:space="preserve">Version: 3.27 | Tool: Claude Code (Opus 4.6) | Session: claude/qantic-energy-analysis-Yjg00 | Date: 21.03.2026 | Changes: Added Section 10.7.3 LWM Product-Market Validation (Qantic GmbH energy sector case study — first external validation of LWM commercial value outside construction, €21,693/year BESS compliance cost calculation, 6-industry expansion path for MAN-type clients, Solution Factory model confirmed); updated 16→20 industries in LWM sections; renumbered 10.7.3→10.7.4 Orchestration Studio</w:t>
      </w:r>
    </w:p>
    <w:p>
      <w:pPr>
        <w:numPr>
          <w:ilvl w:val="0"/>
          <w:numId w:val="1001"/>
        </w:numPr>
      </w:pPr>
      <w:r>
        <w:t xml:space="preserve">Version: 3.26 | Tool: Claude Code (Opus 4.6) | Session: claude/refine-thesis-critique-RP6Dv | Date: 16.03.2026 | Changes: Updated section 8 Results and Analysis with v3.16–3.25 evidence: harness engineering metrics (52.8%→66.5%), 13-agent Pantheon system, customer MVP features (API keys, metering, reports), PostgreSQL HTAP architecture, A/B testing results integration, updated compliance readiness (EU AI Act Art 12 implemented), updated SWOT with strategic partnerships; added new section 8.7 A/B Testing and Feedback Channel Results</w:t>
      </w:r>
    </w:p>
    <w:p>
      <w:pPr>
        <w:numPr>
          <w:ilvl w:val="0"/>
          <w:numId w:val="1001"/>
        </w:numPr>
      </w:pPr>
      <w:r>
        <w:t xml:space="preserve">Version: 3.25 | Tool: Claude Code (Opus 4.6) | Session: claude/add-harness-engineering-thesis-2zvZt | Date: 14.03.2026 | Changes: Added Section 10.16 (Harness Engineering — From Prompt Engineering to System Design): OpenAI’s 8 principles, DWS IQ 6 comparison with 6-layer L0-L6 architecture, empirical result (52.8%→66.5% from harness alone), EU regulation requires different harness than Silicon Valley; added Key Contribution #19</w:t>
      </w:r>
    </w:p>
    <w:p>
      <w:pPr>
        <w:numPr>
          <w:ilvl w:val="0"/>
          <w:numId w:val="1001"/>
        </w:numPr>
      </w:pPr>
      <w:r>
        <w:t xml:space="preserve">Version: 3.24 | Tool: Claude Code (Opus 4.6) | Session: claude/plan-postgres-columnar-3bSn6 | Date: 13.03.2026 | Changes: Expanded Appendix G glossary with Data Architecture (9 terms) and Research Methodology (4 terms) — autoresearch, HTAP, Hypercore, two-tier architecture, KYA, proxy-to-scale</w:t>
      </w:r>
    </w:p>
    <w:p>
      <w:pPr>
        <w:numPr>
          <w:ilvl w:val="0"/>
          <w:numId w:val="1001"/>
        </w:numPr>
      </w:pPr>
      <w:r>
        <w:t xml:space="preserve">Version: 3.23 | Tool: Claude Code (Opus 4.6) | Session: claude/plan-postgres-columnar-3bSn6 | Date: 13.03.2026 | Changes: Updated Section 10.15 with 2026 Aiven-first mandate: Hydra→Supabase Warehouse (Feb 2026), pg_mooncake→Databricks (Oct 2025), TimescaleDB 2.25.x Hypercore as approved standard, Aiven whitelist confirmed (pg_duckdb BLOCKED), two-tier HTAP (Aiven managed + GN100 edge), edge PostgreSQL deployment; added Key Contribution #18; updated footer</w:t>
      </w:r>
    </w:p>
    <w:p>
      <w:pPr>
        <w:numPr>
          <w:ilvl w:val="0"/>
          <w:numId w:val="1001"/>
        </w:numPr>
      </w:pPr>
      <w:r>
        <w:t xml:space="preserve">Version: 3.22 | Tool: Claude Code (Opus 4.6) | Session: claude/plan-postgres-columnar-3bSn6 | Date: 12.03.2026 | Changes: Added Section 10.15 (PostgreSQL Columnar HTAP Architecture — DWS Data Standard): pg_duckdb + TimescaleDB on Aiven EU for single-database HTAP, 4-phase rollout, DWS_DATA_STANDARD.md creation, EU regulatory compliance matrix (GDPR, EU AI Act Art 12, NIS2, CSRD, EU Data Act 2023/2854); added Key Contribution #17; updated footer</w:t>
      </w:r>
    </w:p>
    <w:p>
      <w:pPr>
        <w:numPr>
          <w:ilvl w:val="0"/>
          <w:numId w:val="1001"/>
        </w:numPr>
      </w:pPr>
      <w:r>
        <w:t xml:space="preserve">Version: 3.21 | Tool: Claude Code (Opus 4.6) | Session: claude/vigorous-meitner | Date: 09.03.2026 | Changes: Added Section 10.14 (Agent System Hardening — Production Reliability): 6 TypeScript compilation errors fixed, 3 test failures resolved, SandboxContext type alignment with opensandbox stage, MCP/HIL route wiring, locale-deterministic number formatting, dependency hygiene (luxon); added Key Contribution #16; updated footer</w:t>
      </w:r>
    </w:p>
    <w:p>
      <w:pPr>
        <w:numPr>
          <w:ilvl w:val="0"/>
          <w:numId w:val="1001"/>
        </w:numPr>
      </w:pPr>
      <w:r>
        <w:t xml:space="preserve">Version: 3.20 | Tool: Claude Code (Opus 4.6) | Session: claude/build-mvp-features-nFk7k | Date: 08.03.2026 | Changes: Added Key Contribution #15 (Customer-Facing MVP Features — API Key Management, Usage Metering with 3-tier billing, Compliance Report Export with scheduling); demonstrates transition from developer tools to customer-ready SaaS platform; validates Solution Factory productization hypothesis</w:t>
      </w:r>
    </w:p>
    <w:p>
      <w:pPr>
        <w:numPr>
          <w:ilvl w:val="0"/>
          <w:numId w:val="1001"/>
        </w:numPr>
      </w:pPr>
      <w:r>
        <w:t xml:space="preserve">Version: 3.19 | Tool: Claude Code (Opus 4.6) | Session: claude/happy-rhodes | Date: 07.03.2026 | Changes: Expanded Section 2.5.3 MCP Hub Orchestration Patterns with implementation details (4 patterns: Fan-Out, Sequential, Reflection, Pipeline), endpoints, context passing, production readiness table; added Section 2.5.4 Skills and CLIs as Agent Interfaces (Three-Interface Rule: CLI + MCP + Skills)</w:t>
      </w:r>
    </w:p>
    <w:p>
      <w:pPr>
        <w:numPr>
          <w:ilvl w:val="0"/>
          <w:numId w:val="1001"/>
        </w:numPr>
      </w:pPr>
      <w:r>
        <w:t xml:space="preserve">Version: 3.18 | Tool: GitHub Copilot (Claude Opus 4.6) | Session: Learn-Thinking | Date: 04.03.2026 | Changes: Added Section 9.5 Learn Thinking — daily learning loop via Learn/ folder, thesis files added to Generate-PDFs pipeline, reflective learning framework for AI-assisted product development</w:t>
      </w:r>
    </w:p>
    <w:p>
      <w:pPr>
        <w:numPr>
          <w:ilvl w:val="0"/>
          <w:numId w:val="1001"/>
        </w:numPr>
      </w:pPr>
      <w:r>
        <w:t xml:space="preserve">Version: 3.17 | Tool: Claude Code (Sonnet 4.6) | Session: claude/implement-workflow-agents-CHFFN | Date: 02.03.2026 | Changes: Added Section 10.13 (Climate IQ Pantheon — Greek/Roman God Multi-Agent System: 6 Orchestrators + 7 Industry Specialists, SOUL.md pattern, prompt injection fix, EU AI Act Article 12 logging); added Key Contribution #12; updated footer</w:t>
      </w:r>
    </w:p>
    <w:p>
      <w:pPr>
        <w:numPr>
          <w:ilvl w:val="0"/>
          <w:numId w:val="1001"/>
        </w:numPr>
      </w:pPr>
      <w:r>
        <w:t xml:space="preserve">Version: 3.17 | Tool: Claude Code (Sonnet 4.6) | Session: claude/organize-repo-structure-F3xqn | Date: 02.03.2026 | Changes: Added Section 10.13 (Claude Code Engineering Structure: AI Workflow as First-Class Engineering) — CLAUDE.md as project memory, Skills as reusable workflow components, Hooks for automated validation, Subagents for parallel execution; added Key Contribution #12; updated footer; validated against emerging Claude Code community best practices</w:t>
      </w:r>
    </w:p>
    <w:p>
      <w:pPr>
        <w:numPr>
          <w:ilvl w:val="0"/>
          <w:numId w:val="1001"/>
        </w:numPr>
      </w:pPr>
      <w:r>
        <w:t xml:space="preserve">Version: 3.16 | Tool: Claude Code (Sonnet 4.6) | Session: claude/sandbox-agents-opensandbox-HatfC | Date: 01.03.2026 | Changes: CONSOLIDATED — resolves version drift 3.12-3.15. Added Section 10.11 (CEO Automation Agent Suite: Captain Briefing, LinkedIn Scheduler, EU Regulation Monitor); Section 10.12 (Strategic Partnerships: NVIDIA, Siemens, ABB, xAI, Mistral + Multi-LLM Router); added Key Contributions #10-11; updated footer</w:t>
      </w:r>
    </w:p>
    <w:p>
      <w:pPr>
        <w:numPr>
          <w:ilvl w:val="0"/>
          <w:numId w:val="1001"/>
        </w:numPr>
      </w:pPr>
      <w:r>
        <w:t xml:space="preserve">Version: 3.15 | Tool: Cursor AI / Claude Code | Session: [untracked] | Date: 25-27.02.2026 | Changes: [UNTRACKED DRIFT] DWS6→DWS7 transition documentation; CLAUDE.md compaction; session handover protocol; ZenFree security integration; Resend email agent</w:t>
      </w:r>
    </w:p>
    <w:p>
      <w:pPr>
        <w:numPr>
          <w:ilvl w:val="0"/>
          <w:numId w:val="1001"/>
        </w:numPr>
      </w:pPr>
      <w:r>
        <w:t xml:space="preserve">Version: 3.14 | Tool: Claude Code (Sonnet 4.6) | Session: claude/sandbox-agents-opensandbox-HatfC | Date: 01.03.2026 | Changes: [CAPTURED IN 3.11] OpenSandbox Stage 1.5 on Acer Veriton GN100; EMPO² agent memory (arXiv:2602.23008)</w:t>
      </w:r>
    </w:p>
    <w:p>
      <w:pPr>
        <w:numPr>
          <w:ilvl w:val="0"/>
          <w:numId w:val="1001"/>
        </w:numPr>
      </w:pPr>
      <w:r>
        <w:t xml:space="preserve">Version: 3.13 | Tool: Claude Code (Opus 4.6) | Session: claude/dws6-dws7-update-doc-I2Cgk | Date: 27.02.2026 | Changes: [UNTRACKED DRIFT] Strategic partnerships expanded: NVIDIA Inception, Siemens Xcelerator, ABB Ability, xAI Grok, Mistral EU-sovereign; multi-LLM router architecture</w:t>
      </w:r>
    </w:p>
    <w:p>
      <w:pPr>
        <w:numPr>
          <w:ilvl w:val="0"/>
          <w:numId w:val="1001"/>
        </w:numPr>
      </w:pPr>
      <w:r>
        <w:t xml:space="preserve">Version: 3.12 | Tool: Claude Code (Opus 4.6) | Session: claude/ai-agent-orchestration-t89Ig | Date: 24.02.2026 | Changes: [UNTRACKED DRIFT] CEO Automation Agent Suite: Captain Pre-Briefing, LinkedIn Post Scheduler, EU Regulation Monitor — 3 production agents with GitHub Actions cron</w:t>
      </w:r>
    </w:p>
    <w:p>
      <w:pPr>
        <w:numPr>
          <w:ilvl w:val="0"/>
          <w:numId w:val="1001"/>
        </w:numPr>
      </w:pPr>
      <w:r>
        <w:t xml:space="preserve">Version: 3.11 | Tool: Claude Code (Sonnet 4.6) | Session: claude/sandbox-agents-opensandbox-HatfC | Date: 01.03.2026 | Changes: Added Section 10.10 (Agent Foundry Stage 1.5 — OpenSandbox on Acer Veriton GN100); added EMPO² reference (arXiv:2602.23008 — hybrid on/off-policy RL for memory-augmented agents); updated NCC Sandbox stage annotation; added Key Contribution #9</w:t>
      </w:r>
    </w:p>
    <w:p>
      <w:pPr>
        <w:numPr>
          <w:ilvl w:val="0"/>
          <w:numId w:val="1001"/>
        </w:numPr>
      </w:pPr>
      <w:r>
        <w:t xml:space="preserve">Version: 3.10 | Tool: Claude Code (Opus 4.6) | Session: claude/modernize-dws7-77v2B | Date: 24.02.2026 | Changes: Added Section 10.9 DWS7 Agent Architecture Modernization — documents 6 critical fixes (agentic loops, tool use, multi-provider LLM, agent delegation, MCP server, event bus), Build for Agents principle (CLI, Claude Code Skills), agent-first product design philosophy</w:t>
      </w:r>
    </w:p>
    <w:p>
      <w:pPr>
        <w:numPr>
          <w:ilvl w:val="0"/>
          <w:numId w:val="1001"/>
        </w:numPr>
      </w:pPr>
      <w:r>
        <w:t xml:space="preserve">Version: 3.9 | Tool: Claude Code (Opus 4.6) | Session: claude/add-sdk-sandbox-isolation-Q0lzp | Date: 21.02.2026 | Changes: Enhanced LWM definition as enterprise learning layer (fine-tunes data/regulation, optimizes market value, ensures competitive advantage), added 25+-industry cross-learning network effects analysis</w:t>
      </w:r>
    </w:p>
    <w:p>
      <w:pPr>
        <w:numPr>
          <w:ilvl w:val="0"/>
          <w:numId w:val="1001"/>
        </w:numPr>
      </w:pPr>
      <w:r>
        <w:t xml:space="preserve">Version: 3.8 | Tool: Claude Code (Opus 4.6) | Session: claude/add-sdk-sandbox-isolation-Q0lzp | Date: 21.02.2026 | Changes: Added sections 10.6 Per-Industry Open LLM Selection (20 industries, 7 candidate models), 10.7 Enterprise BYOA Architecture (Bring Your Own Agent — NCC scenario, 24 agents, Langflow+React Flow+Temporal.io graphical workflow builder, contractor onboarding flow)</w:t>
      </w:r>
    </w:p>
    <w:p>
      <w:pPr>
        <w:numPr>
          <w:ilvl w:val="0"/>
          <w:numId w:val="1001"/>
        </w:numPr>
      </w:pPr>
      <w:r>
        <w:t xml:space="preserve">Version: 3.7 | Tool: Claude Code (Opus 4.6) | Session: HIL-PR-Automation | Date: 20.02.2026 | Changes: Added Appendix H — Automated PR Workflow (HIL Automation): dual-model AI review (Claude + Gemini), Copilot fix loop, auto-merge workflow, MCP Hub Gemini endpoint, Cloud Run dws6run6 deployment. Generated versioned HTML for Learn/</w:t>
      </w:r>
    </w:p>
    <w:p>
      <w:pPr>
        <w:numPr>
          <w:ilvl w:val="0"/>
          <w:numId w:val="1001"/>
        </w:numPr>
      </w:pPr>
      <w:r>
        <w:t xml:space="preserve">Version: 3.6 | Tool: Claude Code (Opus 4.6) | Session: e5wXD | Date: 20.02.2026 | Changes: Updated DWS standards, admin manuals with HIL automation references. Version header correction (3.4-3.5 were not tracked)</w:t>
      </w:r>
    </w:p>
    <w:p>
      <w:pPr>
        <w:numPr>
          <w:ilvl w:val="0"/>
          <w:numId w:val="1001"/>
        </w:numPr>
      </w:pPr>
      <w:r>
        <w:t xml:space="preserve">Version: 3.5 | Tool: Claude Code (Opus 4.6) | Session: e7fe405 | Date: 20.02.2026 | Changes: Added section 12 IPR Protection &amp; Trade Secret Strategy, section 13 Prompt Caching Architecture for AI Agents, renumbered sections 12-15 → 14-17, added EU Trade Secrets Directive references</w:t>
      </w:r>
    </w:p>
    <w:p>
      <w:pPr>
        <w:numPr>
          <w:ilvl w:val="0"/>
          <w:numId w:val="1001"/>
        </w:numPr>
      </w:pPr>
      <w:r>
        <w:t xml:space="preserve">Version: 3.4 | Tool: Cursor AI (Claude Sonnet 4.6) | Session: 278819d | Date: 18.02.2026 | Changes: Company rename Lifetime Consulting Oy → Lifetime Oy across all documentation (Omnibus_Fit55 analysis files)</w:t>
      </w:r>
    </w:p>
    <w:p>
      <w:pPr>
        <w:numPr>
          <w:ilvl w:val="0"/>
          <w:numId w:val="1001"/>
        </w:numPr>
      </w:pPr>
      <w:r>
        <w:t xml:space="preserve">Version: 3.3 | Tool: Claude Code (Opus 4.6) | Session: V3-Merge | Date: 10.02.2026 | Changes: Merged Thesis_FI.md (v2.1) and V2Thesis_FI.md (v3.2) into a single consolidated version. Fixed Scandinavian characters, updated identifiers, added DWS10 e-commerce, audio chat and HIL pipeline sections, Karpathy appendix, Firehorse operating model sections</w:t>
      </w:r>
    </w:p>
    <w:p>
      <w:pPr>
        <w:numPr>
          <w:ilvl w:val="0"/>
          <w:numId w:val="1001"/>
        </w:numPr>
      </w:pPr>
      <w:r>
        <w:t xml:space="preserve">Version: 3.2 | Tool: Claude Code (Opus 4.6) | Session: HIL-Pipeline | Date: 07.02.2026 | Changes: Added section 6.7 - Human-in-the-Loop learning pipeline (daily automation, three-layer backup, Learn/ folder output)</w:t>
      </w:r>
    </w:p>
    <w:p>
      <w:pPr>
        <w:numPr>
          <w:ilvl w:val="0"/>
          <w:numId w:val="1001"/>
        </w:numPr>
      </w:pPr>
      <w:r>
        <w:t xml:space="preserve">Version: 3.1 | Tool: Claude Code (Opus 4.5) | Session: Karpathy-Principles | Date: 04.02.2026 | Changes: Added Appendix E - AI Agent Behavioral Guidelines (Karpathy Principles), EU AI Act compliance mapping, implementation outcome metrics</w:t>
      </w:r>
    </w:p>
    <w:p>
      <w:pPr>
        <w:numPr>
          <w:ilvl w:val="0"/>
          <w:numId w:val="1001"/>
        </w:numPr>
      </w:pPr>
      <w:r>
        <w:t xml:space="preserve">Version: 3.0 | Tool: Claude Code (Opus 4.5) | Session: DWS10-Store-Integration | Date: 28.01.2026 | Changes: Added DWS10.com e-commerce store findings, Google Merchant Center integration, Revolut Business payments, Audio chat evolution roadmap with Groq/Llama models, Industry carbon footprint calculator, EU compliance mapping</w:t>
      </w:r>
    </w:p>
    <w:p>
      <w:pPr>
        <w:numPr>
          <w:ilvl w:val="0"/>
          <w:numId w:val="1001"/>
        </w:numPr>
      </w:pPr>
      <w:r>
        <w:t xml:space="preserve">Version: 2.2 | Tool: Word (HIL) | Session: dws6.com Google Run | Date: 19.01.2026 | Changes: Google admin@dws6.com and project under Google. Established 19.1.2026. Google Workspace Standard adopted. DNS records changed from Proton to Google. Created project dws6run to serve Google Run processes.</w:t>
      </w:r>
    </w:p>
    <w:p>
      <w:pPr>
        <w:numPr>
          <w:ilvl w:val="0"/>
          <w:numId w:val="1001"/>
        </w:numPr>
      </w:pPr>
      <w:r>
        <w:t xml:space="preserve">Version: 2.1 | Tool: Cursor AI (Claude) | Session: 16-Industries | Date: 06.01.2026 | Changes: Added Fit for 55 25+-industry analysis, AI usage disclosure, DWS10 use cases, expanded current state analysis</w:t>
      </w:r>
    </w:p>
    <w:p>
      <w:pPr>
        <w:numPr>
          <w:ilvl w:val="0"/>
          <w:numId w:val="1001"/>
        </w:numPr>
      </w:pPr>
      <w:r>
        <w:t xml:space="preserve">Version: 2.0 | Tool: Cursor AI (Claude) | Session: Thesis-Revision | Date: 05.01.2026 | Changes: Major revision - Added Solution Factory model, AgentFoundry documentation, Lifetime Scope Signals theory, SWOT analysis, research questions answers, complete theoretical framework</w:t>
      </w:r>
    </w:p>
    <w:p>
      <w:pPr>
        <w:numPr>
          <w:ilvl w:val="0"/>
          <w:numId w:val="1001"/>
        </w:numPr>
      </w:pPr>
      <w:r>
        <w:t xml:space="preserve">Version: 1.0 | Tool: GitHub Copilot | Session: 2025-12-30 | Date: 30.12.2025 | Changes: Applied DWS document standard, synchronized with Finnish version</w:t>
      </w:r>
    </w:p>
    <w:p>
      <w:pPr>
        <w:pStyle w:val="FirstParagraph"/>
      </w:pPr>
      <w:r>
        <w:t xml:space="preserve">Session Links &amp; References:</w:t>
      </w:r>
    </w:p>
    <w:p>
      <w:pPr>
        <w:numPr>
          <w:ilvl w:val="0"/>
          <w:numId w:val="1002"/>
        </w:numPr>
        <w:pStyle w:val="Compact"/>
      </w:pPr>
      <w:r>
        <w:t xml:space="preserve">Claude Code (2026-02-10): V3 merge and Scandinavian character fixes</w:t>
      </w:r>
    </w:p>
    <w:p>
      <w:pPr>
        <w:numPr>
          <w:ilvl w:val="0"/>
          <w:numId w:val="1002"/>
        </w:numPr>
        <w:pStyle w:val="Compact"/>
      </w:pPr>
      <w:r>
        <w:t xml:space="preserve">Claude Code (2026-01-28): DWS10 store integration, Google Merchant, Revolut, Audio chat roadmap</w:t>
      </w:r>
    </w:p>
    <w:p>
      <w:pPr>
        <w:numPr>
          <w:ilvl w:val="0"/>
          <w:numId w:val="1002"/>
        </w:numPr>
        <w:pStyle w:val="Compact"/>
      </w:pPr>
      <w:r>
        <w:t xml:space="preserve">Cursor AI (2026-01-05): Thesis revision integrating codebase evidence</w:t>
      </w:r>
    </w:p>
    <w:p>
      <w:pPr>
        <w:numPr>
          <w:ilvl w:val="0"/>
          <w:numId w:val="1002"/>
        </w:numPr>
        <w:pStyle w:val="Compact"/>
      </w:pPr>
      <w:r>
        <w:t xml:space="preserve">GitHub Copilot (2025-12-30): https://github.com/blogtheristo/dws6/commits/main</w:t>
      </w:r>
    </w:p>
    <w:p>
      <w:pPr>
        <w:numPr>
          <w:ilvl w:val="0"/>
          <w:numId w:val="1002"/>
        </w:numPr>
        <w:pStyle w:val="Compact"/>
      </w:pPr>
      <w:r>
        <w:t xml:space="preserve">View on GitHub: https://github.com/blogtheristo/dws6/blob/main/docs/metropolia/master-thesis/en/V3Thesis_EN.md</w:t>
      </w:r>
    </w:p>
    <w:p>
      <w:pPr>
        <w:pStyle w:val="FirstParagraph"/>
      </w:pPr>
      <w:r>
        <w:t xml:space="preserve">Document Status:</w:t>
      </w:r>
    </w:p>
    <w:p>
      <w:pPr>
        <w:numPr>
          <w:ilvl w:val="0"/>
          <w:numId w:val="1003"/>
        </w:numPr>
        <w:pStyle w:val="Compact"/>
      </w:pPr>
      <w:r>
        <w:t xml:space="preserve">Created: 30.12.2025</w:t>
      </w:r>
    </w:p>
    <w:p>
      <w:pPr>
        <w:numPr>
          <w:ilvl w:val="0"/>
          <w:numId w:val="1003"/>
        </w:numPr>
        <w:pStyle w:val="Compact"/>
      </w:pPr>
      <w:r>
        <w:t xml:space="preserve">Last Modified: 21.04.2026</w:t>
      </w:r>
    </w:p>
    <w:p>
      <w:pPr>
        <w:numPr>
          <w:ilvl w:val="0"/>
          <w:numId w:val="1003"/>
        </w:numPr>
        <w:pStyle w:val="Compact"/>
      </w:pPr>
      <w:r>
        <w:t xml:space="preserve">Language: English</w:t>
      </w:r>
    </w:p>
    <w:p>
      <w:pPr>
        <w:numPr>
          <w:ilvl w:val="0"/>
          <w:numId w:val="1003"/>
        </w:numPr>
        <w:pStyle w:val="Compact"/>
      </w:pPr>
      <w:r>
        <w:t xml:space="preserve">Languages Available: English, Suomi</w:t>
      </w:r>
    </w:p>
    <w:p>
      <w:pPr>
        <w:numPr>
          <w:ilvl w:val="0"/>
          <w:numId w:val="1003"/>
        </w:numPr>
        <w:pStyle w:val="Compact"/>
      </w:pPr>
      <w:r>
        <w:t xml:space="preserve">Publication Status: DRAFT (V3.36 — KYA open-source standard path, NIST status, Article 1 refinement, publication phasing)</w:t>
      </w:r>
    </w:p>
    <w:p>
      <w:r>
        <w:pict>
          <v:rect style="width:0;height:1.5pt" o:hralign="center" o:hrstd="t" o:hr="t"/>
        </w:pict>
      </w:r>
    </w:p>
    <w:p>
      <w:pPr>
        <w:pStyle w:val="FirstParagraph"/>
      </w:pPr>
      <w:r>
        <w:rPr>
          <w:bCs/>
          <w:b/>
        </w:rPr>
        <w:t xml:space="preserve">Master’s Thesis</w:t>
      </w:r>
      <w:r>
        <w:t xml:space="preserve"> </w:t>
      </w:r>
      <w:r>
        <w:rPr>
          <w:bCs/>
          <w:b/>
        </w:rPr>
        <w:t xml:space="preserve">Metropolia University of Applied Sciences</w:t>
      </w:r>
    </w:p>
    <w:p>
      <w:pPr>
        <w:pStyle w:val="BodyText"/>
      </w:pPr>
      <w:r>
        <w:rPr>
          <w:bCs/>
          <w:b/>
        </w:rPr>
        <w:t xml:space="preserve">Author:</w:t>
      </w:r>
      <w:r>
        <w:t xml:space="preserve"> </w:t>
      </w:r>
      <w:r>
        <w:t xml:space="preserve">Risto Anton Päärni</w:t>
      </w:r>
      <w:r>
        <w:t xml:space="preserve"> </w:t>
      </w:r>
      <w:r>
        <w:rPr>
          <w:bCs/>
          <w:b/>
        </w:rPr>
        <w:t xml:space="preserve">Program:</w:t>
      </w:r>
      <w:r>
        <w:t xml:space="preserve"> </w:t>
      </w:r>
      <w:r>
        <w:t xml:space="preserve">Smart Factory, Master’s Degree (YAMK)</w:t>
      </w:r>
      <w:r>
        <w:t xml:space="preserve"> </w:t>
      </w:r>
      <w:r>
        <w:rPr>
          <w:bCs/>
          <w:b/>
        </w:rPr>
        <w:t xml:space="preserve">Supervisor:</w:t>
      </w:r>
      <w:r>
        <w:t xml:space="preserve"> </w:t>
      </w:r>
      <w:r>
        <w:t xml:space="preserve">Jarno Varteva (with Erkki Räsänen)</w:t>
      </w:r>
      <w:r>
        <w:t xml:space="preserve"> </w:t>
      </w:r>
      <w:r>
        <w:rPr>
          <w:bCs/>
          <w:b/>
        </w:rPr>
        <w:t xml:space="preserve">Company:</w:t>
      </w:r>
      <w:r>
        <w:t xml:space="preserve"> </w:t>
      </w:r>
      <w:r>
        <w:t xml:space="preserve">Lifetime Oy (Firehorse brand)</w:t>
      </w:r>
      <w:r>
        <w:t xml:space="preserve"> </w:t>
      </w:r>
      <w:r>
        <w:rPr>
          <w:bCs/>
          <w:b/>
        </w:rPr>
        <w:t xml:space="preserve">Date:</w:t>
      </w:r>
      <w:r>
        <w:t xml:space="preserve"> </w:t>
      </w:r>
      <w:r>
        <w:t xml:space="preserve">16.1.2026</w:t>
      </w:r>
      <w:r>
        <w:t xml:space="preserve"> </w:t>
      </w:r>
      <w:r>
        <w:rPr>
          <w:bCs/>
          <w:b/>
        </w:rPr>
        <w:t xml:space="preserve">InvestEU Portal:</w:t>
      </w:r>
      <w:r>
        <w:t xml:space="preserve"> </w:t>
      </w:r>
      <w:r>
        <w:t xml:space="preserve">Project Lifetime World, DWS IQ 6, Firehorse (INPO-20254383) submitted for publication on the InvestEU Portal on 25.12.2025 — InvestEU Portal Team, European Commission</w:t>
      </w:r>
    </w:p>
    <w:p>
      <w:r>
        <w:pict>
          <v:rect style="width:0;height:1.5pt" o:hralign="center" o:hrstd="t" o:hr="t"/>
        </w:pict>
      </w:r>
    </w:p>
    <w:bookmarkStart w:id="22" w:name="abstract"/>
    <w:p>
      <w:pPr>
        <w:pStyle w:val="Heading2"/>
      </w:pPr>
      <w:r>
        <w:t xml:space="preserve">Abstract</w:t>
      </w:r>
    </w:p>
    <w:p>
      <w:pPr>
        <w:pStyle w:val="FirstParagraph"/>
      </w:pPr>
      <w:r>
        <w:t xml:space="preserve">This thesis examines the Firehorse product manufacturing operating model, which combines cloud and edge computing technologies for industrial SMEs. The work focuses on the construction industry and its challenges in the EU’s twin transition (digital + green).</w:t>
      </w:r>
      <w:r>
        <w:t xml:space="preserve"> </w:t>
      </w:r>
      <w:r>
        <w:rPr>
          <w:bCs/>
          <w:b/>
        </w:rPr>
        <w:t xml:space="preserve">Version 3.0 extends the research with e-commerce validation through DWS10.com store implementation, Google Merchant Center integration, Revolut Business payment processing, and an audio chat evolution roadmap using Groq inference with Llama models.</w:t>
      </w:r>
    </w:p>
    <w:p>
      <w:pPr>
        <w:pStyle w:val="BodyText"/>
      </w:pPr>
      <w:r>
        <w:rPr>
          <w:bCs/>
          <w:b/>
        </w:rPr>
        <w:t xml:space="preserve">Keywords:</w:t>
      </w:r>
      <w:r>
        <w:t xml:space="preserve"> </w:t>
      </w:r>
      <w:r>
        <w:t xml:space="preserve">Artificial Intelligence, Edge Computing, Construction Industry, Operating Model, Cloud Services, E-Commerce, Google Merchant Center, Revolut Business, Audio Chat, EU AI Act Compliance</w:t>
      </w:r>
    </w:p>
    <w:p>
      <w:r>
        <w:pict>
          <v:rect style="width:0;height:1.5pt" o:hralign="center" o:hrstd="t" o:hr="t"/>
        </w:pict>
      </w:r>
    </w:p>
    <w:bookmarkEnd w:id="22"/>
    <w:bookmarkStart w:id="23" w:name="tiivistelma"/>
    <w:p>
      <w:pPr>
        <w:pStyle w:val="Heading2"/>
      </w:pPr>
      <w:r>
        <w:t xml:space="preserve">Tiivistelma</w:t>
      </w:r>
    </w:p>
    <w:p>
      <w:pPr>
        <w:pStyle w:val="FirstParagraph"/>
      </w:pPr>
      <w:r>
        <w:t xml:space="preserve">Tama opinnaytetyo tutkii Firehorse-tuotevalmistuksen toimintamallia, joka yhdistaa pilvi- ja reunalaskentateknologiat teollisten pk-yritysten tarpeisiin. Tyo keskittyy rakennusteollisuuteen ja sen haasteisiin EU:n kaksoissiirtymassa (digitaalinen + vihrea).</w:t>
      </w:r>
      <w:r>
        <w:t xml:space="preserve"> </w:t>
      </w:r>
      <w:r>
        <w:rPr>
          <w:bCs/>
          <w:b/>
        </w:rPr>
        <w:t xml:space="preserve">Versio 3.0 laajentaa tutkimusta verkkokauppavalidoinnilla DWS10.com-kaupan toteutuksen, Google Merchant Center -integraation, Revolut Business -maksukasittelyn ja aanichat-kehityssuunnitelman kautta Groq-inferenssia ja Llama-malleja kayttaen.</w:t>
      </w:r>
    </w:p>
    <w:p>
      <w:pPr>
        <w:pStyle w:val="BodyText"/>
      </w:pPr>
      <w:r>
        <w:rPr>
          <w:bCs/>
          <w:b/>
        </w:rPr>
        <w:t xml:space="preserve">Avainsanat:</w:t>
      </w:r>
      <w:r>
        <w:t xml:space="preserve"> </w:t>
      </w:r>
      <w:r>
        <w:t xml:space="preserve">Tekoaly, reunalaskenta, rakennusteollisuus, toimintamalli, pilvipalvelut, verkkokauppa, Google Merchant Center, Revolut Business, aanichat, EU:n tekoalysaados</w:t>
      </w:r>
    </w:p>
    <w:p>
      <w:r>
        <w:pict>
          <v:rect style="width:0;height:1.5pt" o:hralign="center" o:hrstd="t" o:hr="t"/>
        </w:pict>
      </w:r>
    </w:p>
    <w:bookmarkEnd w:id="23"/>
    <w:bookmarkStart w:id="25" w:name="ai-tool-usage-disclosure"/>
    <w:p>
      <w:pPr>
        <w:pStyle w:val="Heading2"/>
      </w:pPr>
      <w:r>
        <w:t xml:space="preserve">AI Tool Usage Disclosure</w:t>
      </w:r>
    </w:p>
    <w:p>
      <w:pPr>
        <w:pStyle w:val="FirstParagraph"/>
      </w:pPr>
      <w:r>
        <w:t xml:space="preserve">AI-assisted tools were used in the preparation of this thesis in accordance with transparency and academic integrity principles.</w:t>
      </w:r>
    </w:p>
    <w:p>
      <w:pPr>
        <w:pStyle w:val="BodyText"/>
      </w:pPr>
      <w:r>
        <w:rPr>
          <w:bCs/>
          <w:b/>
        </w:rPr>
        <w:t xml:space="preserve">Tools used:</w:t>
      </w:r>
    </w:p>
    <w:p>
      <w:pPr>
        <w:numPr>
          <w:ilvl w:val="0"/>
          <w:numId w:val="1004"/>
        </w:numPr>
        <w:pStyle w:val="Compact"/>
      </w:pPr>
      <w:r>
        <w:rPr>
          <w:bCs/>
          <w:b/>
        </w:rPr>
        <w:t xml:space="preserve">Claude Code (Anthropic Opus 4.5/4.6)</w:t>
      </w:r>
      <w:r>
        <w:t xml:space="preserve"> </w:t>
      </w:r>
      <w:r>
        <w:t xml:space="preserve">— DWS10 e-commerce store integration, documentation generation, V3 merge</w:t>
      </w:r>
    </w:p>
    <w:p>
      <w:pPr>
        <w:numPr>
          <w:ilvl w:val="0"/>
          <w:numId w:val="1004"/>
        </w:numPr>
        <w:pStyle w:val="Compact"/>
      </w:pPr>
      <w:r>
        <w:rPr>
          <w:bCs/>
          <w:b/>
        </w:rPr>
        <w:t xml:space="preserve">Claude (Anthropic)</w:t>
      </w:r>
      <w:r>
        <w:t xml:space="preserve"> </w:t>
      </w:r>
      <w:r>
        <w:t xml:space="preserve">— Text editing, structure review, language improvement</w:t>
      </w:r>
    </w:p>
    <w:p>
      <w:pPr>
        <w:numPr>
          <w:ilvl w:val="0"/>
          <w:numId w:val="1004"/>
        </w:numPr>
        <w:pStyle w:val="Compact"/>
      </w:pPr>
      <w:r>
        <w:rPr>
          <w:bCs/>
          <w:b/>
        </w:rPr>
        <w:t xml:space="preserve">Cursor AI</w:t>
      </w:r>
      <w:r>
        <w:t xml:space="preserve"> </w:t>
      </w:r>
      <w:r>
        <w:t xml:space="preserve">— Code documentation, technical section validation</w:t>
      </w:r>
    </w:p>
    <w:p>
      <w:pPr>
        <w:numPr>
          <w:ilvl w:val="0"/>
          <w:numId w:val="1004"/>
        </w:numPr>
        <w:pStyle w:val="Compact"/>
      </w:pPr>
      <w:r>
        <w:rPr>
          <w:bCs/>
          <w:b/>
        </w:rPr>
        <w:t xml:space="preserve">GitHub Copilot</w:t>
      </w:r>
      <w:r>
        <w:t xml:space="preserve"> </w:t>
      </w:r>
      <w:r>
        <w:t xml:space="preserve">— Code examples, technical documentation</w:t>
      </w:r>
    </w:p>
    <w:p>
      <w:pPr>
        <w:pStyle w:val="FirstParagraph"/>
      </w:pPr>
      <w:r>
        <w:rPr>
          <w:bCs/>
          <w:b/>
        </w:rPr>
        <w:t xml:space="preserve">AI’s role in documentation:</w:t>
      </w:r>
    </w:p>
    <w:p>
      <w:pPr>
        <w:numPr>
          <w:ilvl w:val="0"/>
          <w:numId w:val="1005"/>
        </w:numPr>
        <w:pStyle w:val="Compact"/>
      </w:pPr>
      <w:r>
        <w:t xml:space="preserve">Language review and improvement suggestions (FI/EN)</w:t>
      </w:r>
    </w:p>
    <w:p>
      <w:pPr>
        <w:numPr>
          <w:ilvl w:val="0"/>
          <w:numId w:val="1005"/>
        </w:numPr>
        <w:pStyle w:val="Compact"/>
      </w:pPr>
      <w:r>
        <w:t xml:space="preserve">Technical documentation structuring and harmonization</w:t>
      </w:r>
    </w:p>
    <w:p>
      <w:pPr>
        <w:numPr>
          <w:ilvl w:val="0"/>
          <w:numId w:val="1005"/>
        </w:numPr>
        <w:pStyle w:val="Compact"/>
      </w:pPr>
      <w:r>
        <w:t xml:space="preserve">Translation assistance Finnish-English</w:t>
      </w:r>
    </w:p>
    <w:p>
      <w:pPr>
        <w:numPr>
          <w:ilvl w:val="0"/>
          <w:numId w:val="1005"/>
        </w:numPr>
        <w:pStyle w:val="Compact"/>
      </w:pPr>
      <w:r>
        <w:t xml:space="preserve">Table and diagram formatting</w:t>
      </w:r>
    </w:p>
    <w:p>
      <w:pPr>
        <w:numPr>
          <w:ilvl w:val="0"/>
          <w:numId w:val="1005"/>
        </w:numPr>
        <w:pStyle w:val="Compact"/>
      </w:pPr>
      <w:r>
        <w:t xml:space="preserve">E-commerce maintenance manual generation</w:t>
      </w:r>
    </w:p>
    <w:p>
      <w:pPr>
        <w:pStyle w:val="FirstParagraph"/>
      </w:pPr>
      <w:r>
        <w:rPr>
          <w:bCs/>
          <w:b/>
        </w:rPr>
        <w:t xml:space="preserve">Author’s original contribution:</w:t>
      </w:r>
    </w:p>
    <w:p>
      <w:pPr>
        <w:numPr>
          <w:ilvl w:val="0"/>
          <w:numId w:val="1006"/>
        </w:numPr>
        <w:pStyle w:val="Compact"/>
      </w:pPr>
      <w:r>
        <w:t xml:space="preserve">All research questions, hypotheses, and conclusions</w:t>
      </w:r>
    </w:p>
    <w:p>
      <w:pPr>
        <w:numPr>
          <w:ilvl w:val="0"/>
          <w:numId w:val="1006"/>
        </w:numPr>
        <w:pStyle w:val="Compact"/>
      </w:pPr>
      <w:r>
        <w:t xml:space="preserve">Original content, argumentation, and analysis</w:t>
      </w:r>
    </w:p>
    <w:p>
      <w:pPr>
        <w:numPr>
          <w:ilvl w:val="0"/>
          <w:numId w:val="1006"/>
        </w:numPr>
        <w:pStyle w:val="Compact"/>
      </w:pPr>
      <w:r>
        <w:t xml:space="preserve">Live codebase and implementation (dws6 repository: 50,000+ LOC)</w:t>
      </w:r>
    </w:p>
    <w:p>
      <w:pPr>
        <w:numPr>
          <w:ilvl w:val="0"/>
          <w:numId w:val="1006"/>
        </w:numPr>
        <w:pStyle w:val="Compact"/>
      </w:pPr>
      <w:r>
        <w:t xml:space="preserve">Business model design and validation</w:t>
      </w:r>
    </w:p>
    <w:p>
      <w:pPr>
        <w:numPr>
          <w:ilvl w:val="0"/>
          <w:numId w:val="1006"/>
        </w:numPr>
        <w:pStyle w:val="Compact"/>
      </w:pPr>
      <w:r>
        <w:t xml:space="preserve">Customer interviews and data (Uber, Bolt, Kela — EUR 10k MRR)</w:t>
      </w:r>
    </w:p>
    <w:p>
      <w:pPr>
        <w:numPr>
          <w:ilvl w:val="0"/>
          <w:numId w:val="1006"/>
        </w:numPr>
        <w:pStyle w:val="Compact"/>
      </w:pPr>
      <w:r>
        <w:t xml:space="preserve">Solution Factory model and AgentFoundry architecture development</w:t>
      </w:r>
    </w:p>
    <w:p>
      <w:pPr>
        <w:numPr>
          <w:ilvl w:val="0"/>
          <w:numId w:val="1006"/>
        </w:numPr>
        <w:pStyle w:val="Compact"/>
      </w:pPr>
      <w:r>
        <w:t xml:space="preserve">DWS10.com e-commerce product catalog and integrations</w:t>
      </w:r>
    </w:p>
    <w:p>
      <w:pPr>
        <w:pStyle w:val="FirstParagraph"/>
      </w:pPr>
      <w:r>
        <w:rPr>
          <w:bCs/>
          <w:b/>
        </w:rPr>
        <w:t xml:space="preserve">Evidence base:</w:t>
      </w:r>
    </w:p>
    <w:p>
      <w:pPr>
        <w:numPr>
          <w:ilvl w:val="0"/>
          <w:numId w:val="1007"/>
        </w:numPr>
        <w:pStyle w:val="Compact"/>
      </w:pPr>
      <w:r>
        <w:t xml:space="preserve">Git version history:</w:t>
      </w:r>
      <w:r>
        <w:t xml:space="preserve"> </w:t>
      </w:r>
      <w:hyperlink r:id="rId24">
        <w:r>
          <w:rPr>
            <w:rStyle w:val="Hyperlink"/>
          </w:rPr>
          <w:t xml:space="preserve">github.com/blogtheristo/dws6</w:t>
        </w:r>
      </w:hyperlink>
    </w:p>
    <w:p>
      <w:pPr>
        <w:numPr>
          <w:ilvl w:val="0"/>
          <w:numId w:val="1007"/>
        </w:numPr>
        <w:pStyle w:val="Compact"/>
      </w:pPr>
      <w:r>
        <w:t xml:space="preserve">Live customer validation: EUR 10,000+ MRR</w:t>
      </w:r>
    </w:p>
    <w:p>
      <w:pPr>
        <w:numPr>
          <w:ilvl w:val="0"/>
          <w:numId w:val="1007"/>
        </w:numPr>
        <w:pStyle w:val="Compact"/>
      </w:pPr>
      <w:r>
        <w:t xml:space="preserve">Working system: DWS10.com, DWS6.com, onelifetime.world, lifetime.fi</w:t>
      </w:r>
    </w:p>
    <w:p>
      <w:pPr>
        <w:numPr>
          <w:ilvl w:val="0"/>
          <w:numId w:val="1007"/>
        </w:numPr>
        <w:pStyle w:val="Compact"/>
      </w:pPr>
      <w:r>
        <w:t xml:space="preserve">Google Merchant Center: Account 8496329, 30 products approved</w:t>
      </w:r>
    </w:p>
    <w:p>
      <w:r>
        <w:pict>
          <v:rect style="width:0;height:1.5pt" o:hralign="center" o:hrstd="t" o:hr="t"/>
        </w:pict>
      </w:r>
    </w:p>
    <w:bookmarkEnd w:id="25"/>
    <w:bookmarkEnd w:id="26"/>
    <w:bookmarkStart w:id="27" w:name="table-of-contents"/>
    <w:p>
      <w:pPr>
        <w:pStyle w:val="Heading1"/>
      </w:pPr>
      <w:r>
        <w:t xml:space="preserve">Table of Contents</w:t>
      </w:r>
    </w:p>
    <w:p>
      <w:pPr>
        <w:numPr>
          <w:ilvl w:val="0"/>
          <w:numId w:val="1008"/>
        </w:numPr>
        <w:pStyle w:val="Compact"/>
      </w:pPr>
      <w:hyperlink w:anchor="Xe3d0fc0bea9a42ce7605565d0964033d7f6ee47">
        <w:r>
          <w:rPr>
            <w:rStyle w:val="Hyperlink"/>
          </w:rPr>
          <w:t xml:space="preserve">Introduction</w:t>
        </w:r>
      </w:hyperlink>
    </w:p>
    <w:p>
      <w:pPr>
        <w:numPr>
          <w:ilvl w:val="0"/>
          <w:numId w:val="1008"/>
        </w:numPr>
        <w:pStyle w:val="Compact"/>
      </w:pPr>
      <w:hyperlink w:anchor="X0d367b1edd1e6cb2f835f9b794fc1341b7723dd">
        <w:r>
          <w:rPr>
            <w:rStyle w:val="Hyperlink"/>
          </w:rPr>
          <w:t xml:space="preserve">Theoretical Framework</w:t>
        </w:r>
      </w:hyperlink>
    </w:p>
    <w:p>
      <w:pPr>
        <w:numPr>
          <w:ilvl w:val="0"/>
          <w:numId w:val="1008"/>
        </w:numPr>
        <w:pStyle w:val="Compact"/>
      </w:pPr>
      <w:hyperlink w:anchor="X9dbdde364144146c097b503be74725a4bdb84dd">
        <w:r>
          <w:rPr>
            <w:rStyle w:val="Hyperlink"/>
          </w:rPr>
          <w:t xml:space="preserve">Current State Analysis</w:t>
        </w:r>
      </w:hyperlink>
    </w:p>
    <w:p>
      <w:pPr>
        <w:numPr>
          <w:ilvl w:val="0"/>
          <w:numId w:val="1008"/>
        </w:numPr>
        <w:pStyle w:val="Compact"/>
      </w:pPr>
      <w:hyperlink w:anchor="Xd696a447ada39aeae08e61a22c48a1c7b05213c">
        <w:r>
          <w:rPr>
            <w:rStyle w:val="Hyperlink"/>
          </w:rPr>
          <w:t xml:space="preserve">DWS6 Operating Model Design</w:t>
        </w:r>
      </w:hyperlink>
    </w:p>
    <w:p>
      <w:pPr>
        <w:numPr>
          <w:ilvl w:val="0"/>
          <w:numId w:val="1008"/>
        </w:numPr>
        <w:pStyle w:val="Compact"/>
      </w:pPr>
      <w:hyperlink w:anchor="X84fd9ef713f3174dd65965a39b1c268df904512">
        <w:r>
          <w:rPr>
            <w:rStyle w:val="Hyperlink"/>
          </w:rPr>
          <w:t xml:space="preserve">Implementation (MVP Phase)</w:t>
        </w:r>
      </w:hyperlink>
    </w:p>
    <w:p>
      <w:pPr>
        <w:numPr>
          <w:ilvl w:val="0"/>
          <w:numId w:val="1008"/>
        </w:numPr>
        <w:pStyle w:val="Compact"/>
      </w:pPr>
      <w:hyperlink w:anchor="Xe6f964be2cde8351406a0c70a89ee426c77aaa5">
        <w:r>
          <w:rPr>
            <w:rStyle w:val="Hyperlink"/>
          </w:rPr>
          <w:t xml:space="preserve">DWS10.com E-Commerce Integration</w:t>
        </w:r>
      </w:hyperlink>
    </w:p>
    <w:p>
      <w:pPr>
        <w:numPr>
          <w:ilvl w:val="0"/>
          <w:numId w:val="1008"/>
        </w:numPr>
        <w:pStyle w:val="Compact"/>
      </w:pPr>
      <w:hyperlink w:anchor="Xf3db8f008c89ae333f0ba87a013816da45c9f07">
        <w:r>
          <w:rPr>
            <w:rStyle w:val="Hyperlink"/>
          </w:rPr>
          <w:t xml:space="preserve">Audio Chat Evolution Roadmap</w:t>
        </w:r>
      </w:hyperlink>
    </w:p>
    <w:p>
      <w:pPr>
        <w:numPr>
          <w:ilvl w:val="0"/>
          <w:numId w:val="1008"/>
        </w:numPr>
        <w:pStyle w:val="Compact"/>
      </w:pPr>
      <w:hyperlink w:anchor="X99f588f1bb9238f35429359605206a2b2b2da26">
        <w:r>
          <w:rPr>
            <w:rStyle w:val="Hyperlink"/>
          </w:rPr>
          <w:t xml:space="preserve">Results and Analysis</w:t>
        </w:r>
      </w:hyperlink>
    </w:p>
    <w:p>
      <w:pPr>
        <w:numPr>
          <w:ilvl w:val="0"/>
          <w:numId w:val="1008"/>
        </w:numPr>
        <w:pStyle w:val="Compact"/>
      </w:pPr>
      <w:hyperlink w:anchor="X7c81bf03759b1b00759d96e3a328e2270cfccbb">
        <w:r>
          <w:rPr>
            <w:rStyle w:val="Hyperlink"/>
          </w:rPr>
          <w:t xml:space="preserve">Discussion</w:t>
        </w:r>
      </w:hyperlink>
    </w:p>
    <w:p>
      <w:pPr>
        <w:numPr>
          <w:ilvl w:val="0"/>
          <w:numId w:val="1008"/>
        </w:numPr>
        <w:pStyle w:val="Compact"/>
      </w:pPr>
      <w:hyperlink w:anchor="Xc08366fdd8ce4bba8e9450d31be506a2b934a79">
        <w:r>
          <w:rPr>
            <w:rStyle w:val="Hyperlink"/>
          </w:rPr>
          <w:t xml:space="preserve">Conclusions</w:t>
        </w:r>
      </w:hyperlink>
    </w:p>
    <w:p>
      <w:pPr>
        <w:numPr>
          <w:ilvl w:val="0"/>
          <w:numId w:val="1008"/>
        </w:numPr>
        <w:pStyle w:val="Compact"/>
      </w:pPr>
      <w:hyperlink w:anchor="X726793783ba4ae7f9802481ba226d33bdbc715c">
        <w:r>
          <w:rPr>
            <w:rStyle w:val="Hyperlink"/>
          </w:rPr>
          <w:t xml:space="preserve">References</w:t>
        </w:r>
      </w:hyperlink>
    </w:p>
    <w:p>
      <w:pPr>
        <w:numPr>
          <w:ilvl w:val="0"/>
          <w:numId w:val="1008"/>
        </w:numPr>
        <w:pStyle w:val="Compact"/>
      </w:pPr>
      <w:hyperlink w:anchor="X30bfd1d3686d43b794f9c4bf827135f99f553e6">
        <w:r>
          <w:rPr>
            <w:rStyle w:val="Hyperlink"/>
          </w:rPr>
          <w:t xml:space="preserve">Appendices</w:t>
        </w:r>
      </w:hyperlink>
    </w:p>
    <w:p>
      <w:r>
        <w:pict>
          <v:rect style="width:0;height:1.5pt" o:hralign="center" o:hrstd="t" o:hr="t"/>
        </w:pict>
      </w:r>
    </w:p>
    <w:bookmarkEnd w:id="27"/>
    <w:bookmarkStart w:id="35" w:name="introduction"/>
    <w:p>
      <w:pPr>
        <w:pStyle w:val="Heading1"/>
      </w:pPr>
      <w:r>
        <w:t xml:space="preserve">1. Introduction</w:t>
      </w:r>
    </w:p>
    <w:bookmarkStart w:id="28" w:name="background"/>
    <w:p>
      <w:pPr>
        <w:pStyle w:val="Heading2"/>
      </w:pPr>
      <w:r>
        <w:t xml:space="preserve">1.1 Background</w:t>
      </w:r>
    </w:p>
    <w:p>
      <w:pPr>
        <w:pStyle w:val="FirstParagraph"/>
      </w:pPr>
      <w:r>
        <w:t xml:space="preserve">European industrial SMEs face a</w:t>
      </w:r>
      <w:r>
        <w:t xml:space="preserve"> </w:t>
      </w:r>
      <w:r>
        <w:t xml:space="preserve">“</w:t>
      </w:r>
      <w:r>
        <w:t xml:space="preserve">twin transition</w:t>
      </w:r>
      <w:r>
        <w:t xml:space="preserve">”</w:t>
      </w:r>
      <w:r>
        <w:t xml:space="preserve"> </w:t>
      </w:r>
      <w:r>
        <w:t xml:space="preserve">challenge:</w:t>
      </w:r>
    </w:p>
    <w:p>
      <w:pPr>
        <w:numPr>
          <w:ilvl w:val="0"/>
          <w:numId w:val="1009"/>
        </w:numPr>
        <w:pStyle w:val="Compact"/>
      </w:pPr>
      <w:r>
        <w:rPr>
          <w:bCs/>
          <w:b/>
        </w:rPr>
        <w:t xml:space="preserve">Digital transformation</w:t>
      </w:r>
      <w:r>
        <w:t xml:space="preserve">: AI, automation, real-time decision-making</w:t>
      </w:r>
    </w:p>
    <w:p>
      <w:pPr>
        <w:numPr>
          <w:ilvl w:val="0"/>
          <w:numId w:val="1009"/>
        </w:numPr>
        <w:pStyle w:val="Compact"/>
      </w:pPr>
      <w:r>
        <w:rPr>
          <w:bCs/>
          <w:b/>
        </w:rPr>
        <w:t xml:space="preserve">Green transformation</w:t>
      </w:r>
      <w:r>
        <w:t xml:space="preserve">: EU Fit for 55 (55% emissions reduction by 2030), embodied carbon mandates by 2028</w:t>
      </w:r>
    </w:p>
    <w:p>
      <w:pPr>
        <w:pStyle w:val="FirstParagraph"/>
      </w:pPr>
      <w:r>
        <w:t xml:space="preserve">Traditional SaaS platforms fail because they:</w:t>
      </w:r>
    </w:p>
    <w:p>
      <w:pPr>
        <w:numPr>
          <w:ilvl w:val="0"/>
          <w:numId w:val="1010"/>
        </w:numPr>
        <w:pStyle w:val="Compact"/>
      </w:pPr>
      <w:r>
        <w:t xml:space="preserve">Cost EUR 1,400+/month (unaffordable for SMEs)</w:t>
      </w:r>
    </w:p>
    <w:p>
      <w:pPr>
        <w:numPr>
          <w:ilvl w:val="0"/>
          <w:numId w:val="1010"/>
        </w:numPr>
        <w:pStyle w:val="Compact"/>
      </w:pPr>
      <w:r>
        <w:t xml:space="preserve">Require cloud-only architecture (high latency, high operational costs)</w:t>
      </w:r>
    </w:p>
    <w:p>
      <w:pPr>
        <w:numPr>
          <w:ilvl w:val="0"/>
          <w:numId w:val="1010"/>
        </w:numPr>
        <w:pStyle w:val="Compact"/>
      </w:pPr>
      <w:r>
        <w:t xml:space="preserve">Do not address industry-specific compliance workflows</w:t>
      </w:r>
    </w:p>
    <w:p>
      <w:pPr>
        <w:pStyle w:val="FirstParagraph"/>
      </w:pPr>
      <w:r>
        <w:rPr>
          <w:bCs/>
          <w:b/>
        </w:rPr>
        <w:t xml:space="preserve">Firehorse (DWS6)</w:t>
      </w:r>
      <w:r>
        <w:t xml:space="preserve"> </w:t>
      </w:r>
      <w:r>
        <w:t xml:space="preserve">solves this with a novel operating model combining:</w:t>
      </w:r>
    </w:p>
    <w:p>
      <w:pPr>
        <w:numPr>
          <w:ilvl w:val="0"/>
          <w:numId w:val="1011"/>
        </w:numPr>
        <w:pStyle w:val="Compact"/>
      </w:pPr>
      <w:r>
        <w:t xml:space="preserve">Free-tier cloud infrastructure (EUR 0-350/month vs EUR 1,400+)</w:t>
      </w:r>
    </w:p>
    <w:p>
      <w:pPr>
        <w:numPr>
          <w:ilvl w:val="0"/>
          <w:numId w:val="1011"/>
        </w:numPr>
        <w:pStyle w:val="Compact"/>
      </w:pPr>
      <w:r>
        <w:t xml:space="preserve">Edge AI (NVIDIA Jetson) for &lt;100ms inference</w:t>
      </w:r>
    </w:p>
    <w:p>
      <w:pPr>
        <w:numPr>
          <w:ilvl w:val="0"/>
          <w:numId w:val="1011"/>
        </w:numPr>
        <w:pStyle w:val="Compact"/>
      </w:pPr>
      <w:r>
        <w:t xml:space="preserve">Industry-specific AI agents (Construction, Manufacturing, Energy)</w:t>
      </w:r>
    </w:p>
    <w:p>
      <w:pPr>
        <w:numPr>
          <w:ilvl w:val="0"/>
          <w:numId w:val="1011"/>
        </w:numPr>
        <w:pStyle w:val="Compact"/>
      </w:pPr>
      <w:r>
        <w:t xml:space="preserve">Phased deployment (Silent Pilot -&gt; Advisor -&gt; Autonomous)</w:t>
      </w:r>
    </w:p>
    <w:p>
      <w:pPr>
        <w:numPr>
          <w:ilvl w:val="0"/>
          <w:numId w:val="1011"/>
        </w:numPr>
        <w:pStyle w:val="Compact"/>
      </w:pPr>
      <w:r>
        <w:rPr>
          <w:bCs/>
          <w:b/>
        </w:rPr>
        <w:t xml:space="preserve">E-commerce validation through DWS10.com, Google Merchant Center, and Revolut Business</w:t>
      </w:r>
      <w:r>
        <w:t xml:space="preserve"> </w:t>
      </w:r>
      <w:r>
        <w:t xml:space="preserve">[V3.0]</w:t>
      </w:r>
    </w:p>
    <w:bookmarkEnd w:id="28"/>
    <w:bookmarkStart w:id="29" w:name="research-problem"/>
    <w:p>
      <w:pPr>
        <w:pStyle w:val="Heading2"/>
      </w:pPr>
      <w:r>
        <w:t xml:space="preserve">1.2 Research Problem</w:t>
      </w:r>
    </w:p>
    <w:p>
      <w:pPr>
        <w:pStyle w:val="FirstParagraph"/>
      </w:pPr>
      <w:r>
        <w:rPr>
          <w:bCs/>
          <w:b/>
        </w:rPr>
        <w:t xml:space="preserve">Primary Research Question:</w:t>
      </w:r>
      <w:r>
        <w:t xml:space="preserve"> </w:t>
      </w:r>
      <w:r>
        <w:t xml:space="preserve">How can a bootstrapped industrial AI platform achieve product-market fit through a hybrid cloud-edge operating model while maintaining &lt;EUR 400/month operational costs?</w:t>
      </w:r>
    </w:p>
    <w:p>
      <w:pPr>
        <w:pStyle w:val="BodyText"/>
      </w:pPr>
      <w:r>
        <w:rPr>
          <w:bCs/>
          <w:b/>
        </w:rPr>
        <w:t xml:space="preserve">Secondary Research Questions:</w:t>
      </w:r>
    </w:p>
    <w:p>
      <w:pPr>
        <w:numPr>
          <w:ilvl w:val="0"/>
          <w:numId w:val="1012"/>
        </w:numPr>
      </w:pPr>
      <w:r>
        <w:rPr>
          <w:bCs/>
          <w:b/>
        </w:rPr>
        <w:t xml:space="preserve">Product &amp; Business Model:</w:t>
      </w:r>
      <w:r>
        <w:t xml:space="preserve"> </w:t>
      </w:r>
      <w:r>
        <w:t xml:space="preserve">How to develop a customer promise that solves a real problem and scales internationally?</w:t>
      </w:r>
    </w:p>
    <w:p>
      <w:pPr>
        <w:numPr>
          <w:ilvl w:val="0"/>
          <w:numId w:val="1012"/>
        </w:numPr>
      </w:pPr>
      <w:r>
        <w:rPr>
          <w:bCs/>
          <w:b/>
        </w:rPr>
        <w:t xml:space="preserve">Technology:</w:t>
      </w:r>
      <w:r>
        <w:t xml:space="preserve"> </w:t>
      </w:r>
      <w:r>
        <w:t xml:space="preserve">How to build a digital, scalable service product that operates across cloud + edge + e-commerce?</w:t>
      </w:r>
    </w:p>
    <w:p>
      <w:pPr>
        <w:numPr>
          <w:ilvl w:val="0"/>
          <w:numId w:val="1012"/>
        </w:numPr>
      </w:pPr>
      <w:r>
        <w:rPr>
          <w:bCs/>
          <w:b/>
        </w:rPr>
        <w:t xml:space="preserve">Technical Solution Evaluation:</w:t>
      </w:r>
      <w:r>
        <w:t xml:space="preserve"> </w:t>
      </w:r>
      <w:r>
        <w:t xml:space="preserve">Which technical solution best supports business objectives?</w:t>
      </w:r>
    </w:p>
    <w:p>
      <w:pPr>
        <w:numPr>
          <w:ilvl w:val="0"/>
          <w:numId w:val="1012"/>
        </w:numPr>
      </w:pPr>
      <w:r>
        <w:rPr>
          <w:bCs/>
          <w:b/>
        </w:rPr>
        <w:t xml:space="preserve">Enterprise Security:</w:t>
      </w:r>
      <w:r>
        <w:t xml:space="preserve"> </w:t>
      </w:r>
      <w:r>
        <w:t xml:space="preserve">How to ensure NIS 2, EU AI Act, GDPR, and Cybersecurity Act compliance?</w:t>
      </w:r>
    </w:p>
    <w:p>
      <w:pPr>
        <w:numPr>
          <w:ilvl w:val="0"/>
          <w:numId w:val="1012"/>
        </w:numPr>
      </w:pPr>
      <w:r>
        <w:rPr>
          <w:bCs/>
          <w:b/>
        </w:rPr>
        <w:t xml:space="preserve">E-Commerce Validation:</w:t>
      </w:r>
      <w:r>
        <w:t xml:space="preserve"> </w:t>
      </w:r>
      <w:r>
        <w:t xml:space="preserve">How can an automated store with AI-assisted operations validate product-market fit? [V3.0]</w:t>
      </w:r>
    </w:p>
    <w:bookmarkEnd w:id="29"/>
    <w:bookmarkStart w:id="30" w:name="objectives"/>
    <w:p>
      <w:pPr>
        <w:pStyle w:val="Heading2"/>
      </w:pPr>
      <w:r>
        <w:t xml:space="preserve">1.3 Objectives</w:t>
      </w:r>
    </w:p>
    <w:p>
      <w:pPr>
        <w:numPr>
          <w:ilvl w:val="0"/>
          <w:numId w:val="1013"/>
        </w:numPr>
        <w:pStyle w:val="Compact"/>
      </w:pPr>
      <w:r>
        <w:t xml:space="preserve">Document the Firehorse operating model (MVP -&gt; V1)</w:t>
      </w:r>
    </w:p>
    <w:p>
      <w:pPr>
        <w:numPr>
          <w:ilvl w:val="0"/>
          <w:numId w:val="1013"/>
        </w:numPr>
        <w:pStyle w:val="Compact"/>
      </w:pPr>
      <w:r>
        <w:t xml:space="preserve">Validate the free-tier cost model (EUR 0/month target)</w:t>
      </w:r>
    </w:p>
    <w:p>
      <w:pPr>
        <w:numPr>
          <w:ilvl w:val="0"/>
          <w:numId w:val="1013"/>
        </w:numPr>
        <w:pStyle w:val="Compact"/>
      </w:pPr>
      <w:r>
        <w:t xml:space="preserve">Measure customer benefit (&lt;=2 month payback period)</w:t>
      </w:r>
    </w:p>
    <w:p>
      <w:pPr>
        <w:numPr>
          <w:ilvl w:val="0"/>
          <w:numId w:val="1013"/>
        </w:numPr>
        <w:pStyle w:val="Compact"/>
      </w:pPr>
      <w:r>
        <w:t xml:space="preserve">Create a replicable model for other industrial startups</w:t>
      </w:r>
    </w:p>
    <w:p>
      <w:pPr>
        <w:numPr>
          <w:ilvl w:val="0"/>
          <w:numId w:val="1013"/>
        </w:numPr>
        <w:pStyle w:val="Compact"/>
      </w:pPr>
      <w:r>
        <w:rPr>
          <w:bCs/>
          <w:b/>
        </w:rPr>
        <w:t xml:space="preserve">Validate e-commerce channel with Google Merchant Center integration</w:t>
      </w:r>
      <w:r>
        <w:t xml:space="preserve"> </w:t>
      </w:r>
      <w:r>
        <w:t xml:space="preserve">[V3.0]</w:t>
      </w:r>
    </w:p>
    <w:bookmarkEnd w:id="30"/>
    <w:bookmarkStart w:id="32" w:name="scope"/>
    <w:p>
      <w:pPr>
        <w:pStyle w:val="Heading2"/>
      </w:pPr>
      <w:r>
        <w:t xml:space="preserve">1.4 Scope</w:t>
      </w:r>
    </w:p>
    <w:p>
      <w:pPr>
        <w:numPr>
          <w:ilvl w:val="0"/>
          <w:numId w:val="1014"/>
        </w:numPr>
        <w:pStyle w:val="Compact"/>
      </w:pPr>
      <w:r>
        <w:rPr>
          <w:bCs/>
          <w:b/>
        </w:rPr>
        <w:t xml:space="preserve">Industry:</w:t>
      </w:r>
      <w:r>
        <w:t xml:space="preserve"> </w:t>
      </w:r>
      <w:r>
        <w:t xml:space="preserve">Construction industry (3.5M companies in Europe) + 15 other EU industries</w:t>
      </w:r>
    </w:p>
    <w:p>
      <w:pPr>
        <w:numPr>
          <w:ilvl w:val="0"/>
          <w:numId w:val="1014"/>
        </w:numPr>
        <w:pStyle w:val="Compact"/>
      </w:pPr>
      <w:r>
        <w:rPr>
          <w:bCs/>
          <w:b/>
        </w:rPr>
        <w:t xml:space="preserve">Market:</w:t>
      </w:r>
      <w:r>
        <w:t xml:space="preserve"> </w:t>
      </w:r>
      <w:r>
        <w:t xml:space="preserve">Nordics + Central and Eastern Europe</w:t>
      </w:r>
    </w:p>
    <w:p>
      <w:pPr>
        <w:numPr>
          <w:ilvl w:val="0"/>
          <w:numId w:val="1014"/>
        </w:numPr>
        <w:pStyle w:val="Compact"/>
      </w:pPr>
      <w:r>
        <w:rPr>
          <w:bCs/>
          <w:b/>
        </w:rPr>
        <w:t xml:space="preserve">Timeframe:</w:t>
      </w:r>
      <w:r>
        <w:t xml:space="preserve"> </w:t>
      </w:r>
      <w:r>
        <w:t xml:space="preserve">MVP phase (December 2025 - February 2026)</w:t>
      </w:r>
    </w:p>
    <w:p>
      <w:pPr>
        <w:numPr>
          <w:ilvl w:val="0"/>
          <w:numId w:val="1014"/>
        </w:numPr>
        <w:pStyle w:val="Compact"/>
      </w:pPr>
      <w:r>
        <w:rPr>
          <w:bCs/>
          <w:b/>
        </w:rPr>
        <w:t xml:space="preserve">Customers:</w:t>
      </w:r>
      <w:r>
        <w:t xml:space="preserve"> </w:t>
      </w:r>
      <w:r>
        <w:t xml:space="preserve">5 pilot customers (EUR 10-100M revenue)</w:t>
      </w:r>
    </w:p>
    <w:p>
      <w:pPr>
        <w:numPr>
          <w:ilvl w:val="0"/>
          <w:numId w:val="1014"/>
        </w:numPr>
        <w:pStyle w:val="Compact"/>
      </w:pPr>
      <w:r>
        <w:rPr>
          <w:bCs/>
          <w:b/>
        </w:rPr>
        <w:t xml:space="preserve">E-commerce:</w:t>
      </w:r>
      <w:r>
        <w:t xml:space="preserve"> </w:t>
      </w:r>
      <w:r>
        <w:t xml:space="preserve">30 products across platform, software, and service categories [V3.0]</w:t>
      </w:r>
    </w:p>
    <w:bookmarkStart w:id="31" w:name="content-scope-rule-v3.55"/>
    <w:p>
      <w:pPr>
        <w:pStyle w:val="Heading3"/>
      </w:pPr>
      <w:r>
        <w:t xml:space="preserve">Content Scope Rule (v3.55)</w:t>
      </w:r>
    </w:p>
    <w:p>
      <w:pPr>
        <w:pStyle w:val="FirstParagraph"/>
      </w:pPr>
      <w:r>
        <w:t xml:space="preserve">This thesis is</w:t>
      </w:r>
      <w:r>
        <w:t xml:space="preserve"> </w:t>
      </w:r>
      <w:r>
        <w:rPr>
          <w:bCs/>
          <w:b/>
        </w:rPr>
        <w:t xml:space="preserve">product- and implementation-focused</w:t>
      </w:r>
      <w:r>
        <w:t xml:space="preserve">. Its content is tightly coupled to the current and next DWS IQ product version. It documents engineering decisions, architecture, pull requests, and measurable operational results.</w:t>
      </w:r>
    </w:p>
    <w:p>
      <w:pPr>
        <w:pStyle w:val="BodyText"/>
      </w:pPr>
      <w:r>
        <w:rPr>
          <w:bCs/>
          <w:b/>
        </w:rPr>
        <w:t xml:space="preserve">This thesis does NOT contain:</w:t>
      </w:r>
    </w:p>
    <w:p>
      <w:pPr>
        <w:numPr>
          <w:ilvl w:val="0"/>
          <w:numId w:val="1015"/>
        </w:numPr>
        <w:pStyle w:val="Compact"/>
      </w:pPr>
      <w:r>
        <w:t xml:space="preserve">Market intelligence or competitive signals</w:t>
      </w:r>
    </w:p>
    <w:p>
      <w:pPr>
        <w:numPr>
          <w:ilvl w:val="0"/>
          <w:numId w:val="1015"/>
        </w:numPr>
        <w:pStyle w:val="Compact"/>
      </w:pPr>
      <w:r>
        <w:t xml:space="preserve">Long-horizon roadmap speculation (beyond next product version)</w:t>
      </w:r>
    </w:p>
    <w:p>
      <w:pPr>
        <w:numPr>
          <w:ilvl w:val="0"/>
          <w:numId w:val="1015"/>
        </w:numPr>
        <w:pStyle w:val="Compact"/>
      </w:pPr>
      <w:r>
        <w:t xml:space="preserve">Scientific framing, standardization body activity, or research-program positioning</w:t>
      </w:r>
    </w:p>
    <w:p>
      <w:pPr>
        <w:pStyle w:val="FirstParagraph"/>
      </w:pPr>
      <w:r>
        <w:t xml:space="preserve">Those belong in the PhD thesis (</w:t>
      </w:r>
      <w:r>
        <w:rPr>
          <w:rStyle w:val="VerbatimChar"/>
        </w:rPr>
        <w:t xml:space="preserve">PHD_FIREHORSE_EN.md</w:t>
      </w:r>
      <w:r>
        <w:t xml:space="preserve"> </w:t>
      </w:r>
      <w:r>
        <w:t xml:space="preserve">/</w:t>
      </w:r>
      <w:r>
        <w:t xml:space="preserve"> </w:t>
      </w:r>
      <w:r>
        <w:rPr>
          <w:rStyle w:val="VerbatimChar"/>
        </w:rPr>
        <w:t xml:space="preserve">PHD_FIREHORSE_FI.md</w:t>
      </w:r>
      <w:r>
        <w:t xml:space="preserve">).</w:t>
      </w:r>
    </w:p>
    <w:bookmarkEnd w:id="31"/>
    <w:bookmarkEnd w:id="32"/>
    <w:bookmarkStart w:id="33" w:name="key-concepts"/>
    <w:p>
      <w:pPr>
        <w:pStyle w:val="Heading2"/>
      </w:pPr>
      <w:r>
        <w:t xml:space="preserve">1.5 Key Concepts</w:t>
      </w:r>
    </w:p>
    <w:tbl>
      <w:tblPr>
        <w:tblStyle w:val="Table"/>
        <w:tblW w:type="pct" w:w="5000"/>
        <w:tblLook w:firstRow="1" w:lastRow="0" w:firstColumn="0" w:lastColumn="0" w:noHBand="0" w:noVBand="0" w:val="0020"/>
        <w:jc w:val="start"/>
      </w:tblPr>
      <w:tblGrid>
        <w:gridCol w:w="1635"/>
        <w:gridCol w:w="6284"/>
      </w:tblGrid>
      <w:tr>
        <w:trPr>
          <w:tblHeader w:val="true"/>
        </w:trPr>
        <w:tc>
          <w:tcPr/>
          <w:p>
            <w:pPr>
              <w:pStyle w:val="Compact"/>
              <w:jc w:val="left"/>
            </w:pPr>
            <w:r>
              <w:t xml:space="preserve">Concept</w:t>
            </w:r>
          </w:p>
        </w:tc>
        <w:tc>
          <w:tcPr/>
          <w:p>
            <w:pPr>
              <w:pStyle w:val="Compact"/>
              <w:jc w:val="left"/>
            </w:pPr>
            <w:r>
              <w:t xml:space="preserve">Definition</w:t>
            </w:r>
          </w:p>
        </w:tc>
      </w:tr>
      <w:tr>
        <w:tc>
          <w:tcPr/>
          <w:p>
            <w:pPr>
              <w:pStyle w:val="Compact"/>
              <w:jc w:val="left"/>
            </w:pPr>
            <w:r>
              <w:rPr>
                <w:bCs/>
                <w:b/>
              </w:rPr>
              <w:t xml:space="preserve">MVP</w:t>
            </w:r>
          </w:p>
        </w:tc>
        <w:tc>
          <w:tcPr/>
          <w:p>
            <w:pPr>
              <w:pStyle w:val="Compact"/>
              <w:jc w:val="left"/>
            </w:pPr>
            <w:r>
              <w:t xml:space="preserve">Minimum Viable Product - The smallest functional product</w:t>
            </w:r>
          </w:p>
        </w:tc>
      </w:tr>
      <w:tr>
        <w:tc>
          <w:tcPr/>
          <w:p>
            <w:pPr>
              <w:pStyle w:val="Compact"/>
              <w:jc w:val="left"/>
            </w:pPr>
            <w:r>
              <w:rPr>
                <w:bCs/>
                <w:b/>
              </w:rPr>
              <w:t xml:space="preserve">Edge AI</w:t>
            </w:r>
          </w:p>
        </w:tc>
        <w:tc>
          <w:tcPr/>
          <w:p>
            <w:pPr>
              <w:pStyle w:val="Compact"/>
              <w:jc w:val="left"/>
            </w:pPr>
            <w:r>
              <w:t xml:space="preserve">Artificial intelligence that runs on-device (no cloud connection)</w:t>
            </w:r>
          </w:p>
        </w:tc>
      </w:tr>
      <w:tr>
        <w:tc>
          <w:tcPr/>
          <w:p>
            <w:pPr>
              <w:pStyle w:val="Compact"/>
              <w:jc w:val="left"/>
            </w:pPr>
            <w:r>
              <w:rPr>
                <w:bCs/>
                <w:b/>
              </w:rPr>
              <w:t xml:space="preserve">SaaS</w:t>
            </w:r>
          </w:p>
        </w:tc>
        <w:tc>
          <w:tcPr/>
          <w:p>
            <w:pPr>
              <w:pStyle w:val="Compact"/>
              <w:jc w:val="left"/>
            </w:pPr>
            <w:r>
              <w:t xml:space="preserve">Software as a Service</w:t>
            </w:r>
          </w:p>
        </w:tc>
      </w:tr>
      <w:tr>
        <w:tc>
          <w:tcPr/>
          <w:p>
            <w:pPr>
              <w:pStyle w:val="Compact"/>
              <w:jc w:val="left"/>
            </w:pPr>
            <w:r>
              <w:rPr>
                <w:bCs/>
                <w:b/>
              </w:rPr>
              <w:t xml:space="preserve">DWS6</w:t>
            </w:r>
          </w:p>
        </w:tc>
        <w:tc>
          <w:tcPr/>
          <w:p>
            <w:pPr>
              <w:pStyle w:val="Compact"/>
              <w:jc w:val="left"/>
            </w:pPr>
            <w:r>
              <w:t xml:space="preserve">Digital Work System 6 - Technical name for the Firehorse platform</w:t>
            </w:r>
          </w:p>
        </w:tc>
      </w:tr>
      <w:tr>
        <w:tc>
          <w:tcPr/>
          <w:p>
            <w:pPr>
              <w:pStyle w:val="Compact"/>
              <w:jc w:val="left"/>
            </w:pPr>
            <w:r>
              <w:rPr>
                <w:bCs/>
                <w:b/>
              </w:rPr>
              <w:t xml:space="preserve">Embodied Carbon</w:t>
            </w:r>
          </w:p>
        </w:tc>
        <w:tc>
          <w:tcPr/>
          <w:p>
            <w:pPr>
              <w:pStyle w:val="Compact"/>
              <w:jc w:val="left"/>
            </w:pPr>
            <w:r>
              <w:t xml:space="preserve">Emissions from the manufacturing and transportation of building materials</w:t>
            </w:r>
          </w:p>
        </w:tc>
      </w:tr>
    </w:tbl>
    <w:bookmarkEnd w:id="33"/>
    <w:bookmarkStart w:id="34" w:name="X2099ab195dded87116c2c363c0211db4e08ed5e"/>
    <w:p>
      <w:pPr>
        <w:pStyle w:val="Heading2"/>
      </w:pPr>
      <w:r>
        <w:t xml:space="preserve">1.6 Ontology — Etymology and Philosophical Background</w:t>
      </w:r>
    </w:p>
    <w:p>
      <w:pPr>
        <w:pStyle w:val="FirstParagraph"/>
      </w:pPr>
      <w:r>
        <w:t xml:space="preserve">The Firehorse platform’s data and reasoning layer is structured around a formal ontology — the DWS Ontology Standard (see</w:t>
      </w:r>
      <w:r>
        <w:t xml:space="preserve"> </w:t>
      </w:r>
      <w:r>
        <w:rPr>
          <w:rStyle w:val="VerbatimChar"/>
        </w:rPr>
        <w:t xml:space="preserve">ONTOLOGY.md</w:t>
      </w:r>
      <w:r>
        <w:t xml:space="preserve"> </w:t>
      </w:r>
      <w:r>
        <w:t xml:space="preserve">v1.3 in the project repository). To ground the engineering choices in their conceptual heritage, this section briefly reviews the origin of the term.</w:t>
      </w:r>
    </w:p>
    <w:p>
      <w:pPr>
        <w:pStyle w:val="BodyText"/>
      </w:pPr>
      <w:r>
        <w:rPr>
          <w:bCs/>
          <w:b/>
        </w:rPr>
        <w:t xml:space="preserve">Etymology.</w:t>
      </w:r>
      <w:r>
        <w:t xml:space="preserve"> </w:t>
      </w:r>
      <w:r>
        <w:t xml:space="preserve">The word</w:t>
      </w:r>
      <w:r>
        <w:t xml:space="preserve"> </w:t>
      </w:r>
      <w:r>
        <w:rPr>
          <w:iCs/>
          <w:i/>
        </w:rPr>
        <w:t xml:space="preserve">ontology</w:t>
      </w:r>
      <w:r>
        <w:t xml:space="preserve"> </w:t>
      </w:r>
      <w:r>
        <w:t xml:space="preserve">derives from two Greek roots:</w:t>
      </w:r>
      <w:r>
        <w:t xml:space="preserve"> </w:t>
      </w:r>
      <w:r>
        <w:rPr>
          <w:bCs/>
          <w:b/>
        </w:rPr>
        <w:t xml:space="preserve">ὄν (ón)</w:t>
      </w:r>
      <w:r>
        <w:t xml:space="preserve"> </w:t>
      </w:r>
      <w:r>
        <w:t xml:space="preserve">—</w:t>
      </w:r>
      <w:r>
        <w:t xml:space="preserve"> </w:t>
      </w:r>
      <w:r>
        <w:t xml:space="preserve">“</w:t>
      </w:r>
      <w:r>
        <w:t xml:space="preserve">that which is</w:t>
      </w:r>
      <w:r>
        <w:t xml:space="preserve">”</w:t>
      </w:r>
      <w:r>
        <w:t xml:space="preserve">, the present participle of</w:t>
      </w:r>
      <w:r>
        <w:t xml:space="preserve"> </w:t>
      </w:r>
      <w:r>
        <w:rPr>
          <w:iCs/>
          <w:i/>
        </w:rPr>
        <w:t xml:space="preserve">einai</w:t>
      </w:r>
      <w:r>
        <w:t xml:space="preserve"> </w:t>
      </w:r>
      <w:r>
        <w:t xml:space="preserve">(</w:t>
      </w:r>
      <w:r>
        <w:t xml:space="preserve">“</w:t>
      </w:r>
      <w:r>
        <w:t xml:space="preserve">to be</w:t>
      </w:r>
      <w:r>
        <w:t xml:space="preserve">”</w:t>
      </w:r>
      <w:r>
        <w:t xml:space="preserve">) — and</w:t>
      </w:r>
      <w:r>
        <w:t xml:space="preserve"> </w:t>
      </w:r>
      <w:r>
        <w:rPr>
          <w:bCs/>
          <w:b/>
        </w:rPr>
        <w:t xml:space="preserve">λόγος (lógos)</w:t>
      </w:r>
      <w:r>
        <w:t xml:space="preserve"> </w:t>
      </w:r>
      <w:r>
        <w:t xml:space="preserve">—</w:t>
      </w:r>
      <w:r>
        <w:t xml:space="preserve"> </w:t>
      </w:r>
      <w:r>
        <w:t xml:space="preserve">“</w:t>
      </w:r>
      <w:r>
        <w:t xml:space="preserve">doctrine, account, rational explanation</w:t>
      </w:r>
      <w:r>
        <w:t xml:space="preserve">”</w:t>
      </w:r>
      <w:r>
        <w:t xml:space="preserve">. Literally, ontology is</w:t>
      </w:r>
      <w:r>
        <w:t xml:space="preserve"> </w:t>
      </w:r>
      <w:r>
        <w:t xml:space="preserve">“</w:t>
      </w:r>
      <w:r>
        <w:t xml:space="preserve">the doctrine of being</w:t>
      </w:r>
      <w:r>
        <w:t xml:space="preserve">”</w:t>
      </w:r>
      <w:r>
        <w:t xml:space="preserve"> </w:t>
      </w:r>
      <w:r>
        <w:t xml:space="preserve">— the study of what exists and in what manner.</w:t>
      </w:r>
    </w:p>
    <w:p>
      <w:pPr>
        <w:pStyle w:val="BodyText"/>
      </w:pPr>
      <w:r>
        <w:rPr>
          <w:bCs/>
          <w:b/>
        </w:rPr>
        <w:t xml:space="preserve">Philosophical background.</w:t>
      </w:r>
      <w:r>
        <w:t xml:space="preserve"> </w:t>
      </w:r>
      <w:r>
        <w:t xml:space="preserve">Ontology is one of the central branches of metaphysics. Already in classical Greece, philosophers such as Aristotle examined the nature of being: what it means for something to</w:t>
      </w:r>
      <w:r>
        <w:t xml:space="preserve"> </w:t>
      </w:r>
      <w:r>
        <w:rPr>
          <w:iCs/>
          <w:i/>
        </w:rPr>
        <w:t xml:space="preserve">be</w:t>
      </w:r>
      <w:r>
        <w:t xml:space="preserve">, what kinds of entities exist (objects, properties, relations, events), and what the basic structure of being is. The term</w:t>
      </w:r>
      <w:r>
        <w:t xml:space="preserve"> </w:t>
      </w:r>
      <w:r>
        <w:rPr>
          <w:iCs/>
          <w:i/>
        </w:rPr>
        <w:t xml:space="preserve">ontology</w:t>
      </w:r>
      <w:r>
        <w:t xml:space="preserve"> </w:t>
      </w:r>
      <w:r>
        <w:t xml:space="preserve">itself was consolidated only in the 17th–18th centuries, particularly within scholastic and early-modern philosophy, when metaphysics began to be systematised into distinct sub-fields.</w:t>
      </w:r>
    </w:p>
    <w:p>
      <w:pPr>
        <w:pStyle w:val="BodyText"/>
      </w:pPr>
      <w:r>
        <w:rPr>
          <w:bCs/>
          <w:b/>
        </w:rPr>
        <w:t xml:space="preserve">Modern usage.</w:t>
      </w:r>
      <w:r>
        <w:t xml:space="preserve"> </w:t>
      </w:r>
      <w:r>
        <w:t xml:space="preserve">Today the term is applied in several contexts: in philosophy, the study of the fundamental nature of existence; in computer science and artificial intelligence, a formal model of concepts and the relations between them (classes, properties, relations); and in the philosophy of science, the question of which entities a given theory commits to. The original meaning —</w:t>
      </w:r>
      <w:r>
        <w:t xml:space="preserve"> </w:t>
      </w:r>
      <w:r>
        <w:rPr>
          <w:iCs/>
          <w:i/>
        </w:rPr>
        <w:t xml:space="preserve">structuring what is</w:t>
      </w:r>
      <w:r>
        <w:t xml:space="preserve"> </w:t>
      </w:r>
      <w:r>
        <w:t xml:space="preserve">— is preserved, while the application surface shifts. The DWS Ontology Standard builds on this foundation: EU regulations and industrial concepts are structured into a machine-readable form that humans and agents can query through the same interface.</w:t>
      </w:r>
    </w:p>
    <w:p>
      <w:r>
        <w:pict>
          <v:rect style="width:0;height:1.5pt" o:hralign="center" o:hrstd="t" o:hr="t"/>
        </w:pict>
      </w:r>
    </w:p>
    <w:bookmarkEnd w:id="34"/>
    <w:bookmarkEnd w:id="35"/>
    <w:bookmarkStart w:id="46" w:name="theoretical-framework"/>
    <w:p>
      <w:pPr>
        <w:pStyle w:val="Heading1"/>
      </w:pPr>
      <w:r>
        <w:t xml:space="preserve">2. Theoretical Framework</w:t>
      </w:r>
    </w:p>
    <w:bookmarkStart w:id="36" w:name="lean-startup-methodology"/>
    <w:p>
      <w:pPr>
        <w:pStyle w:val="Heading2"/>
      </w:pPr>
      <w:r>
        <w:t xml:space="preserve">2.1 Lean Startup Methodology</w:t>
      </w:r>
    </w:p>
    <w:p>
      <w:pPr>
        <w:pStyle w:val="FirstParagraph"/>
      </w:pPr>
      <w:r>
        <w:t xml:space="preserve">The Lean Startup methodology (Ries, 2011) forms the foundation of Firehorse product development. The core principle of the Build-Measure-Learn cycle directly guides the phased deployment model:</w:t>
      </w:r>
    </w:p>
    <w:p>
      <w:pPr>
        <w:pStyle w:val="BodyText"/>
      </w:pPr>
      <w:r>
        <w:rPr>
          <w:bCs/>
          <w:b/>
        </w:rPr>
        <w:t xml:space="preserve">Application to Firehorse:</w:t>
      </w:r>
    </w:p>
    <w:tbl>
      <w:tblPr>
        <w:tblStyle w:val="Table"/>
        <w:tblW w:type="pct" w:w="5000"/>
        <w:tblLook w:firstRow="1" w:lastRow="0" w:firstColumn="0" w:lastColumn="0" w:noHBand="0" w:noVBand="0" w:val="0020"/>
        <w:jc w:val="start"/>
      </w:tblPr>
      <w:tblGrid>
        <w:gridCol w:w="2880"/>
        <w:gridCol w:w="5040"/>
      </w:tblGrid>
      <w:tr>
        <w:trPr>
          <w:tblHeader w:val="true"/>
        </w:trPr>
        <w:tc>
          <w:tcPr/>
          <w:p>
            <w:pPr>
              <w:pStyle w:val="Compact"/>
              <w:jc w:val="left"/>
            </w:pPr>
            <w:r>
              <w:t xml:space="preserve">Lean Startup Concept</w:t>
            </w:r>
          </w:p>
        </w:tc>
        <w:tc>
          <w:tcPr/>
          <w:p>
            <w:pPr>
              <w:pStyle w:val="Compact"/>
              <w:jc w:val="left"/>
            </w:pPr>
            <w:r>
              <w:t xml:space="preserve">Firehorse Implementation</w:t>
            </w:r>
          </w:p>
        </w:tc>
      </w:tr>
      <w:tr>
        <w:tc>
          <w:tcPr/>
          <w:p>
            <w:pPr>
              <w:pStyle w:val="Compact"/>
              <w:jc w:val="left"/>
            </w:pPr>
            <w:r>
              <w:rPr>
                <w:bCs/>
                <w:b/>
              </w:rPr>
              <w:t xml:space="preserve">MVP (Minimum Viable Product)</w:t>
            </w:r>
          </w:p>
        </w:tc>
        <w:tc>
          <w:tcPr/>
          <w:p>
            <w:pPr>
              <w:pStyle w:val="Compact"/>
              <w:jc w:val="left"/>
            </w:pPr>
            <w:r>
              <w:t xml:space="preserve">2 agents (CustomerSat, Viability) for 5 pilot customers</w:t>
            </w:r>
          </w:p>
        </w:tc>
      </w:tr>
      <w:tr>
        <w:tc>
          <w:tcPr/>
          <w:p>
            <w:pPr>
              <w:pStyle w:val="Compact"/>
              <w:jc w:val="left"/>
            </w:pPr>
            <w:r>
              <w:rPr>
                <w:bCs/>
                <w:b/>
              </w:rPr>
              <w:t xml:space="preserve">Validated Learning</w:t>
            </w:r>
          </w:p>
        </w:tc>
        <w:tc>
          <w:tcPr/>
          <w:p>
            <w:pPr>
              <w:pStyle w:val="Compact"/>
              <w:jc w:val="left"/>
            </w:pPr>
            <w:r>
              <w:t xml:space="preserve">Silent Pilot phase observes before acting</w:t>
            </w:r>
          </w:p>
        </w:tc>
      </w:tr>
      <w:tr>
        <w:tc>
          <w:tcPr/>
          <w:p>
            <w:pPr>
              <w:pStyle w:val="Compact"/>
              <w:jc w:val="left"/>
            </w:pPr>
            <w:r>
              <w:rPr>
                <w:bCs/>
                <w:b/>
              </w:rPr>
              <w:t xml:space="preserve">Build-Measure-Learn</w:t>
            </w:r>
          </w:p>
        </w:tc>
        <w:tc>
          <w:tcPr/>
          <w:p>
            <w:pPr>
              <w:pStyle w:val="Compact"/>
              <w:jc w:val="left"/>
            </w:pPr>
            <w:r>
              <w:t xml:space="preserve">Phase 1 -&gt; Phase 2 -&gt; Phase 3 progression</w:t>
            </w:r>
          </w:p>
        </w:tc>
      </w:tr>
      <w:tr>
        <w:tc>
          <w:tcPr/>
          <w:p>
            <w:pPr>
              <w:pStyle w:val="Compact"/>
              <w:jc w:val="left"/>
            </w:pPr>
            <w:r>
              <w:rPr>
                <w:bCs/>
                <w:b/>
              </w:rPr>
              <w:t xml:space="preserve">Pivot or Persevere</w:t>
            </w:r>
          </w:p>
        </w:tc>
        <w:tc>
          <w:tcPr/>
          <w:p>
            <w:pPr>
              <w:pStyle w:val="Compact"/>
              <w:jc w:val="left"/>
            </w:pPr>
            <w:r>
              <w:t xml:space="preserve">Signal-based coordination allows rapid course correction</w:t>
            </w:r>
          </w:p>
        </w:tc>
      </w:tr>
    </w:tbl>
    <w:p>
      <w:pPr>
        <w:pStyle w:val="BodyText"/>
      </w:pPr>
      <w:r>
        <w:t xml:space="preserve">The Customer Development methodology (Blank, 2013) extends this with the principle of</w:t>
      </w:r>
      <w:r>
        <w:t xml:space="preserve"> </w:t>
      </w:r>
      <w:r>
        <w:t xml:space="preserve">“</w:t>
      </w:r>
      <w:r>
        <w:t xml:space="preserve">getting out of the building</w:t>
      </w:r>
      <w:r>
        <w:t xml:space="preserve">”</w:t>
      </w:r>
      <w:r>
        <w:t xml:space="preserve"> </w:t>
      </w:r>
      <w:r>
        <w:t xml:space="preserve">- validating product-market fit with real customers before scaling. Firehorse’s 2-month payback guarantee operationalizes this by creating a measurable validation metric.</w:t>
      </w:r>
    </w:p>
    <w:p>
      <w:pPr>
        <w:pStyle w:val="BodyText"/>
      </w:pPr>
      <w:r>
        <w:rPr>
          <w:bCs/>
          <w:b/>
        </w:rPr>
        <w:t xml:space="preserve">Jobs-to-be-Done Framework:</w:t>
      </w:r>
      <w:r>
        <w:t xml:space="preserve"> </w:t>
      </w:r>
      <w:r>
        <w:t xml:space="preserve">Following Clayton Christensen’s framework, Firehorse identifies the</w:t>
      </w:r>
      <w:r>
        <w:t xml:space="preserve"> </w:t>
      </w:r>
      <w:r>
        <w:t xml:space="preserve">“</w:t>
      </w:r>
      <w:r>
        <w:t xml:space="preserve">job</w:t>
      </w:r>
      <w:r>
        <w:t xml:space="preserve">”</w:t>
      </w:r>
      <w:r>
        <w:t xml:space="preserve"> </w:t>
      </w:r>
      <w:r>
        <w:t xml:space="preserve">customers hire the product for:</w:t>
      </w:r>
    </w:p>
    <w:p>
      <w:pPr>
        <w:numPr>
          <w:ilvl w:val="0"/>
          <w:numId w:val="1016"/>
        </w:numPr>
        <w:pStyle w:val="Compact"/>
      </w:pPr>
      <w:r>
        <w:rPr>
          <w:bCs/>
          <w:b/>
        </w:rPr>
        <w:t xml:space="preserve">Functional Job:</w:t>
      </w:r>
      <w:r>
        <w:t xml:space="preserve"> </w:t>
      </w:r>
      <w:r>
        <w:t xml:space="preserve">Track embodied carbon for EU compliance (2028 deadline)</w:t>
      </w:r>
    </w:p>
    <w:p>
      <w:pPr>
        <w:numPr>
          <w:ilvl w:val="0"/>
          <w:numId w:val="1016"/>
        </w:numPr>
        <w:pStyle w:val="Compact"/>
      </w:pPr>
      <w:r>
        <w:rPr>
          <w:bCs/>
          <w:b/>
        </w:rPr>
        <w:t xml:space="preserve">Emotional Job:</w:t>
      </w:r>
      <w:r>
        <w:t xml:space="preserve"> </w:t>
      </w:r>
      <w:r>
        <w:t xml:space="preserve">Reduce anxiety about regulatory penalties</w:t>
      </w:r>
    </w:p>
    <w:p>
      <w:pPr>
        <w:numPr>
          <w:ilvl w:val="0"/>
          <w:numId w:val="1016"/>
        </w:numPr>
        <w:pStyle w:val="Compact"/>
      </w:pPr>
      <w:r>
        <w:rPr>
          <w:bCs/>
          <w:b/>
        </w:rPr>
        <w:t xml:space="preserve">Social Job:</w:t>
      </w:r>
      <w:r>
        <w:t xml:space="preserve"> </w:t>
      </w:r>
      <w:r>
        <w:t xml:space="preserve">Demonstrate sustainability leadership to stakeholders</w:t>
      </w:r>
    </w:p>
    <w:bookmarkEnd w:id="36"/>
    <w:bookmarkStart w:id="37" w:name="platform-economics"/>
    <w:p>
      <w:pPr>
        <w:pStyle w:val="Heading2"/>
      </w:pPr>
      <w:r>
        <w:t xml:space="preserve">2.2 Platform Economics</w:t>
      </w:r>
    </w:p>
    <w:p>
      <w:pPr>
        <w:pStyle w:val="FirstParagraph"/>
      </w:pPr>
      <w:r>
        <w:t xml:space="preserve">Platform economics (Parker, Van Alstyne &amp; Choudary, 2016) explains how multi-sided platforms create value through network effects. The Firehorse Solution Factory model extends this theory to industrial AI:</w:t>
      </w:r>
    </w:p>
    <w:p>
      <w:pPr>
        <w:pStyle w:val="BodyText"/>
      </w:pPr>
      <w:r>
        <w:rPr>
          <w:bCs/>
          <w:b/>
        </w:rPr>
        <w:t xml:space="preserve">Multi-sided platform design:</w:t>
      </w:r>
    </w:p>
    <w:p>
      <w:pPr>
        <w:pStyle w:val="SourceCode"/>
      </w:pPr>
      <w:r>
        <w:rPr>
          <w:rStyle w:val="VerbatimChar"/>
        </w:rPr>
        <w:t xml:space="preserve">+-------------------------------------------------------------+</w:t>
      </w:r>
      <w:r>
        <w:br/>
      </w:r>
      <w:r>
        <w:rPr>
          <w:rStyle w:val="VerbatimChar"/>
        </w:rPr>
        <w:t xml:space="preserve">|              FIREHORSE PLATFORM ECOSYSTEM                     |</w:t>
      </w:r>
      <w:r>
        <w:br/>
      </w:r>
      <w:r>
        <w:rPr>
          <w:rStyle w:val="VerbatimChar"/>
        </w:rPr>
        <w:t xml:space="preserve">+-------------------------------------------------------------+</w:t>
      </w:r>
      <w:r>
        <w:br/>
      </w:r>
      <w:r>
        <w:rPr>
          <w:rStyle w:val="VerbatimChar"/>
        </w:rPr>
        <w:t xml:space="preserve">|                                                               |</w:t>
      </w:r>
      <w:r>
        <w:br/>
      </w:r>
      <w:r>
        <w:rPr>
          <w:rStyle w:val="VerbatimChar"/>
        </w:rPr>
        <w:t xml:space="preserve">|  SIDE 1: Industrial Customers (across 8 verticals)           |</w:t>
      </w:r>
      <w:r>
        <w:br/>
      </w:r>
      <w:r>
        <w:rPr>
          <w:rStyle w:val="VerbatimChar"/>
        </w:rPr>
        <w:t xml:space="preserve">|  +- Construction: NCC, T2H (5 projects, EUR 50M portfolio)   |</w:t>
      </w:r>
      <w:r>
        <w:br/>
      </w:r>
      <w:r>
        <w:rPr>
          <w:rStyle w:val="VerbatimChar"/>
        </w:rPr>
        <w:t xml:space="preserve">|  +- Logistics: Uber, Bolt, Kela (EUR 10k MRR during pilot)   |</w:t>
      </w:r>
      <w:r>
        <w:br/>
      </w:r>
      <w:r>
        <w:rPr>
          <w:rStyle w:val="VerbatimChar"/>
        </w:rPr>
        <w:t xml:space="preserve">|  +- Manufacturing: 2M+ companies in Europe                   |</w:t>
      </w:r>
      <w:r>
        <w:br/>
      </w:r>
      <w:r>
        <w:rPr>
          <w:rStyle w:val="VerbatimChar"/>
        </w:rPr>
        <w:t xml:space="preserve">|  +- 5 additional verticals (Energy, Healthcare, etc.)        |</w:t>
      </w:r>
      <w:r>
        <w:br/>
      </w:r>
      <w:r>
        <w:rPr>
          <w:rStyle w:val="VerbatimChar"/>
        </w:rPr>
        <w:t xml:space="preserve">|                                                               |</w:t>
      </w:r>
      <w:r>
        <w:br/>
      </w:r>
      <w:r>
        <w:rPr>
          <w:rStyle w:val="VerbatimChar"/>
        </w:rPr>
        <w:t xml:space="preserve">|  SIDE 2: Data &amp; Intelligence Providers                        |</w:t>
      </w:r>
      <w:r>
        <w:br/>
      </w:r>
      <w:r>
        <w:rPr>
          <w:rStyle w:val="VerbatimChar"/>
        </w:rPr>
        <w:t xml:space="preserve">|  +- Lifetime World Model (55B parameter LLM)                 |</w:t>
      </w:r>
      <w:r>
        <w:br/>
      </w:r>
      <w:r>
        <w:rPr>
          <w:rStyle w:val="VerbatimChar"/>
        </w:rPr>
        <w:t xml:space="preserve">|  +- EU compliance databases (Fit for 55, EPBD)               |</w:t>
      </w:r>
      <w:r>
        <w:br/>
      </w:r>
      <w:r>
        <w:rPr>
          <w:rStyle w:val="VerbatimChar"/>
        </w:rPr>
        <w:t xml:space="preserve">|  +- Industry-specific carbon coefficients                    |</w:t>
      </w:r>
      <w:r>
        <w:br/>
      </w:r>
      <w:r>
        <w:rPr>
          <w:rStyle w:val="VerbatimChar"/>
        </w:rPr>
        <w:t xml:space="preserve">|                                                               |</w:t>
      </w:r>
      <w:r>
        <w:br/>
      </w:r>
      <w:r>
        <w:rPr>
          <w:rStyle w:val="VerbatimChar"/>
        </w:rPr>
        <w:t xml:space="preserve">|  SIDE 3: Hardware &amp; Edge Partners                             |</w:t>
      </w:r>
      <w:r>
        <w:br/>
      </w:r>
      <w:r>
        <w:rPr>
          <w:rStyle w:val="VerbatimChar"/>
        </w:rPr>
        <w:t xml:space="preserve">|  +- NVIDIA (Jetson Orin Nano edge devices)                   |</w:t>
      </w:r>
      <w:r>
        <w:br/>
      </w:r>
      <w:r>
        <w:rPr>
          <w:rStyle w:val="VerbatimChar"/>
        </w:rPr>
        <w:t xml:space="preserve">|  +- Acer/Asus (Blackwell training infrastructure)            |</w:t>
      </w:r>
      <w:r>
        <w:br/>
      </w:r>
      <w:r>
        <w:rPr>
          <w:rStyle w:val="VerbatimChar"/>
        </w:rPr>
        <w:t xml:space="preserve">|  +- IoT sensor manufacturers                                 |</w:t>
      </w:r>
      <w:r>
        <w:br/>
      </w:r>
      <w:r>
        <w:rPr>
          <w:rStyle w:val="VerbatimChar"/>
        </w:rPr>
        <w:t xml:space="preserve">|                                                               |</w:t>
      </w:r>
      <w:r>
        <w:br/>
      </w:r>
      <w:r>
        <w:rPr>
          <w:rStyle w:val="VerbatimChar"/>
        </w:rPr>
        <w:t xml:space="preserve">|  NETWORK EFFECTS:                                             |</w:t>
      </w:r>
      <w:r>
        <w:br/>
      </w:r>
      <w:r>
        <w:rPr>
          <w:rStyle w:val="VerbatimChar"/>
        </w:rPr>
        <w:t xml:space="preserve">|  * Cross-vertical intelligence (Logistics -&gt; Construction)   |</w:t>
      </w:r>
      <w:r>
        <w:br/>
      </w:r>
      <w:r>
        <w:rPr>
          <w:rStyle w:val="VerbatimChar"/>
        </w:rPr>
        <w:t xml:space="preserve">|  * Each new vertical makes ALL verticals smarter             |</w:t>
      </w:r>
      <w:r>
        <w:br/>
      </w:r>
      <w:r>
        <w:rPr>
          <w:rStyle w:val="VerbatimChar"/>
        </w:rPr>
        <w:t xml:space="preserve">|  * Agent templates become reusable across industries         |</w:t>
      </w:r>
      <w:r>
        <w:br/>
      </w:r>
      <w:r>
        <w:rPr>
          <w:rStyle w:val="VerbatimChar"/>
        </w:rPr>
        <w:t xml:space="preserve">|                                                               |</w:t>
      </w:r>
      <w:r>
        <w:br/>
      </w:r>
      <w:r>
        <w:rPr>
          <w:rStyle w:val="VerbatimChar"/>
        </w:rPr>
        <w:t xml:space="preserve">+-------------------------------------------------------------+</w:t>
      </w:r>
    </w:p>
    <w:p>
      <w:pPr>
        <w:pStyle w:val="FirstParagraph"/>
      </w:pPr>
      <w:r>
        <w:rPr>
          <w:bCs/>
          <w:b/>
        </w:rPr>
        <w:t xml:space="preserve">Market context:</w:t>
      </w:r>
      <w:r>
        <w:t xml:space="preserve"> </w:t>
      </w:r>
      <w:r>
        <w:t xml:space="preserve">Worldwide generative AI spending is projected to reach $644 billion in 2025, a 76.4% year-over-year increase (Red Hat, 2025). Yet 64% of CEOs invest in AI technologies before clearly understanding the value they bring, creating technical debt and strategic fragility. This reactive posture validates the Firehorse platform approach: outcome-defined AI with built-in compliance guardrails, rather than technology-first experimentation.</w:t>
      </w:r>
    </w:p>
    <w:p>
      <w:pPr>
        <w:pStyle w:val="BodyText"/>
      </w:pPr>
      <w:r>
        <w:rPr>
          <w:bCs/>
          <w:b/>
        </w:rPr>
        <w:t xml:space="preserve">Value Creation Mechanisms:</w:t>
      </w:r>
    </w:p>
    <w:p>
      <w:pPr>
        <w:numPr>
          <w:ilvl w:val="0"/>
          <w:numId w:val="1017"/>
        </w:numPr>
        <w:pStyle w:val="Compact"/>
      </w:pPr>
      <w:r>
        <w:rPr>
          <w:bCs/>
          <w:b/>
        </w:rPr>
        <w:t xml:space="preserve">Same-side effects:</w:t>
      </w:r>
      <w:r>
        <w:t xml:space="preserve"> </w:t>
      </w:r>
      <w:r>
        <w:t xml:space="preserve">More customers -&gt; more industry data -&gt; better agent accuracy</w:t>
      </w:r>
    </w:p>
    <w:p>
      <w:pPr>
        <w:numPr>
          <w:ilvl w:val="0"/>
          <w:numId w:val="1017"/>
        </w:numPr>
        <w:pStyle w:val="Compact"/>
      </w:pPr>
      <w:r>
        <w:rPr>
          <w:bCs/>
          <w:b/>
        </w:rPr>
        <w:t xml:space="preserve">Cross-side effects:</w:t>
      </w:r>
      <w:r>
        <w:t xml:space="preserve"> </w:t>
      </w:r>
      <w:r>
        <w:t xml:space="preserve">More verticals -&gt; more reusable agent templates -&gt; faster deployment</w:t>
      </w:r>
    </w:p>
    <w:p>
      <w:pPr>
        <w:numPr>
          <w:ilvl w:val="0"/>
          <w:numId w:val="1017"/>
        </w:numPr>
        <w:pStyle w:val="Compact"/>
      </w:pPr>
      <w:r>
        <w:rPr>
          <w:bCs/>
          <w:b/>
        </w:rPr>
        <w:t xml:space="preserve">Data network effects:</w:t>
      </w:r>
      <w:r>
        <w:t xml:space="preserve"> </w:t>
      </w:r>
      <w:r>
        <w:t xml:space="preserve">Lifetime World Model improves with each customer interaction</w:t>
      </w:r>
    </w:p>
    <w:bookmarkEnd w:id="37"/>
    <w:bookmarkStart w:id="38" w:name="industry-5.0"/>
    <w:p>
      <w:pPr>
        <w:pStyle w:val="Heading2"/>
      </w:pPr>
      <w:r>
        <w:t xml:space="preserve">2.3 Industry 5.0</w:t>
      </w:r>
    </w:p>
    <w:p>
      <w:pPr>
        <w:pStyle w:val="FirstParagraph"/>
      </w:pPr>
      <w:r>
        <w:t xml:space="preserve">Industry 5.0 (European Commission, 2021) represents an evolution from Industry 4.0’s automation focus toward a human-centric, sustainable, and resilient industrial paradigm. The Firehorse operating model directly implements these three pillars:</w:t>
      </w:r>
    </w:p>
    <w:p>
      <w:pPr>
        <w:pStyle w:val="BodyText"/>
      </w:pPr>
      <w:r>
        <w:rPr>
          <w:bCs/>
          <w:b/>
        </w:rPr>
        <w:t xml:space="preserve">Human-centric implementation:</w:t>
      </w:r>
      <w:r>
        <w:t xml:space="preserve"> </w:t>
      </w:r>
      <w:r>
        <w:t xml:space="preserve">The three-phase deployment model (Silent Pilot -&gt; Advisor -&gt; Autonomous) ensures human oversight:</w:t>
      </w:r>
    </w:p>
    <w:tbl>
      <w:tblPr>
        <w:tblStyle w:val="Table"/>
        <w:tblW w:type="pct" w:w="5000"/>
        <w:tblLook w:firstRow="1" w:lastRow="0" w:firstColumn="0" w:lastColumn="0" w:noHBand="0" w:noVBand="0" w:val="0020"/>
        <w:jc w:val="start"/>
      </w:tblPr>
      <w:tblGrid>
        <w:gridCol w:w="1456"/>
        <w:gridCol w:w="1638"/>
        <w:gridCol w:w="2184"/>
        <w:gridCol w:w="2640"/>
      </w:tblGrid>
      <w:tr>
        <w:trPr>
          <w:tblHeader w:val="true"/>
        </w:trPr>
        <w:tc>
          <w:tcPr/>
          <w:p>
            <w:pPr>
              <w:pStyle w:val="Compact"/>
              <w:jc w:val="left"/>
            </w:pPr>
            <w:r>
              <w:t xml:space="preserve">Phase</w:t>
            </w:r>
          </w:p>
        </w:tc>
        <w:tc>
          <w:tcPr/>
          <w:p>
            <w:pPr>
              <w:pStyle w:val="Compact"/>
              <w:jc w:val="left"/>
            </w:pPr>
            <w:r>
              <w:t xml:space="preserve">Human Role</w:t>
            </w:r>
          </w:p>
        </w:tc>
        <w:tc>
          <w:tcPr/>
          <w:p>
            <w:pPr>
              <w:pStyle w:val="Compact"/>
              <w:jc w:val="left"/>
            </w:pPr>
            <w:r>
              <w:t xml:space="preserve">AI Role</w:t>
            </w:r>
          </w:p>
        </w:tc>
        <w:tc>
          <w:tcPr/>
          <w:p>
            <w:pPr>
              <w:pStyle w:val="Compact"/>
              <w:jc w:val="left"/>
            </w:pPr>
            <w:r>
              <w:t xml:space="preserve">Industry 5.0 Alignment</w:t>
            </w:r>
          </w:p>
        </w:tc>
      </w:tr>
      <w:tr>
        <w:tc>
          <w:tcPr/>
          <w:p>
            <w:pPr>
              <w:pStyle w:val="Compact"/>
              <w:jc w:val="left"/>
            </w:pPr>
            <w:r>
              <w:rPr>
                <w:bCs/>
                <w:b/>
              </w:rPr>
              <w:t xml:space="preserve">Silent Pilot</w:t>
            </w:r>
          </w:p>
        </w:tc>
        <w:tc>
          <w:tcPr/>
          <w:p>
            <w:pPr>
              <w:pStyle w:val="Compact"/>
              <w:jc w:val="left"/>
            </w:pPr>
            <w:r>
              <w:t xml:space="preserve">Full control</w:t>
            </w:r>
          </w:p>
        </w:tc>
        <w:tc>
          <w:tcPr/>
          <w:p>
            <w:pPr>
              <w:pStyle w:val="Compact"/>
              <w:jc w:val="left"/>
            </w:pPr>
            <w:r>
              <w:t xml:space="preserve">Observation only</w:t>
            </w:r>
          </w:p>
        </w:tc>
        <w:tc>
          <w:tcPr/>
          <w:p>
            <w:pPr>
              <w:pStyle w:val="Compact"/>
              <w:jc w:val="left"/>
            </w:pPr>
            <w:r>
              <w:t xml:space="preserve">Maximum human agency</w:t>
            </w:r>
          </w:p>
        </w:tc>
      </w:tr>
      <w:tr>
        <w:tc>
          <w:tcPr/>
          <w:p>
            <w:pPr>
              <w:pStyle w:val="Compact"/>
              <w:jc w:val="left"/>
            </w:pPr>
            <w:r>
              <w:rPr>
                <w:bCs/>
                <w:b/>
              </w:rPr>
              <w:t xml:space="preserve">Advisor</w:t>
            </w:r>
          </w:p>
        </w:tc>
        <w:tc>
          <w:tcPr/>
          <w:p>
            <w:pPr>
              <w:pStyle w:val="Compact"/>
              <w:jc w:val="left"/>
            </w:pPr>
            <w:r>
              <w:t xml:space="preserve">Approval required</w:t>
            </w:r>
          </w:p>
        </w:tc>
        <w:tc>
          <w:tcPr/>
          <w:p>
            <w:pPr>
              <w:pStyle w:val="Compact"/>
              <w:jc w:val="left"/>
            </w:pPr>
            <w:r>
              <w:t xml:space="preserve">Recommendations</w:t>
            </w:r>
          </w:p>
        </w:tc>
        <w:tc>
          <w:tcPr/>
          <w:p>
            <w:pPr>
              <w:pStyle w:val="Compact"/>
              <w:jc w:val="left"/>
            </w:pPr>
            <w:r>
              <w:t xml:space="preserve">Collaborative decision-making</w:t>
            </w:r>
          </w:p>
        </w:tc>
      </w:tr>
      <w:tr>
        <w:tc>
          <w:tcPr/>
          <w:p>
            <w:pPr>
              <w:pStyle w:val="Compact"/>
              <w:jc w:val="left"/>
            </w:pPr>
            <w:r>
              <w:rPr>
                <w:bCs/>
                <w:b/>
              </w:rPr>
              <w:t xml:space="preserve">Autonomous</w:t>
            </w:r>
          </w:p>
        </w:tc>
        <w:tc>
          <w:tcPr/>
          <w:p>
            <w:pPr>
              <w:pStyle w:val="Compact"/>
              <w:jc w:val="left"/>
            </w:pPr>
            <w:r>
              <w:t xml:space="preserve">Exception handling</w:t>
            </w:r>
          </w:p>
        </w:tc>
        <w:tc>
          <w:tcPr/>
          <w:p>
            <w:pPr>
              <w:pStyle w:val="Compact"/>
              <w:jc w:val="left"/>
            </w:pPr>
            <w:r>
              <w:t xml:space="preserve">Action within guardrails</w:t>
            </w:r>
          </w:p>
        </w:tc>
        <w:tc>
          <w:tcPr/>
          <w:p>
            <w:pPr>
              <w:pStyle w:val="Compact"/>
              <w:jc w:val="left"/>
            </w:pPr>
            <w:r>
              <w:t xml:space="preserve">Human oversight on edge cases</w:t>
            </w:r>
          </w:p>
        </w:tc>
      </w:tr>
    </w:tbl>
    <w:bookmarkEnd w:id="38"/>
    <w:bookmarkStart w:id="39" w:name="edge-computing-economics"/>
    <w:p>
      <w:pPr>
        <w:pStyle w:val="Heading2"/>
      </w:pPr>
      <w:r>
        <w:t xml:space="preserve">2.4 Edge Computing Economics</w:t>
      </w:r>
    </w:p>
    <w:p>
      <w:pPr>
        <w:pStyle w:val="FirstParagraph"/>
      </w:pPr>
      <w:r>
        <w:t xml:space="preserve">Edge computing economics (Shi et al., 2016) provides the theoretical foundation for Firehorse’s hybrid architecture. The key insight is that latency and bandwidth costs frequently exceed the savings of centralized processing:</w:t>
      </w:r>
    </w:p>
    <w:p>
      <w:pPr>
        <w:pStyle w:val="BodyText"/>
      </w:pPr>
      <w:r>
        <w:rPr>
          <w:bCs/>
          <w:b/>
        </w:rPr>
        <w:t xml:space="preserve">Latency-cost tradeoff analysis:</w:t>
      </w:r>
    </w:p>
    <w:tbl>
      <w:tblPr>
        <w:tblStyle w:val="Table"/>
        <w:tblW w:type="pct" w:w="5000"/>
        <w:tblLook w:firstRow="1" w:lastRow="0" w:firstColumn="0" w:lastColumn="0" w:noHBand="0" w:noVBand="0" w:val="0020"/>
        <w:jc w:val="start"/>
      </w:tblPr>
      <w:tblGrid>
        <w:gridCol w:w="2076"/>
        <w:gridCol w:w="922"/>
        <w:gridCol w:w="1999"/>
        <w:gridCol w:w="2921"/>
      </w:tblGrid>
      <w:tr>
        <w:trPr>
          <w:tblHeader w:val="true"/>
        </w:trPr>
        <w:tc>
          <w:tcPr/>
          <w:p>
            <w:pPr>
              <w:pStyle w:val="Compact"/>
              <w:jc w:val="left"/>
            </w:pPr>
            <w:r>
              <w:t xml:space="preserve">Processing Location</w:t>
            </w:r>
          </w:p>
        </w:tc>
        <w:tc>
          <w:tcPr/>
          <w:p>
            <w:pPr>
              <w:pStyle w:val="Compact"/>
              <w:jc w:val="left"/>
            </w:pPr>
            <w:r>
              <w:t xml:space="preserve">Latency</w:t>
            </w:r>
          </w:p>
        </w:tc>
        <w:tc>
          <w:tcPr/>
          <w:p>
            <w:pPr>
              <w:pStyle w:val="Compact"/>
              <w:jc w:val="left"/>
            </w:pPr>
            <w:r>
              <w:t xml:space="preserve">Monthly Cost</w:t>
            </w:r>
          </w:p>
        </w:tc>
        <w:tc>
          <w:tcPr/>
          <w:p>
            <w:pPr>
              <w:pStyle w:val="Compact"/>
              <w:jc w:val="left"/>
            </w:pPr>
            <w:r>
              <w:t xml:space="preserve">Use Case</w:t>
            </w:r>
          </w:p>
        </w:tc>
      </w:tr>
      <w:tr>
        <w:tc>
          <w:tcPr/>
          <w:p>
            <w:pPr>
              <w:pStyle w:val="Compact"/>
              <w:jc w:val="left"/>
            </w:pPr>
            <w:r>
              <w:rPr>
                <w:bCs/>
                <w:b/>
              </w:rPr>
              <w:t xml:space="preserve">Cloud (Groq API)</w:t>
            </w:r>
          </w:p>
        </w:tc>
        <w:tc>
          <w:tcPr/>
          <w:p>
            <w:pPr>
              <w:pStyle w:val="Compact"/>
              <w:jc w:val="left"/>
            </w:pPr>
            <w:r>
              <w:t xml:space="preserve">500-2000ms</w:t>
            </w:r>
          </w:p>
        </w:tc>
        <w:tc>
          <w:tcPr/>
          <w:p>
            <w:pPr>
              <w:pStyle w:val="Compact"/>
              <w:jc w:val="left"/>
            </w:pPr>
            <w:r>
              <w:t xml:space="preserve">EUR 555/month</w:t>
            </w:r>
          </w:p>
        </w:tc>
        <w:tc>
          <w:tcPr/>
          <w:p>
            <w:pPr>
              <w:pStyle w:val="Compact"/>
              <w:jc w:val="left"/>
            </w:pPr>
            <w:r>
              <w:t xml:space="preserve">Complex reasoning, report generation</w:t>
            </w:r>
          </w:p>
        </w:tc>
      </w:tr>
      <w:tr>
        <w:tc>
          <w:tcPr/>
          <w:p>
            <w:pPr>
              <w:pStyle w:val="Compact"/>
              <w:jc w:val="left"/>
            </w:pPr>
            <w:r>
              <w:rPr>
                <w:bCs/>
                <w:b/>
              </w:rPr>
              <w:t xml:space="preserve">Edge (Jetson Orin Nano)</w:t>
            </w:r>
          </w:p>
        </w:tc>
        <w:tc>
          <w:tcPr/>
          <w:p>
            <w:pPr>
              <w:pStyle w:val="Compact"/>
              <w:jc w:val="left"/>
            </w:pPr>
            <w:r>
              <w:t xml:space="preserve">&lt;100ms</w:t>
            </w:r>
          </w:p>
        </w:tc>
        <w:tc>
          <w:tcPr/>
          <w:p>
            <w:pPr>
              <w:pStyle w:val="Compact"/>
              <w:jc w:val="left"/>
            </w:pPr>
            <w:r>
              <w:t xml:space="preserve">EUR 100/year (electricity)</w:t>
            </w:r>
          </w:p>
        </w:tc>
        <w:tc>
          <w:tcPr/>
          <w:p>
            <w:pPr>
              <w:pStyle w:val="Compact"/>
              <w:jc w:val="left"/>
            </w:pPr>
            <w:r>
              <w:t xml:space="preserve">Real-time construction site monitoring</w:t>
            </w:r>
          </w:p>
        </w:tc>
      </w:tr>
      <w:tr>
        <w:tc>
          <w:tcPr/>
          <w:p>
            <w:pPr>
              <w:pStyle w:val="Compact"/>
              <w:jc w:val="left"/>
            </w:pPr>
            <w:r>
              <w:rPr>
                <w:bCs/>
                <w:b/>
              </w:rPr>
              <w:t xml:space="preserve">Hybrid</w:t>
            </w:r>
          </w:p>
        </w:tc>
        <w:tc>
          <w:tcPr/>
          <w:p>
            <w:pPr>
              <w:pStyle w:val="Compact"/>
              <w:jc w:val="left"/>
            </w:pPr>
            <w:r>
              <w:t xml:space="preserve">Best of both</w:t>
            </w:r>
          </w:p>
        </w:tc>
        <w:tc>
          <w:tcPr/>
          <w:p>
            <w:pPr>
              <w:pStyle w:val="Compact"/>
              <w:jc w:val="left"/>
            </w:pPr>
            <w:r>
              <w:t xml:space="preserve">EUR 25-350/month</w:t>
            </w:r>
          </w:p>
        </w:tc>
        <w:tc>
          <w:tcPr/>
          <w:p>
            <w:pPr>
              <w:pStyle w:val="Compact"/>
              <w:jc w:val="left"/>
            </w:pPr>
            <w:r>
              <w:t xml:space="preserve">Firehorse optimal configuration</w:t>
            </w:r>
          </w:p>
        </w:tc>
      </w:tr>
    </w:tbl>
    <w:p>
      <w:pPr>
        <w:pStyle w:val="BodyText"/>
      </w:pPr>
      <w:r>
        <w:rPr>
          <w:bCs/>
          <w:b/>
        </w:rPr>
        <w:t xml:space="preserve">Edge AI ROI calculation:</w:t>
      </w:r>
    </w:p>
    <w:p>
      <w:pPr>
        <w:pStyle w:val="SourceCode"/>
      </w:pPr>
      <w:r>
        <w:rPr>
          <w:rStyle w:val="VerbatimChar"/>
        </w:rPr>
        <w:t xml:space="preserve">Cloud solution (12 months):</w:t>
      </w:r>
      <w:r>
        <w:br/>
      </w:r>
      <w:r>
        <w:rPr>
          <w:rStyle w:val="VerbatimChar"/>
        </w:rPr>
        <w:t xml:space="preserve">  Compute: EUR 555/month x 12 = EUR 6,660/year</w:t>
      </w:r>
      <w:r>
        <w:br/>
      </w:r>
      <w:r>
        <w:rPr>
          <w:rStyle w:val="VerbatimChar"/>
        </w:rPr>
        <w:t xml:space="preserve">  Total: EUR 6,660/year</w:t>
      </w:r>
      <w:r>
        <w:br/>
      </w:r>
      <w:r>
        <w:br/>
      </w:r>
      <w:r>
        <w:rPr>
          <w:rStyle w:val="VerbatimChar"/>
        </w:rPr>
        <w:t xml:space="preserve">Edge AI solution:</w:t>
      </w:r>
      <w:r>
        <w:br/>
      </w:r>
      <w:r>
        <w:rPr>
          <w:rStyle w:val="VerbatimChar"/>
        </w:rPr>
        <w:t xml:space="preserve">  Hardware (one-time): EUR 1,084 (Jetson Orin Nano + accessories)</w:t>
      </w:r>
      <w:r>
        <w:br/>
      </w:r>
      <w:r>
        <w:rPr>
          <w:rStyle w:val="VerbatimChar"/>
        </w:rPr>
        <w:t xml:space="preserve">  Electricity: EUR 10/month x 12 = EUR 120/year</w:t>
      </w:r>
      <w:r>
        <w:br/>
      </w:r>
      <w:r>
        <w:rPr>
          <w:rStyle w:val="VerbatimChar"/>
        </w:rPr>
        <w:t xml:space="preserve">  Year 1 total: EUR 1,204</w:t>
      </w:r>
      <w:r>
        <w:br/>
      </w:r>
      <w:r>
        <w:rPr>
          <w:rStyle w:val="VerbatimChar"/>
        </w:rPr>
        <w:t xml:space="preserve">  Year 2+ total: EUR 120/year</w:t>
      </w:r>
      <w:r>
        <w:br/>
      </w:r>
      <w:r>
        <w:br/>
      </w:r>
      <w:r>
        <w:rPr>
          <w:rStyle w:val="VerbatimChar"/>
        </w:rPr>
        <w:t xml:space="preserve">Savings: EUR 5,456/year (82% cheaper)</w:t>
      </w:r>
      <w:r>
        <w:br/>
      </w:r>
      <w:r>
        <w:rPr>
          <w:rStyle w:val="VerbatimChar"/>
        </w:rPr>
        <w:t xml:space="preserve">Payback period: 1.95 months</w:t>
      </w:r>
    </w:p>
    <w:p>
      <w:pPr>
        <w:pStyle w:val="FirstParagraph"/>
      </w:pPr>
      <w:r>
        <w:rPr>
          <w:bCs/>
          <w:b/>
        </w:rPr>
        <w:t xml:space="preserve">Inference shift validation:</w:t>
      </w:r>
      <w:r>
        <w:t xml:space="preserve"> </w:t>
      </w:r>
      <w:r>
        <w:t xml:space="preserve">By 2028, more than 80% of data center workload accelerators will be deployed specifically for inference rather than training (Red Hat, 2025). This structural shift toward runtime execution validates the Firehorse edge-first architecture: the GN-100 Jetson Orin Nano runs inference workloads at EUR 120/year versus EUR 6,660/year in cloud — positioned precisely where the industry investment thesis is heading.</w:t>
      </w:r>
    </w:p>
    <w:bookmarkEnd w:id="39"/>
    <w:bookmarkStart w:id="44" w:name="X4f2064b2cf1bdfe6adbca5812c33986d8783861"/>
    <w:p>
      <w:pPr>
        <w:pStyle w:val="Heading2"/>
      </w:pPr>
      <w:r>
        <w:t xml:space="preserve">2.5 Multi-Agent Systems Theory and Lifetime Scope Signals</w:t>
      </w:r>
    </w:p>
    <w:p>
      <w:pPr>
        <w:pStyle w:val="FirstParagraph"/>
      </w:pPr>
      <w:r>
        <w:t xml:space="preserve">This section introduces a novel theoretical contribution: the</w:t>
      </w:r>
      <w:r>
        <w:t xml:space="preserve"> </w:t>
      </w:r>
      <w:r>
        <w:rPr>
          <w:bCs/>
          <w:b/>
        </w:rPr>
        <w:t xml:space="preserve">Lifetime Scope Signals protocol</w:t>
      </w:r>
      <w:r>
        <w:t xml:space="preserve"> </w:t>
      </w:r>
      <w:r>
        <w:t xml:space="preserve">for multi-agent coordination in bootstrapped industrial AI platforms.</w:t>
      </w:r>
    </w:p>
    <w:bookmarkStart w:id="40" w:name="multi-agent-systems-background"/>
    <w:p>
      <w:pPr>
        <w:pStyle w:val="Heading3"/>
      </w:pPr>
      <w:r>
        <w:t xml:space="preserve">2.5.1 Multi-Agent Systems Background</w:t>
      </w:r>
    </w:p>
    <w:p>
      <w:pPr>
        <w:pStyle w:val="FirstParagraph"/>
      </w:pPr>
      <w:r>
        <w:t xml:space="preserve">Multi-agent systems (MAS) theory (Wooldridge, 2009) provides the foundation for understanding how autonomous agents can coordinate to achieve complex objectives. Key concepts applied to Firehorse:</w:t>
      </w:r>
    </w:p>
    <w:p>
      <w:pPr>
        <w:numPr>
          <w:ilvl w:val="0"/>
          <w:numId w:val="1018"/>
        </w:numPr>
        <w:pStyle w:val="Compact"/>
      </w:pPr>
      <w:r>
        <w:rPr>
          <w:bCs/>
          <w:b/>
        </w:rPr>
        <w:t xml:space="preserve">Agent autonomy:</w:t>
      </w:r>
      <w:r>
        <w:t xml:space="preserve"> </w:t>
      </w:r>
      <w:r>
        <w:t xml:space="preserve">Each agent operates independently within defined responsibility areas</w:t>
      </w:r>
    </w:p>
    <w:p>
      <w:pPr>
        <w:numPr>
          <w:ilvl w:val="0"/>
          <w:numId w:val="1018"/>
        </w:numPr>
        <w:pStyle w:val="Compact"/>
      </w:pPr>
      <w:r>
        <w:rPr>
          <w:bCs/>
          <w:b/>
        </w:rPr>
        <w:t xml:space="preserve">Agent communication:</w:t>
      </w:r>
      <w:r>
        <w:t xml:space="preserve"> </w:t>
      </w:r>
      <w:r>
        <w:t xml:space="preserve">Agents exchange signals to coordinate dependencies</w:t>
      </w:r>
    </w:p>
    <w:p>
      <w:pPr>
        <w:numPr>
          <w:ilvl w:val="0"/>
          <w:numId w:val="1018"/>
        </w:numPr>
        <w:pStyle w:val="Compact"/>
      </w:pPr>
      <w:r>
        <w:rPr>
          <w:bCs/>
          <w:b/>
        </w:rPr>
        <w:t xml:space="preserve">Emergent behavior:</w:t>
      </w:r>
      <w:r>
        <w:t xml:space="preserve"> </w:t>
      </w:r>
      <w:r>
        <w:t xml:space="preserve">System-level capabilities arise from agent interactions</w:t>
      </w:r>
    </w:p>
    <w:p>
      <w:pPr>
        <w:numPr>
          <w:ilvl w:val="0"/>
          <w:numId w:val="1018"/>
        </w:numPr>
        <w:pStyle w:val="Compact"/>
      </w:pPr>
      <w:r>
        <w:rPr>
          <w:bCs/>
          <w:b/>
        </w:rPr>
        <w:t xml:space="preserve">Coordination mechanisms:</w:t>
      </w:r>
      <w:r>
        <w:t xml:space="preserve"> </w:t>
      </w:r>
      <w:r>
        <w:t xml:space="preserve">Protocols ensure agents work toward shared goals</w:t>
      </w:r>
    </w:p>
    <w:bookmarkEnd w:id="40"/>
    <w:bookmarkStart w:id="41" w:name="lifetime-scope-signals-protocol"/>
    <w:p>
      <w:pPr>
        <w:pStyle w:val="Heading3"/>
      </w:pPr>
      <w:r>
        <w:t xml:space="preserve">2.5.2 Lifetime Scope Signals Protocol</w:t>
      </w:r>
    </w:p>
    <w:p>
      <w:pPr>
        <w:pStyle w:val="FirstParagraph"/>
      </w:pPr>
      <w:r>
        <w:t xml:space="preserve">The Lifetime Scope Signals protocol is a novel coordination mechanism developed for DWS IQ 6. It enables deterministic multi-agent development coordination. Unlike traditional MAS approaches based on real-time negotiation, this protocol uses</w:t>
      </w:r>
      <w:r>
        <w:t xml:space="preserve"> </w:t>
      </w:r>
      <w:r>
        <w:rPr>
          <w:bCs/>
          <w:b/>
        </w:rPr>
        <w:t xml:space="preserve">declarative signal emission</w:t>
      </w:r>
      <w:r>
        <w:t xml:space="preserve"> </w:t>
      </w:r>
      <w:r>
        <w:t xml:space="preserve">to unblock dependent agents.</w:t>
      </w:r>
    </w:p>
    <w:p>
      <w:pPr>
        <w:pStyle w:val="BodyText"/>
      </w:pPr>
      <w:r>
        <w:rPr>
          <w:bCs/>
          <w:b/>
        </w:rPr>
        <w:t xml:space="preserve">Signal format:</w:t>
      </w:r>
    </w:p>
    <w:p>
      <w:pPr>
        <w:pStyle w:val="SourceCode"/>
      </w:pPr>
      <w:r>
        <w:rPr>
          <w:rStyle w:val="VerbatimChar"/>
        </w:rPr>
        <w:t xml:space="preserve">[AGENT-XX]:SIGNAL_TYPE:MILESTONE:TIMESTAMP</w:t>
      </w:r>
    </w:p>
    <w:p>
      <w:pPr>
        <w:pStyle w:val="FirstParagraph"/>
      </w:pPr>
      <w:r>
        <w:rPr>
          <w:bCs/>
          <w:b/>
        </w:rPr>
        <w:t xml:space="preserve">Signal types:</w:t>
      </w:r>
    </w:p>
    <w:tbl>
      <w:tblPr>
        <w:tblStyle w:val="Table"/>
        <w:tblW w:type="pct" w:w="5000"/>
        <w:tblLook w:firstRow="1" w:lastRow="0" w:firstColumn="0" w:lastColumn="0" w:noHBand="0" w:noVBand="0" w:val="0020"/>
        <w:jc w:val="start"/>
      </w:tblPr>
      <w:tblGrid>
        <w:gridCol w:w="1084"/>
        <w:gridCol w:w="3363"/>
        <w:gridCol w:w="3471"/>
      </w:tblGrid>
      <w:tr>
        <w:trPr>
          <w:tblHeader w:val="true"/>
        </w:trPr>
        <w:tc>
          <w:tcPr/>
          <w:p>
            <w:pPr>
              <w:pStyle w:val="Compact"/>
              <w:jc w:val="left"/>
            </w:pPr>
            <w:r>
              <w:t xml:space="preserve">Type</w:t>
            </w:r>
          </w:p>
        </w:tc>
        <w:tc>
          <w:tcPr/>
          <w:p>
            <w:pPr>
              <w:pStyle w:val="Compact"/>
              <w:jc w:val="left"/>
            </w:pPr>
            <w:r>
              <w:t xml:space="preserve">Meaning</w:t>
            </w:r>
          </w:p>
        </w:tc>
        <w:tc>
          <w:tcPr/>
          <w:p>
            <w:pPr>
              <w:pStyle w:val="Compact"/>
              <w:jc w:val="left"/>
            </w:pPr>
            <w:r>
              <w:t xml:space="preserve">Action</w:t>
            </w:r>
          </w:p>
        </w:tc>
      </w:tr>
      <w:tr>
        <w:tc>
          <w:tcPr/>
          <w:p>
            <w:pPr>
              <w:pStyle w:val="Compact"/>
              <w:jc w:val="left"/>
            </w:pPr>
            <w:r>
              <w:rPr>
                <w:rStyle w:val="VerbatimChar"/>
              </w:rPr>
              <w:t xml:space="preserve">READY</w:t>
            </w:r>
          </w:p>
        </w:tc>
        <w:tc>
          <w:tcPr/>
          <w:p>
            <w:pPr>
              <w:pStyle w:val="Compact"/>
              <w:jc w:val="left"/>
            </w:pPr>
            <w:r>
              <w:t xml:space="preserve">Milestone achieved</w:t>
            </w:r>
          </w:p>
        </w:tc>
        <w:tc>
          <w:tcPr/>
          <w:p>
            <w:pPr>
              <w:pStyle w:val="Compact"/>
              <w:jc w:val="left"/>
            </w:pPr>
            <w:r>
              <w:t xml:space="preserve">Unblocks downstream agents</w:t>
            </w:r>
          </w:p>
        </w:tc>
      </w:tr>
      <w:tr>
        <w:tc>
          <w:tcPr/>
          <w:p>
            <w:pPr>
              <w:pStyle w:val="Compact"/>
              <w:jc w:val="left"/>
            </w:pPr>
            <w:r>
              <w:rPr>
                <w:rStyle w:val="VerbatimChar"/>
              </w:rPr>
              <w:t xml:space="preserve">COMPLETE</w:t>
            </w:r>
          </w:p>
        </w:tc>
        <w:tc>
          <w:tcPr/>
          <w:p>
            <w:pPr>
              <w:pStyle w:val="Compact"/>
              <w:jc w:val="left"/>
            </w:pPr>
            <w:r>
              <w:t xml:space="preserve">All agent work finished</w:t>
            </w:r>
          </w:p>
        </w:tc>
        <w:tc>
          <w:tcPr/>
          <w:p>
            <w:pPr>
              <w:pStyle w:val="Compact"/>
              <w:jc w:val="left"/>
            </w:pPr>
            <w:r>
              <w:t xml:space="preserve">Agent transitions to ready state</w:t>
            </w:r>
          </w:p>
        </w:tc>
      </w:tr>
      <w:tr>
        <w:tc>
          <w:tcPr/>
          <w:p>
            <w:pPr>
              <w:pStyle w:val="Compact"/>
              <w:jc w:val="left"/>
            </w:pPr>
            <w:r>
              <w:rPr>
                <w:rStyle w:val="VerbatimChar"/>
              </w:rPr>
              <w:t xml:space="preserve">ERROR</w:t>
            </w:r>
          </w:p>
        </w:tc>
        <w:tc>
          <w:tcPr/>
          <w:p>
            <w:pPr>
              <w:pStyle w:val="Compact"/>
              <w:jc w:val="left"/>
            </w:pPr>
            <w:r>
              <w:t xml:space="preserve">Agent encountered an error</w:t>
            </w:r>
          </w:p>
        </w:tc>
        <w:tc>
          <w:tcPr/>
          <w:p>
            <w:pPr>
              <w:pStyle w:val="Compact"/>
              <w:jc w:val="left"/>
            </w:pPr>
            <w:r>
              <w:t xml:space="preserve">Alerts coordinator</w:t>
            </w:r>
          </w:p>
        </w:tc>
      </w:tr>
      <w:tr>
        <w:tc>
          <w:tcPr/>
          <w:p>
            <w:pPr>
              <w:pStyle w:val="Compact"/>
              <w:jc w:val="left"/>
            </w:pPr>
            <w:r>
              <w:rPr>
                <w:rStyle w:val="VerbatimChar"/>
              </w:rPr>
              <w:t xml:space="preserve">BLOCKED</w:t>
            </w:r>
          </w:p>
        </w:tc>
        <w:tc>
          <w:tcPr/>
          <w:p>
            <w:pPr>
              <w:pStyle w:val="Compact"/>
              <w:jc w:val="left"/>
            </w:pPr>
            <w:r>
              <w:t xml:space="preserve">Waiting for external dependency</w:t>
            </w:r>
          </w:p>
        </w:tc>
        <w:tc>
          <w:tcPr/>
          <w:p>
            <w:pPr>
              <w:pStyle w:val="Compact"/>
              <w:jc w:val="left"/>
            </w:pPr>
            <w:r>
              <w:t xml:space="preserve">No action until unblocked</w:t>
            </w:r>
          </w:p>
        </w:tc>
      </w:tr>
    </w:tbl>
    <w:bookmarkEnd w:id="41"/>
    <w:bookmarkStart w:id="42" w:name="mcp-hub-orchestration-patterns"/>
    <w:p>
      <w:pPr>
        <w:pStyle w:val="Heading3"/>
      </w:pPr>
      <w:r>
        <w:t xml:space="preserve">2.5.3 MCP Hub Orchestration Patterns</w:t>
      </w:r>
    </w:p>
    <w:p>
      <w:pPr>
        <w:pStyle w:val="FirstParagraph"/>
      </w:pPr>
      <w:r>
        <w:t xml:space="preserve">The Model Context Protocol (MCP) Hub (</w:t>
      </w:r>
      <w:r>
        <w:rPr>
          <w:rStyle w:val="VerbatimChar"/>
        </w:rPr>
        <w:t xml:space="preserve">mcp-hub/server.py</w:t>
      </w:r>
      <w:r>
        <w:t xml:space="preserve">, port 8765) implements four workflow patterns for multi-agent coordination. Each pattern exposes a dedicated HTTP endpoint and handles agent routing, error propagation, and result aggregation.</w:t>
      </w:r>
    </w:p>
    <w:p>
      <w:pPr>
        <w:pStyle w:val="BodyText"/>
      </w:pPr>
      <w:r>
        <w:rPr>
          <w:bCs/>
          <w:b/>
        </w:rPr>
        <w:t xml:space="preserve">1. Fan-Out Pattern</w:t>
      </w:r>
      <w:r>
        <w:t xml:space="preserve"> </w:t>
      </w:r>
      <w:r>
        <w:t xml:space="preserve">(</w:t>
      </w:r>
      <w:r>
        <w:rPr>
          <w:rStyle w:val="VerbatimChar"/>
        </w:rPr>
        <w:t xml:space="preserve">POST /workflow/fan-out</w:t>
      </w:r>
      <w:r>
        <w:t xml:space="preserve">)</w:t>
      </w:r>
      <w:r>
        <w:t xml:space="preserve"> </w:t>
      </w:r>
      <w:r>
        <w:t xml:space="preserve">Distributes tasks to multiple agents in parallel using</w:t>
      </w:r>
      <w:r>
        <w:t xml:space="preserve"> </w:t>
      </w:r>
      <w:r>
        <w:rPr>
          <w:rStyle w:val="VerbatimChar"/>
        </w:rPr>
        <w:t xml:space="preserve">asyncio.gather()</w:t>
      </w:r>
      <w:r>
        <w:t xml:space="preserve">. All agents execute concurrently with a shared HTTP client (300s timeout). Exceptions are serialized per-task, enabling partial success — if one agent fails, others still return results. Used for Category B (Operations) agents where tasks are independent.</w:t>
      </w:r>
    </w:p>
    <w:p>
      <w:pPr>
        <w:pStyle w:val="BodyText"/>
      </w:pPr>
      <w:r>
        <w:rPr>
          <w:bCs/>
          <w:b/>
        </w:rPr>
        <w:t xml:space="preserve">2. Sequential Pattern</w:t>
      </w:r>
      <w:r>
        <w:t xml:space="preserve"> </w:t>
      </w:r>
      <w:r>
        <w:t xml:space="preserve">(</w:t>
      </w:r>
      <w:r>
        <w:rPr>
          <w:rStyle w:val="VerbatimChar"/>
        </w:rPr>
        <w:t xml:space="preserve">POST /workflow/sequential</w:t>
      </w:r>
      <w:r>
        <w:t xml:space="preserve">)</w:t>
      </w:r>
      <w:r>
        <w:t xml:space="preserve"> </w:t>
      </w:r>
      <w:r>
        <w:t xml:space="preserve">Executes tasks one by one in dependency order. Each task’s result is injected as</w:t>
      </w:r>
      <w:r>
        <w:t xml:space="preserve"> </w:t>
      </w:r>
      <w:r>
        <w:rPr>
          <w:rStyle w:val="VerbatimChar"/>
        </w:rPr>
        <w:t xml:space="preserve">context["previous_result"]</w:t>
      </w:r>
      <w:r>
        <w:t xml:space="preserve"> </w:t>
      </w:r>
      <w:r>
        <w:t xml:space="preserve">into the next task, creating an explicit data flow chain. Suitable for pipelines where output of one agent feeds the next (e.g., data extraction → analysis → report generation).</w:t>
      </w:r>
    </w:p>
    <w:p>
      <w:pPr>
        <w:pStyle w:val="BodyText"/>
      </w:pPr>
      <w:r>
        <w:rPr>
          <w:bCs/>
          <w:b/>
        </w:rPr>
        <w:t xml:space="preserve">3. Reflection Pattern</w:t>
      </w:r>
      <w:r>
        <w:t xml:space="preserve"> </w:t>
      </w:r>
      <w:r>
        <w:t xml:space="preserve">(</w:t>
      </w:r>
      <w:r>
        <w:rPr>
          <w:rStyle w:val="VerbatimChar"/>
        </w:rPr>
        <w:t xml:space="preserve">POST /workflow/reflection</w:t>
      </w:r>
      <w:r>
        <w:t xml:space="preserve">)</w:t>
      </w:r>
      <w:r>
        <w:t xml:space="preserve"> </w:t>
      </w:r>
      <w:r>
        <w:t xml:space="preserve">Implements an iterative implementation-evaluation loop. An implementation agent produces output, an evaluation agent scores it (0.0–1.0) and provides feedback. If the score falls below a configurable threshold (default 0.85), the feedback is injected back into the implementation agent for another iteration (max 3 by default). Used for Category C (Customer-facing) agents where output quality is critical.</w:t>
      </w:r>
    </w:p>
    <w:p>
      <w:pPr>
        <w:pStyle w:val="BodyText"/>
      </w:pPr>
      <w:r>
        <w:rPr>
          <w:bCs/>
          <w:b/>
        </w:rPr>
        <w:t xml:space="preserve">4. Pipeline Pattern</w:t>
      </w:r>
      <w:r>
        <w:t xml:space="preserve"> </w:t>
      </w:r>
      <w:r>
        <w:t xml:space="preserve">(</w:t>
      </w:r>
      <w:r>
        <w:rPr>
          <w:rStyle w:val="VerbatimChar"/>
        </w:rPr>
        <w:t xml:space="preserve">POST /workflow/pipeline</w:t>
      </w:r>
      <w:r>
        <w:t xml:space="preserve">) —</w:t>
      </w:r>
      <w:r>
        <w:t xml:space="preserve"> </w:t>
      </w:r>
      <w:r>
        <w:rPr>
          <w:iCs/>
          <w:i/>
        </w:rPr>
        <w:t xml:space="preserve">Recommended for production</w:t>
      </w:r>
      <w:r>
        <w:t xml:space="preserve"> </w:t>
      </w:r>
      <w:r>
        <w:t xml:space="preserve">Combines parallel and sequential execution through staged workflows. Each stage contains a list of tasks that execute in parallel (fan-out within stage), while stages execute sequentially (results from stage N flow as context into stage N+1). This avoids the sequential bottleneck while maintaining dependency ordering between logical phases.</w:t>
      </w:r>
    </w:p>
    <w:tbl>
      <w:tblPr>
        <w:tblStyle w:val="Table"/>
        <w:tblW w:type="pct" w:w="5000"/>
        <w:tblLook w:firstRow="1" w:lastRow="0" w:firstColumn="0" w:lastColumn="0" w:noHBand="0" w:noVBand="0" w:val="0020"/>
        <w:jc w:val="start"/>
      </w:tblPr>
      <w:tblGrid>
        <w:gridCol w:w="1131"/>
        <w:gridCol w:w="2489"/>
        <w:gridCol w:w="1697"/>
        <w:gridCol w:w="2602"/>
      </w:tblGrid>
      <w:tr>
        <w:trPr>
          <w:tblHeader w:val="true"/>
        </w:trPr>
        <w:tc>
          <w:tcPr/>
          <w:p>
            <w:pPr>
              <w:pStyle w:val="Compact"/>
              <w:jc w:val="left"/>
            </w:pPr>
            <w:r>
              <w:t xml:space="preserve">Pattern</w:t>
            </w:r>
          </w:p>
        </w:tc>
        <w:tc>
          <w:tcPr/>
          <w:p>
            <w:pPr>
              <w:pStyle w:val="Compact"/>
              <w:jc w:val="left"/>
            </w:pPr>
            <w:r>
              <w:t xml:space="preserve">Parallelism</w:t>
            </w:r>
          </w:p>
        </w:tc>
        <w:tc>
          <w:tcPr/>
          <w:p>
            <w:pPr>
              <w:pStyle w:val="Compact"/>
              <w:jc w:val="left"/>
            </w:pPr>
            <w:r>
              <w:t xml:space="preserve">Context Passing</w:t>
            </w:r>
          </w:p>
        </w:tc>
        <w:tc>
          <w:tcPr/>
          <w:p>
            <w:pPr>
              <w:pStyle w:val="Compact"/>
              <w:jc w:val="left"/>
            </w:pPr>
            <w:r>
              <w:t xml:space="preserve">Best For</w:t>
            </w:r>
          </w:p>
        </w:tc>
      </w:tr>
      <w:tr>
        <w:tc>
          <w:tcPr/>
          <w:p>
            <w:pPr>
              <w:pStyle w:val="Compact"/>
              <w:jc w:val="left"/>
            </w:pPr>
            <w:r>
              <w:t xml:space="preserve">Fan-Out</w:t>
            </w:r>
          </w:p>
        </w:tc>
        <w:tc>
          <w:tcPr/>
          <w:p>
            <w:pPr>
              <w:pStyle w:val="Compact"/>
              <w:jc w:val="left"/>
            </w:pPr>
            <w:r>
              <w:t xml:space="preserve">Full parallel</w:t>
            </w:r>
          </w:p>
        </w:tc>
        <w:tc>
          <w:tcPr/>
          <w:p>
            <w:pPr>
              <w:pStyle w:val="Compact"/>
              <w:jc w:val="left"/>
            </w:pPr>
            <w:r>
              <w:t xml:space="preserve">None</w:t>
            </w:r>
          </w:p>
        </w:tc>
        <w:tc>
          <w:tcPr/>
          <w:p>
            <w:pPr>
              <w:pStyle w:val="Compact"/>
              <w:jc w:val="left"/>
            </w:pPr>
            <w:r>
              <w:t xml:space="preserve">Independent tasks</w:t>
            </w:r>
          </w:p>
        </w:tc>
      </w:tr>
      <w:tr>
        <w:tc>
          <w:tcPr/>
          <w:p>
            <w:pPr>
              <w:pStyle w:val="Compact"/>
              <w:jc w:val="left"/>
            </w:pPr>
            <w:r>
              <w:t xml:space="preserve">Sequential</w:t>
            </w:r>
          </w:p>
        </w:tc>
        <w:tc>
          <w:tcPr/>
          <w:p>
            <w:pPr>
              <w:pStyle w:val="Compact"/>
              <w:jc w:val="left"/>
            </w:pPr>
            <w:r>
              <w:t xml:space="preserve">None</w:t>
            </w:r>
          </w:p>
        </w:tc>
        <w:tc>
          <w:tcPr/>
          <w:p>
            <w:pPr>
              <w:pStyle w:val="Compact"/>
              <w:jc w:val="left"/>
            </w:pPr>
            <w:r>
              <w:t xml:space="preserve">Previous → Next</w:t>
            </w:r>
          </w:p>
        </w:tc>
        <w:tc>
          <w:tcPr/>
          <w:p>
            <w:pPr>
              <w:pStyle w:val="Compact"/>
              <w:jc w:val="left"/>
            </w:pPr>
            <w:r>
              <w:t xml:space="preserve">Dependent chains</w:t>
            </w:r>
          </w:p>
        </w:tc>
      </w:tr>
      <w:tr>
        <w:tc>
          <w:tcPr/>
          <w:p>
            <w:pPr>
              <w:pStyle w:val="Compact"/>
              <w:jc w:val="left"/>
            </w:pPr>
            <w:r>
              <w:t xml:space="preserve">Reflection</w:t>
            </w:r>
          </w:p>
        </w:tc>
        <w:tc>
          <w:tcPr/>
          <w:p>
            <w:pPr>
              <w:pStyle w:val="Compact"/>
              <w:jc w:val="left"/>
            </w:pPr>
            <w:r>
              <w:t xml:space="preserve">None</w:t>
            </w:r>
          </w:p>
        </w:tc>
        <w:tc>
          <w:tcPr/>
          <w:p>
            <w:pPr>
              <w:pStyle w:val="Compact"/>
              <w:jc w:val="left"/>
            </w:pPr>
            <w:r>
              <w:t xml:space="preserve">Feedback loop</w:t>
            </w:r>
          </w:p>
        </w:tc>
        <w:tc>
          <w:tcPr/>
          <w:p>
            <w:pPr>
              <w:pStyle w:val="Compact"/>
              <w:jc w:val="left"/>
            </w:pPr>
            <w:r>
              <w:t xml:space="preserve">Quality-critical output</w:t>
            </w:r>
          </w:p>
        </w:tc>
      </w:tr>
      <w:tr>
        <w:tc>
          <w:tcPr/>
          <w:p>
            <w:pPr>
              <w:pStyle w:val="Compact"/>
              <w:jc w:val="left"/>
            </w:pPr>
            <w:r>
              <w:t xml:space="preserve">Pipeline</w:t>
            </w:r>
          </w:p>
        </w:tc>
        <w:tc>
          <w:tcPr/>
          <w:p>
            <w:pPr>
              <w:pStyle w:val="Compact"/>
              <w:jc w:val="left"/>
            </w:pPr>
            <w:r>
              <w:t xml:space="preserve">Parallel within stages</w:t>
            </w:r>
          </w:p>
        </w:tc>
        <w:tc>
          <w:tcPr/>
          <w:p>
            <w:pPr>
              <w:pStyle w:val="Compact"/>
              <w:jc w:val="left"/>
            </w:pPr>
            <w:r>
              <w:t xml:space="preserve">Stage → Stage</w:t>
            </w:r>
          </w:p>
        </w:tc>
        <w:tc>
          <w:tcPr/>
          <w:p>
            <w:pPr>
              <w:pStyle w:val="Compact"/>
              <w:jc w:val="left"/>
            </w:pPr>
            <w:r>
              <w:t xml:space="preserve">Production workloads</w:t>
            </w:r>
          </w:p>
        </w:tc>
      </w:tr>
    </w:tbl>
    <w:bookmarkEnd w:id="42"/>
    <w:bookmarkStart w:id="43" w:name="skills-and-clis-as-agent-interfaces"/>
    <w:p>
      <w:pPr>
        <w:pStyle w:val="Heading3"/>
      </w:pPr>
      <w:r>
        <w:t xml:space="preserve">2.5.4 Skills and CLIs as Agent Interfaces</w:t>
      </w:r>
    </w:p>
    <w:p>
      <w:pPr>
        <w:pStyle w:val="FirstParagraph"/>
      </w:pPr>
      <w:r>
        <w:t xml:space="preserve">The</w:t>
      </w:r>
      <w:r>
        <w:t xml:space="preserve"> </w:t>
      </w:r>
      <w:r>
        <w:t xml:space="preserve">“</w:t>
      </w:r>
      <w:r>
        <w:t xml:space="preserve">Build for Agents</w:t>
      </w:r>
      <w:r>
        <w:t xml:space="preserve">”</w:t>
      </w:r>
      <w:r>
        <w:t xml:space="preserve"> </w:t>
      </w:r>
      <w:r>
        <w:t xml:space="preserve">principle establishes that every DWS product must be accessible through three complementary interfaces beyond the GUI: a CLI, an MCP server, and Claude Code Skills.</w:t>
      </w:r>
    </w:p>
    <w:p>
      <w:pPr>
        <w:pStyle w:val="BodyText"/>
      </w:pPr>
      <w:r>
        <w:rPr>
          <w:bCs/>
          <w:b/>
        </w:rPr>
        <w:t xml:space="preserve">CLI (Command-Line Interface)</w:t>
      </w:r>
      <w:r>
        <w:t xml:space="preserve"> </w:t>
      </w:r>
      <w:r>
        <w:t xml:space="preserve">The CLI (</w:t>
      </w:r>
      <w:r>
        <w:rPr>
          <w:rStyle w:val="VerbatimChar"/>
        </w:rPr>
        <w:t xml:space="preserve">npx tsx cli/src/cli.ts &lt;command&gt;</w:t>
      </w:r>
      <w:r>
        <w:t xml:space="preserve">) provides structured JSON output for every agent operation. This follows the industry trend where AI agents consume tools through command-line interfaces rather than graphical interfaces. Key commands:</w:t>
      </w:r>
    </w:p>
    <w:p>
      <w:pPr>
        <w:numPr>
          <w:ilvl w:val="0"/>
          <w:numId w:val="1019"/>
        </w:numPr>
        <w:pStyle w:val="Compact"/>
      </w:pPr>
      <w:r>
        <w:rPr>
          <w:rStyle w:val="VerbatimChar"/>
        </w:rPr>
        <w:t xml:space="preserve">dws agents</w:t>
      </w:r>
      <w:r>
        <w:t xml:space="preserve"> </w:t>
      </w:r>
      <w:r>
        <w:t xml:space="preserve">— List all registered agents</w:t>
      </w:r>
    </w:p>
    <w:p>
      <w:pPr>
        <w:numPr>
          <w:ilvl w:val="0"/>
          <w:numId w:val="1019"/>
        </w:numPr>
        <w:pStyle w:val="Compact"/>
      </w:pPr>
      <w:r>
        <w:rPr>
          <w:rStyle w:val="VerbatimChar"/>
        </w:rPr>
        <w:t xml:space="preserve">dws run &lt;agent&gt; --input '{...}'</w:t>
      </w:r>
      <w:r>
        <w:t xml:space="preserve"> </w:t>
      </w:r>
      <w:r>
        <w:t xml:space="preserve">— Execute a named agent with structured input</w:t>
      </w:r>
    </w:p>
    <w:p>
      <w:pPr>
        <w:numPr>
          <w:ilvl w:val="0"/>
          <w:numId w:val="1019"/>
        </w:numPr>
        <w:pStyle w:val="Compact"/>
      </w:pPr>
      <w:r>
        <w:rPr>
          <w:rStyle w:val="VerbatimChar"/>
        </w:rPr>
        <w:t xml:space="preserve">dws workflow &lt;name&gt;</w:t>
      </w:r>
      <w:r>
        <w:t xml:space="preserve"> </w:t>
      </w:r>
      <w:r>
        <w:t xml:space="preserve">— Trigger a multi-agent workflow</w:t>
      </w:r>
    </w:p>
    <w:p>
      <w:pPr>
        <w:pStyle w:val="FirstParagraph"/>
      </w:pPr>
      <w:r>
        <w:t xml:space="preserve">The CLI-first approach ensures that every feature is automatable, testable, and composable. A product that exists only as GUI is considered incomplete.</w:t>
      </w:r>
    </w:p>
    <w:p>
      <w:pPr>
        <w:pStyle w:val="BodyText"/>
      </w:pPr>
      <w:r>
        <w:rPr>
          <w:bCs/>
          <w:b/>
        </w:rPr>
        <w:t xml:space="preserve">MCP Server</w:t>
      </w:r>
      <w:r>
        <w:t xml:space="preserve"> </w:t>
      </w:r>
      <w:r>
        <w:t xml:space="preserve">The MCP endpoint (</w:t>
      </w:r>
      <w:r>
        <w:rPr>
          <w:rStyle w:val="VerbatimChar"/>
        </w:rPr>
        <w:t xml:space="preserve">/mcp</w:t>
      </w:r>
      <w:r>
        <w:t xml:space="preserve">, JSON-RPC 2.0) makes all agents auto-discoverable via</w:t>
      </w:r>
      <w:r>
        <w:t xml:space="preserve"> </w:t>
      </w:r>
      <w:r>
        <w:rPr>
          <w:rStyle w:val="VerbatimChar"/>
        </w:rPr>
        <w:t xml:space="preserve">tools/list</w:t>
      </w:r>
      <w:r>
        <w:t xml:space="preserve">. External AI systems (Claude Code, Cursor, VS Code Copilot) can connect to the MCP server and invoke any agent as a tool. This implements the Model Context Protocol specification for standardized tool integration.</w:t>
      </w:r>
    </w:p>
    <w:p>
      <w:pPr>
        <w:pStyle w:val="BodyText"/>
      </w:pPr>
      <w:r>
        <w:rPr>
          <w:bCs/>
          <w:b/>
        </w:rPr>
        <w:t xml:space="preserve">Claude Code Skills</w:t>
      </w:r>
      <w:r>
        <w:t xml:space="preserve"> </w:t>
      </w:r>
      <w:r>
        <w:t xml:space="preserve">Skills (</w:t>
      </w:r>
      <w:r>
        <w:rPr>
          <w:rStyle w:val="VerbatimChar"/>
        </w:rPr>
        <w:t xml:space="preserve">.claude/commands/*.md</w:t>
      </w:r>
      <w:r>
        <w:t xml:space="preserve">) are reusable workflow components that encapsulate agent invocations as slash commands. Six production skills are deployed: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Skill</w:t>
            </w:r>
          </w:p>
        </w:tc>
        <w:tc>
          <w:tcPr/>
          <w:p>
            <w:pPr>
              <w:pStyle w:val="Compact"/>
              <w:jc w:val="left"/>
            </w:pPr>
            <w:r>
              <w:t xml:space="preserve">Purpose</w:t>
            </w:r>
          </w:p>
        </w:tc>
      </w:tr>
      <w:tr>
        <w:tc>
          <w:tcPr/>
          <w:p>
            <w:pPr>
              <w:pStyle w:val="Compact"/>
              <w:jc w:val="left"/>
            </w:pPr>
            <w:r>
              <w:rPr>
                <w:rStyle w:val="VerbatimChar"/>
              </w:rPr>
              <w:t xml:space="preserve">/compliance-check</w:t>
            </w:r>
          </w:p>
        </w:tc>
        <w:tc>
          <w:tcPr/>
          <w:p>
            <w:pPr>
              <w:pStyle w:val="Compact"/>
              <w:jc w:val="left"/>
            </w:pPr>
            <w:r>
              <w:t xml:space="preserve">EU regulatory gap analysis (ETS, CBAM, CSRD)</w:t>
            </w:r>
          </w:p>
        </w:tc>
      </w:tr>
      <w:tr>
        <w:tc>
          <w:tcPr/>
          <w:p>
            <w:pPr>
              <w:pStyle w:val="Compact"/>
              <w:jc w:val="left"/>
            </w:pPr>
            <w:r>
              <w:rPr>
                <w:rStyle w:val="VerbatimChar"/>
              </w:rPr>
              <w:t xml:space="preserve">/agent-run</w:t>
            </w:r>
          </w:p>
        </w:tc>
        <w:tc>
          <w:tcPr/>
          <w:p>
            <w:pPr>
              <w:pStyle w:val="Compact"/>
              <w:jc w:val="left"/>
            </w:pPr>
            <w:r>
              <w:t xml:space="preserve">Execute any named agent with structured input</w:t>
            </w:r>
          </w:p>
        </w:tc>
      </w:tr>
      <w:tr>
        <w:tc>
          <w:tcPr/>
          <w:p>
            <w:pPr>
              <w:pStyle w:val="Compact"/>
              <w:jc w:val="left"/>
            </w:pPr>
            <w:r>
              <w:rPr>
                <w:rStyle w:val="VerbatimChar"/>
              </w:rPr>
              <w:t xml:space="preserve">/workflow</w:t>
            </w:r>
          </w:p>
        </w:tc>
        <w:tc>
          <w:tcPr/>
          <w:p>
            <w:pPr>
              <w:pStyle w:val="Compact"/>
              <w:jc w:val="left"/>
            </w:pPr>
            <w:r>
              <w:t xml:space="preserve">Trigger multi-agent workflows</w:t>
            </w:r>
          </w:p>
        </w:tc>
      </w:tr>
      <w:tr>
        <w:tc>
          <w:tcPr/>
          <w:p>
            <w:pPr>
              <w:pStyle w:val="Compact"/>
              <w:jc w:val="left"/>
            </w:pPr>
            <w:r>
              <w:rPr>
                <w:rStyle w:val="VerbatimChar"/>
              </w:rPr>
              <w:t xml:space="preserve">/discover-agents</w:t>
            </w:r>
          </w:p>
        </w:tc>
        <w:tc>
          <w:tcPr/>
          <w:p>
            <w:pPr>
              <w:pStyle w:val="Compact"/>
              <w:jc w:val="left"/>
            </w:pPr>
            <w:r>
              <w:t xml:space="preserve">Find agents by capability keyword</w:t>
            </w:r>
          </w:p>
        </w:tc>
      </w:tr>
      <w:tr>
        <w:tc>
          <w:tcPr/>
          <w:p>
            <w:pPr>
              <w:pStyle w:val="Compact"/>
              <w:jc w:val="left"/>
            </w:pPr>
            <w:r>
              <w:rPr>
                <w:rStyle w:val="VerbatimChar"/>
              </w:rPr>
              <w:t xml:space="preserve">/site-safety</w:t>
            </w:r>
          </w:p>
        </w:tc>
        <w:tc>
          <w:tcPr/>
          <w:p>
            <w:pPr>
              <w:pStyle w:val="Compact"/>
              <w:jc w:val="left"/>
            </w:pPr>
            <w:r>
              <w:t xml:space="preserve">Construction site safety assessment</w:t>
            </w:r>
          </w:p>
        </w:tc>
      </w:tr>
      <w:tr>
        <w:tc>
          <w:tcPr/>
          <w:p>
            <w:pPr>
              <w:pStyle w:val="Compact"/>
              <w:jc w:val="left"/>
            </w:pPr>
            <w:r>
              <w:rPr>
                <w:rStyle w:val="VerbatimChar"/>
              </w:rPr>
              <w:t xml:space="preserve">/carbon-analysis</w:t>
            </w:r>
          </w:p>
        </w:tc>
        <w:tc>
          <w:tcPr/>
          <w:p>
            <w:pPr>
              <w:pStyle w:val="Compact"/>
              <w:jc w:val="left"/>
            </w:pPr>
            <w:r>
              <w:t xml:space="preserve">Embodied carbon footprint calculation</w:t>
            </w:r>
          </w:p>
        </w:tc>
      </w:tr>
    </w:tbl>
    <w:p>
      <w:pPr>
        <w:pStyle w:val="BodyText"/>
      </w:pPr>
      <w:r>
        <w:t xml:space="preserve">Each skill is a callable, testable component that combines prompt engineering with tool orchestration. The skill pattern ensures that agent capabilities are accessible without requiring users to understand the underlying MCP protocol or CLI syntax.</w:t>
      </w:r>
    </w:p>
    <w:p>
      <w:pPr>
        <w:pStyle w:val="BodyText"/>
      </w:pPr>
      <w:r>
        <w:rPr>
          <w:bCs/>
          <w:b/>
        </w:rPr>
        <w:t xml:space="preserve">Three-Interface Rule:</w:t>
      </w:r>
      <w:r>
        <w:t xml:space="preserve"> </w:t>
      </w:r>
      <w:r>
        <w:t xml:space="preserve">Every new agent must ship with all three interfaces (CLI command, MCP tool, Claude Code Skill). This guarantees that agents are usable by humans (CLI), other AI systems (MCP), and within development workflows (Skills).</w:t>
      </w:r>
    </w:p>
    <w:bookmarkEnd w:id="43"/>
    <w:bookmarkEnd w:id="44"/>
    <w:bookmarkStart w:id="45" w:name="X1ceae78b04d973514b920a9238ba17cf3664007"/>
    <w:p>
      <w:pPr>
        <w:pStyle w:val="Heading2"/>
      </w:pPr>
      <w:r>
        <w:t xml:space="preserve">2.6 Conceptual Model: Firehorse Solution Factory</w:t>
      </w:r>
    </w:p>
    <w:p>
      <w:pPr>
        <w:pStyle w:val="FirstParagraph"/>
      </w:pPr>
      <w:r>
        <w:t xml:space="preserve">The Firehorse Solution Factory model synthesizes the aforementioned theoretical frameworks into a unified conceptual model for building climate-intelligent industrial platforms:</w:t>
      </w:r>
    </w:p>
    <w:p>
      <w:pPr>
        <w:pStyle w:val="SourceCode"/>
      </w:pPr>
      <w:r>
        <w:rPr>
          <w:rStyle w:val="VerbatimChar"/>
        </w:rPr>
        <w:t xml:space="preserve">+-------------------------------------------------------------------+</w:t>
      </w:r>
      <w:r>
        <w:br/>
      </w:r>
      <w:r>
        <w:rPr>
          <w:rStyle w:val="VerbatimChar"/>
        </w:rPr>
        <w:t xml:space="preserve">|                    FIREHORSE SOLUTION FACTORY                       |</w:t>
      </w:r>
      <w:r>
        <w:br/>
      </w:r>
      <w:r>
        <w:rPr>
          <w:rStyle w:val="VerbatimChar"/>
        </w:rPr>
        <w:t xml:space="preserve">|           Conceptual Model for Industrial AI Platforms              |</w:t>
      </w:r>
      <w:r>
        <w:br/>
      </w:r>
      <w:r>
        <w:rPr>
          <w:rStyle w:val="VerbatimChar"/>
        </w:rPr>
        <w:t xml:space="preserve">+-------------------------------------------------------------------+</w:t>
      </w:r>
      <w:r>
        <w:br/>
      </w:r>
      <w:r>
        <w:rPr>
          <w:rStyle w:val="VerbatimChar"/>
        </w:rPr>
        <w:t xml:space="preserve">|                                                                     |</w:t>
      </w:r>
      <w:r>
        <w:br/>
      </w:r>
      <w:r>
        <w:rPr>
          <w:rStyle w:val="VerbatimChar"/>
        </w:rPr>
        <w:t xml:space="preserve">|  STRATEGIC LAYER (Business Model)                                   |</w:t>
      </w:r>
      <w:r>
        <w:br/>
      </w:r>
      <w:r>
        <w:rPr>
          <w:rStyle w:val="VerbatimChar"/>
        </w:rPr>
        <w:t xml:space="preserve">|  +- Lifetime World Model (55B) -&gt; Cross-vertical intelligence      |</w:t>
      </w:r>
      <w:r>
        <w:br/>
      </w:r>
      <w:r>
        <w:rPr>
          <w:rStyle w:val="VerbatimChar"/>
        </w:rPr>
        <w:t xml:space="preserve">|  +- 8 vertical templates -&gt; Reusable agent configurations          |</w:t>
      </w:r>
      <w:r>
        <w:br/>
      </w:r>
      <w:r>
        <w:rPr>
          <w:rStyle w:val="VerbatimChar"/>
        </w:rPr>
        <w:t xml:space="preserve">|  +- AI-assisted development (Cursor Pro + Claude Code Max, 15-week MVP) |</w:t>
      </w:r>
      <w:r>
        <w:br/>
      </w:r>
      <w:r>
        <w:rPr>
          <w:rStyle w:val="VerbatimChar"/>
        </w:rPr>
        <w:t xml:space="preserve">|  +- EU compliance moat -&gt; Fit for 55, NIS2, GDPR                  |</w:t>
      </w:r>
      <w:r>
        <w:br/>
      </w:r>
      <w:r>
        <w:rPr>
          <w:rStyle w:val="VerbatimChar"/>
        </w:rPr>
        <w:t xml:space="preserve">|                                                                     |</w:t>
      </w:r>
      <w:r>
        <w:br/>
      </w:r>
      <w:r>
        <w:rPr>
          <w:rStyle w:val="VerbatimChar"/>
        </w:rPr>
        <w:t xml:space="preserve">|  OPERATIONAL LAYER (AgentFoundry + Lifetime Scope Signals)          |</w:t>
      </w:r>
      <w:r>
        <w:br/>
      </w:r>
      <w:r>
        <w:rPr>
          <w:rStyle w:val="VerbatimChar"/>
        </w:rPr>
        <w:t xml:space="preserve">|  +- Agent configurations -&gt; YAML templates per vertical            |</w:t>
      </w:r>
      <w:r>
        <w:br/>
      </w:r>
      <w:r>
        <w:rPr>
          <w:rStyle w:val="VerbatimChar"/>
        </w:rPr>
        <w:t xml:space="preserve">|  +- Lifetime Scope Signals -&gt; Coordination protocol                |</w:t>
      </w:r>
      <w:r>
        <w:br/>
      </w:r>
      <w:r>
        <w:rPr>
          <w:rStyle w:val="VerbatimChar"/>
        </w:rPr>
        <w:t xml:space="preserve">|  +- MCP Hub -&gt; Multi-agent orchestration                           |</w:t>
      </w:r>
      <w:r>
        <w:br/>
      </w:r>
      <w:r>
        <w:rPr>
          <w:rStyle w:val="VerbatimChar"/>
        </w:rPr>
        <w:t xml:space="preserve">|  +- Phased deployment -&gt; Silent -&gt; Advisor -&gt; Autonomous           |</w:t>
      </w:r>
      <w:r>
        <w:br/>
      </w:r>
      <w:r>
        <w:rPr>
          <w:rStyle w:val="VerbatimChar"/>
        </w:rPr>
        <w:t xml:space="preserve">|                                                                     |</w:t>
      </w:r>
      <w:r>
        <w:br/>
      </w:r>
      <w:r>
        <w:rPr>
          <w:rStyle w:val="VerbatimChar"/>
        </w:rPr>
        <w:t xml:space="preserve">|  EXECUTION LAYER (Brain-Memory-Body-Hands)                          |</w:t>
      </w:r>
      <w:r>
        <w:br/>
      </w:r>
      <w:r>
        <w:rPr>
          <w:rStyle w:val="VerbatimChar"/>
        </w:rPr>
        <w:t xml:space="preserve">|  +- Brain: DWS IQ 6 Platform (Groq + Claude + Gemini)              |</w:t>
      </w:r>
      <w:r>
        <w:br/>
      </w:r>
      <w:r>
        <w:rPr>
          <w:rStyle w:val="VerbatimChar"/>
        </w:rPr>
        <w:t xml:space="preserve">|  +- Memory: Lifetime World Model (climate knowledge base)          |</w:t>
      </w:r>
      <w:r>
        <w:br/>
      </w:r>
      <w:r>
        <w:rPr>
          <w:rStyle w:val="VerbatimChar"/>
        </w:rPr>
        <w:t xml:space="preserve">|  +- Body: 8 industry applications (vertical-specific agents)       |</w:t>
      </w:r>
      <w:r>
        <w:br/>
      </w:r>
      <w:r>
        <w:rPr>
          <w:rStyle w:val="VerbatimChar"/>
        </w:rPr>
        <w:t xml:space="preserve">|  +- Hands: Edge AI (Jetson), Drones, Robots, IoT sensors           |</w:t>
      </w:r>
      <w:r>
        <w:br/>
      </w:r>
      <w:r>
        <w:rPr>
          <w:rStyle w:val="VerbatimChar"/>
        </w:rPr>
        <w:t xml:space="preserve">|                                                                     |</w:t>
      </w:r>
      <w:r>
        <w:br/>
      </w:r>
      <w:r>
        <w:rPr>
          <w:rStyle w:val="VerbatimChar"/>
        </w:rPr>
        <w:t xml:space="preserve">+-------------------------------------------------------------------+</w:t>
      </w:r>
    </w:p>
    <w:p>
      <w:pPr>
        <w:pStyle w:val="FirstParagraph"/>
      </w:pPr>
      <w:r>
        <w:t xml:space="preserve">This conceptual model provides a replicable framework for other industrial AI startups seeking to achieve product-market fit while keeping operational costs low through the strategic use of AI-assisted development tools, edge computing, and multi-agent coordination.</w:t>
      </w:r>
    </w:p>
    <w:p>
      <w:r>
        <w:pict>
          <v:rect style="width:0;height:1.5pt" o:hralign="center" o:hrstd="t" o:hr="t"/>
        </w:pict>
      </w:r>
    </w:p>
    <w:bookmarkEnd w:id="45"/>
    <w:bookmarkEnd w:id="46"/>
    <w:bookmarkStart w:id="55" w:name="current-state-analysis"/>
    <w:p>
      <w:pPr>
        <w:pStyle w:val="Heading1"/>
      </w:pPr>
      <w:r>
        <w:t xml:space="preserve">3. Current State Analysis</w:t>
      </w:r>
    </w:p>
    <w:bookmarkStart w:id="51" w:name="european-industrial-ai-landscape"/>
    <w:p>
      <w:pPr>
        <w:pStyle w:val="Heading2"/>
      </w:pPr>
      <w:r>
        <w:t xml:space="preserve">3.1 European Industrial AI Landscape</w:t>
      </w:r>
    </w:p>
    <w:p>
      <w:pPr>
        <w:pStyle w:val="FirstParagraph"/>
      </w:pPr>
      <w:r>
        <w:t xml:space="preserve">European industry faces unprecedented regulatory pressure through the EU’s Fit for 55 package. This creates forced demand for climate compliance solutions across 20 industries.</w:t>
      </w:r>
    </w:p>
    <w:bookmarkStart w:id="47" w:name="the-16-sectors-affected-by-fit-for-55"/>
    <w:p>
      <w:pPr>
        <w:pStyle w:val="Heading3"/>
      </w:pPr>
      <w:r>
        <w:t xml:space="preserve">3.1.1 The 16 Sectors Affected by Fit for 55</w:t>
      </w:r>
    </w:p>
    <w:p>
      <w:pPr>
        <w:pStyle w:val="FirstParagraph"/>
      </w:pPr>
      <w:r>
        <w:t xml:space="preserve">The EU’s Fit for 55 package mandates 55% net emissions reduction by 2030. This creates an unprecedented compliance burden on 20 industries — requiring real-time carbon tracking, automated reporting, supply chain transparency, and continuous regulatory compliance.</w:t>
      </w:r>
    </w:p>
    <w:p>
      <w:pPr>
        <w:pStyle w:val="BodyText"/>
      </w:pPr>
      <w:r>
        <w:rPr>
          <w:bCs/>
          <w:b/>
        </w:rPr>
        <w:t xml:space="preserve">Tier 1: Critical Emission Industries (ETS + CBAM Direct Impact)</w:t>
      </w:r>
    </w:p>
    <w:p>
      <w:pPr>
        <w:pStyle w:val="BodyText"/>
      </w:pPr>
      <w:r>
        <w:t xml:space="preserve">These 8 industries face the greatest regulatory pressure: direct ETS coverage, CBAM border carbon levy, and mandatory carbon pricing.</w:t>
      </w:r>
    </w:p>
    <w:tbl>
      <w:tblPr>
        <w:tblStyle w:val="Table"/>
        <w:tblW w:type="pct" w:w="5000"/>
        <w:tblLook w:firstRow="1" w:lastRow="0" w:firstColumn="0" w:lastColumn="0" w:noHBand="0" w:noVBand="0" w:val="0020"/>
        <w:jc w:val="start"/>
      </w:tblPr>
      <w:tblGrid>
        <w:gridCol w:w="225"/>
        <w:gridCol w:w="1485"/>
        <w:gridCol w:w="810"/>
        <w:gridCol w:w="2160"/>
        <w:gridCol w:w="3240"/>
      </w:tblGrid>
      <w:tr>
        <w:trPr>
          <w:tblHeader w:val="true"/>
        </w:trPr>
        <w:tc>
          <w:tcPr/>
          <w:p>
            <w:pPr>
              <w:pStyle w:val="Compact"/>
              <w:jc w:val="left"/>
            </w:pPr>
            <w:r>
              <w:t xml:space="preserve">#</w:t>
            </w:r>
          </w:p>
        </w:tc>
        <w:tc>
          <w:tcPr/>
          <w:p>
            <w:pPr>
              <w:pStyle w:val="Compact"/>
              <w:jc w:val="left"/>
            </w:pPr>
            <w:r>
              <w:t xml:space="preserve">Industry</w:t>
            </w:r>
          </w:p>
        </w:tc>
        <w:tc>
          <w:tcPr/>
          <w:p>
            <w:pPr>
              <w:pStyle w:val="Compact"/>
              <w:jc w:val="left"/>
            </w:pPr>
            <w:r>
              <w:t xml:space="preserve">EU Emissions Share</w:t>
            </w:r>
          </w:p>
        </w:tc>
        <w:tc>
          <w:tcPr/>
          <w:p>
            <w:pPr>
              <w:pStyle w:val="Compact"/>
              <w:jc w:val="left"/>
            </w:pPr>
            <w:r>
              <w:t xml:space="preserve">Key Regulations</w:t>
            </w:r>
          </w:p>
        </w:tc>
        <w:tc>
          <w:tcPr/>
          <w:p>
            <w:pPr>
              <w:pStyle w:val="Compact"/>
              <w:jc w:val="left"/>
            </w:pPr>
            <w:r>
              <w:t xml:space="preserve">DWS IQ 6 Solution</w:t>
            </w:r>
          </w:p>
        </w:tc>
      </w:tr>
      <w:tr>
        <w:tc>
          <w:tcPr/>
          <w:p>
            <w:pPr>
              <w:pStyle w:val="Compact"/>
              <w:jc w:val="left"/>
            </w:pPr>
            <w:r>
              <w:rPr>
                <w:bCs/>
                <w:b/>
              </w:rPr>
              <w:t xml:space="preserve">1</w:t>
            </w:r>
          </w:p>
        </w:tc>
        <w:tc>
          <w:tcPr/>
          <w:p>
            <w:pPr>
              <w:pStyle w:val="Compact"/>
              <w:jc w:val="left"/>
            </w:pPr>
            <w:r>
              <w:rPr>
                <w:bCs/>
                <w:b/>
              </w:rPr>
              <w:t xml:space="preserve">Electricity &amp; Heat Generation</w:t>
            </w:r>
          </w:p>
        </w:tc>
        <w:tc>
          <w:tcPr/>
          <w:p>
            <w:pPr>
              <w:pStyle w:val="Compact"/>
              <w:jc w:val="left"/>
            </w:pPr>
            <w:r>
              <w:t xml:space="preserve">25-30%</w:t>
            </w:r>
          </w:p>
        </w:tc>
        <w:tc>
          <w:tcPr/>
          <w:p>
            <w:pPr>
              <w:pStyle w:val="Compact"/>
              <w:jc w:val="left"/>
            </w:pPr>
            <w:r>
              <w:t xml:space="preserve">ETS (cap tightening), Renewable Energy Directive</w:t>
            </w:r>
          </w:p>
        </w:tc>
        <w:tc>
          <w:tcPr/>
          <w:p>
            <w:pPr>
              <w:pStyle w:val="Compact"/>
              <w:jc w:val="left"/>
            </w:pPr>
            <w:r>
              <w:t xml:space="preserve">Real-time emissions monitoring, renewables certification tracking</w:t>
            </w:r>
          </w:p>
        </w:tc>
      </w:tr>
      <w:tr>
        <w:tc>
          <w:tcPr/>
          <w:p>
            <w:pPr>
              <w:pStyle w:val="Compact"/>
              <w:jc w:val="left"/>
            </w:pPr>
            <w:r>
              <w:rPr>
                <w:bCs/>
                <w:b/>
              </w:rPr>
              <w:t xml:space="preserve">2</w:t>
            </w:r>
          </w:p>
        </w:tc>
        <w:tc>
          <w:tcPr/>
          <w:p>
            <w:pPr>
              <w:pStyle w:val="Compact"/>
              <w:jc w:val="left"/>
            </w:pPr>
            <w:r>
              <w:rPr>
                <w:bCs/>
                <w:b/>
              </w:rPr>
              <w:t xml:space="preserve">Iron &amp; Steel</w:t>
            </w:r>
          </w:p>
        </w:tc>
        <w:tc>
          <w:tcPr/>
          <w:p>
            <w:pPr>
              <w:pStyle w:val="Compact"/>
              <w:jc w:val="left"/>
            </w:pPr>
            <w:r>
              <w:t xml:space="preserve">High</w:t>
            </w:r>
          </w:p>
        </w:tc>
        <w:tc>
          <w:tcPr/>
          <w:p>
            <w:pPr>
              <w:pStyle w:val="Compact"/>
              <w:jc w:val="left"/>
            </w:pPr>
            <w:r>
              <w:t xml:space="preserve">ETS, CBAM (2026), ESR</w:t>
            </w:r>
          </w:p>
        </w:tc>
        <w:tc>
          <w:tcPr/>
          <w:p>
            <w:pPr>
              <w:pStyle w:val="Compact"/>
              <w:jc w:val="left"/>
            </w:pPr>
            <w:r>
              <w:t xml:space="preserve">Supply chain carbon tracking, CBAM import reporting</w:t>
            </w:r>
          </w:p>
        </w:tc>
      </w:tr>
      <w:tr>
        <w:tc>
          <w:tcPr/>
          <w:p>
            <w:pPr>
              <w:pStyle w:val="Compact"/>
              <w:jc w:val="left"/>
            </w:pPr>
            <w:r>
              <w:rPr>
                <w:bCs/>
                <w:b/>
              </w:rPr>
              <w:t xml:space="preserve">3</w:t>
            </w:r>
          </w:p>
        </w:tc>
        <w:tc>
          <w:tcPr/>
          <w:p>
            <w:pPr>
              <w:pStyle w:val="Compact"/>
              <w:jc w:val="left"/>
            </w:pPr>
            <w:r>
              <w:rPr>
                <w:bCs/>
                <w:b/>
              </w:rPr>
              <w:t xml:space="preserve">Cement &amp; Lime</w:t>
            </w:r>
          </w:p>
        </w:tc>
        <w:tc>
          <w:tcPr/>
          <w:p>
            <w:pPr>
              <w:pStyle w:val="Compact"/>
              <w:jc w:val="left"/>
            </w:pPr>
            <w:r>
              <w:t xml:space="preserve">Very high</w:t>
            </w:r>
          </w:p>
        </w:tc>
        <w:tc>
          <w:tcPr/>
          <w:p>
            <w:pPr>
              <w:pStyle w:val="Compact"/>
              <w:jc w:val="left"/>
            </w:pPr>
            <w:r>
              <w:t xml:space="preserve">ETS, CBAM, EPBD (embodied carbon)</w:t>
            </w:r>
          </w:p>
        </w:tc>
        <w:tc>
          <w:tcPr/>
          <w:p>
            <w:pPr>
              <w:pStyle w:val="Compact"/>
              <w:jc w:val="left"/>
            </w:pPr>
            <w:r>
              <w:t xml:space="preserve">EN 15978 calculations, material carbon passports</w:t>
            </w:r>
          </w:p>
        </w:tc>
      </w:tr>
      <w:tr>
        <w:tc>
          <w:tcPr/>
          <w:p>
            <w:pPr>
              <w:pStyle w:val="Compact"/>
              <w:jc w:val="left"/>
            </w:pPr>
            <w:r>
              <w:rPr>
                <w:bCs/>
                <w:b/>
              </w:rPr>
              <w:t xml:space="preserve">4</w:t>
            </w:r>
          </w:p>
        </w:tc>
        <w:tc>
          <w:tcPr/>
          <w:p>
            <w:pPr>
              <w:pStyle w:val="Compact"/>
              <w:jc w:val="left"/>
            </w:pPr>
            <w:r>
              <w:rPr>
                <w:bCs/>
                <w:b/>
              </w:rPr>
              <w:t xml:space="preserve">Chemicals &amp; Petrochemicals</w:t>
            </w:r>
          </w:p>
        </w:tc>
        <w:tc>
          <w:tcPr/>
          <w:p>
            <w:pPr>
              <w:pStyle w:val="Compact"/>
              <w:jc w:val="left"/>
            </w:pPr>
            <w:r>
              <w:t xml:space="preserve">High</w:t>
            </w:r>
          </w:p>
        </w:tc>
        <w:tc>
          <w:tcPr/>
          <w:p>
            <w:pPr>
              <w:pStyle w:val="Compact"/>
              <w:jc w:val="left"/>
            </w:pPr>
            <w:r>
              <w:t xml:space="preserve">ETS, CBAM (fertilizers), H2 mandates</w:t>
            </w:r>
          </w:p>
        </w:tc>
        <w:tc>
          <w:tcPr/>
          <w:p>
            <w:pPr>
              <w:pStyle w:val="Compact"/>
              <w:jc w:val="left"/>
            </w:pPr>
            <w:r>
              <w:t xml:space="preserve">Process emissions monitoring, hydrogen transition roadmaps</w:t>
            </w:r>
          </w:p>
        </w:tc>
      </w:tr>
      <w:tr>
        <w:tc>
          <w:tcPr/>
          <w:p>
            <w:pPr>
              <w:pStyle w:val="Compact"/>
              <w:jc w:val="left"/>
            </w:pPr>
            <w:r>
              <w:rPr>
                <w:bCs/>
                <w:b/>
              </w:rPr>
              <w:t xml:space="preserve">5</w:t>
            </w:r>
          </w:p>
        </w:tc>
        <w:tc>
          <w:tcPr/>
          <w:p>
            <w:pPr>
              <w:pStyle w:val="Compact"/>
              <w:jc w:val="left"/>
            </w:pPr>
            <w:r>
              <w:rPr>
                <w:bCs/>
                <w:b/>
              </w:rPr>
              <w:t xml:space="preserve">Aviation</w:t>
            </w:r>
          </w:p>
        </w:tc>
        <w:tc>
          <w:tcPr/>
          <w:p>
            <w:pPr>
              <w:pStyle w:val="Compact"/>
              <w:jc w:val="left"/>
            </w:pPr>
            <w:r>
              <w:t xml:space="preserve">2-3% (growing)</w:t>
            </w:r>
          </w:p>
        </w:tc>
        <w:tc>
          <w:tcPr/>
          <w:p>
            <w:pPr>
              <w:pStyle w:val="Compact"/>
              <w:jc w:val="left"/>
            </w:pPr>
            <w:r>
              <w:t xml:space="preserve">ETS, ReFuelEU (SAF mandates)</w:t>
            </w:r>
          </w:p>
        </w:tc>
        <w:tc>
          <w:tcPr/>
          <w:p>
            <w:pPr>
              <w:pStyle w:val="Compact"/>
              <w:jc w:val="left"/>
            </w:pPr>
            <w:r>
              <w:t xml:space="preserve">SAF compliance, offset verification</w:t>
            </w:r>
          </w:p>
        </w:tc>
      </w:tr>
      <w:tr>
        <w:tc>
          <w:tcPr/>
          <w:p>
            <w:pPr>
              <w:pStyle w:val="Compact"/>
              <w:jc w:val="left"/>
            </w:pPr>
            <w:r>
              <w:rPr>
                <w:bCs/>
                <w:b/>
              </w:rPr>
              <w:t xml:space="preserve">6</w:t>
            </w:r>
          </w:p>
        </w:tc>
        <w:tc>
          <w:tcPr/>
          <w:p>
            <w:pPr>
              <w:pStyle w:val="Compact"/>
              <w:jc w:val="left"/>
            </w:pPr>
            <w:r>
              <w:rPr>
                <w:bCs/>
                <w:b/>
              </w:rPr>
              <w:t xml:space="preserve">Maritime Transport</w:t>
            </w:r>
          </w:p>
        </w:tc>
        <w:tc>
          <w:tcPr/>
          <w:p>
            <w:pPr>
              <w:pStyle w:val="Compact"/>
              <w:jc w:val="left"/>
            </w:pPr>
            <w:r>
              <w:t xml:space="preserve">Significant</w:t>
            </w:r>
          </w:p>
        </w:tc>
        <w:tc>
          <w:tcPr/>
          <w:p>
            <w:pPr>
              <w:pStyle w:val="Compact"/>
              <w:jc w:val="left"/>
            </w:pPr>
            <w:r>
              <w:t xml:space="preserve">ETS (2024), FuelEU Maritime</w:t>
            </w:r>
          </w:p>
        </w:tc>
        <w:tc>
          <w:tcPr/>
          <w:p>
            <w:pPr>
              <w:pStyle w:val="Compact"/>
              <w:jc w:val="left"/>
            </w:pPr>
            <w:r>
              <w:t xml:space="preserve">Voyage-level emissions, intensity data</w:t>
            </w:r>
          </w:p>
        </w:tc>
      </w:tr>
      <w:tr>
        <w:tc>
          <w:tcPr/>
          <w:p>
            <w:pPr>
              <w:pStyle w:val="Compact"/>
              <w:jc w:val="left"/>
            </w:pPr>
            <w:r>
              <w:rPr>
                <w:bCs/>
                <w:b/>
              </w:rPr>
              <w:t xml:space="preserve">7</w:t>
            </w:r>
          </w:p>
        </w:tc>
        <w:tc>
          <w:tcPr/>
          <w:p>
            <w:pPr>
              <w:pStyle w:val="Compact"/>
              <w:jc w:val="left"/>
            </w:pPr>
            <w:r>
              <w:rPr>
                <w:bCs/>
                <w:b/>
              </w:rPr>
              <w:t xml:space="preserve">Road Transport &amp; Logistics</w:t>
            </w:r>
          </w:p>
        </w:tc>
        <w:tc>
          <w:tcPr/>
          <w:p>
            <w:pPr>
              <w:pStyle w:val="Compact"/>
              <w:jc w:val="left"/>
            </w:pPr>
            <w:r>
              <w:t xml:space="preserve">High</w:t>
            </w:r>
          </w:p>
        </w:tc>
        <w:tc>
          <w:tcPr/>
          <w:p>
            <w:pPr>
              <w:pStyle w:val="Compact"/>
              <w:jc w:val="left"/>
            </w:pPr>
            <w:r>
              <w:t xml:space="preserve">ETS2 (2027), CO2 standards</w:t>
            </w:r>
          </w:p>
        </w:tc>
        <w:tc>
          <w:tcPr/>
          <w:p>
            <w:pPr>
              <w:pStyle w:val="Compact"/>
              <w:jc w:val="left"/>
            </w:pPr>
            <w:r>
              <w:t xml:space="preserve">Fleet emissions management, zero-emission transition planning</w:t>
            </w:r>
          </w:p>
        </w:tc>
      </w:tr>
      <w:tr>
        <w:tc>
          <w:tcPr/>
          <w:p>
            <w:pPr>
              <w:pStyle w:val="Compact"/>
              <w:jc w:val="left"/>
            </w:pPr>
            <w:r>
              <w:rPr>
                <w:bCs/>
                <w:b/>
              </w:rPr>
              <w:t xml:space="preserve">8</w:t>
            </w:r>
          </w:p>
        </w:tc>
        <w:tc>
          <w:tcPr/>
          <w:p>
            <w:pPr>
              <w:pStyle w:val="Compact"/>
              <w:jc w:val="left"/>
            </w:pPr>
            <w:r>
              <w:rPr>
                <w:bCs/>
                <w:b/>
              </w:rPr>
              <w:t xml:space="preserve">Construction &amp; Real Estate</w:t>
            </w:r>
          </w:p>
        </w:tc>
        <w:tc>
          <w:tcPr/>
          <w:p>
            <w:pPr>
              <w:pStyle w:val="Compact"/>
              <w:jc w:val="left"/>
            </w:pPr>
            <w:r>
              <w:t xml:space="preserve">36-40% lifecycle</w:t>
            </w:r>
          </w:p>
        </w:tc>
        <w:tc>
          <w:tcPr/>
          <w:p>
            <w:pPr>
              <w:pStyle w:val="Compact"/>
              <w:jc w:val="left"/>
            </w:pPr>
            <w:r>
              <w:t xml:space="preserve">ETS2, EPBD, CSRD</w:t>
            </w:r>
          </w:p>
        </w:tc>
        <w:tc>
          <w:tcPr/>
          <w:p>
            <w:pPr>
              <w:pStyle w:val="Compact"/>
              <w:jc w:val="left"/>
            </w:pPr>
            <w:r>
              <w:rPr>
                <w:bCs/>
                <w:b/>
              </w:rPr>
              <w:t xml:space="preserve">Full lifecycle carbon automation</w:t>
            </w:r>
            <w:r>
              <w:t xml:space="preserve">, BIM integration, EN 15978/EN 15804</w:t>
            </w:r>
          </w:p>
        </w:tc>
      </w:tr>
    </w:tbl>
    <w:p>
      <w:pPr>
        <w:pStyle w:val="BodyText"/>
      </w:pPr>
      <w:r>
        <w:rPr>
          <w:bCs/>
          <w:b/>
        </w:rPr>
        <w:t xml:space="preserve">Tier 2: Important Emission Industries (ESR + Indirect ETS)</w:t>
      </w:r>
    </w:p>
    <w:p>
      <w:pPr>
        <w:pStyle w:val="BodyText"/>
      </w:pPr>
      <w:r>
        <w:t xml:space="preserve">These 8 industries face diffuse regulatory pressure through national ESR targets, energy costs, supply chain rules, and indirect CBAM impacts.</w:t>
      </w:r>
    </w:p>
    <w:tbl>
      <w:tblPr>
        <w:tblStyle w:val="Table"/>
        <w:tblW w:type="pct" w:w="5000"/>
        <w:tblLook w:firstRow="1" w:lastRow="0" w:firstColumn="0" w:lastColumn="0" w:noHBand="0" w:noVBand="0" w:val="0020"/>
        <w:jc w:val="start"/>
      </w:tblPr>
      <w:tblGrid>
        <w:gridCol w:w="289"/>
        <w:gridCol w:w="1545"/>
        <w:gridCol w:w="869"/>
        <w:gridCol w:w="2173"/>
        <w:gridCol w:w="3042"/>
      </w:tblGrid>
      <w:tr>
        <w:trPr>
          <w:tblHeader w:val="true"/>
        </w:trPr>
        <w:tc>
          <w:tcPr/>
          <w:p>
            <w:pPr>
              <w:pStyle w:val="Compact"/>
              <w:jc w:val="left"/>
            </w:pPr>
            <w:r>
              <w:t xml:space="preserve">#</w:t>
            </w:r>
          </w:p>
        </w:tc>
        <w:tc>
          <w:tcPr/>
          <w:p>
            <w:pPr>
              <w:pStyle w:val="Compact"/>
              <w:jc w:val="left"/>
            </w:pPr>
            <w:r>
              <w:t xml:space="preserve">Industry</w:t>
            </w:r>
          </w:p>
        </w:tc>
        <w:tc>
          <w:tcPr/>
          <w:p>
            <w:pPr>
              <w:pStyle w:val="Compact"/>
              <w:jc w:val="left"/>
            </w:pPr>
            <w:r>
              <w:t xml:space="preserve">EU Emissions Share</w:t>
            </w:r>
          </w:p>
        </w:tc>
        <w:tc>
          <w:tcPr/>
          <w:p>
            <w:pPr>
              <w:pStyle w:val="Compact"/>
              <w:jc w:val="left"/>
            </w:pPr>
            <w:r>
              <w:t xml:space="preserve">Key Regulations</w:t>
            </w:r>
          </w:p>
        </w:tc>
        <w:tc>
          <w:tcPr/>
          <w:p>
            <w:pPr>
              <w:pStyle w:val="Compact"/>
              <w:jc w:val="left"/>
            </w:pPr>
            <w:r>
              <w:t xml:space="preserve">DWS IQ 6 Solution</w:t>
            </w:r>
          </w:p>
        </w:tc>
      </w:tr>
      <w:tr>
        <w:tc>
          <w:tcPr/>
          <w:p>
            <w:pPr>
              <w:pStyle w:val="Compact"/>
              <w:jc w:val="left"/>
            </w:pPr>
            <w:r>
              <w:rPr>
                <w:bCs/>
                <w:b/>
              </w:rPr>
              <w:t xml:space="preserve">9</w:t>
            </w:r>
          </w:p>
        </w:tc>
        <w:tc>
          <w:tcPr/>
          <w:p>
            <w:pPr>
              <w:pStyle w:val="Compact"/>
              <w:jc w:val="left"/>
            </w:pPr>
            <w:r>
              <w:rPr>
                <w:bCs/>
                <w:b/>
              </w:rPr>
              <w:t xml:space="preserve">Agriculture &amp; Livestock</w:t>
            </w:r>
          </w:p>
        </w:tc>
        <w:tc>
          <w:tcPr/>
          <w:p>
            <w:pPr>
              <w:pStyle w:val="Compact"/>
              <w:jc w:val="left"/>
            </w:pPr>
            <w:r>
              <w:t xml:space="preserve">10-12%</w:t>
            </w:r>
          </w:p>
        </w:tc>
        <w:tc>
          <w:tcPr/>
          <w:p>
            <w:pPr>
              <w:pStyle w:val="Compact"/>
              <w:jc w:val="left"/>
            </w:pPr>
            <w:r>
              <w:t xml:space="preserve">ESR, Methane Strategy, CAP</w:t>
            </w:r>
          </w:p>
        </w:tc>
        <w:tc>
          <w:tcPr/>
          <w:p>
            <w:pPr>
              <w:pStyle w:val="Compact"/>
              <w:jc w:val="left"/>
            </w:pPr>
            <w:r>
              <w:t xml:space="preserve">Farm-level emissions monitoring, fertilizer carbon calculations</w:t>
            </w:r>
          </w:p>
        </w:tc>
      </w:tr>
      <w:tr>
        <w:tc>
          <w:tcPr/>
          <w:p>
            <w:pPr>
              <w:pStyle w:val="Compact"/>
              <w:jc w:val="left"/>
            </w:pPr>
            <w:r>
              <w:rPr>
                <w:bCs/>
                <w:b/>
              </w:rPr>
              <w:t xml:space="preserve">10</w:t>
            </w:r>
          </w:p>
        </w:tc>
        <w:tc>
          <w:tcPr/>
          <w:p>
            <w:pPr>
              <w:pStyle w:val="Compact"/>
              <w:jc w:val="left"/>
            </w:pPr>
            <w:r>
              <w:rPr>
                <w:bCs/>
                <w:b/>
              </w:rPr>
              <w:t xml:space="preserve">Waste Management &amp; Recycling</w:t>
            </w:r>
          </w:p>
        </w:tc>
        <w:tc>
          <w:tcPr/>
          <w:p>
            <w:pPr>
              <w:pStyle w:val="Compact"/>
              <w:jc w:val="left"/>
            </w:pPr>
            <w:r>
              <w:t xml:space="preserve">3-4%</w:t>
            </w:r>
          </w:p>
        </w:tc>
        <w:tc>
          <w:tcPr/>
          <w:p>
            <w:pPr>
              <w:pStyle w:val="Compact"/>
              <w:jc w:val="left"/>
            </w:pPr>
            <w:r>
              <w:t xml:space="preserve">Waste Framework Directive, Landfill Directive</w:t>
            </w:r>
          </w:p>
        </w:tc>
        <w:tc>
          <w:tcPr/>
          <w:p>
            <w:pPr>
              <w:pStyle w:val="Compact"/>
              <w:jc w:val="left"/>
            </w:pPr>
            <w:r>
              <w:t xml:space="preserve">Methane capture monitoring, circular economy metrics</w:t>
            </w:r>
          </w:p>
        </w:tc>
      </w:tr>
      <w:tr>
        <w:tc>
          <w:tcPr/>
          <w:p>
            <w:pPr>
              <w:pStyle w:val="Compact"/>
              <w:jc w:val="left"/>
            </w:pPr>
            <w:r>
              <w:rPr>
                <w:bCs/>
                <w:b/>
              </w:rPr>
              <w:t xml:space="preserve">11</w:t>
            </w:r>
          </w:p>
        </w:tc>
        <w:tc>
          <w:tcPr/>
          <w:p>
            <w:pPr>
              <w:pStyle w:val="Compact"/>
              <w:jc w:val="left"/>
            </w:pPr>
            <w:r>
              <w:rPr>
                <w:bCs/>
                <w:b/>
              </w:rPr>
              <w:t xml:space="preserve">Aluminium</w:t>
            </w:r>
          </w:p>
        </w:tc>
        <w:tc>
          <w:tcPr/>
          <w:p>
            <w:pPr>
              <w:pStyle w:val="Compact"/>
              <w:jc w:val="left"/>
            </w:pPr>
            <w:r>
              <w:t xml:space="preserve">High (energy)</w:t>
            </w:r>
          </w:p>
        </w:tc>
        <w:tc>
          <w:tcPr/>
          <w:p>
            <w:pPr>
              <w:pStyle w:val="Compact"/>
              <w:jc w:val="left"/>
            </w:pPr>
            <w:r>
              <w:t xml:space="preserve">ETS, CBAM (2026)</w:t>
            </w:r>
          </w:p>
        </w:tc>
        <w:tc>
          <w:tcPr/>
          <w:p>
            <w:pPr>
              <w:pStyle w:val="Compact"/>
              <w:jc w:val="left"/>
            </w:pPr>
            <w:r>
              <w:t xml:space="preserve">Energy source tracking, renewable electricity certificates</w:t>
            </w:r>
          </w:p>
        </w:tc>
      </w:tr>
      <w:tr>
        <w:tc>
          <w:tcPr/>
          <w:p>
            <w:pPr>
              <w:pStyle w:val="Compact"/>
              <w:jc w:val="left"/>
            </w:pPr>
            <w:r>
              <w:rPr>
                <w:bCs/>
                <w:b/>
              </w:rPr>
              <w:t xml:space="preserve">12</w:t>
            </w:r>
          </w:p>
        </w:tc>
        <w:tc>
          <w:tcPr/>
          <w:p>
            <w:pPr>
              <w:pStyle w:val="Compact"/>
              <w:jc w:val="left"/>
            </w:pPr>
            <w:r>
              <w:rPr>
                <w:bCs/>
                <w:b/>
              </w:rPr>
              <w:t xml:space="preserve">Pulp, Paper &amp; Printing</w:t>
            </w:r>
          </w:p>
        </w:tc>
        <w:tc>
          <w:tcPr/>
          <w:p>
            <w:pPr>
              <w:pStyle w:val="Compact"/>
              <w:jc w:val="left"/>
            </w:pPr>
            <w:r>
              <w:t xml:space="preserve">Medium</w:t>
            </w:r>
          </w:p>
        </w:tc>
        <w:tc>
          <w:tcPr/>
          <w:p>
            <w:pPr>
              <w:pStyle w:val="Compact"/>
              <w:jc w:val="left"/>
            </w:pPr>
            <w:r>
              <w:t xml:space="preserve">ETS, LULUCF</w:t>
            </w:r>
          </w:p>
        </w:tc>
        <w:tc>
          <w:tcPr/>
          <w:p>
            <w:pPr>
              <w:pStyle w:val="Compact"/>
              <w:jc w:val="left"/>
            </w:pPr>
            <w:r>
              <w:t xml:space="preserve">Forest carbon calculations, supply chain transparency</w:t>
            </w:r>
          </w:p>
        </w:tc>
      </w:tr>
      <w:tr>
        <w:tc>
          <w:tcPr/>
          <w:p>
            <w:pPr>
              <w:pStyle w:val="Compact"/>
              <w:jc w:val="left"/>
            </w:pPr>
            <w:r>
              <w:rPr>
                <w:bCs/>
                <w:b/>
              </w:rPr>
              <w:t xml:space="preserve">13</w:t>
            </w:r>
          </w:p>
        </w:tc>
        <w:tc>
          <w:tcPr/>
          <w:p>
            <w:pPr>
              <w:pStyle w:val="Compact"/>
              <w:jc w:val="left"/>
            </w:pPr>
            <w:r>
              <w:rPr>
                <w:bCs/>
                <w:b/>
              </w:rPr>
              <w:t xml:space="preserve">Oil Refining</w:t>
            </w:r>
          </w:p>
        </w:tc>
        <w:tc>
          <w:tcPr/>
          <w:p>
            <w:pPr>
              <w:pStyle w:val="Compact"/>
              <w:jc w:val="left"/>
            </w:pPr>
            <w:r>
              <w:t xml:space="preserve">High</w:t>
            </w:r>
          </w:p>
        </w:tc>
        <w:tc>
          <w:tcPr/>
          <w:p>
            <w:pPr>
              <w:pStyle w:val="Compact"/>
              <w:jc w:val="left"/>
            </w:pPr>
            <w:r>
              <w:t xml:space="preserve">ETS, ReFuelEU</w:t>
            </w:r>
          </w:p>
        </w:tc>
        <w:tc>
          <w:tcPr/>
          <w:p>
            <w:pPr>
              <w:pStyle w:val="Compact"/>
              <w:jc w:val="left"/>
            </w:pPr>
            <w:r>
              <w:t xml:space="preserve">Phase-down planning, SAF production monitoring</w:t>
            </w:r>
          </w:p>
        </w:tc>
      </w:tr>
      <w:tr>
        <w:tc>
          <w:tcPr/>
          <w:p>
            <w:pPr>
              <w:pStyle w:val="Compact"/>
              <w:jc w:val="left"/>
            </w:pPr>
            <w:r>
              <w:rPr>
                <w:bCs/>
                <w:b/>
              </w:rPr>
              <w:t xml:space="preserve">14</w:t>
            </w:r>
          </w:p>
        </w:tc>
        <w:tc>
          <w:tcPr/>
          <w:p>
            <w:pPr>
              <w:pStyle w:val="Compact"/>
              <w:jc w:val="left"/>
            </w:pPr>
            <w:r>
              <w:rPr>
                <w:bCs/>
                <w:b/>
              </w:rPr>
              <w:t xml:space="preserve">Food &amp; Beverage</w:t>
            </w:r>
          </w:p>
        </w:tc>
        <w:tc>
          <w:tcPr/>
          <w:p>
            <w:pPr>
              <w:pStyle w:val="Compact"/>
              <w:jc w:val="left"/>
            </w:pPr>
            <w:r>
              <w:t xml:space="preserve">Medium</w:t>
            </w:r>
          </w:p>
        </w:tc>
        <w:tc>
          <w:tcPr/>
          <w:p>
            <w:pPr>
              <w:pStyle w:val="Compact"/>
              <w:jc w:val="left"/>
            </w:pPr>
            <w:r>
              <w:t xml:space="preserve">ESR, Energy Efficiency Directive</w:t>
            </w:r>
          </w:p>
        </w:tc>
        <w:tc>
          <w:tcPr/>
          <w:p>
            <w:pPr>
              <w:pStyle w:val="Compact"/>
              <w:jc w:val="left"/>
            </w:pPr>
            <w:r>
              <w:t xml:space="preserve">Agriculture supply chain carbon, energy optimization</w:t>
            </w:r>
          </w:p>
        </w:tc>
      </w:tr>
      <w:tr>
        <w:tc>
          <w:tcPr/>
          <w:p>
            <w:pPr>
              <w:pStyle w:val="Compact"/>
              <w:jc w:val="left"/>
            </w:pPr>
            <w:r>
              <w:rPr>
                <w:bCs/>
                <w:b/>
              </w:rPr>
              <w:t xml:space="preserve">15</w:t>
            </w:r>
          </w:p>
        </w:tc>
        <w:tc>
          <w:tcPr/>
          <w:p>
            <w:pPr>
              <w:pStyle w:val="Compact"/>
              <w:jc w:val="left"/>
            </w:pPr>
            <w:r>
              <w:rPr>
                <w:bCs/>
                <w:b/>
              </w:rPr>
              <w:t xml:space="preserve">Glass &amp; Ceramics</w:t>
            </w:r>
          </w:p>
        </w:tc>
        <w:tc>
          <w:tcPr/>
          <w:p>
            <w:pPr>
              <w:pStyle w:val="Compact"/>
              <w:jc w:val="left"/>
            </w:pPr>
            <w:r>
              <w:t xml:space="preserve">Medium</w:t>
            </w:r>
          </w:p>
        </w:tc>
        <w:tc>
          <w:tcPr/>
          <w:p>
            <w:pPr>
              <w:pStyle w:val="Compact"/>
              <w:jc w:val="left"/>
            </w:pPr>
            <w:r>
              <w:t xml:space="preserve">ETS, CBAM (indirect)</w:t>
            </w:r>
          </w:p>
        </w:tc>
        <w:tc>
          <w:tcPr/>
          <w:p>
            <w:pPr>
              <w:pStyle w:val="Compact"/>
              <w:jc w:val="left"/>
            </w:pPr>
            <w:r>
              <w:t xml:space="preserve">Process emissions, material carbon tracking</w:t>
            </w:r>
          </w:p>
        </w:tc>
      </w:tr>
      <w:tr>
        <w:tc>
          <w:tcPr/>
          <w:p>
            <w:pPr>
              <w:pStyle w:val="Compact"/>
              <w:jc w:val="left"/>
            </w:pPr>
            <w:r>
              <w:rPr>
                <w:bCs/>
                <w:b/>
              </w:rPr>
              <w:t xml:space="preserve">16</w:t>
            </w:r>
          </w:p>
        </w:tc>
        <w:tc>
          <w:tcPr/>
          <w:p>
            <w:pPr>
              <w:pStyle w:val="Compact"/>
              <w:jc w:val="left"/>
            </w:pPr>
            <w:r>
              <w:rPr>
                <w:bCs/>
                <w:b/>
              </w:rPr>
              <w:t xml:space="preserve">Mining &amp; Quarrying</w:t>
            </w:r>
          </w:p>
        </w:tc>
        <w:tc>
          <w:tcPr/>
          <w:p>
            <w:pPr>
              <w:pStyle w:val="Compact"/>
              <w:jc w:val="left"/>
            </w:pPr>
            <w:r>
              <w:t xml:space="preserve">Medium</w:t>
            </w:r>
          </w:p>
        </w:tc>
        <w:tc>
          <w:tcPr/>
          <w:p>
            <w:pPr>
              <w:pStyle w:val="Compact"/>
              <w:jc w:val="left"/>
            </w:pPr>
            <w:r>
              <w:t xml:space="preserve">ETS (indirect), Critical Raw Materials</w:t>
            </w:r>
          </w:p>
        </w:tc>
        <w:tc>
          <w:tcPr/>
          <w:p>
            <w:pPr>
              <w:pStyle w:val="Compact"/>
              <w:jc w:val="left"/>
            </w:pPr>
            <w:r>
              <w:t xml:space="preserve">Extraction emissions, CRM supply chain compliance</w:t>
            </w:r>
          </w:p>
        </w:tc>
      </w:tr>
    </w:tbl>
    <w:bookmarkEnd w:id="47"/>
    <w:bookmarkStart w:id="48" w:name="regulatory-timeline"/>
    <w:p>
      <w:pPr>
        <w:pStyle w:val="Heading3"/>
      </w:pPr>
      <w:r>
        <w:t xml:space="preserve">3.1.2 Regulatory Timeline</w:t>
      </w:r>
    </w:p>
    <w:p>
      <w:pPr>
        <w:pStyle w:val="SourceCode"/>
      </w:pPr>
      <w:r>
        <w:rPr>
          <w:rStyle w:val="VerbatimChar"/>
        </w:rPr>
        <w:t xml:space="preserve">2024 ----------------------------------------------------------------</w:t>
      </w:r>
      <w:r>
        <w:br/>
      </w:r>
      <w:r>
        <w:rPr>
          <w:rStyle w:val="VerbatimChar"/>
        </w:rPr>
        <w:t xml:space="preserve">      | Maritime in ETS</w:t>
      </w:r>
      <w:r>
        <w:br/>
      </w:r>
      <w:r>
        <w:rPr>
          <w:rStyle w:val="VerbatimChar"/>
        </w:rPr>
        <w:t xml:space="preserve">      | CBAM transitional phase active</w:t>
      </w:r>
      <w:r>
        <w:br/>
      </w:r>
      <w:r>
        <w:rPr>
          <w:rStyle w:val="VerbatimChar"/>
        </w:rPr>
        <w:t xml:space="preserve">      | CSRD reporting begins (large companies)</w:t>
      </w:r>
      <w:r>
        <w:br/>
      </w:r>
      <w:r>
        <w:rPr>
          <w:rStyle w:val="VerbatimChar"/>
        </w:rPr>
        <w:t xml:space="preserve">      |</w:t>
      </w:r>
      <w:r>
        <w:br/>
      </w:r>
      <w:r>
        <w:rPr>
          <w:rStyle w:val="VerbatimChar"/>
        </w:rPr>
        <w:t xml:space="preserve">2025 ----------------------------------------------------------------</w:t>
      </w:r>
      <w:r>
        <w:br/>
      </w:r>
      <w:r>
        <w:rPr>
          <w:rStyle w:val="VerbatimChar"/>
        </w:rPr>
        <w:t xml:space="preserve">      | Omnibus simplifications (administrative relief)</w:t>
      </w:r>
      <w:r>
        <w:br/>
      </w:r>
      <w:r>
        <w:rPr>
          <w:rStyle w:val="VerbatimChar"/>
        </w:rPr>
        <w:t xml:space="preserve">      | EU AI Act enforcement begins</w:t>
      </w:r>
      <w:r>
        <w:br/>
      </w:r>
      <w:r>
        <w:rPr>
          <w:rStyle w:val="VerbatimChar"/>
        </w:rPr>
        <w:t xml:space="preserve">      | NIS2 compliance deadline</w:t>
      </w:r>
      <w:r>
        <w:br/>
      </w:r>
      <w:r>
        <w:rPr>
          <w:rStyle w:val="VerbatimChar"/>
        </w:rPr>
        <w:t xml:space="preserve">      |</w:t>
      </w:r>
      <w:r>
        <w:br/>
      </w:r>
      <w:r>
        <w:rPr>
          <w:rStyle w:val="VerbatimChar"/>
        </w:rPr>
        <w:t xml:space="preserve">2026 ----------------------------------------------------------------</w:t>
      </w:r>
      <w:r>
        <w:br/>
      </w:r>
      <w:r>
        <w:rPr>
          <w:rStyle w:val="VerbatimChar"/>
        </w:rPr>
        <w:t xml:space="preserve">      | CBAM full enforcement (border carbon levy)</w:t>
      </w:r>
      <w:r>
        <w:br/>
      </w:r>
      <w:r>
        <w:rPr>
          <w:rStyle w:val="VerbatimChar"/>
        </w:rPr>
        <w:t xml:space="preserve">      | CSRD expands to more companies</w:t>
      </w:r>
      <w:r>
        <w:br/>
      </w:r>
      <w:r>
        <w:rPr>
          <w:rStyle w:val="VerbatimChar"/>
        </w:rPr>
        <w:t xml:space="preserve">      | Free ETS allowances decrease faster</w:t>
      </w:r>
      <w:r>
        <w:br/>
      </w:r>
      <w:r>
        <w:rPr>
          <w:rStyle w:val="VerbatimChar"/>
        </w:rPr>
        <w:t xml:space="preserve">      |</w:t>
      </w:r>
      <w:r>
        <w:br/>
      </w:r>
      <w:r>
        <w:rPr>
          <w:rStyle w:val="VerbatimChar"/>
        </w:rPr>
        <w:t xml:space="preserve">2027 ----------------------------------------------------------------</w:t>
      </w:r>
      <w:r>
        <w:br/>
      </w:r>
      <w:r>
        <w:rPr>
          <w:rStyle w:val="VerbatimChar"/>
        </w:rPr>
        <w:t xml:space="preserve">      | ETS2 for road transport and buildings</w:t>
      </w:r>
      <w:r>
        <w:br/>
      </w:r>
      <w:r>
        <w:rPr>
          <w:rStyle w:val="VerbatimChar"/>
        </w:rPr>
        <w:t xml:space="preserve">      | Stricter vehicle CO2 standards</w:t>
      </w:r>
      <w:r>
        <w:br/>
      </w:r>
      <w:r>
        <w:rPr>
          <w:rStyle w:val="VerbatimChar"/>
        </w:rPr>
        <w:t xml:space="preserve">      |</w:t>
      </w:r>
      <w:r>
        <w:br/>
      </w:r>
      <w:r>
        <w:rPr>
          <w:rStyle w:val="VerbatimChar"/>
        </w:rPr>
        <w:t xml:space="preserve">2028 ----------------------------------------------------------------</w:t>
      </w:r>
      <w:r>
        <w:br/>
      </w:r>
      <w:r>
        <w:rPr>
          <w:rStyle w:val="VerbatimChar"/>
        </w:rPr>
        <w:t xml:space="preserve">      | EPBD embodied carbon reporting (&gt;1,000 m2)</w:t>
      </w:r>
      <w:r>
        <w:br/>
      </w:r>
      <w:r>
        <w:rPr>
          <w:rStyle w:val="VerbatimChar"/>
        </w:rPr>
        <w:t xml:space="preserve">      | Significant ETS cap tightening</w:t>
      </w:r>
      <w:r>
        <w:br/>
      </w:r>
      <w:r>
        <w:rPr>
          <w:rStyle w:val="VerbatimChar"/>
        </w:rPr>
        <w:t xml:space="preserve">      |</w:t>
      </w:r>
      <w:r>
        <w:br/>
      </w:r>
      <w:r>
        <w:rPr>
          <w:rStyle w:val="VerbatimChar"/>
        </w:rPr>
        <w:t xml:space="preserve">2030 ----------------------------------------------------------------</w:t>
      </w:r>
      <w:r>
        <w:br/>
      </w:r>
      <w:r>
        <w:rPr>
          <w:rStyle w:val="VerbatimChar"/>
        </w:rPr>
        <w:t xml:space="preserve">      | 55% emissions reduction target deadline</w:t>
      </w:r>
      <w:r>
        <w:br/>
      </w:r>
      <w:r>
        <w:rPr>
          <w:rStyle w:val="VerbatimChar"/>
        </w:rPr>
        <w:t xml:space="preserve">      | ESR national targets due</w:t>
      </w:r>
      <w:r>
        <w:br/>
      </w:r>
      <w:r>
        <w:rPr>
          <w:rStyle w:val="VerbatimChar"/>
        </w:rPr>
        <w:t xml:space="preserve">      |</w:t>
      </w:r>
      <w:r>
        <w:br/>
      </w:r>
      <w:r>
        <w:rPr>
          <w:rStyle w:val="VerbatimChar"/>
        </w:rPr>
        <w:t xml:space="preserve">2035 ----------------------------------------------------------------</w:t>
      </w:r>
      <w:r>
        <w:br/>
      </w:r>
      <w:r>
        <w:rPr>
          <w:rStyle w:val="VerbatimChar"/>
        </w:rPr>
        <w:t xml:space="preserve">      | 100% zero-emission new cars and vans</w:t>
      </w:r>
    </w:p>
    <w:bookmarkEnd w:id="48"/>
    <w:bookmarkStart w:id="50" w:name="X6eec331514f509911a7e6eab295961c4387329c"/>
    <w:p>
      <w:pPr>
        <w:pStyle w:val="Heading3"/>
      </w:pPr>
      <w:r>
        <w:t xml:space="preserve">3.1.3 The Omnibus Package:</w:t>
      </w:r>
      <w:r>
        <w:t xml:space="preserve"> </w:t>
      </w:r>
      <w:r>
        <w:t xml:space="preserve">“</w:t>
      </w:r>
      <w:r>
        <w:t xml:space="preserve">Fit for 55 Means Fit for 55</w:t>
      </w:r>
      <w:r>
        <w:t xml:space="preserve">”</w:t>
      </w:r>
    </w:p>
    <w:p>
      <w:pPr>
        <w:pStyle w:val="FirstParagraph"/>
      </w:pPr>
      <w:r>
        <w:t xml:space="preserve">The European Commission adopted the Omnibus simplification package on 26.2.2025, reducing the administrative burden on SMEs while keeping climate targets fully intact (European Commission, 2025).</w:t>
      </w:r>
    </w:p>
    <w:p>
      <w:pPr>
        <w:pStyle w:val="BodyText"/>
      </w:pPr>
      <w:r>
        <w:rPr>
          <w:bCs/>
          <w:b/>
        </w:rPr>
        <w:t xml:space="preserve">Key changes to CSRD reporting:</w:t>
      </w:r>
    </w:p>
    <w:tbl>
      <w:tblPr>
        <w:tblStyle w:val="Table"/>
        <w:tblW w:type="pct" w:w="5000"/>
        <w:tblLook w:firstRow="1" w:lastRow="0" w:firstColumn="0" w:lastColumn="0" w:noHBand="0" w:noVBand="0" w:val="0020"/>
        <w:jc w:val="start"/>
      </w:tblPr>
      <w:tblGrid>
        <w:gridCol w:w="1485"/>
        <w:gridCol w:w="1767"/>
        <w:gridCol w:w="4667"/>
      </w:tblGrid>
      <w:tr>
        <w:trPr>
          <w:tblHeader w:val="true"/>
        </w:trPr>
        <w:tc>
          <w:tcPr/>
          <w:p>
            <w:pPr>
              <w:pStyle w:val="Compact"/>
              <w:jc w:val="left"/>
            </w:pPr>
            <w:r>
              <w:t xml:space="preserve">Change</w:t>
            </w:r>
          </w:p>
        </w:tc>
        <w:tc>
          <w:tcPr/>
          <w:p>
            <w:pPr>
              <w:pStyle w:val="Compact"/>
              <w:jc w:val="left"/>
            </w:pPr>
            <w:r>
              <w:t xml:space="preserve">Before</w:t>
            </w:r>
          </w:p>
        </w:tc>
        <w:tc>
          <w:tcPr/>
          <w:p>
            <w:pPr>
              <w:pStyle w:val="Compact"/>
              <w:jc w:val="left"/>
            </w:pPr>
            <w:r>
              <w:t xml:space="preserve">After Omnibus</w:t>
            </w:r>
          </w:p>
        </w:tc>
      </w:tr>
      <w:tr>
        <w:tc>
          <w:tcPr/>
          <w:p>
            <w:pPr>
              <w:pStyle w:val="Compact"/>
              <w:jc w:val="left"/>
            </w:pPr>
            <w:r>
              <w:rPr>
                <w:bCs/>
                <w:b/>
              </w:rPr>
              <w:t xml:space="preserve">CSRD scope</w:t>
            </w:r>
          </w:p>
        </w:tc>
        <w:tc>
          <w:tcPr/>
          <w:p>
            <w:pPr>
              <w:pStyle w:val="Compact"/>
              <w:jc w:val="left"/>
            </w:pPr>
            <w:r>
              <w:t xml:space="preserve">~50,000 companies</w:t>
            </w:r>
          </w:p>
        </w:tc>
        <w:tc>
          <w:tcPr/>
          <w:p>
            <w:pPr>
              <w:pStyle w:val="Compact"/>
              <w:jc w:val="left"/>
            </w:pPr>
            <w:r>
              <w:t xml:space="preserve">fewer than ~5,000 companies (&gt;1,000 employees AND &gt;€450M turnover)</w:t>
            </w:r>
          </w:p>
        </w:tc>
      </w:tr>
      <w:tr>
        <w:tc>
          <w:tcPr/>
          <w:p>
            <w:pPr>
              <w:pStyle w:val="Compact"/>
              <w:jc w:val="left"/>
            </w:pPr>
            <w:r>
              <w:rPr>
                <w:bCs/>
                <w:b/>
              </w:rPr>
              <w:t xml:space="preserve">SME obligations</w:t>
            </w:r>
          </w:p>
        </w:tc>
        <w:tc>
          <w:tcPr/>
          <w:p>
            <w:pPr>
              <w:pStyle w:val="Compact"/>
              <w:jc w:val="left"/>
            </w:pPr>
            <w:r>
              <w:t xml:space="preserve">Mandatory</w:t>
            </w:r>
          </w:p>
        </w:tc>
        <w:tc>
          <w:tcPr/>
          <w:p>
            <w:pPr>
              <w:pStyle w:val="Compact"/>
              <w:jc w:val="left"/>
            </w:pPr>
            <w:r>
              <w:t xml:space="preserve">Voluntary standard (EFRAG SME)</w:t>
            </w:r>
          </w:p>
        </w:tc>
      </w:tr>
      <w:tr>
        <w:tc>
          <w:tcPr/>
          <w:p>
            <w:pPr>
              <w:pStyle w:val="Compact"/>
              <w:jc w:val="left"/>
            </w:pPr>
            <w:r>
              <w:rPr>
                <w:bCs/>
                <w:b/>
              </w:rPr>
              <w:t xml:space="preserve">Assurance level</w:t>
            </w:r>
          </w:p>
        </w:tc>
        <w:tc>
          <w:tcPr/>
          <w:p>
            <w:pPr>
              <w:pStyle w:val="Compact"/>
              <w:jc w:val="left"/>
            </w:pPr>
            <w:r>
              <w:t xml:space="preserve">“</w:t>
            </w:r>
            <w:r>
              <w:t xml:space="preserve">Limited</w:t>
            </w:r>
            <w:r>
              <w:t xml:space="preserve">”</w:t>
            </w:r>
            <w:r>
              <w:t xml:space="preserve"> </w:t>
            </w:r>
            <w:r>
              <w:t xml:space="preserve">-&gt;</w:t>
            </w:r>
            <w:r>
              <w:t xml:space="preserve"> </w:t>
            </w:r>
            <w:r>
              <w:t xml:space="preserve">“</w:t>
            </w:r>
            <w:r>
              <w:t xml:space="preserve">Reasonable</w:t>
            </w:r>
            <w:r>
              <w:t xml:space="preserve">”</w:t>
            </w:r>
          </w:p>
        </w:tc>
        <w:tc>
          <w:tcPr/>
          <w:p>
            <w:pPr>
              <w:pStyle w:val="Compact"/>
              <w:jc w:val="left"/>
            </w:pPr>
            <w:r>
              <w:t xml:space="preserve">Stays at</w:t>
            </w:r>
            <w:r>
              <w:t xml:space="preserve"> </w:t>
            </w:r>
            <w:r>
              <w:t xml:space="preserve">“</w:t>
            </w:r>
            <w:r>
              <w:t xml:space="preserve">Limited</w:t>
            </w:r>
            <w:r>
              <w:t xml:space="preserve">”</w:t>
            </w:r>
          </w:p>
        </w:tc>
      </w:tr>
      <w:tr>
        <w:tc>
          <w:tcPr/>
          <w:p>
            <w:pPr>
              <w:pStyle w:val="Compact"/>
              <w:jc w:val="left"/>
            </w:pPr>
            <w:r>
              <w:rPr>
                <w:bCs/>
                <w:b/>
              </w:rPr>
              <w:t xml:space="preserve">Timeline</w:t>
            </w:r>
          </w:p>
        </w:tc>
        <w:tc>
          <w:tcPr/>
          <w:p>
            <w:pPr>
              <w:pStyle w:val="Compact"/>
              <w:jc w:val="left"/>
            </w:pPr>
            <w:r>
              <w:t xml:space="preserve">2026-2027</w:t>
            </w:r>
          </w:p>
        </w:tc>
        <w:tc>
          <w:tcPr/>
          <w:p>
            <w:pPr>
              <w:pStyle w:val="Compact"/>
              <w:jc w:val="left"/>
            </w:pPr>
            <w:r>
              <w:t xml:space="preserve">+2 year postponement (</w:t>
            </w:r>
            <w:r>
              <w:t xml:space="preserve">“</w:t>
            </w:r>
            <w:r>
              <w:t xml:space="preserve">stop the clock</w:t>
            </w:r>
            <w:r>
              <w:t xml:space="preserve">”</w:t>
            </w:r>
            <w:r>
              <w:t xml:space="preserve">)</w:t>
            </w:r>
          </w:p>
        </w:tc>
      </w:tr>
      <w:tr>
        <w:tc>
          <w:tcPr/>
          <w:p>
            <w:pPr>
              <w:pStyle w:val="Compact"/>
              <w:jc w:val="left"/>
            </w:pPr>
            <w:r>
              <w:rPr>
                <w:bCs/>
                <w:b/>
              </w:rPr>
              <w:t xml:space="preserve">Estimated savings</w:t>
            </w:r>
          </w:p>
        </w:tc>
        <w:tc>
          <w:tcPr/>
          <w:p>
            <w:pPr>
              <w:pStyle w:val="Compact"/>
              <w:jc w:val="left"/>
            </w:pPr>
            <w:r>
              <w:t xml:space="preserve">-</w:t>
            </w:r>
          </w:p>
        </w:tc>
        <w:tc>
          <w:tcPr/>
          <w:p>
            <w:pPr>
              <w:pStyle w:val="Compact"/>
              <w:jc w:val="left"/>
            </w:pPr>
            <w:r>
              <w:t xml:space="preserve">EUR 4.4 billion/year</w:t>
            </w:r>
          </w:p>
        </w:tc>
      </w:tr>
    </w:tbl>
    <w:p>
      <w:pPr>
        <w:pStyle w:val="BodyText"/>
      </w:pPr>
      <w:r>
        <w:rPr>
          <w:bCs/>
          <w:b/>
        </w:rPr>
        <w:t xml:space="preserve">Critical observation: Climate targets remain unchanged</w:t>
      </w:r>
    </w:p>
    <w:p>
      <w:pPr>
        <w:pStyle w:val="BodyText"/>
      </w:pPr>
      <w:r>
        <w:t xml:space="preserve">The Omnibus package</w:t>
      </w:r>
      <w:r>
        <w:t xml:space="preserve"> </w:t>
      </w:r>
      <w:r>
        <w:rPr>
          <w:bCs/>
          <w:b/>
        </w:rPr>
        <w:t xml:space="preserve">does not change</w:t>
      </w:r>
      <w:r>
        <w:t xml:space="preserve"> </w:t>
      </w:r>
      <w:r>
        <w:t xml:space="preserve">the core Fit for 55 targets:</w:t>
      </w:r>
    </w:p>
    <w:p>
      <w:pPr>
        <w:numPr>
          <w:ilvl w:val="0"/>
          <w:numId w:val="1020"/>
        </w:numPr>
        <w:pStyle w:val="Compact"/>
      </w:pPr>
      <w:r>
        <w:rPr>
          <w:bCs/>
          <w:b/>
        </w:rPr>
        <w:t xml:space="preserve">55% emissions reduction by 2030</w:t>
      </w:r>
      <w:r>
        <w:t xml:space="preserve"> </w:t>
      </w:r>
      <w:r>
        <w:t xml:space="preserve">— remains</w:t>
      </w:r>
    </w:p>
    <w:p>
      <w:pPr>
        <w:numPr>
          <w:ilvl w:val="0"/>
          <w:numId w:val="1020"/>
        </w:numPr>
        <w:pStyle w:val="Compact"/>
      </w:pPr>
      <w:r>
        <w:rPr>
          <w:bCs/>
          <w:b/>
        </w:rPr>
        <w:t xml:space="preserve">ETS emissions cap</w:t>
      </w:r>
      <w:r>
        <w:t xml:space="preserve"> </w:t>
      </w:r>
      <w:r>
        <w:t xml:space="preserve">— continues to tighten as planned</w:t>
      </w:r>
    </w:p>
    <w:p>
      <w:pPr>
        <w:numPr>
          <w:ilvl w:val="0"/>
          <w:numId w:val="1020"/>
        </w:numPr>
        <w:pStyle w:val="Compact"/>
      </w:pPr>
      <w:r>
        <w:rPr>
          <w:bCs/>
          <w:b/>
        </w:rPr>
        <w:t xml:space="preserve">CBAM border carbon levy</w:t>
      </w:r>
      <w:r>
        <w:t xml:space="preserve"> </w:t>
      </w:r>
      <w:r>
        <w:t xml:space="preserve">— effective 2026 as planned</w:t>
      </w:r>
    </w:p>
    <w:p>
      <w:pPr>
        <w:numPr>
          <w:ilvl w:val="0"/>
          <w:numId w:val="1020"/>
        </w:numPr>
        <w:pStyle w:val="Compact"/>
      </w:pPr>
      <w:r>
        <w:rPr>
          <w:bCs/>
          <w:b/>
        </w:rPr>
        <w:t xml:space="preserve">ETS2 for road transport and buildings</w:t>
      </w:r>
      <w:r>
        <w:t xml:space="preserve"> </w:t>
      </w:r>
      <w:r>
        <w:t xml:space="preserve">— effective 2027</w:t>
      </w:r>
    </w:p>
    <w:p>
      <w:pPr>
        <w:numPr>
          <w:ilvl w:val="0"/>
          <w:numId w:val="1020"/>
        </w:numPr>
        <w:pStyle w:val="Compact"/>
      </w:pPr>
      <w:r>
        <w:rPr>
          <w:bCs/>
          <w:b/>
        </w:rPr>
        <w:t xml:space="preserve">EPBD embodied carbon reporting</w:t>
      </w:r>
      <w:r>
        <w:t xml:space="preserve"> </w:t>
      </w:r>
      <w:r>
        <w:t xml:space="preserve">— effective 2028</w:t>
      </w:r>
    </w:p>
    <w:p>
      <w:pPr>
        <w:pStyle w:val="FirstParagraph"/>
      </w:pPr>
      <w:r>
        <w:rPr>
          <w:bCs/>
          <w:b/>
        </w:rPr>
        <w:t xml:space="preserve">Impact on DWS IQ 6 business model:</w:t>
      </w:r>
    </w:p>
    <w:tbl>
      <w:tblPr>
        <w:tblStyle w:val="Table"/>
        <w:tblW w:type="pct" w:w="5000"/>
        <w:tblLook w:firstRow="1" w:lastRow="0" w:firstColumn="0" w:lastColumn="0" w:noHBand="0" w:noVBand="0" w:val="0020"/>
        <w:jc w:val="start"/>
      </w:tblPr>
      <w:tblGrid>
        <w:gridCol w:w="2960"/>
        <w:gridCol w:w="1702"/>
        <w:gridCol w:w="3256"/>
      </w:tblGrid>
      <w:tr>
        <w:trPr>
          <w:tblHeader w:val="true"/>
        </w:trPr>
        <w:tc>
          <w:tcPr/>
          <w:p>
            <w:pPr>
              <w:pStyle w:val="Compact"/>
              <w:jc w:val="left"/>
            </w:pPr>
            <w:r>
              <w:t xml:space="preserve">Segment</w:t>
            </w:r>
          </w:p>
        </w:tc>
        <w:tc>
          <w:tcPr/>
          <w:p>
            <w:pPr>
              <w:pStyle w:val="Compact"/>
              <w:jc w:val="left"/>
            </w:pPr>
            <w:r>
              <w:t xml:space="preserve">Omnibus Impact</w:t>
            </w:r>
          </w:p>
        </w:tc>
        <w:tc>
          <w:tcPr/>
          <w:p>
            <w:pPr>
              <w:pStyle w:val="Compact"/>
              <w:jc w:val="left"/>
            </w:pPr>
            <w:r>
              <w:t xml:space="preserve">DWS IQ 6 Opportunity</w:t>
            </w:r>
          </w:p>
        </w:tc>
      </w:tr>
      <w:tr>
        <w:tc>
          <w:tcPr/>
          <w:p>
            <w:pPr>
              <w:pStyle w:val="Compact"/>
              <w:jc w:val="left"/>
            </w:pPr>
            <w:r>
              <w:rPr>
                <w:bCs/>
                <w:b/>
              </w:rPr>
              <w:t xml:space="preserve">Large enterprises (&gt;1,000 employees)</w:t>
            </w:r>
          </w:p>
        </w:tc>
        <w:tc>
          <w:tcPr/>
          <w:p>
            <w:pPr>
              <w:pStyle w:val="Compact"/>
              <w:jc w:val="left"/>
            </w:pPr>
            <w:r>
              <w:t xml:space="preserve">CSRD obligation remains</w:t>
            </w:r>
          </w:p>
        </w:tc>
        <w:tc>
          <w:tcPr/>
          <w:p>
            <w:pPr>
              <w:pStyle w:val="Compact"/>
              <w:jc w:val="left"/>
            </w:pPr>
            <w:r>
              <w:t xml:space="preserve">Premium solution</w:t>
            </w:r>
          </w:p>
        </w:tc>
      </w:tr>
      <w:tr>
        <w:tc>
          <w:tcPr/>
          <w:p>
            <w:pPr>
              <w:pStyle w:val="Compact"/>
              <w:jc w:val="left"/>
            </w:pPr>
            <w:r>
              <w:rPr>
                <w:bCs/>
                <w:b/>
              </w:rPr>
              <w:t xml:space="preserve">Mid-size (250-999 employees)</w:t>
            </w:r>
          </w:p>
        </w:tc>
        <w:tc>
          <w:tcPr/>
          <w:p>
            <w:pPr>
              <w:pStyle w:val="Compact"/>
              <w:jc w:val="left"/>
            </w:pPr>
            <w:r>
              <w:t xml:space="preserve">Voluntary reporting</w:t>
            </w:r>
          </w:p>
        </w:tc>
        <w:tc>
          <w:tcPr/>
          <w:p>
            <w:pPr>
              <w:pStyle w:val="Compact"/>
              <w:jc w:val="left"/>
            </w:pPr>
            <w:r>
              <w:t xml:space="preserve">Affordable as competitive advantage</w:t>
            </w:r>
          </w:p>
        </w:tc>
      </w:tr>
      <w:tr>
        <w:tc>
          <w:tcPr/>
          <w:p>
            <w:pPr>
              <w:pStyle w:val="Compact"/>
              <w:jc w:val="left"/>
            </w:pPr>
            <w:r>
              <w:rPr>
                <w:bCs/>
                <w:b/>
              </w:rPr>
              <w:t xml:space="preserve">SMEs (&lt;250 employees)</w:t>
            </w:r>
          </w:p>
        </w:tc>
        <w:tc>
          <w:tcPr/>
          <w:p>
            <w:pPr>
              <w:pStyle w:val="Compact"/>
              <w:jc w:val="left"/>
            </w:pPr>
            <w:r>
              <w:t xml:space="preserve">No reporting obligation</w:t>
            </w:r>
          </w:p>
        </w:tc>
        <w:tc>
          <w:tcPr/>
          <w:p>
            <w:pPr>
              <w:pStyle w:val="Compact"/>
              <w:jc w:val="left"/>
            </w:pPr>
            <w:r>
              <w:t xml:space="preserve">Supply chain pressure from large enterprises</w:t>
            </w:r>
          </w:p>
        </w:tc>
      </w:tr>
    </w:tbl>
    <w:p>
      <w:pPr>
        <w:pStyle w:val="BodyText"/>
      </w:pPr>
      <w:r>
        <w:rPr>
          <w:bCs/>
          <w:b/>
        </w:rPr>
        <w:t xml:space="preserve">Conclusion:</w:t>
      </w:r>
      <w:r>
        <w:t xml:space="preserve"> </w:t>
      </w:r>
      <w:r>
        <w:t xml:space="preserve">The Omnibus package makes the Firehorse model even more competitive:</w:t>
      </w:r>
    </w:p>
    <w:p>
      <w:pPr>
        <w:numPr>
          <w:ilvl w:val="0"/>
          <w:numId w:val="1021"/>
        </w:numPr>
        <w:pStyle w:val="Compact"/>
      </w:pPr>
      <w:r>
        <w:rPr>
          <w:bCs/>
          <w:b/>
        </w:rPr>
        <w:t xml:space="preserve">Large enterprises</w:t>
      </w:r>
      <w:r>
        <w:t xml:space="preserve"> </w:t>
      </w:r>
      <w:r>
        <w:t xml:space="preserve">still need automated reporting</w:t>
      </w:r>
    </w:p>
    <w:p>
      <w:pPr>
        <w:numPr>
          <w:ilvl w:val="0"/>
          <w:numId w:val="1021"/>
        </w:numPr>
        <w:pStyle w:val="Compact"/>
      </w:pPr>
      <w:r>
        <w:rPr>
          <w:bCs/>
          <w:b/>
        </w:rPr>
        <w:t xml:space="preserve">SMEs</w:t>
      </w:r>
      <w:r>
        <w:t xml:space="preserve"> </w:t>
      </w:r>
      <w:r>
        <w:t xml:space="preserve">face supply chain pressures from CSRD-reporting companies</w:t>
      </w:r>
    </w:p>
    <w:p>
      <w:pPr>
        <w:numPr>
          <w:ilvl w:val="0"/>
          <w:numId w:val="1021"/>
        </w:numPr>
        <w:pStyle w:val="Compact"/>
      </w:pPr>
      <w:r>
        <w:rPr>
          <w:bCs/>
          <w:b/>
        </w:rPr>
        <w:t xml:space="preserve">Voluntary EFRAG SME standard</w:t>
      </w:r>
      <w:r>
        <w:t xml:space="preserve"> </w:t>
      </w:r>
      <w:r>
        <w:t xml:space="preserve">creates demand for affordable solutions</w:t>
      </w:r>
    </w:p>
    <w:p>
      <w:pPr>
        <w:numPr>
          <w:ilvl w:val="0"/>
          <w:numId w:val="1021"/>
        </w:numPr>
        <w:pStyle w:val="Compact"/>
      </w:pPr>
      <w:r>
        <w:rPr>
          <w:bCs/>
          <w:b/>
        </w:rPr>
        <w:t xml:space="preserve">EUR 0-350/month pricing</w:t>
      </w:r>
      <w:r>
        <w:t xml:space="preserve"> </w:t>
      </w:r>
      <w:r>
        <w:t xml:space="preserve">is competitive in the voluntary reporting market</w:t>
      </w:r>
    </w:p>
    <w:p>
      <w:pPr>
        <w:pStyle w:val="FirstParagraph"/>
      </w:pPr>
      <w:r>
        <w:rPr>
          <w:bCs/>
          <w:b/>
        </w:rPr>
        <w:t xml:space="preserve">Source:</w:t>
      </w:r>
      <w:r>
        <w:t xml:space="preserve"> </w:t>
      </w:r>
      <w:r>
        <w:t xml:space="preserve">European Commission. (2025).</w:t>
      </w:r>
      <w:r>
        <w:t xml:space="preserve"> </w:t>
      </w:r>
      <w:r>
        <w:rPr>
          <w:iCs/>
          <w:i/>
        </w:rPr>
        <w:t xml:space="preserve">Omnibus package</w:t>
      </w:r>
      <w:r>
        <w:t xml:space="preserve">.</w:t>
      </w:r>
      <w:r>
        <w:t xml:space="preserve"> </w:t>
      </w:r>
      <w:hyperlink r:id="rId49">
        <w:r>
          <w:rPr>
            <w:rStyle w:val="Hyperlink"/>
          </w:rPr>
          <w:t xml:space="preserve">https://finance.ec.europa.eu/news/omnibus-package-2025-04-01_en</w:t>
        </w:r>
      </w:hyperlink>
    </w:p>
    <w:bookmarkEnd w:id="50"/>
    <w:bookmarkEnd w:id="51"/>
    <w:bookmarkStart w:id="52" w:name="competitor-analysis"/>
    <w:p>
      <w:pPr>
        <w:pStyle w:val="Heading2"/>
      </w:pPr>
      <w:r>
        <w:t xml:space="preserve">3.2 Competitor Analysis</w:t>
      </w:r>
    </w:p>
    <w:tbl>
      <w:tblPr>
        <w:tblStyle w:val="Table"/>
        <w:tblW w:type="pct" w:w="5000"/>
        <w:tblLook w:firstRow="1" w:lastRow="0" w:firstColumn="0" w:lastColumn="0" w:noHBand="0" w:noVBand="0" w:val="0020"/>
        <w:jc w:val="start"/>
      </w:tblPr>
      <w:tblGrid>
        <w:gridCol w:w="2337"/>
        <w:gridCol w:w="1168"/>
        <w:gridCol w:w="1817"/>
        <w:gridCol w:w="1298"/>
        <w:gridCol w:w="1298"/>
      </w:tblGrid>
      <w:tr>
        <w:trPr>
          <w:tblHeader w:val="true"/>
        </w:trPr>
        <w:tc>
          <w:tcPr/>
          <w:p>
            <w:pPr>
              <w:pStyle w:val="Compact"/>
              <w:jc w:val="left"/>
            </w:pPr>
            <w:r>
              <w:t xml:space="preserve">Capability</w:t>
            </w:r>
          </w:p>
        </w:tc>
        <w:tc>
          <w:tcPr/>
          <w:p>
            <w:pPr>
              <w:pStyle w:val="Compact"/>
              <w:jc w:val="left"/>
            </w:pPr>
            <w:r>
              <w:t xml:space="preserve">Firehorse</w:t>
            </w:r>
          </w:p>
        </w:tc>
        <w:tc>
          <w:tcPr/>
          <w:p>
            <w:pPr>
              <w:pStyle w:val="Compact"/>
              <w:jc w:val="left"/>
            </w:pPr>
            <w:r>
              <w:t xml:space="preserve">Atlassian Rovo</w:t>
            </w:r>
          </w:p>
        </w:tc>
        <w:tc>
          <w:tcPr/>
          <w:p>
            <w:pPr>
              <w:pStyle w:val="Compact"/>
              <w:jc w:val="left"/>
            </w:pPr>
            <w:r>
              <w:t xml:space="preserve">SAP</w:t>
            </w:r>
          </w:p>
        </w:tc>
        <w:tc>
          <w:tcPr/>
          <w:p>
            <w:pPr>
              <w:pStyle w:val="Compact"/>
              <w:jc w:val="left"/>
            </w:pPr>
            <w:r>
              <w:t xml:space="preserve">Siemens</w:t>
            </w:r>
          </w:p>
        </w:tc>
      </w:tr>
      <w:tr>
        <w:tc>
          <w:tcPr/>
          <w:p>
            <w:pPr>
              <w:pStyle w:val="Compact"/>
              <w:jc w:val="left"/>
            </w:pPr>
            <w:r>
              <w:rPr>
                <w:bCs/>
                <w:b/>
              </w:rPr>
              <w:t xml:space="preserve">Monthly cost</w:t>
            </w:r>
          </w:p>
        </w:tc>
        <w:tc>
          <w:tcPr/>
          <w:p>
            <w:pPr>
              <w:pStyle w:val="Compact"/>
              <w:jc w:val="left"/>
            </w:pPr>
            <w:r>
              <w:t xml:space="preserve">EUR 0-350</w:t>
            </w:r>
          </w:p>
        </w:tc>
        <w:tc>
          <w:tcPr/>
          <w:p>
            <w:pPr>
              <w:pStyle w:val="Compact"/>
              <w:jc w:val="left"/>
            </w:pPr>
            <w:r>
              <w:t xml:space="preserve">EUR 1,400+</w:t>
            </w:r>
          </w:p>
        </w:tc>
        <w:tc>
          <w:tcPr/>
          <w:p>
            <w:pPr>
              <w:pStyle w:val="Compact"/>
              <w:jc w:val="left"/>
            </w:pPr>
            <w:r>
              <w:t xml:space="preserve">EUR 4,000+</w:t>
            </w:r>
          </w:p>
        </w:tc>
        <w:tc>
          <w:tcPr/>
          <w:p>
            <w:pPr>
              <w:pStyle w:val="Compact"/>
              <w:jc w:val="left"/>
            </w:pPr>
            <w:r>
              <w:t xml:space="preserve">EUR 2,000+</w:t>
            </w:r>
          </w:p>
        </w:tc>
      </w:tr>
      <w:tr>
        <w:tc>
          <w:tcPr/>
          <w:p>
            <w:pPr>
              <w:pStyle w:val="Compact"/>
              <w:jc w:val="left"/>
            </w:pPr>
            <w:r>
              <w:rPr>
                <w:bCs/>
                <w:b/>
              </w:rPr>
              <w:t xml:space="preserve">Edge AI</w:t>
            </w:r>
          </w:p>
        </w:tc>
        <w:tc>
          <w:tcPr/>
          <w:p>
            <w:pPr>
              <w:pStyle w:val="Compact"/>
              <w:jc w:val="left"/>
            </w:pPr>
            <w:r>
              <w:t xml:space="preserve">Native</w:t>
            </w:r>
          </w:p>
        </w:tc>
        <w:tc>
          <w:tcPr/>
          <w:p>
            <w:pPr>
              <w:pStyle w:val="Compact"/>
              <w:jc w:val="left"/>
            </w:pPr>
            <w:r>
              <w:t xml:space="preserve">No</w:t>
            </w:r>
          </w:p>
        </w:tc>
        <w:tc>
          <w:tcPr/>
          <w:p>
            <w:pPr>
              <w:pStyle w:val="Compact"/>
              <w:jc w:val="left"/>
            </w:pPr>
            <w:r>
              <w:t xml:space="preserve">No</w:t>
            </w:r>
          </w:p>
        </w:tc>
        <w:tc>
          <w:tcPr/>
          <w:p>
            <w:pPr>
              <w:pStyle w:val="Compact"/>
              <w:jc w:val="left"/>
            </w:pPr>
            <w:r>
              <w:t xml:space="preserve">Limited</w:t>
            </w:r>
          </w:p>
        </w:tc>
      </w:tr>
      <w:tr>
        <w:tc>
          <w:tcPr/>
          <w:p>
            <w:pPr>
              <w:pStyle w:val="Compact"/>
              <w:jc w:val="left"/>
            </w:pPr>
            <w:r>
              <w:rPr>
                <w:bCs/>
                <w:b/>
              </w:rPr>
              <w:t xml:space="preserve">25+ verticals</w:t>
            </w:r>
          </w:p>
        </w:tc>
        <w:tc>
          <w:tcPr/>
          <w:p>
            <w:pPr>
              <w:pStyle w:val="Compact"/>
              <w:jc w:val="left"/>
            </w:pPr>
            <w:r>
              <w:t xml:space="preserve">Planned</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EU compliant</w:t>
            </w:r>
          </w:p>
        </w:tc>
        <w:tc>
          <w:tcPr/>
          <w:p>
            <w:pPr>
              <w:pStyle w:val="Compact"/>
              <w:jc w:val="left"/>
            </w:pPr>
            <w:r>
              <w:t xml:space="preserve">Native</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Yes</w:t>
            </w:r>
          </w:p>
        </w:tc>
      </w:tr>
      <w:tr>
        <w:tc>
          <w:tcPr/>
          <w:p>
            <w:pPr>
              <w:pStyle w:val="Compact"/>
              <w:jc w:val="left"/>
            </w:pPr>
            <w:r>
              <w:rPr>
                <w:bCs/>
                <w:b/>
              </w:rPr>
              <w:t xml:space="preserve">&lt;100ms latency</w:t>
            </w:r>
          </w:p>
        </w:tc>
        <w:tc>
          <w:tcPr/>
          <w:p>
            <w:pPr>
              <w:pStyle w:val="Compact"/>
              <w:jc w:val="left"/>
            </w:pPr>
            <w:r>
              <w:t xml:space="preserve">Edge</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w:t>
            </w:r>
          </w:p>
        </w:tc>
      </w:tr>
      <w:tr>
        <w:tc>
          <w:tcPr/>
          <w:p>
            <w:pPr>
              <w:pStyle w:val="Compact"/>
              <w:jc w:val="left"/>
            </w:pPr>
            <w:r>
              <w:rPr>
                <w:bCs/>
                <w:b/>
              </w:rPr>
              <w:t xml:space="preserve">SME accessible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bl>
    <w:bookmarkEnd w:id="52"/>
    <w:bookmarkStart w:id="53" w:name="customer-segments"/>
    <w:p>
      <w:pPr>
        <w:pStyle w:val="Heading2"/>
      </w:pPr>
      <w:r>
        <w:t xml:space="preserve">3.3 Customer Segments</w:t>
      </w:r>
    </w:p>
    <w:p>
      <w:pPr>
        <w:pStyle w:val="FirstParagraph"/>
      </w:pPr>
      <w:r>
        <w:rPr>
          <w:bCs/>
          <w:b/>
        </w:rPr>
        <w:t xml:space="preserve">DWS10.com (Firehorse platform) target customers across 20 industries:</w:t>
      </w:r>
    </w:p>
    <w:p>
      <w:pPr>
        <w:pStyle w:val="BodyText"/>
      </w:pPr>
      <w:r>
        <w:rPr>
          <w:bCs/>
          <w:b/>
        </w:rPr>
        <w:t xml:space="preserve">Tier 1 - Critical Industries (Immediate sales focus):</w:t>
      </w:r>
    </w:p>
    <w:p>
      <w:pPr>
        <w:numPr>
          <w:ilvl w:val="0"/>
          <w:numId w:val="1022"/>
        </w:numPr>
        <w:pStyle w:val="Compact"/>
      </w:pPr>
      <w:r>
        <w:rPr>
          <w:bCs/>
          <w:b/>
        </w:rPr>
        <w:t xml:space="preserve">Construction:</w:t>
      </w:r>
      <w:r>
        <w:t xml:space="preserve"> </w:t>
      </w:r>
      <w:r>
        <w:t xml:space="preserve">NCC, Skanska, T2H, Vinci, Strabag (36-40% of EU emissions)</w:t>
      </w:r>
    </w:p>
    <w:p>
      <w:pPr>
        <w:numPr>
          <w:ilvl w:val="0"/>
          <w:numId w:val="1022"/>
        </w:numPr>
        <w:pStyle w:val="Compact"/>
      </w:pPr>
      <w:r>
        <w:rPr>
          <w:bCs/>
          <w:b/>
        </w:rPr>
        <w:t xml:space="preserve">Logistics:</w:t>
      </w:r>
      <w:r>
        <w:t xml:space="preserve"> </w:t>
      </w:r>
      <w:r>
        <w:t xml:space="preserve">DB Schenker, DHL, and Nordic freight operators. (Uber, Bolt, Kela and Taksi Helsinki are</w:t>
      </w:r>
      <w:r>
        <w:t xml:space="preserve"> </w:t>
      </w:r>
      <w:r>
        <w:rPr>
          <w:bCs/>
          <w:b/>
        </w:rPr>
        <w:t xml:space="preserve">dispatch operators</w:t>
      </w:r>
      <w:r>
        <w:t xml:space="preserve"> </w:t>
      </w:r>
      <w:r>
        <w:t xml:space="preserve">of Lifetime Oy’s licensed transport operation in the role defined by Traficom — commercial counterparties, not software customers, and not part of this target list. See</w:t>
      </w:r>
      <w:r>
        <w:t xml:space="preserve"> </w:t>
      </w:r>
      <w:r>
        <w:rPr>
          <w:rStyle w:val="VerbatimChar"/>
        </w:rPr>
        <w:t xml:space="preserve">docs/TRACTION_CANONICAL.md</w:t>
      </w:r>
      <w:r>
        <w:t xml:space="preserve">.)</w:t>
      </w:r>
    </w:p>
    <w:p>
      <w:pPr>
        <w:numPr>
          <w:ilvl w:val="0"/>
          <w:numId w:val="1022"/>
        </w:numPr>
        <w:pStyle w:val="Compact"/>
      </w:pPr>
      <w:r>
        <w:rPr>
          <w:bCs/>
          <w:b/>
        </w:rPr>
        <w:t xml:space="preserve">Manufacturing:</w:t>
      </w:r>
      <w:r>
        <w:t xml:space="preserve"> </w:t>
      </w:r>
      <w:r>
        <w:t xml:space="preserve">Kone, Wartsila, ABB, Valmet (ETS + CBAM)</w:t>
      </w:r>
    </w:p>
    <w:p>
      <w:pPr>
        <w:numPr>
          <w:ilvl w:val="0"/>
          <w:numId w:val="1022"/>
        </w:numPr>
        <w:pStyle w:val="Compact"/>
      </w:pPr>
      <w:r>
        <w:rPr>
          <w:bCs/>
          <w:b/>
        </w:rPr>
        <w:t xml:space="preserve">Energy:</w:t>
      </w:r>
      <w:r>
        <w:t xml:space="preserve"> </w:t>
      </w:r>
      <w:r>
        <w:t xml:space="preserve">Fortum, Helen, Vattenfall (25-30% of emissions)</w:t>
      </w:r>
    </w:p>
    <w:p>
      <w:pPr>
        <w:pStyle w:val="FirstParagraph"/>
      </w:pPr>
      <w:r>
        <w:rPr>
          <w:bCs/>
          <w:b/>
        </w:rPr>
        <w:t xml:space="preserve">Tier 2 - Important Industries (V1.1+ expansions):</w:t>
      </w:r>
    </w:p>
    <w:p>
      <w:pPr>
        <w:numPr>
          <w:ilvl w:val="0"/>
          <w:numId w:val="1023"/>
        </w:numPr>
        <w:pStyle w:val="Compact"/>
      </w:pPr>
      <w:r>
        <w:rPr>
          <w:bCs/>
          <w:b/>
        </w:rPr>
        <w:t xml:space="preserve">Agriculture:</w:t>
      </w:r>
      <w:r>
        <w:t xml:space="preserve"> </w:t>
      </w:r>
      <w:r>
        <w:t xml:space="preserve">Valio, Arla, agricultural cooperatives</w:t>
      </w:r>
    </w:p>
    <w:p>
      <w:pPr>
        <w:numPr>
          <w:ilvl w:val="0"/>
          <w:numId w:val="1023"/>
        </w:numPr>
        <w:pStyle w:val="Compact"/>
      </w:pPr>
      <w:r>
        <w:rPr>
          <w:bCs/>
          <w:b/>
        </w:rPr>
        <w:t xml:space="preserve">Healthcare:</w:t>
      </w:r>
      <w:r>
        <w:t xml:space="preserve"> </w:t>
      </w:r>
      <w:r>
        <w:t xml:space="preserve">Kela (live), HUS, private hospital chains</w:t>
      </w:r>
    </w:p>
    <w:p>
      <w:pPr>
        <w:numPr>
          <w:ilvl w:val="0"/>
          <w:numId w:val="1023"/>
        </w:numPr>
        <w:pStyle w:val="Compact"/>
      </w:pPr>
      <w:r>
        <w:rPr>
          <w:bCs/>
          <w:b/>
        </w:rPr>
        <w:t xml:space="preserve">Real Estate:</w:t>
      </w:r>
      <w:r>
        <w:t xml:space="preserve"> </w:t>
      </w:r>
      <w:r>
        <w:t xml:space="preserve">Kojamo, Sato, real estate investors</w:t>
      </w:r>
    </w:p>
    <w:p>
      <w:pPr>
        <w:numPr>
          <w:ilvl w:val="0"/>
          <w:numId w:val="1023"/>
        </w:numPr>
        <w:pStyle w:val="Compact"/>
      </w:pPr>
      <w:r>
        <w:rPr>
          <w:bCs/>
          <w:b/>
        </w:rPr>
        <w:t xml:space="preserve">Public Sector:</w:t>
      </w:r>
      <w:r>
        <w:t xml:space="preserve"> </w:t>
      </w:r>
      <w:r>
        <w:t xml:space="preserve">Municipalities, central government, defense</w:t>
      </w:r>
    </w:p>
    <w:bookmarkEnd w:id="53"/>
    <w:bookmarkStart w:id="54" w:name="regulatory-drivers"/>
    <w:p>
      <w:pPr>
        <w:pStyle w:val="Heading2"/>
      </w:pPr>
      <w:r>
        <w:t xml:space="preserve">3.4 Regulatory Drivers</w:t>
      </w:r>
    </w:p>
    <w:tbl>
      <w:tblPr>
        <w:tblStyle w:val="Table"/>
        <w:tblW w:type="pct" w:w="5000"/>
        <w:tblLook w:firstRow="1" w:lastRow="0" w:firstColumn="0" w:lastColumn="0" w:noHBand="0" w:noVBand="0" w:val="0020"/>
        <w:jc w:val="start"/>
      </w:tblPr>
      <w:tblGrid>
        <w:gridCol w:w="913"/>
        <w:gridCol w:w="1726"/>
        <w:gridCol w:w="3858"/>
        <w:gridCol w:w="1421"/>
      </w:tblGrid>
      <w:tr>
        <w:trPr>
          <w:tblHeader w:val="true"/>
        </w:trPr>
        <w:tc>
          <w:tcPr/>
          <w:p>
            <w:pPr>
              <w:pStyle w:val="Compact"/>
              <w:jc w:val="left"/>
            </w:pPr>
            <w:r>
              <w:t xml:space="preserve">Year</w:t>
            </w:r>
          </w:p>
        </w:tc>
        <w:tc>
          <w:tcPr/>
          <w:p>
            <w:pPr>
              <w:pStyle w:val="Compact"/>
              <w:jc w:val="left"/>
            </w:pPr>
            <w:r>
              <w:t xml:space="preserve">Driver</w:t>
            </w:r>
          </w:p>
        </w:tc>
        <w:tc>
          <w:tcPr/>
          <w:p>
            <w:pPr>
              <w:pStyle w:val="Compact"/>
              <w:jc w:val="left"/>
            </w:pPr>
            <w:r>
              <w:t xml:space="preserve">Affected Verticals</w:t>
            </w:r>
          </w:p>
        </w:tc>
        <w:tc>
          <w:tcPr/>
          <w:p>
            <w:pPr>
              <w:pStyle w:val="Compact"/>
              <w:jc w:val="left"/>
            </w:pPr>
            <w:r>
              <w:t xml:space="preserve">Market Size</w:t>
            </w:r>
          </w:p>
        </w:tc>
      </w:tr>
      <w:tr>
        <w:tc>
          <w:tcPr/>
          <w:p>
            <w:pPr>
              <w:pStyle w:val="Compact"/>
              <w:jc w:val="left"/>
            </w:pPr>
            <w:r>
              <w:t xml:space="preserve">2025-2026</w:t>
            </w:r>
          </w:p>
        </w:tc>
        <w:tc>
          <w:tcPr/>
          <w:p>
            <w:pPr>
              <w:pStyle w:val="Compact"/>
              <w:jc w:val="left"/>
            </w:pPr>
            <w:r>
              <w:rPr>
                <w:bCs/>
                <w:b/>
              </w:rPr>
              <w:t xml:space="preserve">CSRD</w:t>
            </w:r>
          </w:p>
        </w:tc>
        <w:tc>
          <w:tcPr/>
          <w:p>
            <w:pPr>
              <w:pStyle w:val="Compact"/>
              <w:jc w:val="left"/>
            </w:pPr>
            <w:r>
              <w:t xml:space="preserve">All large companies</w:t>
            </w:r>
          </w:p>
        </w:tc>
        <w:tc>
          <w:tcPr/>
          <w:p>
            <w:pPr>
              <w:pStyle w:val="Compact"/>
              <w:jc w:val="left"/>
            </w:pPr>
            <w:r>
              <w:t xml:space="preserve">EUR 2 billion</w:t>
            </w:r>
          </w:p>
        </w:tc>
      </w:tr>
      <w:tr>
        <w:tc>
          <w:tcPr/>
          <w:p>
            <w:pPr>
              <w:pStyle w:val="Compact"/>
              <w:jc w:val="left"/>
            </w:pPr>
            <w:r>
              <w:t xml:space="preserve">2026-2028</w:t>
            </w:r>
          </w:p>
        </w:tc>
        <w:tc>
          <w:tcPr/>
          <w:p>
            <w:pPr>
              <w:pStyle w:val="Compact"/>
              <w:jc w:val="left"/>
            </w:pPr>
            <w:r>
              <w:rPr>
                <w:bCs/>
                <w:b/>
              </w:rPr>
              <w:t xml:space="preserve">Fit for 55</w:t>
            </w:r>
          </w:p>
        </w:tc>
        <w:tc>
          <w:tcPr/>
          <w:p>
            <w:pPr>
              <w:pStyle w:val="Compact"/>
              <w:jc w:val="left"/>
            </w:pPr>
            <w:r>
              <w:t xml:space="preserve">Logistics, Construction</w:t>
            </w:r>
          </w:p>
        </w:tc>
        <w:tc>
          <w:tcPr/>
          <w:p>
            <w:pPr>
              <w:pStyle w:val="Compact"/>
              <w:jc w:val="left"/>
            </w:pPr>
            <w:r>
              <w:t xml:space="preserve">EUR 5 billion</w:t>
            </w:r>
          </w:p>
        </w:tc>
      </w:tr>
      <w:tr>
        <w:tc>
          <w:tcPr/>
          <w:p>
            <w:pPr>
              <w:pStyle w:val="Compact"/>
              <w:jc w:val="left"/>
            </w:pPr>
            <w:r>
              <w:t xml:space="preserve">2027-2030</w:t>
            </w:r>
          </w:p>
        </w:tc>
        <w:tc>
          <w:tcPr/>
          <w:p>
            <w:pPr>
              <w:pStyle w:val="Compact"/>
              <w:jc w:val="left"/>
            </w:pPr>
            <w:r>
              <w:rPr>
                <w:bCs/>
                <w:b/>
              </w:rPr>
              <w:t xml:space="preserve">EPBD</w:t>
            </w:r>
          </w:p>
        </w:tc>
        <w:tc>
          <w:tcPr/>
          <w:p>
            <w:pPr>
              <w:pStyle w:val="Compact"/>
              <w:jc w:val="left"/>
            </w:pPr>
            <w:r>
              <w:t xml:space="preserve">Real Estate, Construction</w:t>
            </w:r>
          </w:p>
        </w:tc>
        <w:tc>
          <w:tcPr/>
          <w:p>
            <w:pPr>
              <w:pStyle w:val="Compact"/>
              <w:jc w:val="left"/>
            </w:pPr>
            <w:r>
              <w:t xml:space="preserve">EUR 8 billion</w:t>
            </w:r>
          </w:p>
        </w:tc>
      </w:tr>
      <w:tr>
        <w:tc>
          <w:tcPr/>
          <w:p>
            <w:pPr>
              <w:pStyle w:val="Compact"/>
              <w:jc w:val="left"/>
            </w:pPr>
            <w:r>
              <w:t xml:space="preserve">2030-2035</w:t>
            </w:r>
          </w:p>
        </w:tc>
        <w:tc>
          <w:tcPr/>
          <w:p>
            <w:pPr>
              <w:pStyle w:val="Compact"/>
              <w:jc w:val="left"/>
            </w:pPr>
            <w:r>
              <w:rPr>
                <w:bCs/>
                <w:b/>
              </w:rPr>
              <w:t xml:space="preserve">ETS expansion</w:t>
            </w:r>
          </w:p>
        </w:tc>
        <w:tc>
          <w:tcPr/>
          <w:p>
            <w:pPr>
              <w:pStyle w:val="Compact"/>
              <w:jc w:val="left"/>
            </w:pPr>
            <w:r>
              <w:t xml:space="preserve">Healthcare, Manufacturing, Agriculture</w:t>
            </w:r>
          </w:p>
        </w:tc>
        <w:tc>
          <w:tcPr/>
          <w:p>
            <w:pPr>
              <w:pStyle w:val="Compact"/>
              <w:jc w:val="left"/>
            </w:pPr>
            <w:r>
              <w:t xml:space="preserve">EUR 10 billion</w:t>
            </w:r>
          </w:p>
        </w:tc>
      </w:tr>
    </w:tbl>
    <w:p>
      <w:pPr>
        <w:pStyle w:val="BodyText"/>
      </w:pPr>
      <w:r>
        <w:rPr>
          <w:bCs/>
          <w:b/>
        </w:rPr>
        <w:t xml:space="preserve">Total Addressable Market (TAM):</w:t>
      </w:r>
    </w:p>
    <w:p>
      <w:pPr>
        <w:numPr>
          <w:ilvl w:val="0"/>
          <w:numId w:val="1024"/>
        </w:numPr>
        <w:pStyle w:val="Compact"/>
      </w:pPr>
      <w:r>
        <w:t xml:space="preserve">Nordics: EUR 2.68 billion (10 years)</w:t>
      </w:r>
    </w:p>
    <w:p>
      <w:pPr>
        <w:numPr>
          <w:ilvl w:val="0"/>
          <w:numId w:val="1024"/>
        </w:numPr>
        <w:pStyle w:val="Compact"/>
      </w:pPr>
      <w:r>
        <w:t xml:space="preserve">EU: EUR 15-20 billion (10 years)</w:t>
      </w:r>
    </w:p>
    <w:p>
      <w:r>
        <w:pict>
          <v:rect style="width:0;height:1.5pt" o:hralign="center" o:hrstd="t" o:hr="t"/>
        </w:pict>
      </w:r>
    </w:p>
    <w:bookmarkEnd w:id="54"/>
    <w:bookmarkEnd w:id="55"/>
    <w:bookmarkStart w:id="79" w:name="dws6-operating-model-design"/>
    <w:p>
      <w:pPr>
        <w:pStyle w:val="Heading1"/>
      </w:pPr>
      <w:r>
        <w:t xml:space="preserve">4. DWS6 Operating Model Design</w:t>
      </w:r>
    </w:p>
    <w:p>
      <w:pPr>
        <w:pStyle w:val="FirstParagraph"/>
      </w:pPr>
      <w:r>
        <w:t xml:space="preserve">The DWS6 operating model is built on three distinct layers: Strategic, Operational, and Execution. This chapter documents each layer with evidence from live implementation.</w:t>
      </w:r>
    </w:p>
    <w:bookmarkStart w:id="59" w:name="strategic-layer-solution-factory-model"/>
    <w:p>
      <w:pPr>
        <w:pStyle w:val="Heading2"/>
      </w:pPr>
      <w:r>
        <w:t xml:space="preserve">4.1 Strategic Layer: Solution Factory Model</w:t>
      </w:r>
    </w:p>
    <w:p>
      <w:pPr>
        <w:pStyle w:val="FirstParagraph"/>
      </w:pPr>
      <w:r>
        <w:t xml:space="preserve">The Solution Factory model transforms DWS6 from a single product into a replicable platform for producing climate-intelligent industrial applications across multiple verticals.</w:t>
      </w:r>
    </w:p>
    <w:bookmarkStart w:id="56" w:name="solution-factory-architecture"/>
    <w:p>
      <w:pPr>
        <w:pStyle w:val="Heading3"/>
      </w:pPr>
      <w:r>
        <w:t xml:space="preserve">4.1.1 Solution Factory Architecture</w:t>
      </w:r>
    </w:p>
    <w:p>
      <w:pPr>
        <w:pStyle w:val="SourceCode"/>
      </w:pPr>
      <w:r>
        <w:rPr>
          <w:rStyle w:val="VerbatimChar"/>
        </w:rPr>
        <w:t xml:space="preserve">+-------------------------------------------------------------------+</w:t>
      </w:r>
      <w:r>
        <w:br/>
      </w:r>
      <w:r>
        <w:rPr>
          <w:rStyle w:val="VerbatimChar"/>
        </w:rPr>
        <w:t xml:space="preserve">|                    SOLUTION FACTORY ARCHITECTURE                    |</w:t>
      </w:r>
      <w:r>
        <w:br/>
      </w:r>
      <w:r>
        <w:rPr>
          <w:rStyle w:val="VerbatimChar"/>
        </w:rPr>
        <w:t xml:space="preserve">+-------------------------------------------------------------------+</w:t>
      </w:r>
      <w:r>
        <w:br/>
      </w:r>
      <w:r>
        <w:rPr>
          <w:rStyle w:val="VerbatimChar"/>
        </w:rPr>
        <w:t xml:space="preserve">|                                                                     |</w:t>
      </w:r>
      <w:r>
        <w:br/>
      </w:r>
      <w:r>
        <w:rPr>
          <w:rStyle w:val="VerbatimChar"/>
        </w:rPr>
        <w:t xml:space="preserve">|  INPUT: Customer problem + Industry vertical                        |</w:t>
      </w:r>
      <w:r>
        <w:br/>
      </w:r>
      <w:r>
        <w:rPr>
          <w:rStyle w:val="VerbatimChar"/>
        </w:rPr>
        <w:t xml:space="preserve">|         |                                                           |</w:t>
      </w:r>
      <w:r>
        <w:br/>
      </w:r>
      <w:r>
        <w:rPr>
          <w:rStyle w:val="VerbatimChar"/>
        </w:rPr>
        <w:t xml:space="preserve">|  PROCESS: AgentFoundry configuration + Signal coordination          |</w:t>
      </w:r>
      <w:r>
        <w:br/>
      </w:r>
      <w:r>
        <w:rPr>
          <w:rStyle w:val="VerbatimChar"/>
        </w:rPr>
        <w:t xml:space="preserve">|         |                                                           |</w:t>
      </w:r>
      <w:r>
        <w:br/>
      </w:r>
      <w:r>
        <w:rPr>
          <w:rStyle w:val="VerbatimChar"/>
        </w:rPr>
        <w:t xml:space="preserve">|  OUTPUT: Climate-intelligent industrial platform                    |</w:t>
      </w:r>
      <w:r>
        <w:br/>
      </w:r>
      <w:r>
        <w:rPr>
          <w:rStyle w:val="VerbatimChar"/>
        </w:rPr>
        <w:t xml:space="preserve">|                                                                     |</w:t>
      </w:r>
      <w:r>
        <w:br/>
      </w:r>
      <w:r>
        <w:rPr>
          <w:rStyle w:val="VerbatimChar"/>
        </w:rPr>
        <w:t xml:space="preserve">|  +-----------------+  +-----------------+  +-----------------+      |</w:t>
      </w:r>
      <w:r>
        <w:br/>
      </w:r>
      <w:r>
        <w:rPr>
          <w:rStyle w:val="VerbatimChar"/>
        </w:rPr>
        <w:t xml:space="preserve">|  |   VERTICAL 1    |  |   VERTICAL 2    |  |   VERTICAL N    |      |</w:t>
      </w:r>
      <w:r>
        <w:br/>
      </w:r>
      <w:r>
        <w:rPr>
          <w:rStyle w:val="VerbatimChar"/>
        </w:rPr>
        <w:t xml:space="preserve">|  |   Construction  |  |   Logistics     |  |   [Template]    |      |</w:t>
      </w:r>
      <w:r>
        <w:br/>
      </w:r>
      <w:r>
        <w:rPr>
          <w:rStyle w:val="VerbatimChar"/>
        </w:rPr>
        <w:t xml:space="preserve">|  +-----------------+  +-----------------+  +-----------------+      |</w:t>
      </w:r>
      <w:r>
        <w:br/>
      </w:r>
      <w:r>
        <w:rPr>
          <w:rStyle w:val="VerbatimChar"/>
        </w:rPr>
        <w:t xml:space="preserve">|  | * SiteSense     |  | * FleetOptimize |  | * Agent A       |      |</w:t>
      </w:r>
      <w:r>
        <w:br/>
      </w:r>
      <w:r>
        <w:rPr>
          <w:rStyle w:val="VerbatimChar"/>
        </w:rPr>
        <w:t xml:space="preserve">|  | * MaterialOracle|  | * RouteGenius   |  | * Agent B       |      |</w:t>
      </w:r>
      <w:r>
        <w:br/>
      </w:r>
      <w:r>
        <w:rPr>
          <w:rStyle w:val="VerbatimChar"/>
        </w:rPr>
        <w:t xml:space="preserve">|  | * ScheduleGenius|  | * CarbonTracker |  | * Agent C       |      |</w:t>
      </w:r>
      <w:r>
        <w:br/>
      </w:r>
      <w:r>
        <w:rPr>
          <w:rStyle w:val="VerbatimChar"/>
        </w:rPr>
        <w:t xml:space="preserve">|  | * CustomerSat   |  | * CustomerSat   |  | * CustomerSat   |      |</w:t>
      </w:r>
      <w:r>
        <w:br/>
      </w:r>
      <w:r>
        <w:rPr>
          <w:rStyle w:val="VerbatimChar"/>
        </w:rPr>
        <w:t xml:space="preserve">|  | * Viability     |  | * Viability     |  | * Viability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SHARED COMPONENTS:                                |</w:t>
      </w:r>
      <w:r>
        <w:br/>
      </w:r>
      <w:r>
        <w:rPr>
          <w:rStyle w:val="VerbatimChar"/>
        </w:rPr>
        <w:t xml:space="preserve">|           * Lifetime World Model (55B parameters)                   |</w:t>
      </w:r>
      <w:r>
        <w:br/>
      </w:r>
      <w:r>
        <w:rPr>
          <w:rStyle w:val="VerbatimChar"/>
        </w:rPr>
        <w:t xml:space="preserve">|           * MCP Hub orchestration                                   |</w:t>
      </w:r>
      <w:r>
        <w:br/>
      </w:r>
      <w:r>
        <w:rPr>
          <w:rStyle w:val="VerbatimChar"/>
        </w:rPr>
        <w:t xml:space="preserve">|           * Supabase + pgvector (data layer)                        |</w:t>
      </w:r>
      <w:r>
        <w:br/>
      </w:r>
      <w:r>
        <w:rPr>
          <w:rStyle w:val="VerbatimChar"/>
        </w:rPr>
        <w:t xml:space="preserve">|           * EU compliance engine                                    |</w:t>
      </w:r>
      <w:r>
        <w:br/>
      </w:r>
      <w:r>
        <w:rPr>
          <w:rStyle w:val="VerbatimChar"/>
        </w:rPr>
        <w:t xml:space="preserve">|                                                                     |</w:t>
      </w:r>
      <w:r>
        <w:br/>
      </w:r>
      <w:r>
        <w:rPr>
          <w:rStyle w:val="VerbatimChar"/>
        </w:rPr>
        <w:t xml:space="preserve">+-------------------------------------------------------------------+</w:t>
      </w:r>
    </w:p>
    <w:bookmarkEnd w:id="56"/>
    <w:bookmarkStart w:id="57" w:name="strategic-innovations"/>
    <w:p>
      <w:pPr>
        <w:pStyle w:val="Heading3"/>
      </w:pPr>
      <w:r>
        <w:t xml:space="preserve">4.1.2 Strategic Innovations</w:t>
      </w:r>
    </w:p>
    <w:p>
      <w:pPr>
        <w:pStyle w:val="FirstParagraph"/>
      </w:pPr>
      <w:r>
        <w:rPr>
          <w:bCs/>
          <w:b/>
        </w:rPr>
        <w:t xml:space="preserve">1. EU Compliance as Competitive Advantage</w:t>
      </w:r>
    </w:p>
    <w:p>
      <w:pPr>
        <w:numPr>
          <w:ilvl w:val="0"/>
          <w:numId w:val="1025"/>
        </w:numPr>
        <w:pStyle w:val="Compact"/>
      </w:pPr>
      <w:r>
        <w:t xml:space="preserve">Data residency: europe-north1 (Finland/Sweden)</w:t>
      </w:r>
    </w:p>
    <w:p>
      <w:pPr>
        <w:numPr>
          <w:ilvl w:val="0"/>
          <w:numId w:val="1025"/>
        </w:numPr>
        <w:pStyle w:val="Compact"/>
      </w:pPr>
      <w:r>
        <w:t xml:space="preserve">EU AI Act: Low-risk classification with human oversight</w:t>
      </w:r>
    </w:p>
    <w:p>
      <w:pPr>
        <w:numPr>
          <w:ilvl w:val="0"/>
          <w:numId w:val="1025"/>
        </w:numPr>
        <w:pStyle w:val="Compact"/>
      </w:pPr>
      <w:r>
        <w:t xml:space="preserve">NIS2: Security by design for critical infrastructure customers</w:t>
      </w:r>
    </w:p>
    <w:p>
      <w:pPr>
        <w:numPr>
          <w:ilvl w:val="0"/>
          <w:numId w:val="1025"/>
        </w:numPr>
        <w:pStyle w:val="Compact"/>
      </w:pPr>
      <w:r>
        <w:t xml:space="preserve">Fit for 55: Native carbon tracking for 2028 deadline</w:t>
      </w:r>
    </w:p>
    <w:p>
      <w:pPr>
        <w:pStyle w:val="FirstParagraph"/>
      </w:pPr>
      <w:r>
        <w:rPr>
          <w:bCs/>
          <w:b/>
        </w:rPr>
        <w:t xml:space="preserve">2. Network Effects Across Verticals</w:t>
      </w:r>
    </w:p>
    <w:p>
      <w:pPr>
        <w:numPr>
          <w:ilvl w:val="0"/>
          <w:numId w:val="1026"/>
        </w:numPr>
        <w:pStyle w:val="Compact"/>
      </w:pPr>
      <w:r>
        <w:t xml:space="preserve">Logistics route optimization data -&gt; Construction delivery scheduling</w:t>
      </w:r>
    </w:p>
    <w:p>
      <w:pPr>
        <w:numPr>
          <w:ilvl w:val="0"/>
          <w:numId w:val="1026"/>
        </w:numPr>
        <w:pStyle w:val="Compact"/>
      </w:pPr>
      <w:r>
        <w:t xml:space="preserve">Manufacturing quality data -&gt; Real estate maintenance prediction</w:t>
      </w:r>
    </w:p>
    <w:p>
      <w:pPr>
        <w:numPr>
          <w:ilvl w:val="0"/>
          <w:numId w:val="1026"/>
        </w:numPr>
        <w:pStyle w:val="Compact"/>
      </w:pPr>
      <w:r>
        <w:t xml:space="preserve">Energy consumption patterns -&gt; All verticals benefit</w:t>
      </w:r>
    </w:p>
    <w:bookmarkEnd w:id="57"/>
    <w:bookmarkStart w:id="58" w:name="customer-promise"/>
    <w:p>
      <w:pPr>
        <w:pStyle w:val="Heading3"/>
      </w:pPr>
      <w:r>
        <w:t xml:space="preserve">4.1.3 Customer Promise</w:t>
      </w:r>
    </w:p>
    <w:p>
      <w:pPr>
        <w:pStyle w:val="FirstParagraph"/>
      </w:pPr>
      <w:r>
        <w:rPr>
          <w:bCs/>
          <w:b/>
        </w:rPr>
        <w:t xml:space="preserve">Promise:</w:t>
      </w:r>
      <w:r>
        <w:t xml:space="preserve"> </w:t>
      </w:r>
      <w:r>
        <w:t xml:space="preserve">2-month payback period or money back</w:t>
      </w:r>
    </w:p>
    <w:p>
      <w:pPr>
        <w:pStyle w:val="BodyText"/>
      </w:pPr>
      <w:r>
        <w:rPr>
          <w:bCs/>
          <w:b/>
        </w:rPr>
        <w:t xml:space="preserve">Value proposition:</w:t>
      </w:r>
    </w:p>
    <w:p>
      <w:pPr>
        <w:numPr>
          <w:ilvl w:val="0"/>
          <w:numId w:val="1027"/>
        </w:numPr>
        <w:pStyle w:val="Compact"/>
      </w:pPr>
      <w:r>
        <w:t xml:space="preserve">Real-time emissions tracking (EU mandate 2028)</w:t>
      </w:r>
    </w:p>
    <w:p>
      <w:pPr>
        <w:numPr>
          <w:ilvl w:val="0"/>
          <w:numId w:val="1027"/>
        </w:numPr>
        <w:pStyle w:val="Compact"/>
      </w:pPr>
      <w:r>
        <w:t xml:space="preserve">Viability analysis (project profitability)</w:t>
      </w:r>
    </w:p>
    <w:p>
      <w:pPr>
        <w:numPr>
          <w:ilvl w:val="0"/>
          <w:numId w:val="1027"/>
        </w:numPr>
        <w:pStyle w:val="Compact"/>
      </w:pPr>
      <w:r>
        <w:t xml:space="preserve">Automated reports (saves 10h/week)</w:t>
      </w:r>
    </w:p>
    <w:p>
      <w:pPr>
        <w:pStyle w:val="FirstParagraph"/>
      </w:pPr>
      <w:r>
        <w:rPr>
          <w:bCs/>
          <w:b/>
        </w:rPr>
        <w:t xml:space="preserve">Validation:</w:t>
      </w:r>
      <w:r>
        <w:t xml:space="preserve"> </w:t>
      </w:r>
      <w:r>
        <w:t xml:space="preserve">EUR 10k MRR from Uber, Bolt, and Kela during pilot proves customer willingness to pay.</w:t>
      </w:r>
    </w:p>
    <w:bookmarkEnd w:id="58"/>
    <w:bookmarkEnd w:id="59"/>
    <w:bookmarkStart w:id="63" w:name="Xeae5d3dd19793e8e6f3ba2bed4eba21b9d1ea74"/>
    <w:p>
      <w:pPr>
        <w:pStyle w:val="Heading2"/>
      </w:pPr>
      <w:r>
        <w:t xml:space="preserve">4.2 Operational Layer: AgentFoundry and Lifetime Scope Signals</w:t>
      </w:r>
    </w:p>
    <w:p>
      <w:pPr>
        <w:pStyle w:val="FirstParagraph"/>
      </w:pPr>
      <w:r>
        <w:t xml:space="preserve">The operational layer documents the actual implementation mechanisms that enable the Solution Factory to function.</w:t>
      </w:r>
    </w:p>
    <w:bookmarkStart w:id="60" w:name="agentfoundry-architecture"/>
    <w:p>
      <w:pPr>
        <w:pStyle w:val="Heading3"/>
      </w:pPr>
      <w:r>
        <w:t xml:space="preserve">4.2.1 AgentFoundry Architecture</w:t>
      </w:r>
    </w:p>
    <w:p>
      <w:pPr>
        <w:pStyle w:val="FirstParagraph"/>
      </w:pPr>
      <w:r>
        <w:t xml:space="preserve">AgentFoundry is a multi-model, multi-tenant framework for deploying AI agents across industrial verticals.</w:t>
      </w:r>
    </w:p>
    <w:bookmarkEnd w:id="60"/>
    <w:bookmarkStart w:id="61" w:name="lifetime-scope-signals-protocol-1"/>
    <w:p>
      <w:pPr>
        <w:pStyle w:val="Heading3"/>
      </w:pPr>
      <w:r>
        <w:t xml:space="preserve">4.2.2 Lifetime Scope Signals Protocol</w:t>
      </w:r>
    </w:p>
    <w:p>
      <w:pPr>
        <w:pStyle w:val="FirstParagraph"/>
      </w:pPr>
      <w:r>
        <w:rPr>
          <w:bCs/>
          <w:b/>
        </w:rPr>
        <w:t xml:space="preserve">V1.0 Agent Fleet (10 agents):</w:t>
      </w:r>
    </w:p>
    <w:tbl>
      <w:tblPr>
        <w:tblStyle w:val="Table"/>
        <w:tblW w:type="pct" w:w="5000"/>
        <w:tblLook w:firstRow="1" w:lastRow="0" w:firstColumn="0" w:lastColumn="0" w:noHBand="0" w:noVBand="0" w:val="0020"/>
        <w:jc w:val="start"/>
      </w:tblPr>
      <w:tblGrid>
        <w:gridCol w:w="974"/>
        <w:gridCol w:w="2193"/>
        <w:gridCol w:w="609"/>
        <w:gridCol w:w="974"/>
        <w:gridCol w:w="3168"/>
      </w:tblGrid>
      <w:tr>
        <w:trPr>
          <w:tblHeader w:val="true"/>
        </w:trPr>
        <w:tc>
          <w:tcPr/>
          <w:p>
            <w:pPr>
              <w:pStyle w:val="Compact"/>
              <w:jc w:val="left"/>
            </w:pPr>
            <w:r>
              <w:t xml:space="preserve">ID</w:t>
            </w:r>
          </w:p>
        </w:tc>
        <w:tc>
          <w:tcPr/>
          <w:p>
            <w:pPr>
              <w:pStyle w:val="Compact"/>
              <w:jc w:val="left"/>
            </w:pPr>
            <w:r>
              <w:t xml:space="preserve">Name</w:t>
            </w:r>
          </w:p>
        </w:tc>
        <w:tc>
          <w:tcPr/>
          <w:p>
            <w:pPr>
              <w:pStyle w:val="Compact"/>
              <w:jc w:val="left"/>
            </w:pPr>
            <w:r>
              <w:t xml:space="preserve">Phase</w:t>
            </w:r>
          </w:p>
        </w:tc>
        <w:tc>
          <w:tcPr/>
          <w:p>
            <w:pPr>
              <w:pStyle w:val="Compact"/>
              <w:jc w:val="left"/>
            </w:pPr>
            <w:r>
              <w:t xml:space="preserve">Priority</w:t>
            </w:r>
          </w:p>
        </w:tc>
        <w:tc>
          <w:tcPr/>
          <w:p>
            <w:pPr>
              <w:pStyle w:val="Compact"/>
              <w:jc w:val="left"/>
            </w:pPr>
            <w:r>
              <w:t xml:space="preserve">Signals</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jwt-service, supabase-auth</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report-api, automation-api</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Critical</w:t>
            </w:r>
          </w:p>
        </w:tc>
        <w:tc>
          <w:tcPr/>
          <w:p>
            <w:pPr>
              <w:pStyle w:val="Compact"/>
              <w:jc w:val="left"/>
            </w:pPr>
            <w:r>
              <w:t xml:space="preserve">dashboard-layout</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mcp-hub, sitesense</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High</w:t>
            </w:r>
          </w:p>
        </w:tc>
        <w:tc>
          <w:tcPr/>
          <w:p>
            <w:pPr>
              <w:pStyle w:val="Compact"/>
              <w:jc w:val="left"/>
            </w:pPr>
            <w:r>
              <w:t xml:space="preserve">offline-sync</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Low</w:t>
            </w:r>
          </w:p>
        </w:tc>
        <w:tc>
          <w:tcPr/>
          <w:p>
            <w:pPr>
              <w:pStyle w:val="Compact"/>
              <w:jc w:val="left"/>
            </w:pPr>
            <w:r>
              <w:t xml:space="preserve">(Deferred)</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schema-users, rls-policies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Medium</w:t>
            </w:r>
          </w:p>
        </w:tc>
        <w:tc>
          <w:tcPr/>
          <w:p>
            <w:pPr>
              <w:pStyle w:val="Compact"/>
              <w:jc w:val="left"/>
            </w:pPr>
            <w:r>
              <w:t xml:space="preserve">stripe-setup</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High</w:t>
            </w:r>
          </w:p>
        </w:tc>
        <w:tc>
          <w:tcPr/>
          <w:p>
            <w:pPr>
              <w:pStyle w:val="Compact"/>
              <w:jc w:val="left"/>
            </w:pPr>
            <w:r>
              <w:t xml:space="preserve">transactional</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Low</w:t>
            </w:r>
          </w:p>
        </w:tc>
        <w:tc>
          <w:tcPr/>
          <w:p>
            <w:pPr>
              <w:pStyle w:val="Compact"/>
              <w:jc w:val="left"/>
            </w:pPr>
            <w:r>
              <w:t xml:space="preserve">api-docs</w:t>
            </w:r>
          </w:p>
        </w:tc>
      </w:tr>
    </w:tbl>
    <w:bookmarkEnd w:id="61"/>
    <w:bookmarkStart w:id="62" w:name="three-phase-deployment-model"/>
    <w:p>
      <w:pPr>
        <w:pStyle w:val="Heading3"/>
      </w:pPr>
      <w:r>
        <w:t xml:space="preserve">4.2.3 Three-Phase Deployment Model</w:t>
      </w:r>
    </w:p>
    <w:p>
      <w:pPr>
        <w:pStyle w:val="FirstParagraph"/>
      </w:pPr>
      <w:r>
        <w:rPr>
          <w:bCs/>
          <w:b/>
        </w:rPr>
        <w:t xml:space="preserve">Phase 1: Silent Pilot (30 days)</w:t>
      </w:r>
    </w:p>
    <w:p>
      <w:pPr>
        <w:numPr>
          <w:ilvl w:val="0"/>
          <w:numId w:val="1028"/>
        </w:numPr>
        <w:pStyle w:val="Compact"/>
      </w:pPr>
      <w:r>
        <w:t xml:space="preserve">Agent observes and records all operations</w:t>
      </w:r>
    </w:p>
    <w:p>
      <w:pPr>
        <w:numPr>
          <w:ilvl w:val="0"/>
          <w:numId w:val="1028"/>
        </w:numPr>
        <w:pStyle w:val="Compact"/>
      </w:pPr>
      <w:r>
        <w:t xml:space="preserve">No actions on customer systems</w:t>
      </w:r>
    </w:p>
    <w:p>
      <w:pPr>
        <w:numPr>
          <w:ilvl w:val="0"/>
          <w:numId w:val="1028"/>
        </w:numPr>
        <w:pStyle w:val="Compact"/>
      </w:pPr>
      <w:r>
        <w:t xml:space="preserve">Builds baseline understanding of operations</w:t>
      </w:r>
    </w:p>
    <w:p>
      <w:pPr>
        <w:pStyle w:val="FirstParagraph"/>
      </w:pPr>
      <w:r>
        <w:rPr>
          <w:bCs/>
          <w:b/>
        </w:rPr>
        <w:t xml:space="preserve">Phase 2: Advisor (60 days)</w:t>
      </w:r>
    </w:p>
    <w:p>
      <w:pPr>
        <w:numPr>
          <w:ilvl w:val="0"/>
          <w:numId w:val="1029"/>
        </w:numPr>
        <w:pStyle w:val="Compact"/>
      </w:pPr>
      <w:r>
        <w:t xml:space="preserve">Agent recommends actions</w:t>
      </w:r>
    </w:p>
    <w:p>
      <w:pPr>
        <w:numPr>
          <w:ilvl w:val="0"/>
          <w:numId w:val="1029"/>
        </w:numPr>
        <w:pStyle w:val="Compact"/>
      </w:pPr>
      <w:r>
        <w:t xml:space="preserve">All recommendations require human approval</w:t>
      </w:r>
    </w:p>
    <w:p>
      <w:pPr>
        <w:numPr>
          <w:ilvl w:val="0"/>
          <w:numId w:val="1029"/>
        </w:numPr>
        <w:pStyle w:val="Compact"/>
      </w:pPr>
      <w:r>
        <w:t xml:space="preserve">Builds trust through accurate predictions</w:t>
      </w:r>
    </w:p>
    <w:p>
      <w:pPr>
        <w:pStyle w:val="FirstParagraph"/>
      </w:pPr>
      <w:r>
        <w:rPr>
          <w:bCs/>
          <w:b/>
        </w:rPr>
        <w:t xml:space="preserve">Phase 3: Autonomous</w:t>
      </w:r>
    </w:p>
    <w:p>
      <w:pPr>
        <w:numPr>
          <w:ilvl w:val="0"/>
          <w:numId w:val="1030"/>
        </w:numPr>
        <w:pStyle w:val="Compact"/>
      </w:pPr>
      <w:r>
        <w:t xml:space="preserve">Agent executes within defined guardrails</w:t>
      </w:r>
    </w:p>
    <w:p>
      <w:pPr>
        <w:numPr>
          <w:ilvl w:val="0"/>
          <w:numId w:val="1030"/>
        </w:numPr>
        <w:pStyle w:val="Compact"/>
      </w:pPr>
      <w:r>
        <w:t xml:space="preserve">Human oversight for exceptions</w:t>
      </w:r>
    </w:p>
    <w:p>
      <w:pPr>
        <w:numPr>
          <w:ilvl w:val="0"/>
          <w:numId w:val="1030"/>
        </w:numPr>
        <w:pStyle w:val="Compact"/>
      </w:pPr>
      <w:r>
        <w:t xml:space="preserve">Continuous monitoring and adjustment</w:t>
      </w:r>
    </w:p>
    <w:bookmarkEnd w:id="62"/>
    <w:bookmarkEnd w:id="63"/>
    <w:bookmarkStart w:id="66" w:name="X5b48c8bce01f9a2094484e395de2044fba3db76"/>
    <w:p>
      <w:pPr>
        <w:pStyle w:val="Heading2"/>
      </w:pPr>
      <w:r>
        <w:t xml:space="preserve">4.3 Execution Layer: Brain-Memory-Body-Hands Architecture</w:t>
      </w:r>
    </w:p>
    <w:bookmarkStart w:id="64" w:name="hybrid-cloud-edge-architecture"/>
    <w:p>
      <w:pPr>
        <w:pStyle w:val="Heading3"/>
      </w:pPr>
      <w:r>
        <w:t xml:space="preserve">4.3.1 Hybrid Cloud-Edge Architecture</w:t>
      </w:r>
    </w:p>
    <w:p>
      <w:pPr>
        <w:pStyle w:val="SourceCode"/>
      </w:pPr>
      <w:r>
        <w:rPr>
          <w:rStyle w:val="VerbatimChar"/>
        </w:rPr>
        <w:t xml:space="preserve">+-------------------------------------------------+</w:t>
      </w:r>
      <w:r>
        <w:br/>
      </w:r>
      <w:r>
        <w:rPr>
          <w:rStyle w:val="VerbatimChar"/>
        </w:rPr>
        <w:t xml:space="preserve">|  DWS6 HYBRID ARCHITECTURE                        |</w:t>
      </w:r>
      <w:r>
        <w:br/>
      </w:r>
      <w:r>
        <w:rPr>
          <w:rStyle w:val="VerbatimChar"/>
        </w:rPr>
        <w:t xml:space="preserve">+-------------------------------------------------+</w:t>
      </w:r>
      <w:r>
        <w:br/>
      </w:r>
      <w:r>
        <w:rPr>
          <w:rStyle w:val="VerbatimChar"/>
        </w:rPr>
        <w:t xml:space="preserve">|                                                   |</w:t>
      </w:r>
      <w:r>
        <w:br/>
      </w:r>
      <w:r>
        <w:rPr>
          <w:rStyle w:val="VerbatimChar"/>
        </w:rPr>
        <w:t xml:space="preserve">|  CLOUD LAYER (Google Cloud Run)                   |</w:t>
      </w:r>
      <w:r>
        <w:br/>
      </w:r>
      <w:r>
        <w:rPr>
          <w:rStyle w:val="VerbatimChar"/>
        </w:rPr>
        <w:t xml:space="preserve">|  +- Groq API Router (FastAPI)                     |</w:t>
      </w:r>
      <w:r>
        <w:br/>
      </w:r>
      <w:r>
        <w:rPr>
          <w:rStyle w:val="VerbatimChar"/>
        </w:rPr>
        <w:t xml:space="preserve">|  +- Supabase (PostgreSQL)                         |</w:t>
      </w:r>
      <w:r>
        <w:br/>
      </w:r>
      <w:r>
        <w:rPr>
          <w:rStyle w:val="VerbatimChar"/>
        </w:rPr>
        <w:t xml:space="preserve">|  +- Agent orchestration (LlamaStack)              |</w:t>
      </w:r>
      <w:r>
        <w:br/>
      </w:r>
      <w:r>
        <w:rPr>
          <w:rStyle w:val="VerbatimChar"/>
        </w:rPr>
        <w:t xml:space="preserve">|                                                   |</w:t>
      </w:r>
      <w:r>
        <w:br/>
      </w:r>
      <w:r>
        <w:rPr>
          <w:rStyle w:val="VerbatimChar"/>
        </w:rPr>
        <w:t xml:space="preserve">|  EDGE LAYER (NVIDIA Jetson Orin Nano)             |</w:t>
      </w:r>
      <w:r>
        <w:br/>
      </w:r>
      <w:r>
        <w:rPr>
          <w:rStyle w:val="VerbatimChar"/>
        </w:rPr>
        <w:t xml:space="preserve">|  +- SiteSense agent (construction site monitoring)|</w:t>
      </w:r>
      <w:r>
        <w:br/>
      </w:r>
      <w:r>
        <w:rPr>
          <w:rStyle w:val="VerbatimChar"/>
        </w:rPr>
        <w:t xml:space="preserve">|  +- Offline operation (no network required)       |</w:t>
      </w:r>
      <w:r>
        <w:br/>
      </w:r>
      <w:r>
        <w:rPr>
          <w:rStyle w:val="VerbatimChar"/>
        </w:rPr>
        <w:t xml:space="preserve">|  +- &lt;100ms latency (25x faster than cloud)        |</w:t>
      </w:r>
      <w:r>
        <w:br/>
      </w:r>
      <w:r>
        <w:rPr>
          <w:rStyle w:val="VerbatimChar"/>
        </w:rPr>
        <w:t xml:space="preserve">|                                                   |</w:t>
      </w:r>
      <w:r>
        <w:br/>
      </w:r>
      <w:r>
        <w:rPr>
          <w:rStyle w:val="VerbatimChar"/>
        </w:rPr>
        <w:t xml:space="preserve">|  CLIENT LAYER (Chromebook PWA)                    |</w:t>
      </w:r>
      <w:r>
        <w:br/>
      </w:r>
      <w:r>
        <w:rPr>
          <w:rStyle w:val="VerbatimChar"/>
        </w:rPr>
        <w:t xml:space="preserve">|  +- Progressive Web App                           |</w:t>
      </w:r>
      <w:r>
        <w:br/>
      </w:r>
      <w:r>
        <w:rPr>
          <w:rStyle w:val="VerbatimChar"/>
        </w:rPr>
        <w:t xml:space="preserve">|  +- Offline-first design                          |</w:t>
      </w:r>
      <w:r>
        <w:br/>
      </w:r>
      <w:r>
        <w:rPr>
          <w:rStyle w:val="VerbatimChar"/>
        </w:rPr>
        <w:t xml:space="preserve">|  +- EU data residency (GDPR-compliant)            |</w:t>
      </w:r>
      <w:r>
        <w:br/>
      </w:r>
      <w:r>
        <w:rPr>
          <w:rStyle w:val="VerbatimChar"/>
        </w:rPr>
        <w:t xml:space="preserve">|                                                   |</w:t>
      </w:r>
      <w:r>
        <w:br/>
      </w:r>
      <w:r>
        <w:rPr>
          <w:rStyle w:val="VerbatimChar"/>
        </w:rPr>
        <w:t xml:space="preserve">+-------------------------------------------------+</w:t>
      </w:r>
    </w:p>
    <w:bookmarkEnd w:id="64"/>
    <w:bookmarkStart w:id="65" w:name="X4823c57ba6ead05995c82df037de3b31ce45912"/>
    <w:p>
      <w:pPr>
        <w:pStyle w:val="Heading3"/>
      </w:pPr>
      <w:r>
        <w:t xml:space="preserve">4.3.2 MCP Hub Multi-Agent Orchestration Platform</w:t>
      </w:r>
    </w:p>
    <w:p>
      <w:pPr>
        <w:pStyle w:val="FirstParagraph"/>
      </w:pPr>
      <w:r>
        <w:rPr>
          <w:bCs/>
          <w:b/>
        </w:rPr>
        <w:t xml:space="preserve">Vision:</w:t>
      </w:r>
      <w:r>
        <w:t xml:space="preserve"> </w:t>
      </w:r>
      <w:r>
        <w:t xml:space="preserve">Control plane that coordinates Cursor, Claude, Gemini, and DWS IQ agents with construction planning tools and Lifetime Firehorse products.</w:t>
      </w:r>
    </w:p>
    <w:p>
      <w:pPr>
        <w:pStyle w:val="BodyText"/>
      </w:pPr>
      <w:r>
        <w:rPr>
          <w:bCs/>
          <w:b/>
        </w:rPr>
        <w:t xml:space="preserve">Business impact:</w:t>
      </w:r>
    </w:p>
    <w:p>
      <w:pPr>
        <w:numPr>
          <w:ilvl w:val="0"/>
          <w:numId w:val="1031"/>
        </w:numPr>
        <w:pStyle w:val="Compact"/>
      </w:pPr>
      <w:r>
        <w:t xml:space="preserve">+62% development velocity</w:t>
      </w:r>
    </w:p>
    <w:p>
      <w:pPr>
        <w:numPr>
          <w:ilvl w:val="0"/>
          <w:numId w:val="1031"/>
        </w:numPr>
        <w:pStyle w:val="Compact"/>
      </w:pPr>
      <w:r>
        <w:t xml:space="preserve">-73% bug reduction</w:t>
      </w:r>
    </w:p>
    <w:p>
      <w:pPr>
        <w:numPr>
          <w:ilvl w:val="0"/>
          <w:numId w:val="1031"/>
        </w:numPr>
        <w:pStyle w:val="Compact"/>
      </w:pPr>
      <w:r>
        <w:t xml:space="preserve">EUR 23,640/year savings</w:t>
      </w:r>
    </w:p>
    <w:p>
      <w:pPr>
        <w:numPr>
          <w:ilvl w:val="0"/>
          <w:numId w:val="1031"/>
        </w:numPr>
        <w:pStyle w:val="Compact"/>
      </w:pPr>
      <w:r>
        <w:t xml:space="preserve">17.2 months runway on EUR 150K SAFE (vs 6.7 months without MCP)</w:t>
      </w:r>
    </w:p>
    <w:bookmarkEnd w:id="65"/>
    <w:bookmarkEnd w:id="66"/>
    <w:bookmarkStart w:id="67" w:name="cost-model"/>
    <w:p>
      <w:pPr>
        <w:pStyle w:val="Heading2"/>
      </w:pPr>
      <w:r>
        <w:t xml:space="preserve">4.4 Cost Model</w:t>
      </w:r>
    </w:p>
    <w:tbl>
      <w:tblPr>
        <w:tblStyle w:val="Table"/>
        <w:tblW w:type="pct" w:w="5000"/>
        <w:tblLook w:firstRow="1" w:lastRow="0" w:firstColumn="0" w:lastColumn="0" w:noHBand="0" w:noVBand="0" w:val="0020"/>
        <w:jc w:val="start"/>
      </w:tblPr>
      <w:tblGrid>
        <w:gridCol w:w="950"/>
        <w:gridCol w:w="1689"/>
        <w:gridCol w:w="5280"/>
      </w:tblGrid>
      <w:tr>
        <w:trPr>
          <w:tblHeader w:val="true"/>
        </w:trPr>
        <w:tc>
          <w:tcPr/>
          <w:p>
            <w:pPr>
              <w:pStyle w:val="Compact"/>
              <w:jc w:val="left"/>
            </w:pPr>
            <w:r>
              <w:t xml:space="preserve">Phase</w:t>
            </w:r>
          </w:p>
        </w:tc>
        <w:tc>
          <w:tcPr/>
          <w:p>
            <w:pPr>
              <w:pStyle w:val="Compact"/>
              <w:jc w:val="left"/>
            </w:pPr>
            <w:r>
              <w:t xml:space="preserve">Cost</w:t>
            </w:r>
          </w:p>
        </w:tc>
        <w:tc>
          <w:tcPr/>
          <w:p>
            <w:pPr>
              <w:pStyle w:val="Compact"/>
              <w:jc w:val="left"/>
            </w:pPr>
            <w:r>
              <w:t xml:space="preserve">Technology</w:t>
            </w:r>
          </w:p>
        </w:tc>
      </w:tr>
      <w:tr>
        <w:tc>
          <w:tcPr/>
          <w:p>
            <w:pPr>
              <w:pStyle w:val="Compact"/>
              <w:jc w:val="left"/>
            </w:pPr>
            <w:r>
              <w:rPr>
                <w:bCs/>
                <w:b/>
              </w:rPr>
              <w:t xml:space="preserve">MVP</w:t>
            </w:r>
          </w:p>
        </w:tc>
        <w:tc>
          <w:tcPr/>
          <w:p>
            <w:pPr>
              <w:pStyle w:val="Compact"/>
              <w:jc w:val="left"/>
            </w:pPr>
            <w:r>
              <w:t xml:space="preserve">EUR 0/month</w:t>
            </w:r>
          </w:p>
        </w:tc>
        <w:tc>
          <w:tcPr/>
          <w:p>
            <w:pPr>
              <w:pStyle w:val="Compact"/>
              <w:jc w:val="left"/>
            </w:pPr>
            <w:r>
              <w:t xml:space="preserve">Cloud Run free tier + Cursor Pro + Claude Code Max</w:t>
            </w:r>
          </w:p>
        </w:tc>
      </w:tr>
      <w:tr>
        <w:tc>
          <w:tcPr/>
          <w:p>
            <w:pPr>
              <w:pStyle w:val="Compact"/>
              <w:jc w:val="left"/>
            </w:pPr>
            <w:r>
              <w:rPr>
                <w:bCs/>
                <w:b/>
              </w:rPr>
              <w:t xml:space="preserve">Alpha</w:t>
            </w:r>
          </w:p>
        </w:tc>
        <w:tc>
          <w:tcPr/>
          <w:p>
            <w:pPr>
              <w:pStyle w:val="Compact"/>
              <w:jc w:val="left"/>
            </w:pPr>
            <w:r>
              <w:t xml:space="preserve">EUR 50-150/month</w:t>
            </w:r>
          </w:p>
        </w:tc>
        <w:tc>
          <w:tcPr/>
          <w:p>
            <w:pPr>
              <w:pStyle w:val="Compact"/>
              <w:jc w:val="left"/>
            </w:pPr>
            <w:r>
              <w:t xml:space="preserve">Groq + Supabase Pro</w:t>
            </w:r>
          </w:p>
        </w:tc>
      </w:tr>
      <w:tr>
        <w:tc>
          <w:tcPr/>
          <w:p>
            <w:pPr>
              <w:pStyle w:val="Compact"/>
              <w:jc w:val="left"/>
            </w:pPr>
            <w:r>
              <w:rPr>
                <w:bCs/>
                <w:b/>
              </w:rPr>
              <w:t xml:space="preserve">V1</w:t>
            </w:r>
          </w:p>
        </w:tc>
        <w:tc>
          <w:tcPr/>
          <w:p>
            <w:pPr>
              <w:pStyle w:val="Compact"/>
              <w:jc w:val="left"/>
            </w:pPr>
            <w:r>
              <w:t xml:space="preserve">EUR 350/month</w:t>
            </w:r>
          </w:p>
        </w:tc>
        <w:tc>
          <w:tcPr/>
          <w:p>
            <w:pPr>
              <w:pStyle w:val="Compact"/>
              <w:jc w:val="left"/>
            </w:pPr>
            <w:r>
              <w:t xml:space="preserve">Groq + Supabase + Monitoring</w:t>
            </w:r>
          </w:p>
        </w:tc>
      </w:tr>
    </w:tbl>
    <w:bookmarkEnd w:id="67"/>
    <w:bookmarkStart w:id="68" w:name="go-to-market-strategy"/>
    <w:p>
      <w:pPr>
        <w:pStyle w:val="Heading2"/>
      </w:pPr>
      <w:r>
        <w:t xml:space="preserve">4.5 Go-to-Market Strategy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Customers</w:t>
            </w:r>
          </w:p>
        </w:tc>
        <w:tc>
          <w:tcPr/>
          <w:p>
            <w:pPr>
              <w:pStyle w:val="Compact"/>
              <w:jc w:val="left"/>
            </w:pPr>
            <w:r>
              <w:t xml:space="preserve">Agents</w:t>
            </w:r>
          </w:p>
        </w:tc>
      </w:tr>
      <w:tr>
        <w:tc>
          <w:tcPr/>
          <w:p>
            <w:pPr>
              <w:pStyle w:val="Compact"/>
              <w:jc w:val="left"/>
            </w:pPr>
            <w:r>
              <w:rPr>
                <w:bCs/>
                <w:b/>
              </w:rPr>
              <w:t xml:space="preserve">MVP</w:t>
            </w:r>
          </w:p>
        </w:tc>
        <w:tc>
          <w:tcPr/>
          <w:p>
            <w:pPr>
              <w:pStyle w:val="Compact"/>
              <w:jc w:val="left"/>
            </w:pPr>
            <w:r>
              <w:t xml:space="preserve">December 2025</w:t>
            </w:r>
          </w:p>
        </w:tc>
        <w:tc>
          <w:tcPr/>
          <w:p>
            <w:pPr>
              <w:pStyle w:val="Compact"/>
              <w:jc w:val="left"/>
            </w:pPr>
            <w:r>
              <w:t xml:space="preserve">5 construction customers (FREE)</w:t>
            </w:r>
          </w:p>
        </w:tc>
        <w:tc>
          <w:tcPr/>
          <w:p>
            <w:pPr>
              <w:pStyle w:val="Compact"/>
              <w:jc w:val="left"/>
            </w:pPr>
            <w:r>
              <w:t xml:space="preserve">2</w:t>
            </w:r>
          </w:p>
        </w:tc>
      </w:tr>
      <w:tr>
        <w:tc>
          <w:tcPr/>
          <w:p>
            <w:pPr>
              <w:pStyle w:val="Compact"/>
              <w:jc w:val="left"/>
            </w:pPr>
            <w:r>
              <w:rPr>
                <w:bCs/>
                <w:b/>
              </w:rPr>
              <w:t xml:space="preserve">Alpha</w:t>
            </w:r>
          </w:p>
        </w:tc>
        <w:tc>
          <w:tcPr/>
          <w:p>
            <w:pPr>
              <w:pStyle w:val="Compact"/>
              <w:jc w:val="left"/>
            </w:pPr>
            <w:r>
              <w:t xml:space="preserve">February 2026</w:t>
            </w:r>
          </w:p>
        </w:tc>
        <w:tc>
          <w:tcPr/>
          <w:p>
            <w:pPr>
              <w:pStyle w:val="Compact"/>
              <w:jc w:val="left"/>
            </w:pPr>
            <w:r>
              <w:t xml:space="preserve">20-50 customers, 3 industries</w:t>
            </w:r>
          </w:p>
        </w:tc>
        <w:tc>
          <w:tcPr/>
          <w:p>
            <w:pPr>
              <w:pStyle w:val="Compact"/>
              <w:jc w:val="left"/>
            </w:pPr>
            <w:r>
              <w:t xml:space="preserve">10</w:t>
            </w:r>
          </w:p>
        </w:tc>
      </w:tr>
      <w:tr>
        <w:tc>
          <w:tcPr/>
          <w:p>
            <w:pPr>
              <w:pStyle w:val="Compact"/>
              <w:jc w:val="left"/>
            </w:pPr>
            <w:r>
              <w:rPr>
                <w:bCs/>
                <w:b/>
              </w:rPr>
              <w:t xml:space="preserve">V1</w:t>
            </w:r>
          </w:p>
        </w:tc>
        <w:tc>
          <w:tcPr/>
          <w:p>
            <w:pPr>
              <w:pStyle w:val="Compact"/>
              <w:jc w:val="left"/>
            </w:pPr>
            <w:r>
              <w:t xml:space="preserve">November 2026</w:t>
            </w:r>
          </w:p>
        </w:tc>
        <w:tc>
          <w:tcPr/>
          <w:p>
            <w:pPr>
              <w:pStyle w:val="Compact"/>
              <w:jc w:val="left"/>
            </w:pPr>
            <w:r>
              <w:t xml:space="preserve">100+ customers, 8 industries</w:t>
            </w:r>
          </w:p>
        </w:tc>
        <w:tc>
          <w:tcPr/>
          <w:p>
            <w:pPr>
              <w:pStyle w:val="Compact"/>
              <w:jc w:val="left"/>
            </w:pPr>
            <w:r>
              <w:t xml:space="preserve">33</w:t>
            </w:r>
          </w:p>
        </w:tc>
      </w:tr>
    </w:tbl>
    <w:bookmarkEnd w:id="68"/>
    <w:bookmarkStart w:id="69" w:name="X3cac810e09d32809b4a97fb76b61e422eede506"/>
    <w:p>
      <w:pPr>
        <w:pStyle w:val="Heading2"/>
      </w:pPr>
      <w:r>
        <w:t xml:space="preserve">4.6 Firehorse Omnichannel: Marketing Targeting Optimization</w:t>
      </w:r>
    </w:p>
    <w:p>
      <w:pPr>
        <w:pStyle w:val="FirstParagraph"/>
      </w:pPr>
      <w:r>
        <w:rPr>
          <w:bCs/>
          <w:b/>
        </w:rPr>
        <w:t xml:space="preserve">Problem:</w:t>
      </w:r>
      <w:r>
        <w:t xml:space="preserve"> </w:t>
      </w:r>
      <w:r>
        <w:t xml:space="preserve">SMEs struggle to allocate limited marketing budgets effectively.</w:t>
      </w:r>
    </w:p>
    <w:p>
      <w:pPr>
        <w:pStyle w:val="BodyText"/>
      </w:pPr>
      <w:r>
        <w:rPr>
          <w:bCs/>
          <w:b/>
        </w:rPr>
        <w:t xml:space="preserve">Solution:</w:t>
      </w:r>
      <w:r>
        <w:t xml:space="preserve"> </w:t>
      </w:r>
      <w:r>
        <w:t xml:space="preserve">Firehorse Omnichannel leverages AI-powered market intelligence for channel selection optimization.</w:t>
      </w:r>
    </w:p>
    <w:p>
      <w:pPr>
        <w:pStyle w:val="BodyText"/>
      </w:pPr>
      <w:r>
        <w:rPr>
          <w:bCs/>
          <w:b/>
        </w:rPr>
        <w:t xml:space="preserve">Result:</w:t>
      </w:r>
      <w:r>
        <w:t xml:space="preserve"> </w:t>
      </w:r>
      <w:r>
        <w:t xml:space="preserve">“</w:t>
      </w:r>
      <w:r>
        <w:t xml:space="preserve">Right time, right amount</w:t>
      </w:r>
      <w:r>
        <w:t xml:space="preserve">”</w:t>
      </w:r>
      <w:r>
        <w:t xml:space="preserve"> </w:t>
      </w:r>
      <w:r>
        <w:t xml:space="preserve">funding strategy that maximizes ROI.</w:t>
      </w:r>
    </w:p>
    <w:bookmarkEnd w:id="69"/>
    <w:bookmarkStart w:id="74" w:name="regulatory-compliance-legal-moat"/>
    <w:p>
      <w:pPr>
        <w:pStyle w:val="Heading2"/>
      </w:pPr>
      <w:r>
        <w:t xml:space="preserve">4.7 Regulatory Compliance: Legal Moat</w:t>
      </w:r>
    </w:p>
    <w:bookmarkStart w:id="70" w:name="gdpr-sovereignty"/>
    <w:p>
      <w:pPr>
        <w:pStyle w:val="Heading3"/>
      </w:pPr>
      <w:r>
        <w:t xml:space="preserve">4.7.1 GDPR &amp; Sovereignty</w:t>
      </w:r>
    </w:p>
    <w:p>
      <w:pPr>
        <w:pStyle w:val="FirstParagraph"/>
      </w:pPr>
      <w:r>
        <w:t xml:space="preserve">Implementing Private Cloud architecture ensures EU data residency and sovereignty.</w:t>
      </w:r>
    </w:p>
    <w:bookmarkEnd w:id="70"/>
    <w:bookmarkStart w:id="71" w:name="nis2-directive"/>
    <w:p>
      <w:pPr>
        <w:pStyle w:val="Heading3"/>
      </w:pPr>
      <w:r>
        <w:t xml:space="preserve">4.7.2 NIS2 Directive</w:t>
      </w:r>
    </w:p>
    <w:p>
      <w:pPr>
        <w:pStyle w:val="FirstParagraph"/>
      </w:pPr>
      <w:r>
        <w:t xml:space="preserve">Alignment with cybersecurity requirements for critical operators.</w:t>
      </w:r>
    </w:p>
    <w:bookmarkEnd w:id="71"/>
    <w:bookmarkStart w:id="72" w:name="eu-ai-act"/>
    <w:p>
      <w:pPr>
        <w:pStyle w:val="Heading3"/>
      </w:pPr>
      <w:r>
        <w:t xml:space="preserve">4.7.3 EU AI Act</w:t>
      </w:r>
    </w:p>
    <w:p>
      <w:pPr>
        <w:pStyle w:val="FirstParagraph"/>
      </w:pPr>
      <w:r>
        <w:t xml:space="preserve">Implementing transparency protocols (Article 50) for AI agents and ensuring human oversight.</w:t>
      </w:r>
    </w:p>
    <w:bookmarkEnd w:id="72"/>
    <w:bookmarkStart w:id="73" w:name="digital-services-act-dsa"/>
    <w:p>
      <w:pPr>
        <w:pStyle w:val="Heading3"/>
      </w:pPr>
      <w:r>
        <w:t xml:space="preserve">4.7.4 Digital Services Act (DSA)</w:t>
      </w:r>
    </w:p>
    <w:p>
      <w:pPr>
        <w:pStyle w:val="FirstParagraph"/>
      </w:pPr>
      <w:r>
        <w:t xml:space="preserve">Establishing community rules and moderation for the</w:t>
      </w:r>
      <w:r>
        <w:t xml:space="preserve"> </w:t>
      </w:r>
      <w:r>
        <w:t xml:space="preserve">“</w:t>
      </w:r>
      <w:r>
        <w:t xml:space="preserve">Lifetime World</w:t>
      </w:r>
      <w:r>
        <w:t xml:space="preserve">”</w:t>
      </w:r>
      <w:r>
        <w:t xml:space="preserve"> </w:t>
      </w:r>
      <w:r>
        <w:t xml:space="preserve">platform.</w:t>
      </w:r>
    </w:p>
    <w:bookmarkEnd w:id="73"/>
    <w:bookmarkEnd w:id="74"/>
    <w:bookmarkStart w:id="78" w:name="X01cb7168d56cab119d0f2cc9d88ad0d4a03712c"/>
    <w:p>
      <w:pPr>
        <w:pStyle w:val="Heading2"/>
      </w:pPr>
      <w:r>
        <w:t xml:space="preserve">4.8 dws6.com: Production Environment and Web Presence</w:t>
      </w:r>
    </w:p>
    <w:bookmarkStart w:id="75" w:name="overview"/>
    <w:p>
      <w:pPr>
        <w:pStyle w:val="Heading3"/>
      </w:pPr>
      <w:r>
        <w:t xml:space="preserve">4.8.1 Overview</w:t>
      </w:r>
    </w:p>
    <w:p>
      <w:pPr>
        <w:pStyle w:val="FirstParagraph"/>
      </w:pPr>
      <w:r>
        <w:rPr>
          <w:bCs/>
          <w:b/>
        </w:rPr>
        <w:t xml:space="preserve">dws6.com</w:t>
      </w:r>
      <w:r>
        <w:t xml:space="preserve"> </w:t>
      </w:r>
      <w:r>
        <w:t xml:space="preserve">is the DWS6 platform’s production environment, providing centralized access to all Firehorse services.</w:t>
      </w:r>
    </w:p>
    <w:bookmarkEnd w:id="75"/>
    <w:bookmarkStart w:id="76" w:name="technical-implementation"/>
    <w:p>
      <w:pPr>
        <w:pStyle w:val="Heading3"/>
      </w:pPr>
      <w:r>
        <w:t xml:space="preserve">4.8.2 Technical Implementation</w:t>
      </w:r>
    </w:p>
    <w:p>
      <w:pPr>
        <w:pStyle w:val="FirstParagraph"/>
      </w:pPr>
      <w:r>
        <w:rPr>
          <w:bCs/>
          <w:b/>
        </w:rPr>
        <w:t xml:space="preserve">Platform:</w:t>
      </w:r>
      <w:r>
        <w:t xml:space="preserve"> </w:t>
      </w:r>
      <w:r>
        <w:t xml:space="preserve">Cloudflare Pages — Global CDN, automatic SSL/TLS, DDoS protection, edge caching.</w:t>
      </w:r>
    </w:p>
    <w:bookmarkEnd w:id="76"/>
    <w:bookmarkStart w:id="77" w:name="performance"/>
    <w:p>
      <w:pPr>
        <w:pStyle w:val="Heading3"/>
      </w:pPr>
      <w:r>
        <w:t xml:space="preserve">4.8.3 Performance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Result</w:t>
            </w:r>
          </w:p>
        </w:tc>
      </w:tr>
      <w:tr>
        <w:tc>
          <w:tcPr/>
          <w:p>
            <w:pPr>
              <w:pStyle w:val="Compact"/>
              <w:jc w:val="left"/>
            </w:pPr>
            <w:r>
              <w:rPr>
                <w:bCs/>
                <w:b/>
              </w:rPr>
              <w:t xml:space="preserve">Page load time</w:t>
            </w:r>
          </w:p>
        </w:tc>
        <w:tc>
          <w:tcPr/>
          <w:p>
            <w:pPr>
              <w:pStyle w:val="Compact"/>
              <w:jc w:val="left"/>
            </w:pPr>
            <w:r>
              <w:t xml:space="preserve">&lt;1s</w:t>
            </w:r>
          </w:p>
        </w:tc>
        <w:tc>
          <w:tcPr/>
          <w:p>
            <w:pPr>
              <w:pStyle w:val="Compact"/>
              <w:jc w:val="left"/>
            </w:pPr>
            <w:r>
              <w:t xml:space="preserve">0.8s</w:t>
            </w:r>
          </w:p>
        </w:tc>
      </w:tr>
      <w:tr>
        <w:tc>
          <w:tcPr/>
          <w:p>
            <w:pPr>
              <w:pStyle w:val="Compact"/>
              <w:jc w:val="left"/>
            </w:pPr>
            <w:r>
              <w:rPr>
                <w:bCs/>
                <w:b/>
              </w:rPr>
              <w:t xml:space="preserve">Uptime</w:t>
            </w:r>
          </w:p>
        </w:tc>
        <w:tc>
          <w:tcPr/>
          <w:p>
            <w:pPr>
              <w:pStyle w:val="Compact"/>
              <w:jc w:val="left"/>
            </w:pPr>
            <w:r>
              <w:t xml:space="preserve">99.9%</w:t>
            </w:r>
          </w:p>
        </w:tc>
        <w:tc>
          <w:tcPr/>
          <w:p>
            <w:pPr>
              <w:pStyle w:val="Compact"/>
              <w:jc w:val="left"/>
            </w:pPr>
            <w:r>
              <w:t xml:space="preserve">99.95%</w:t>
            </w:r>
          </w:p>
        </w:tc>
      </w:tr>
      <w:tr>
        <w:tc>
          <w:tcPr/>
          <w:p>
            <w:pPr>
              <w:pStyle w:val="Compact"/>
              <w:jc w:val="left"/>
            </w:pPr>
            <w:r>
              <w:rPr>
                <w:bCs/>
                <w:b/>
              </w:rPr>
              <w:t xml:space="preserve">SSL grade</w:t>
            </w:r>
          </w:p>
        </w:tc>
        <w:tc>
          <w:tcPr/>
          <w:p>
            <w:pPr>
              <w:pStyle w:val="Compact"/>
              <w:jc w:val="left"/>
            </w:pPr>
            <w:r>
              <w:t xml:space="preserve">A+</w:t>
            </w:r>
          </w:p>
        </w:tc>
        <w:tc>
          <w:tcPr/>
          <w:p>
            <w:pPr>
              <w:pStyle w:val="Compact"/>
              <w:jc w:val="left"/>
            </w:pPr>
            <w:r>
              <w:t xml:space="preserve">A+</w:t>
            </w:r>
          </w:p>
        </w:tc>
      </w:tr>
      <w:tr>
        <w:tc>
          <w:tcPr/>
          <w:p>
            <w:pPr>
              <w:pStyle w:val="Compact"/>
              <w:jc w:val="left"/>
            </w:pPr>
            <w:r>
              <w:rPr>
                <w:bCs/>
                <w:b/>
              </w:rPr>
              <w:t xml:space="preserve">Total cost</w:t>
            </w:r>
          </w:p>
        </w:tc>
        <w:tc>
          <w:tcPr/>
          <w:p>
            <w:pPr>
              <w:pStyle w:val="Compact"/>
              <w:jc w:val="left"/>
            </w:pPr>
            <w:r>
              <w:t xml:space="preserve">EUR 0/month</w:t>
            </w:r>
          </w:p>
        </w:tc>
        <w:tc>
          <w:tcPr/>
          <w:p>
            <w:pPr>
              <w:pStyle w:val="Compact"/>
              <w:jc w:val="left"/>
            </w:pPr>
            <w:r>
              <w:t xml:space="preserve">EUR 0/month</w:t>
            </w:r>
          </w:p>
        </w:tc>
      </w:tr>
    </w:tbl>
    <w:p>
      <w:r>
        <w:pict>
          <v:rect style="width:0;height:1.5pt" o:hralign="center" o:hrstd="t" o:hr="t"/>
        </w:pict>
      </w:r>
    </w:p>
    <w:bookmarkEnd w:id="77"/>
    <w:bookmarkEnd w:id="78"/>
    <w:bookmarkEnd w:id="79"/>
    <w:bookmarkStart w:id="87" w:name="implementation-mvp-phase"/>
    <w:p>
      <w:pPr>
        <w:pStyle w:val="Heading1"/>
      </w:pPr>
      <w:r>
        <w:t xml:space="preserve">5. Implementation (MVP Phase)</w:t>
      </w:r>
    </w:p>
    <w:p>
      <w:pPr>
        <w:pStyle w:val="FirstParagraph"/>
      </w:pPr>
      <w:r>
        <w:t xml:space="preserve">This chapter documents the Firehorse operating model implementation during the MVP phase (December 2025 - February 2026).</w:t>
      </w:r>
    </w:p>
    <w:bookmarkStart w:id="82" w:name="infrastructure-deployment"/>
    <w:p>
      <w:pPr>
        <w:pStyle w:val="Heading2"/>
      </w:pPr>
      <w:r>
        <w:t xml:space="preserve">5.1 Infrastructure Deployment</w:t>
      </w:r>
    </w:p>
    <w:bookmarkStart w:id="80" w:name="cloud-infrastructure"/>
    <w:p>
      <w:pPr>
        <w:pStyle w:val="Heading3"/>
      </w:pPr>
      <w:r>
        <w:t xml:space="preserve">5.1.1 Cloud Infrastructure</w:t>
      </w:r>
    </w:p>
    <w:p>
      <w:pPr>
        <w:pStyle w:val="FirstParagraph"/>
      </w:pPr>
      <w:r>
        <w:rPr>
          <w:bCs/>
          <w:b/>
        </w:rPr>
        <w:t xml:space="preserve">Google Cloud Run (europe-north1):</w:t>
      </w:r>
    </w:p>
    <w:p>
      <w:pPr>
        <w:numPr>
          <w:ilvl w:val="0"/>
          <w:numId w:val="1032"/>
        </w:numPr>
        <w:pStyle w:val="Compact"/>
      </w:pPr>
      <w:r>
        <w:t xml:space="preserve">MCP Hub deployed on port 8765</w:t>
      </w:r>
    </w:p>
    <w:p>
      <w:pPr>
        <w:numPr>
          <w:ilvl w:val="0"/>
          <w:numId w:val="1032"/>
        </w:numPr>
        <w:pStyle w:val="Compact"/>
      </w:pPr>
      <w:r>
        <w:t xml:space="preserve">Supabase MCP Server on port 8766</w:t>
      </w:r>
    </w:p>
    <w:p>
      <w:pPr>
        <w:numPr>
          <w:ilvl w:val="0"/>
          <w:numId w:val="1032"/>
        </w:numPr>
        <w:pStyle w:val="Compact"/>
      </w:pPr>
      <w:r>
        <w:t xml:space="preserve">FastAPI-based Groq API Router</w:t>
      </w:r>
    </w:p>
    <w:p>
      <w:pPr>
        <w:numPr>
          <w:ilvl w:val="0"/>
          <w:numId w:val="1032"/>
        </w:numPr>
        <w:pStyle w:val="Compact"/>
      </w:pPr>
      <w:r>
        <w:t xml:space="preserve">Automatic scaling and GDPR-compliant data residency</w:t>
      </w:r>
    </w:p>
    <w:bookmarkEnd w:id="80"/>
    <w:bookmarkStart w:id="81" w:name="database-architecture"/>
    <w:p>
      <w:pPr>
        <w:pStyle w:val="Heading3"/>
      </w:pPr>
      <w:r>
        <w:t xml:space="preserve">5.1.2 Database Architecture</w:t>
      </w:r>
    </w:p>
    <w:p>
      <w:pPr>
        <w:pStyle w:val="FirstParagraph"/>
      </w:pPr>
      <w:r>
        <w:rPr>
          <w:bCs/>
          <w:b/>
        </w:rPr>
        <w:t xml:space="preserve">Supabase PostgreSQL + pgvector:</w:t>
      </w:r>
    </w:p>
    <w:p>
      <w:pPr>
        <w:numPr>
          <w:ilvl w:val="0"/>
          <w:numId w:val="1033"/>
        </w:numPr>
        <w:pStyle w:val="Compact"/>
      </w:pPr>
      <w:r>
        <w:t xml:space="preserve">Users and Organizations tables with RLS policies</w:t>
      </w:r>
    </w:p>
    <w:p>
      <w:pPr>
        <w:numPr>
          <w:ilvl w:val="0"/>
          <w:numId w:val="1033"/>
        </w:numPr>
        <w:pStyle w:val="Compact"/>
      </w:pPr>
      <w:r>
        <w:t xml:space="preserve">Agent memory and conversation storage</w:t>
      </w:r>
    </w:p>
    <w:p>
      <w:pPr>
        <w:numPr>
          <w:ilvl w:val="0"/>
          <w:numId w:val="1033"/>
        </w:numPr>
        <w:pStyle w:val="Compact"/>
      </w:pPr>
      <w:r>
        <w:t xml:space="preserve">Vector embeddings for semantic search</w:t>
      </w:r>
    </w:p>
    <w:bookmarkEnd w:id="81"/>
    <w:bookmarkEnd w:id="82"/>
    <w:bookmarkStart w:id="84" w:name="agent-development"/>
    <w:p>
      <w:pPr>
        <w:pStyle w:val="Heading2"/>
      </w:pPr>
      <w:r>
        <w:t xml:space="preserve">5.2 Agent Development</w:t>
      </w:r>
    </w:p>
    <w:p>
      <w:pPr>
        <w:pStyle w:val="FirstParagraph"/>
      </w:pPr>
      <w:r>
        <w:t xml:space="preserve">The 10-agent development fleet is coordinated using the Lifetime Scope Signals protocol:</w:t>
      </w:r>
    </w:p>
    <w:p>
      <w:pPr>
        <w:pStyle w:val="BodyText"/>
      </w:pPr>
      <w:r>
        <w:rPr>
          <w:bCs/>
          <w:b/>
        </w:rPr>
        <w:t xml:space="preserve">Phase 1 (Foundation):</w:t>
      </w:r>
      <w:r>
        <w:t xml:space="preserve"> </w:t>
      </w:r>
      <w:r>
        <w:t xml:space="preserve">Agent-01: DWS IQ Login, Agent-07: Supabase Database, Agent-10: Documentation</w:t>
      </w:r>
    </w:p>
    <w:p>
      <w:pPr>
        <w:pStyle w:val="BodyText"/>
      </w:pPr>
      <w:r>
        <w:rPr>
          <w:bCs/>
          <w:b/>
        </w:rPr>
        <w:t xml:space="preserve">Phase 2 (Core Backend):</w:t>
      </w:r>
      <w:r>
        <w:t xml:space="preserve"> </w:t>
      </w:r>
      <w:r>
        <w:t xml:space="preserve">Agent-02: Firehorse Apps, Agent-04: AI Agents, Agent-09: Email System</w:t>
      </w:r>
    </w:p>
    <w:p>
      <w:pPr>
        <w:pStyle w:val="BodyText"/>
      </w:pPr>
      <w:r>
        <w:rPr>
          <w:bCs/>
          <w:b/>
        </w:rPr>
        <w:t xml:space="preserve">Phase 3 (Frontend):</w:t>
      </w:r>
      <w:r>
        <w:t xml:space="preserve"> </w:t>
      </w:r>
      <w:r>
        <w:t xml:space="preserve">Agent-03: Customer Dashboard, Agent-05: Mobile Dashboard</w:t>
      </w:r>
    </w:p>
    <w:bookmarkStart w:id="83" w:name="Xe34103d6f6338e81c4afe341430761bb75afe61"/>
    <w:p>
      <w:pPr>
        <w:pStyle w:val="Heading3"/>
      </w:pPr>
      <w:r>
        <w:t xml:space="preserve">5.2.1 Milestone: Agents → Loops → Workflows (June 2026)</w:t>
      </w:r>
    </w:p>
    <w:p>
      <w:pPr>
        <w:pStyle w:val="FirstParagraph"/>
      </w:pPr>
      <w:r>
        <w:t xml:space="preserve">By 2026-06-20, the initial 10-agent development fleet has scaled to a 50-agent production system, completing all three layers of the AI-native stack:</w:t>
      </w:r>
    </w:p>
    <w:p>
      <w:pPr>
        <w:pStyle w:val="BodyText"/>
      </w:pPr>
      <w:r>
        <w:rPr>
          <w:bCs/>
          <w:b/>
        </w:rPr>
        <w:t xml:space="preserve">Layer 1 — Agents (Foundation).</w:t>
      </w:r>
      <w:r>
        <w:t xml:space="preserve"> </w:t>
      </w:r>
      <w:r>
        <w:t xml:space="preserve">All 50 production Skilled Agents registered in</w:t>
      </w:r>
      <w:r>
        <w:t xml:space="preserve"> </w:t>
      </w:r>
      <w:r>
        <w:rPr>
          <w:rStyle w:val="VerbatimChar"/>
        </w:rPr>
        <w:t xml:space="preserve">src/agents/index.ts</w:t>
      </w:r>
      <w:r>
        <w:t xml:space="preserve"> </w:t>
      </w:r>
      <w:r>
        <w:t xml:space="preserve">extend the</w:t>
      </w:r>
      <w:r>
        <w:t xml:space="preserve"> </w:t>
      </w:r>
      <w:r>
        <w:rPr>
          <w:rStyle w:val="VerbatimChar"/>
        </w:rPr>
        <w:t xml:space="preserve">BaseAgent</w:t>
      </w:r>
      <w:r>
        <w:t xml:space="preserve"> </w:t>
      </w:r>
      <w:r>
        <w:t xml:space="preserve">abstract class and emit a standardised ledger-native output contract per Firehorse 7:</w:t>
      </w:r>
      <w:r>
        <w:t xml:space="preserve"> </w:t>
      </w:r>
      <w:r>
        <w:rPr>
          <w:rStyle w:val="VerbatimChar"/>
        </w:rPr>
        <w:t xml:space="preserve">journalEntries</w:t>
      </w:r>
      <w:r>
        <w:t xml:space="preserve"> </w:t>
      </w:r>
      <w:r>
        <w:t xml:space="preserve">(audit trail),</w:t>
      </w:r>
      <w:r>
        <w:t xml:space="preserve"> </w:t>
      </w:r>
      <w:r>
        <w:rPr>
          <w:rStyle w:val="VerbatimChar"/>
        </w:rPr>
        <w:t xml:space="preserve">regulatoryArtifact</w:t>
      </w:r>
      <w:r>
        <w:t xml:space="preserve"> </w:t>
      </w:r>
      <w:r>
        <w:t xml:space="preserve">(compliance evidence), and</w:t>
      </w:r>
      <w:r>
        <w:t xml:space="preserve"> </w:t>
      </w:r>
      <w:r>
        <w:rPr>
          <w:rStyle w:val="VerbatimChar"/>
        </w:rPr>
        <w:t xml:space="preserve">lineage</w:t>
      </w:r>
      <w:r>
        <w:t xml:space="preserve"> </w:t>
      </w:r>
      <w:r>
        <w:t xml:space="preserve">(execution provenance). The three-tier agent taxonomy (§14.17 of the companion PhD thesis) structures the fleet: six orchestrators (Atlas, Athena, Hephaestus, Iris, Hermes, Apollo) coordinate 20 Industrial Specialist Agents — one per EU-regulated industry vertical — plus horizontal expansion agents covering compliance, quality assurance, SEO, research, and intelligence gathering.</w:t>
      </w:r>
    </w:p>
    <w:p>
      <w:pPr>
        <w:pStyle w:val="BodyText"/>
      </w:pPr>
      <w:r>
        <w:rPr>
          <w:bCs/>
          <w:b/>
        </w:rPr>
        <w:t xml:space="preserve">Layer 2 — Loops (Maker–Checker cycle).</w:t>
      </w:r>
      <w:r>
        <w:t xml:space="preserve"> </w:t>
      </w:r>
      <w:r>
        <w:t xml:space="preserve">Loop Engineering shipped 2026-06-08 (PR #1447, commit d34876a). The Maker–Checker cycle in</w:t>
      </w:r>
      <w:r>
        <w:t xml:space="preserve"> </w:t>
      </w:r>
      <w:r>
        <w:rPr>
          <w:rStyle w:val="VerbatimChar"/>
        </w:rPr>
        <w:t xml:space="preserve">src/agents/loop-engineering/</w:t>
      </w:r>
      <w:r>
        <w:t xml:space="preserve"> </w:t>
      </w:r>
      <w:r>
        <w:t xml:space="preserve">introduces self-correction as a first-class runtime primitive: a Maker agent proposes a compliance outcome; a Checker agent validates it against the same ledger-native output contract; the loop continues until the outcome passes or the budget gate terminates it. The implementation includes disk-persisted state (crash-tolerant across multi-hour document lifecycles), a configurable budget gate, a safety gate, and full resumability. This satisfies EU AI Act Article 12 (audit logging), Article 14 (human oversight via mandatory stop conditions), and Article 15 (robustness via persistence and resumability) at the primitive level.</w:t>
      </w:r>
    </w:p>
    <w:p>
      <w:pPr>
        <w:pStyle w:val="BodyText"/>
      </w:pPr>
      <w:r>
        <w:rPr>
          <w:bCs/>
          <w:b/>
        </w:rPr>
        <w:t xml:space="preserve">Layer 3 — Workflows (Multi-agent orchestration).</w:t>
      </w:r>
      <w:r>
        <w:t xml:space="preserve"> </w:t>
      </w:r>
      <w:r>
        <w:t xml:space="preserve">Multi-agent orchestration via the</w:t>
      </w:r>
      <w:r>
        <w:t xml:space="preserve"> </w:t>
      </w:r>
      <w:r>
        <w:rPr>
          <w:rStyle w:val="VerbatimChar"/>
        </w:rPr>
        <w:t xml:space="preserve">/workflow</w:t>
      </w:r>
      <w:r>
        <w:t xml:space="preserve"> </w:t>
      </w:r>
      <w:r>
        <w:t xml:space="preserve">skill and</w:t>
      </w:r>
      <w:r>
        <w:t xml:space="preserve"> </w:t>
      </w:r>
      <w:r>
        <w:rPr>
          <w:rStyle w:val="VerbatimChar"/>
        </w:rPr>
        <w:t xml:space="preserve">src/agents/workflow/</w:t>
      </w:r>
      <w:r>
        <w:t xml:space="preserve"> </w:t>
      </w:r>
      <w:r>
        <w:t xml:space="preserve">orchestrators is live. The MCP Hub supports three composition patterns: fan-out (parallel agents resolving independent sub-tasks simultaneously), sequential (ordered chain where each agent receives the prior agent’s ledger-native output), and reflection (output fed back for revision). All three patterns are in production use for CSRD, CBAM, and EU AI Act compliance assessments.</w:t>
      </w:r>
    </w:p>
    <w:tbl>
      <w:tblPr>
        <w:tblStyle w:val="Table"/>
        <w:tblW w:type="pct" w:w="5000"/>
        <w:tblLook w:firstRow="1" w:lastRow="0" w:firstColumn="0" w:lastColumn="0" w:noHBand="0" w:noVBand="0" w:val="0020"/>
        <w:jc w:val="start"/>
      </w:tblPr>
      <w:tblGrid>
        <w:gridCol w:w="792"/>
        <w:gridCol w:w="5720"/>
        <w:gridCol w:w="528"/>
        <w:gridCol w:w="880"/>
      </w:tblGrid>
      <w:tr>
        <w:trPr>
          <w:tblHeader w:val="true"/>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Status</w:t>
            </w:r>
          </w:p>
        </w:tc>
        <w:tc>
          <w:tcPr/>
          <w:p>
            <w:pPr>
              <w:pStyle w:val="Compact"/>
              <w:jc w:val="left"/>
            </w:pPr>
            <w:r>
              <w:t xml:space="preserve">Shipped</w:t>
            </w:r>
          </w:p>
        </w:tc>
      </w:tr>
      <w:tr>
        <w:tc>
          <w:tcPr/>
          <w:p>
            <w:pPr>
              <w:pStyle w:val="Compact"/>
              <w:jc w:val="left"/>
            </w:pPr>
            <w:r>
              <w:t xml:space="preserve">Agents</w:t>
            </w:r>
          </w:p>
        </w:tc>
        <w:tc>
          <w:tcPr/>
          <w:p>
            <w:pPr>
              <w:pStyle w:val="Compact"/>
              <w:jc w:val="left"/>
            </w:pPr>
            <w:r>
              <w:t xml:space="preserve">50 production Skilled Agents (BaseAgent + ledger-native contract)</w:t>
            </w:r>
          </w:p>
        </w:tc>
        <w:tc>
          <w:tcPr/>
          <w:p>
            <w:pPr>
              <w:pStyle w:val="Compact"/>
              <w:jc w:val="left"/>
            </w:pPr>
            <w:r>
              <w:t xml:space="preserve">Live</w:t>
            </w:r>
          </w:p>
        </w:tc>
        <w:tc>
          <w:tcPr/>
          <w:p>
            <w:pPr>
              <w:pStyle w:val="Compact"/>
              <w:jc w:val="left"/>
            </w:pPr>
            <w:r>
              <w:t xml:space="preserve">2026-06-20</w:t>
            </w:r>
          </w:p>
        </w:tc>
      </w:tr>
      <w:tr>
        <w:tc>
          <w:tcPr/>
          <w:p>
            <w:pPr>
              <w:pStyle w:val="Compact"/>
              <w:jc w:val="left"/>
            </w:pPr>
            <w:r>
              <w:t xml:space="preserve">Loops</w:t>
            </w:r>
          </w:p>
        </w:tc>
        <w:tc>
          <w:tcPr/>
          <w:p>
            <w:pPr>
              <w:pStyle w:val="Compact"/>
              <w:jc w:val="left"/>
            </w:pPr>
            <w:r>
              <w:t xml:space="preserve">Maker–Checker cycle (PR #1447)</w:t>
            </w:r>
          </w:p>
        </w:tc>
        <w:tc>
          <w:tcPr/>
          <w:p>
            <w:pPr>
              <w:pStyle w:val="Compact"/>
              <w:jc w:val="left"/>
            </w:pPr>
            <w:r>
              <w:t xml:space="preserve">Live</w:t>
            </w:r>
          </w:p>
        </w:tc>
        <w:tc>
          <w:tcPr/>
          <w:p>
            <w:pPr>
              <w:pStyle w:val="Compact"/>
              <w:jc w:val="left"/>
            </w:pPr>
            <w:r>
              <w:t xml:space="preserve">2026-06-08</w:t>
            </w:r>
          </w:p>
        </w:tc>
      </w:tr>
      <w:tr>
        <w:tc>
          <w:tcPr/>
          <w:p>
            <w:pPr>
              <w:pStyle w:val="Compact"/>
              <w:jc w:val="left"/>
            </w:pPr>
            <w:r>
              <w:t xml:space="preserve">Workflows</w:t>
            </w:r>
          </w:p>
        </w:tc>
        <w:tc>
          <w:tcPr/>
          <w:p>
            <w:pPr>
              <w:pStyle w:val="Compact"/>
              <w:jc w:val="left"/>
            </w:pPr>
            <w:r>
              <w:t xml:space="preserve">MCP Hub fan-out/sequential/reflection</w:t>
            </w:r>
          </w:p>
        </w:tc>
        <w:tc>
          <w:tcPr/>
          <w:p>
            <w:pPr>
              <w:pStyle w:val="Compact"/>
              <w:jc w:val="left"/>
            </w:pPr>
            <w:r>
              <w:t xml:space="preserve">Live</w:t>
            </w:r>
          </w:p>
        </w:tc>
        <w:tc>
          <w:tcPr/>
          <w:p>
            <w:pPr>
              <w:pStyle w:val="Compact"/>
              <w:jc w:val="left"/>
            </w:pPr>
            <w:r>
              <w:t xml:space="preserve">2026-06-20</w:t>
            </w:r>
          </w:p>
        </w:tc>
      </w:tr>
    </w:tbl>
    <w:bookmarkEnd w:id="83"/>
    <w:bookmarkEnd w:id="84"/>
    <w:bookmarkStart w:id="85" w:name="customer-onboarding"/>
    <w:p>
      <w:pPr>
        <w:pStyle w:val="Heading2"/>
      </w:pPr>
      <w:r>
        <w:t xml:space="preserve">5.3 Customer Onboarding</w:t>
      </w:r>
    </w:p>
    <w:p>
      <w:pPr>
        <w:pStyle w:val="FirstParagraph"/>
      </w:pPr>
      <w:r>
        <w:rPr>
          <w:bCs/>
          <w:b/>
        </w:rPr>
        <w:t xml:space="preserve">Pilot customers (Validated):</w:t>
      </w:r>
    </w:p>
    <w:p>
      <w:pPr>
        <w:numPr>
          <w:ilvl w:val="0"/>
          <w:numId w:val="1034"/>
        </w:numPr>
        <w:pStyle w:val="Compact"/>
      </w:pPr>
      <w:r>
        <w:rPr>
          <w:bCs/>
          <w:b/>
        </w:rPr>
        <w:t xml:space="preserve">Logistics:</w:t>
      </w:r>
      <w:r>
        <w:t xml:space="preserve"> </w:t>
      </w:r>
      <w:r>
        <w:t xml:space="preserve">Uber Taxi Helsinki, Bolt (Europe), Kela</w:t>
      </w:r>
    </w:p>
    <w:p>
      <w:pPr>
        <w:numPr>
          <w:ilvl w:val="0"/>
          <w:numId w:val="1034"/>
        </w:numPr>
        <w:pStyle w:val="Compact"/>
      </w:pPr>
      <w:r>
        <w:rPr>
          <w:bCs/>
          <w:b/>
        </w:rPr>
        <w:t xml:space="preserve">Construction:</w:t>
      </w:r>
      <w:r>
        <w:t xml:space="preserve"> </w:t>
      </w:r>
      <w:r>
        <w:t xml:space="preserve">NCC, T2H (5 projects, EUR 50M portfolio)</w:t>
      </w:r>
    </w:p>
    <w:p>
      <w:pPr>
        <w:numPr>
          <w:ilvl w:val="0"/>
          <w:numId w:val="1034"/>
        </w:numPr>
        <w:pStyle w:val="Compact"/>
      </w:pPr>
      <w:r>
        <w:rPr>
          <w:bCs/>
          <w:b/>
        </w:rPr>
        <w:t xml:space="preserve">Revenue during pilot:</w:t>
      </w:r>
      <w:r>
        <w:t xml:space="preserve"> </w:t>
      </w:r>
      <w:r>
        <w:t xml:space="preserve">EUR 10k MRR</w:t>
      </w:r>
    </w:p>
    <w:bookmarkEnd w:id="85"/>
    <w:bookmarkStart w:id="86" w:name="implementation-results"/>
    <w:p>
      <w:pPr>
        <w:pStyle w:val="Heading2"/>
      </w:pPr>
      <w:r>
        <w:t xml:space="preserve">5.4 Implementation Results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Achieved</w:t>
            </w:r>
          </w:p>
        </w:tc>
      </w:tr>
      <w:tr>
        <w:tc>
          <w:tcPr/>
          <w:p>
            <w:pPr>
              <w:pStyle w:val="Compact"/>
              <w:jc w:val="left"/>
            </w:pPr>
            <w:r>
              <w:t xml:space="preserve">Development velocity</w:t>
            </w:r>
          </w:p>
        </w:tc>
        <w:tc>
          <w:tcPr/>
          <w:p>
            <w:pPr>
              <w:pStyle w:val="Compact"/>
              <w:jc w:val="left"/>
            </w:pPr>
            <w:r>
              <w:t xml:space="preserve">+50%</w:t>
            </w:r>
          </w:p>
        </w:tc>
        <w:tc>
          <w:tcPr/>
          <w:p>
            <w:pPr>
              <w:pStyle w:val="Compact"/>
              <w:jc w:val="left"/>
            </w:pPr>
            <w:r>
              <w:t xml:space="preserve">+62% (with MCP Hub)</w:t>
            </w:r>
          </w:p>
        </w:tc>
      </w:tr>
      <w:tr>
        <w:tc>
          <w:tcPr/>
          <w:p>
            <w:pPr>
              <w:pStyle w:val="Compact"/>
              <w:jc w:val="left"/>
            </w:pPr>
            <w:r>
              <w:t xml:space="preserve">Bug reduction</w:t>
            </w:r>
          </w:p>
        </w:tc>
        <w:tc>
          <w:tcPr/>
          <w:p>
            <w:pPr>
              <w:pStyle w:val="Compact"/>
              <w:jc w:val="left"/>
            </w:pPr>
            <w:r>
              <w:t xml:space="preserve">-50%</w:t>
            </w:r>
          </w:p>
        </w:tc>
        <w:tc>
          <w:tcPr/>
          <w:p>
            <w:pPr>
              <w:pStyle w:val="Compact"/>
              <w:jc w:val="left"/>
            </w:pPr>
            <w:r>
              <w:t xml:space="preserve">-73%</w:t>
            </w:r>
          </w:p>
        </w:tc>
      </w:tr>
      <w:tr>
        <w:tc>
          <w:tcPr/>
          <w:p>
            <w:pPr>
              <w:pStyle w:val="Compact"/>
              <w:jc w:val="left"/>
            </w:pPr>
            <w:r>
              <w:t xml:space="preserve">Time to first customer</w:t>
            </w:r>
          </w:p>
        </w:tc>
        <w:tc>
          <w:tcPr/>
          <w:p>
            <w:pPr>
              <w:pStyle w:val="Compact"/>
              <w:jc w:val="left"/>
            </w:pPr>
            <w:r>
              <w:t xml:space="preserve">60 days</w:t>
            </w:r>
          </w:p>
        </w:tc>
        <w:tc>
          <w:tcPr/>
          <w:p>
            <w:pPr>
              <w:pStyle w:val="Compact"/>
              <w:jc w:val="left"/>
            </w:pPr>
            <w:r>
              <w:t xml:space="preserve">45 days</w:t>
            </w:r>
          </w:p>
        </w:tc>
      </w:tr>
      <w:tr>
        <w:tc>
          <w:tcPr/>
          <w:p>
            <w:pPr>
              <w:pStyle w:val="Compact"/>
              <w:jc w:val="left"/>
            </w:pPr>
            <w:r>
              <w:t xml:space="preserve">Agent deployment time</w:t>
            </w:r>
          </w:p>
        </w:tc>
        <w:tc>
          <w:tcPr/>
          <w:p>
            <w:pPr>
              <w:pStyle w:val="Compact"/>
              <w:jc w:val="left"/>
            </w:pPr>
            <w:r>
              <w:t xml:space="preserve">7 days</w:t>
            </w:r>
          </w:p>
        </w:tc>
        <w:tc>
          <w:tcPr/>
          <w:p>
            <w:pPr>
              <w:pStyle w:val="Compact"/>
              <w:jc w:val="left"/>
            </w:pPr>
            <w:r>
              <w:t xml:space="preserve">3 days (with templates)</w:t>
            </w:r>
          </w:p>
        </w:tc>
      </w:tr>
    </w:tbl>
    <w:p>
      <w:r>
        <w:pict>
          <v:rect style="width:0;height:1.5pt" o:hralign="center" o:hrstd="t" o:hr="t"/>
        </w:pict>
      </w:r>
    </w:p>
    <w:bookmarkEnd w:id="86"/>
    <w:bookmarkEnd w:id="87"/>
    <w:bookmarkStart w:id="102" w:name="dws10.com-e-commerce-integration"/>
    <w:p>
      <w:pPr>
        <w:pStyle w:val="Heading1"/>
      </w:pPr>
      <w:r>
        <w:t xml:space="preserve">6. DWS10.com E-Commerce Integration</w:t>
      </w:r>
    </w:p>
    <w:bookmarkStart w:id="88" w:name="store-architecture"/>
    <w:p>
      <w:pPr>
        <w:pStyle w:val="Heading2"/>
      </w:pPr>
      <w:r>
        <w:t xml:space="preserve">6.1 Store Architecture</w:t>
      </w:r>
    </w:p>
    <w:p>
      <w:pPr>
        <w:pStyle w:val="FirstParagraph"/>
      </w:pPr>
      <w:r>
        <w:t xml:space="preserve">The DWS10.com store validates the Firehorse operating model through direct sales:</w:t>
      </w:r>
    </w:p>
    <w:p>
      <w:pPr>
        <w:pStyle w:val="SourceCode"/>
      </w:pPr>
      <w:r>
        <w:rPr>
          <w:rStyle w:val="VerbatimChar"/>
        </w:rPr>
        <w:t xml:space="preserve">dws10.com/</w:t>
      </w:r>
      <w:r>
        <w:br/>
      </w:r>
      <w:r>
        <w:rPr>
          <w:rStyle w:val="VerbatimChar"/>
        </w:rPr>
        <w:t xml:space="preserve">+-- buy/                    # Store pages</w:t>
      </w:r>
      <w:r>
        <w:br/>
      </w:r>
      <w:r>
        <w:rPr>
          <w:rStyle w:val="VerbatimChar"/>
        </w:rPr>
        <w:t xml:space="preserve">|   +-- index.html         # Main store (Page 1)</w:t>
      </w:r>
      <w:r>
        <w:br/>
      </w:r>
      <w:r>
        <w:rPr>
          <w:rStyle w:val="VerbatimChar"/>
        </w:rPr>
        <w:t xml:space="preserve">|   +-- page2/index.html   # Additional products (Page 2)</w:t>
      </w:r>
      <w:r>
        <w:br/>
      </w:r>
      <w:r>
        <w:rPr>
          <w:rStyle w:val="VerbatimChar"/>
        </w:rPr>
        <w:t xml:space="preserve">|   +-- page3/index.html   # Consulting &amp; Training (Page 3)</w:t>
      </w:r>
      <w:r>
        <w:br/>
      </w:r>
      <w:r>
        <w:rPr>
          <w:rStyle w:val="VerbatimChar"/>
        </w:rPr>
        <w:t xml:space="preserve">+-- config/</w:t>
      </w:r>
      <w:r>
        <w:br/>
      </w:r>
      <w:r>
        <w:rPr>
          <w:rStyle w:val="VerbatimChar"/>
        </w:rPr>
        <w:t xml:space="preserve">|   +-- products.json      # Centralized product catalog (30 products)</w:t>
      </w:r>
      <w:r>
        <w:br/>
      </w:r>
      <w:r>
        <w:rPr>
          <w:rStyle w:val="VerbatimChar"/>
        </w:rPr>
        <w:t xml:space="preserve">+-- feeds/</w:t>
      </w:r>
      <w:r>
        <w:br/>
      </w:r>
      <w:r>
        <w:rPr>
          <w:rStyle w:val="VerbatimChar"/>
        </w:rPr>
        <w:t xml:space="preserve">|   +-- generate-feed.cjs  # Node.js feed generator</w:t>
      </w:r>
      <w:r>
        <w:br/>
      </w:r>
      <w:r>
        <w:rPr>
          <w:rStyle w:val="VerbatimChar"/>
        </w:rPr>
        <w:t xml:space="preserve">|   +-- google-products.xml # Google Merchant feed</w:t>
      </w:r>
      <w:r>
        <w:br/>
      </w:r>
      <w:r>
        <w:rPr>
          <w:rStyle w:val="VerbatimChar"/>
        </w:rPr>
        <w:t xml:space="preserve">+-- return-policy/</w:t>
      </w:r>
      <w:r>
        <w:br/>
      </w:r>
      <w:r>
        <w:rPr>
          <w:rStyle w:val="VerbatimChar"/>
        </w:rPr>
        <w:t xml:space="preserve">|   +-- index.html         # Return policy (Google requirement)</w:t>
      </w:r>
      <w:r>
        <w:br/>
      </w:r>
      <w:r>
        <w:rPr>
          <w:rStyle w:val="VerbatimChar"/>
        </w:rPr>
        <w:t xml:space="preserve">+-- docs/                   # Documentation</w:t>
      </w:r>
    </w:p>
    <w:bookmarkEnd w:id="88"/>
    <w:bookmarkStart w:id="89" w:name="product-catalog"/>
    <w:p>
      <w:pPr>
        <w:pStyle w:val="Heading2"/>
      </w:pPr>
      <w:r>
        <w:t xml:space="preserve">6.2 Product Catalog</w:t>
      </w:r>
    </w:p>
    <w:tbl>
      <w:tblPr>
        <w:tblStyle w:val="Table"/>
        <w:tblW w:type="pct" w:w="5000"/>
        <w:tblLook w:firstRow="1" w:lastRow="0" w:firstColumn="0" w:lastColumn="0" w:noHBand="0" w:noVBand="0" w:val="0020"/>
        <w:jc w:val="start"/>
      </w:tblPr>
      <w:tblGrid>
        <w:gridCol w:w="2168"/>
        <w:gridCol w:w="754"/>
        <w:gridCol w:w="1602"/>
        <w:gridCol w:w="3394"/>
      </w:tblGrid>
      <w:tr>
        <w:trPr>
          <w:tblHeader w:val="true"/>
        </w:trPr>
        <w:tc>
          <w:tcPr/>
          <w:p>
            <w:pPr>
              <w:pStyle w:val="Compact"/>
              <w:jc w:val="left"/>
            </w:pPr>
            <w:r>
              <w:t xml:space="preserve">Category</w:t>
            </w:r>
          </w:p>
        </w:tc>
        <w:tc>
          <w:tcPr/>
          <w:p>
            <w:pPr>
              <w:pStyle w:val="Compact"/>
              <w:jc w:val="left"/>
            </w:pPr>
            <w:r>
              <w:t xml:space="preserve">Products</w:t>
            </w:r>
          </w:p>
        </w:tc>
        <w:tc>
          <w:tcPr/>
          <w:p>
            <w:pPr>
              <w:pStyle w:val="Compact"/>
              <w:jc w:val="left"/>
            </w:pPr>
            <w:r>
              <w:t xml:space="preserve">Price Range</w:t>
            </w:r>
          </w:p>
        </w:tc>
        <w:tc>
          <w:tcPr/>
          <w:p>
            <w:pPr>
              <w:pStyle w:val="Compact"/>
              <w:jc w:val="left"/>
            </w:pPr>
            <w:r>
              <w:t xml:space="preserve">Examples</w:t>
            </w:r>
          </w:p>
        </w:tc>
      </w:tr>
      <w:tr>
        <w:tc>
          <w:tcPr/>
          <w:p>
            <w:pPr>
              <w:pStyle w:val="Compact"/>
              <w:jc w:val="left"/>
            </w:pPr>
            <w:r>
              <w:t xml:space="preserve">Platform Software</w:t>
            </w:r>
          </w:p>
        </w:tc>
        <w:tc>
          <w:tcPr/>
          <w:p>
            <w:pPr>
              <w:pStyle w:val="Compact"/>
              <w:jc w:val="left"/>
            </w:pPr>
            <w:r>
              <w:t xml:space="preserve">2</w:t>
            </w:r>
          </w:p>
        </w:tc>
        <w:tc>
          <w:tcPr/>
          <w:p>
            <w:pPr>
              <w:pStyle w:val="Compact"/>
              <w:jc w:val="left"/>
            </w:pPr>
            <w:r>
              <w:t xml:space="preserve">EUR 4,999 - 6,995</w:t>
            </w:r>
          </w:p>
        </w:tc>
        <w:tc>
          <w:tcPr/>
          <w:p>
            <w:pPr>
              <w:pStyle w:val="Compact"/>
              <w:jc w:val="left"/>
            </w:pPr>
            <w:r>
              <w:t xml:space="preserve">DWS IQ v5, v6</w:t>
            </w:r>
          </w:p>
        </w:tc>
      </w:tr>
      <w:tr>
        <w:tc>
          <w:tcPr/>
          <w:p>
            <w:pPr>
              <w:pStyle w:val="Compact"/>
              <w:jc w:val="left"/>
            </w:pPr>
            <w:r>
              <w:t xml:space="preserve">Firehorse Product Suite</w:t>
            </w:r>
          </w:p>
        </w:tc>
        <w:tc>
          <w:tcPr/>
          <w:p>
            <w:pPr>
              <w:pStyle w:val="Compact"/>
              <w:jc w:val="left"/>
            </w:pPr>
            <w:r>
              <w:t xml:space="preserve">6</w:t>
            </w:r>
          </w:p>
        </w:tc>
        <w:tc>
          <w:tcPr/>
          <w:p>
            <w:pPr>
              <w:pStyle w:val="Compact"/>
              <w:jc w:val="left"/>
            </w:pPr>
            <w:r>
              <w:t xml:space="preserve">EUR 499 - 4,950</w:t>
            </w:r>
          </w:p>
        </w:tc>
        <w:tc>
          <w:tcPr/>
          <w:p>
            <w:pPr>
              <w:pStyle w:val="Compact"/>
              <w:jc w:val="left"/>
            </w:pPr>
            <w:r>
              <w:t xml:space="preserve">Automation, Report, CMS, Omnichannel</w:t>
            </w:r>
          </w:p>
        </w:tc>
      </w:tr>
      <w:tr>
        <w:tc>
          <w:tcPr/>
          <w:p>
            <w:pPr>
              <w:pStyle w:val="Compact"/>
              <w:jc w:val="left"/>
            </w:pPr>
            <w:r>
              <w:t xml:space="preserve">Consulting Services</w:t>
            </w:r>
          </w:p>
        </w:tc>
        <w:tc>
          <w:tcPr/>
          <w:p>
            <w:pPr>
              <w:pStyle w:val="Compact"/>
              <w:jc w:val="left"/>
            </w:pPr>
            <w:r>
              <w:t xml:space="preserve">12</w:t>
            </w:r>
          </w:p>
        </w:tc>
        <w:tc>
          <w:tcPr/>
          <w:p>
            <w:pPr>
              <w:pStyle w:val="Compact"/>
              <w:jc w:val="left"/>
            </w:pPr>
            <w:r>
              <w:t xml:space="preserve">EUR 98 - 6,250</w:t>
            </w:r>
          </w:p>
        </w:tc>
        <w:tc>
          <w:tcPr/>
          <w:p>
            <w:pPr>
              <w:pStyle w:val="Compact"/>
              <w:jc w:val="left"/>
            </w:pPr>
            <w:r>
              <w:t xml:space="preserve">Hourly, monthly, workshop pricing</w:t>
            </w:r>
          </w:p>
        </w:tc>
      </w:tr>
      <w:tr>
        <w:tc>
          <w:tcPr/>
          <w:p>
            <w:pPr>
              <w:pStyle w:val="Compact"/>
              <w:jc w:val="left"/>
            </w:pPr>
            <w:r>
              <w:t xml:space="preserve">Training &amp; Coaching</w:t>
            </w:r>
          </w:p>
        </w:tc>
        <w:tc>
          <w:tcPr/>
          <w:p>
            <w:pPr>
              <w:pStyle w:val="Compact"/>
              <w:jc w:val="left"/>
            </w:pPr>
            <w:r>
              <w:t xml:space="preserve">4</w:t>
            </w:r>
          </w:p>
        </w:tc>
        <w:tc>
          <w:tcPr/>
          <w:p>
            <w:pPr>
              <w:pStyle w:val="Compact"/>
              <w:jc w:val="left"/>
            </w:pPr>
            <w:r>
              <w:t xml:space="preserve">EUR 499 - 6,250</w:t>
            </w:r>
          </w:p>
        </w:tc>
        <w:tc>
          <w:tcPr/>
          <w:p>
            <w:pPr>
              <w:pStyle w:val="Compact"/>
              <w:jc w:val="left"/>
            </w:pPr>
            <w:r>
              <w:t xml:space="preserve">AI Training, Coach, Mentor</w:t>
            </w:r>
          </w:p>
        </w:tc>
      </w:tr>
      <w:tr>
        <w:tc>
          <w:tcPr/>
          <w:p>
            <w:pPr>
              <w:pStyle w:val="Compact"/>
              <w:jc w:val="left"/>
            </w:pPr>
            <w:r>
              <w:t xml:space="preserve">Digital Products</w:t>
            </w:r>
          </w:p>
        </w:tc>
        <w:tc>
          <w:tcPr/>
          <w:p>
            <w:pPr>
              <w:pStyle w:val="Compact"/>
              <w:jc w:val="left"/>
            </w:pPr>
            <w:r>
              <w:t xml:space="preserve">6</w:t>
            </w:r>
          </w:p>
        </w:tc>
        <w:tc>
          <w:tcPr/>
          <w:p>
            <w:pPr>
              <w:pStyle w:val="Compact"/>
              <w:jc w:val="left"/>
            </w:pPr>
            <w:r>
              <w:t xml:space="preserve">EUR 0.99 - 799</w:t>
            </w:r>
          </w:p>
        </w:tc>
        <w:tc>
          <w:tcPr/>
          <w:p>
            <w:pPr>
              <w:pStyle w:val="Compact"/>
              <w:jc w:val="left"/>
            </w:pPr>
            <w:r>
              <w:t xml:space="preserve">Glossaries, websites</w:t>
            </w:r>
          </w:p>
        </w:tc>
      </w:tr>
    </w:tbl>
    <w:p>
      <w:pPr>
        <w:pStyle w:val="BodyText"/>
      </w:pPr>
      <w:r>
        <w:rPr>
          <w:bCs/>
          <w:b/>
        </w:rPr>
        <w:t xml:space="preserve">Total:</w:t>
      </w:r>
      <w:r>
        <w:t xml:space="preserve"> </w:t>
      </w:r>
      <w:r>
        <w:t xml:space="preserve">30 products with full Google Merchant compliance</w:t>
      </w:r>
    </w:p>
    <w:bookmarkEnd w:id="89"/>
    <w:bookmarkStart w:id="92" w:name="google-merchant-center-integration"/>
    <w:p>
      <w:pPr>
        <w:pStyle w:val="Heading2"/>
      </w:pPr>
      <w:r>
        <w:t xml:space="preserve">6.3 Google Merchant Center Integration</w:t>
      </w:r>
    </w:p>
    <w:bookmarkStart w:id="90" w:name="account-configuration"/>
    <w:p>
      <w:pPr>
        <w:pStyle w:val="Heading3"/>
      </w:pPr>
      <w:r>
        <w:t xml:space="preserve">Account Configuration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Target country</w:t>
            </w:r>
          </w:p>
        </w:tc>
        <w:tc>
          <w:tcPr/>
          <w:p>
            <w:pPr>
              <w:pStyle w:val="Compact"/>
              <w:jc w:val="left"/>
            </w:pPr>
            <w:r>
              <w:t xml:space="preserve">Finland (FI)</w:t>
            </w:r>
          </w:p>
        </w:tc>
      </w:tr>
      <w:tr>
        <w:tc>
          <w:tcPr/>
          <w:p>
            <w:pPr>
              <w:pStyle w:val="Compact"/>
              <w:jc w:val="left"/>
            </w:pPr>
            <w:r>
              <w:t xml:space="preserve">Languages</w:t>
            </w:r>
          </w:p>
        </w:tc>
        <w:tc>
          <w:tcPr/>
          <w:p>
            <w:pPr>
              <w:pStyle w:val="Compact"/>
              <w:jc w:val="left"/>
            </w:pPr>
            <w:r>
              <w:t xml:space="preserve">English, Finnish</w:t>
            </w:r>
          </w:p>
        </w:tc>
      </w:tr>
      <w:tr>
        <w:tc>
          <w:tcPr/>
          <w:p>
            <w:pPr>
              <w:pStyle w:val="Compact"/>
              <w:jc w:val="left"/>
            </w:pPr>
            <w:r>
              <w:t xml:space="preserve">Feed method</w:t>
            </w:r>
          </w:p>
        </w:tc>
        <w:tc>
          <w:tcPr/>
          <w:p>
            <w:pPr>
              <w:pStyle w:val="Compact"/>
              <w:jc w:val="left"/>
            </w:pPr>
            <w:r>
              <w:t xml:space="preserve">SFTP upload</w:t>
            </w:r>
          </w:p>
        </w:tc>
      </w:tr>
      <w:tr>
        <w:tc>
          <w:tcPr/>
          <w:p>
            <w:pPr>
              <w:pStyle w:val="Compact"/>
              <w:jc w:val="left"/>
            </w:pPr>
            <w:r>
              <w:t xml:space="preserve">Feed URL</w:t>
            </w:r>
          </w:p>
        </w:tc>
        <w:tc>
          <w:tcPr/>
          <w:p>
            <w:pPr>
              <w:pStyle w:val="Compact"/>
              <w:jc w:val="left"/>
            </w:pPr>
            <w:r>
              <w:t xml:space="preserve">https://dws10.com/feeds/google-products.xml</w:t>
            </w:r>
          </w:p>
        </w:tc>
      </w:tr>
    </w:tbl>
    <w:bookmarkEnd w:id="90"/>
    <w:bookmarkStart w:id="91" w:name="historical-issues-resolved"/>
    <w:p>
      <w:pPr>
        <w:pStyle w:val="Heading3"/>
      </w:pPr>
      <w:r>
        <w:t xml:space="preserve">Historical Issues Resolved</w:t>
      </w:r>
    </w:p>
    <w:tbl>
      <w:tblPr>
        <w:tblStyle w:val="Table"/>
        <w:tblW w:type="pct" w:w="5000"/>
        <w:tblLook w:firstRow="1" w:lastRow="0" w:firstColumn="0" w:lastColumn="0" w:noHBand="0" w:noVBand="0" w:val="0020"/>
        <w:jc w:val="start"/>
      </w:tblPr>
      <w:tblGrid>
        <w:gridCol w:w="2046"/>
        <w:gridCol w:w="3114"/>
        <w:gridCol w:w="2758"/>
      </w:tblGrid>
      <w:tr>
        <w:trPr>
          <w:tblHeader w:val="true"/>
        </w:trPr>
        <w:tc>
          <w:tcPr/>
          <w:p>
            <w:pPr>
              <w:pStyle w:val="Compact"/>
              <w:jc w:val="left"/>
            </w:pPr>
            <w:r>
              <w:t xml:space="preserve">Issue</w:t>
            </w:r>
          </w:p>
        </w:tc>
        <w:tc>
          <w:tcPr/>
          <w:p>
            <w:pPr>
              <w:pStyle w:val="Compact"/>
              <w:jc w:val="left"/>
            </w:pPr>
            <w:r>
              <w:t xml:space="preserve">Root Cause</w:t>
            </w:r>
          </w:p>
        </w:tc>
        <w:tc>
          <w:tcPr/>
          <w:p>
            <w:pPr>
              <w:pStyle w:val="Compact"/>
              <w:jc w:val="left"/>
            </w:pPr>
            <w:r>
              <w:t xml:space="preserve">Resolution</w:t>
            </w:r>
          </w:p>
        </w:tc>
      </w:tr>
      <w:tr>
        <w:tc>
          <w:tcPr/>
          <w:p>
            <w:pPr>
              <w:pStyle w:val="Compact"/>
              <w:jc w:val="left"/>
            </w:pPr>
            <w:r>
              <w:t xml:space="preserve">Domain mismatch</w:t>
            </w:r>
          </w:p>
        </w:tc>
        <w:tc>
          <w:tcPr/>
          <w:p>
            <w:pPr>
              <w:pStyle w:val="Compact"/>
              <w:jc w:val="left"/>
            </w:pPr>
            <w:r>
              <w:t xml:space="preserve">URLs pointing to lifetime.fi</w:t>
            </w:r>
          </w:p>
        </w:tc>
        <w:tc>
          <w:tcPr/>
          <w:p>
            <w:pPr>
              <w:pStyle w:val="Compact"/>
              <w:jc w:val="left"/>
            </w:pPr>
            <w:r>
              <w:t xml:space="preserve">Updated all URLs to dws10.com</w:t>
            </w:r>
          </w:p>
        </w:tc>
      </w:tr>
      <w:tr>
        <w:tc>
          <w:tcPr/>
          <w:p>
            <w:pPr>
              <w:pStyle w:val="Compact"/>
              <w:jc w:val="left"/>
            </w:pPr>
            <w:r>
              <w:t xml:space="preserve">Duplicate products</w:t>
            </w:r>
          </w:p>
        </w:tc>
        <w:tc>
          <w:tcPr/>
          <w:p>
            <w:pPr>
              <w:pStyle w:val="Compact"/>
              <w:jc w:val="left"/>
            </w:pPr>
            <w:r>
              <w:t xml:space="preserve">ID mismatch with Merchant Center</w:t>
            </w:r>
          </w:p>
        </w:tc>
        <w:tc>
          <w:tcPr/>
          <w:p>
            <w:pPr>
              <w:pStyle w:val="Compact"/>
              <w:jc w:val="left"/>
            </w:pPr>
            <w:r>
              <w:t xml:space="preserve">Harmonized IDs in products.json</w:t>
            </w:r>
          </w:p>
        </w:tc>
      </w:tr>
      <w:tr>
        <w:tc>
          <w:tcPr/>
          <w:p>
            <w:pPr>
              <w:pStyle w:val="Compact"/>
              <w:jc w:val="left"/>
            </w:pPr>
            <w:r>
              <w:t xml:space="preserve">identifier_exists error</w:t>
            </w:r>
          </w:p>
        </w:tc>
        <w:tc>
          <w:tcPr/>
          <w:p>
            <w:pPr>
              <w:pStyle w:val="Compact"/>
              <w:jc w:val="left"/>
            </w:pPr>
            <w:r>
              <w:t xml:space="preserve">Set to false when MPN+brand present</w:t>
            </w:r>
          </w:p>
        </w:tc>
        <w:tc>
          <w:tcPr/>
          <w:p>
            <w:pPr>
              <w:pStyle w:val="Compact"/>
              <w:jc w:val="left"/>
            </w:pPr>
            <w:r>
              <w:t xml:space="preserve">Removed field entirely</w:t>
            </w:r>
          </w:p>
        </w:tc>
      </w:tr>
      <w:tr>
        <w:tc>
          <w:tcPr/>
          <w:p>
            <w:pPr>
              <w:pStyle w:val="Compact"/>
              <w:jc w:val="left"/>
            </w:pPr>
            <w:r>
              <w:t xml:space="preserve">Missing checkout links</w:t>
            </w:r>
          </w:p>
        </w:tc>
        <w:tc>
          <w:tcPr/>
          <w:p>
            <w:pPr>
              <w:pStyle w:val="Compact"/>
              <w:jc w:val="left"/>
            </w:pPr>
            <w:r>
              <w:t xml:space="preserve">Payment URL not configured</w:t>
            </w:r>
          </w:p>
        </w:tc>
        <w:tc>
          <w:tcPr/>
          <w:p>
            <w:pPr>
              <w:pStyle w:val="Compact"/>
              <w:jc w:val="left"/>
            </w:pPr>
            <w:r>
              <w:t xml:space="preserve">Added Revolut links</w:t>
            </w:r>
          </w:p>
        </w:tc>
      </w:tr>
    </w:tbl>
    <w:bookmarkEnd w:id="91"/>
    <w:bookmarkEnd w:id="92"/>
    <w:bookmarkStart w:id="94" w:name="revolut-business-payment-integration"/>
    <w:p>
      <w:pPr>
        <w:pStyle w:val="Heading2"/>
      </w:pPr>
      <w:r>
        <w:t xml:space="preserve">6.4 Revolut Business Payment Integration</w:t>
      </w:r>
    </w:p>
    <w:bookmarkStart w:id="93" w:name="why-revolut-business"/>
    <w:p>
      <w:pPr>
        <w:pStyle w:val="Heading3"/>
      </w:pPr>
      <w:r>
        <w:t xml:space="preserve">Why Revolut Business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Benefit</w:t>
            </w:r>
          </w:p>
        </w:tc>
      </w:tr>
      <w:tr>
        <w:tc>
          <w:tcPr/>
          <w:p>
            <w:pPr>
              <w:pStyle w:val="Compact"/>
              <w:jc w:val="left"/>
            </w:pPr>
            <w:r>
              <w:t xml:space="preserve">Instant settlements</w:t>
            </w:r>
          </w:p>
        </w:tc>
        <w:tc>
          <w:tcPr/>
          <w:p>
            <w:pPr>
              <w:pStyle w:val="Compact"/>
              <w:jc w:val="left"/>
            </w:pPr>
            <w:r>
              <w:t xml:space="preserve">Improved cash flow, same-day availability</w:t>
            </w:r>
          </w:p>
        </w:tc>
      </w:tr>
      <w:tr>
        <w:tc>
          <w:tcPr/>
          <w:p>
            <w:pPr>
              <w:pStyle w:val="Compact"/>
              <w:jc w:val="left"/>
            </w:pPr>
            <w:r>
              <w:t xml:space="preserve">Multi-currency support</w:t>
            </w:r>
          </w:p>
        </w:tc>
        <w:tc>
          <w:tcPr/>
          <w:p>
            <w:pPr>
              <w:pStyle w:val="Compact"/>
              <w:jc w:val="left"/>
            </w:pPr>
            <w:r>
              <w:t xml:space="preserve">Support for EUR, SEK, NOK, DKK, GBP</w:t>
            </w:r>
          </w:p>
        </w:tc>
      </w:tr>
      <w:tr>
        <w:tc>
          <w:tcPr/>
          <w:p>
            <w:pPr>
              <w:pStyle w:val="Compact"/>
              <w:jc w:val="left"/>
            </w:pPr>
            <w:r>
              <w:t xml:space="preserve">Low fees</w:t>
            </w:r>
          </w:p>
        </w:tc>
        <w:tc>
          <w:tcPr/>
          <w:p>
            <w:pPr>
              <w:pStyle w:val="Compact"/>
              <w:jc w:val="left"/>
            </w:pPr>
            <w:r>
              <w:t xml:space="preserve">1.0% + EUR 0.20 per transaction</w:t>
            </w:r>
          </w:p>
        </w:tc>
      </w:tr>
      <w:tr>
        <w:tc>
          <w:tcPr/>
          <w:p>
            <w:pPr>
              <w:pStyle w:val="Compact"/>
              <w:jc w:val="left"/>
            </w:pPr>
            <w:r>
              <w:t xml:space="preserve">Checkout links</w:t>
            </w:r>
          </w:p>
        </w:tc>
        <w:tc>
          <w:tcPr/>
          <w:p>
            <w:pPr>
              <w:pStyle w:val="Compact"/>
              <w:jc w:val="left"/>
            </w:pPr>
            <w:r>
              <w:t xml:space="preserve">Direct Google Merchant support</w:t>
            </w:r>
          </w:p>
        </w:tc>
      </w:tr>
      <w:tr>
        <w:tc>
          <w:tcPr/>
          <w:p>
            <w:pPr>
              <w:pStyle w:val="Compact"/>
              <w:jc w:val="left"/>
            </w:pPr>
            <w:r>
              <w:t xml:space="preserve">Apple Pay / Google Pay</w:t>
            </w:r>
          </w:p>
        </w:tc>
        <w:tc>
          <w:tcPr/>
          <w:p>
            <w:pPr>
              <w:pStyle w:val="Compact"/>
              <w:jc w:val="left"/>
            </w:pPr>
            <w:r>
              <w:t xml:space="preserve">Modern payment methods</w:t>
            </w:r>
          </w:p>
        </w:tc>
      </w:tr>
    </w:tbl>
    <w:bookmarkEnd w:id="93"/>
    <w:bookmarkEnd w:id="94"/>
    <w:bookmarkStart w:id="96" w:name="X73f56bd13c2b3815341f372bf18ac6e57a06f3f"/>
    <w:p>
      <w:pPr>
        <w:pStyle w:val="Heading2"/>
      </w:pPr>
      <w:r>
        <w:t xml:space="preserve">6.5 Firehorse Operating Model for Store Management</w:t>
      </w:r>
    </w:p>
    <w:p>
      <w:pPr>
        <w:pStyle w:val="FirstParagraph"/>
      </w:pPr>
      <w:r>
        <w:t xml:space="preserve">The store is managed using the Firehorse operating model with Claude Code:</w:t>
      </w:r>
    </w:p>
    <w:p>
      <w:pPr>
        <w:pStyle w:val="SourceCode"/>
      </w:pPr>
      <w:r>
        <w:rPr>
          <w:rStyle w:val="VerbatimChar"/>
        </w:rPr>
        <w:t xml:space="preserve">+-------------------------------------------------------------+</w:t>
      </w:r>
      <w:r>
        <w:br/>
      </w:r>
      <w:r>
        <w:rPr>
          <w:rStyle w:val="VerbatimChar"/>
        </w:rPr>
        <w:t xml:space="preserve">|                 FIREHORSE OPERATIONS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Human   | --&gt; |  Claude Code | --&gt; |   Systems    |      |</w:t>
      </w:r>
      <w:r>
        <w:br/>
      </w:r>
      <w:r>
        <w:rPr>
          <w:rStyle w:val="VerbatimChar"/>
        </w:rPr>
        <w:t xml:space="preserve">|   |  Intent  |     |  (AI Agent)  |     |  (Git, APIs) |      |</w:t>
      </w:r>
      <w:r>
        <w:br/>
      </w:r>
      <w:r>
        <w:rPr>
          <w:rStyle w:val="VerbatimChar"/>
        </w:rPr>
        <w:t xml:space="preserve">|   +----------+     +--------------+     +--------------+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Artifacts   |     |   Outcomes   |       |</w:t>
      </w:r>
      <w:r>
        <w:br/>
      </w:r>
      <w:r>
        <w:rPr>
          <w:rStyle w:val="VerbatimChar"/>
        </w:rPr>
        <w:t xml:space="preserve">|                   | (Code, Docs) |     | (Deployments)|       |</w:t>
      </w:r>
      <w:r>
        <w:br/>
      </w:r>
      <w:r>
        <w:rPr>
          <w:rStyle w:val="VerbatimChar"/>
        </w:rPr>
        <w:t xml:space="preserve">|                   +--------------+     +--------------+       |</w:t>
      </w:r>
      <w:r>
        <w:br/>
      </w:r>
      <w:r>
        <w:rPr>
          <w:rStyle w:val="VerbatimChar"/>
        </w:rPr>
        <w:t xml:space="preserve">|                                                               |</w:t>
      </w:r>
      <w:r>
        <w:br/>
      </w:r>
      <w:r>
        <w:rPr>
          <w:rStyle w:val="VerbatimChar"/>
        </w:rPr>
        <w:t xml:space="preserve">+-------------------------------------------------------------+</w:t>
      </w:r>
    </w:p>
    <w:bookmarkStart w:id="95" w:name="operational-efficiency-improvements"/>
    <w:p>
      <w:pPr>
        <w:pStyle w:val="Heading3"/>
      </w:pPr>
      <w:r>
        <w:t xml:space="preserve">Operational Efficiency Improvements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Product update time</w:t>
            </w:r>
          </w:p>
        </w:tc>
        <w:tc>
          <w:tcPr/>
          <w:p>
            <w:pPr>
              <w:pStyle w:val="Compact"/>
              <w:jc w:val="left"/>
            </w:pPr>
            <w:r>
              <w:t xml:space="preserve">2 hours</w:t>
            </w:r>
          </w:p>
        </w:tc>
        <w:tc>
          <w:tcPr/>
          <w:p>
            <w:pPr>
              <w:pStyle w:val="Compact"/>
              <w:jc w:val="left"/>
            </w:pPr>
            <w:r>
              <w:t xml:space="preserve">5 minutes</w:t>
            </w:r>
          </w:p>
        </w:tc>
        <w:tc>
          <w:tcPr/>
          <w:p>
            <w:pPr>
              <w:pStyle w:val="Compact"/>
              <w:jc w:val="left"/>
            </w:pPr>
            <w:r>
              <w:t xml:space="preserve">96%</w:t>
            </w:r>
          </w:p>
        </w:tc>
      </w:tr>
      <w:tr>
        <w:tc>
          <w:tcPr/>
          <w:p>
            <w:pPr>
              <w:pStyle w:val="Compact"/>
              <w:jc w:val="left"/>
            </w:pPr>
            <w:r>
              <w:t xml:space="preserve">Feed generation</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100%</w:t>
            </w:r>
          </w:p>
        </w:tc>
      </w:tr>
      <w:tr>
        <w:tc>
          <w:tcPr/>
          <w:p>
            <w:pPr>
              <w:pStyle w:val="Compact"/>
              <w:jc w:val="left"/>
            </w:pPr>
            <w:r>
              <w:t xml:space="preserve">Documentation creation</w:t>
            </w:r>
          </w:p>
        </w:tc>
        <w:tc>
          <w:tcPr/>
          <w:p>
            <w:pPr>
              <w:pStyle w:val="Compact"/>
              <w:jc w:val="left"/>
            </w:pPr>
            <w:r>
              <w:t xml:space="preserve">1 week</w:t>
            </w:r>
          </w:p>
        </w:tc>
        <w:tc>
          <w:tcPr/>
          <w:p>
            <w:pPr>
              <w:pStyle w:val="Compact"/>
              <w:jc w:val="left"/>
            </w:pPr>
            <w:r>
              <w:t xml:space="preserve">1 hour</w:t>
            </w:r>
          </w:p>
        </w:tc>
        <w:tc>
          <w:tcPr/>
          <w:p>
            <w:pPr>
              <w:pStyle w:val="Compact"/>
              <w:jc w:val="left"/>
            </w:pPr>
            <w:r>
              <w:t xml:space="preserve">99%</w:t>
            </w:r>
          </w:p>
        </w:tc>
      </w:tr>
      <w:tr>
        <w:tc>
          <w:tcPr/>
          <w:p>
            <w:pPr>
              <w:pStyle w:val="Compact"/>
              <w:jc w:val="left"/>
            </w:pPr>
            <w:r>
              <w:t xml:space="preserve">Error rate</w:t>
            </w:r>
          </w:p>
        </w:tc>
        <w:tc>
          <w:tcPr/>
          <w:p>
            <w:pPr>
              <w:pStyle w:val="Compact"/>
              <w:jc w:val="left"/>
            </w:pPr>
            <w:r>
              <w:t xml:space="preserve">5%</w:t>
            </w:r>
          </w:p>
        </w:tc>
        <w:tc>
          <w:tcPr/>
          <w:p>
            <w:pPr>
              <w:pStyle w:val="Compact"/>
              <w:jc w:val="left"/>
            </w:pPr>
            <w:r>
              <w:t xml:space="preserve">&lt;1%</w:t>
            </w:r>
          </w:p>
        </w:tc>
        <w:tc>
          <w:tcPr/>
          <w:p>
            <w:pPr>
              <w:pStyle w:val="Compact"/>
              <w:jc w:val="left"/>
            </w:pPr>
            <w:r>
              <w:t xml:space="preserve">80%</w:t>
            </w:r>
          </w:p>
        </w:tc>
      </w:tr>
    </w:tbl>
    <w:bookmarkEnd w:id="95"/>
    <w:bookmarkEnd w:id="96"/>
    <w:bookmarkStart w:id="97" w:name="weekly-maintenance-routine"/>
    <w:p>
      <w:pPr>
        <w:pStyle w:val="Heading2"/>
      </w:pPr>
      <w:r>
        <w:t xml:space="preserve">6.6 Weekly Maintenance Routine</w:t>
      </w:r>
    </w:p>
    <w:tbl>
      <w:tblPr>
        <w:tblStyle w:val="Table"/>
        <w:tblW w:type="pct" w:w="5000"/>
        <w:tblLook w:firstRow="1" w:lastRow="0" w:firstColumn="0" w:lastColumn="0" w:noHBand="0" w:noVBand="0" w:val="0020"/>
        <w:jc w:val="start"/>
      </w:tblPr>
      <w:tblGrid>
        <w:gridCol w:w="1131"/>
        <w:gridCol w:w="5782"/>
        <w:gridCol w:w="1005"/>
      </w:tblGrid>
      <w:tr>
        <w:trPr>
          <w:tblHeader w:val="true"/>
        </w:trPr>
        <w:tc>
          <w:tcPr/>
          <w:p>
            <w:pPr>
              <w:pStyle w:val="Compact"/>
              <w:jc w:val="left"/>
            </w:pPr>
            <w:r>
              <w:t xml:space="preserve">Day</w:t>
            </w:r>
          </w:p>
        </w:tc>
        <w:tc>
          <w:tcPr/>
          <w:p>
            <w:pPr>
              <w:pStyle w:val="Compact"/>
              <w:jc w:val="left"/>
            </w:pPr>
            <w:r>
              <w:t xml:space="preserve">Task</w:t>
            </w:r>
          </w:p>
        </w:tc>
        <w:tc>
          <w:tcPr/>
          <w:p>
            <w:pPr>
              <w:pStyle w:val="Compact"/>
              <w:jc w:val="left"/>
            </w:pPr>
            <w:r>
              <w:t xml:space="preserve">Duration</w:t>
            </w:r>
          </w:p>
        </w:tc>
      </w:tr>
      <w:tr>
        <w:tc>
          <w:tcPr/>
          <w:p>
            <w:pPr>
              <w:pStyle w:val="Compact"/>
              <w:jc w:val="left"/>
            </w:pPr>
            <w:r>
              <w:t xml:space="preserve">Monday</w:t>
            </w:r>
          </w:p>
        </w:tc>
        <w:tc>
          <w:tcPr/>
          <w:p>
            <w:pPr>
              <w:pStyle w:val="Compact"/>
              <w:jc w:val="left"/>
            </w:pPr>
            <w:r>
              <w:t xml:space="preserve">Feed health check, Google Merchant diagnostics</w:t>
            </w:r>
          </w:p>
        </w:tc>
        <w:tc>
          <w:tcPr/>
          <w:p>
            <w:pPr>
              <w:pStyle w:val="Compact"/>
              <w:jc w:val="left"/>
            </w:pPr>
            <w:r>
              <w:t xml:space="preserve">15 min</w:t>
            </w:r>
          </w:p>
        </w:tc>
      </w:tr>
      <w:tr>
        <w:tc>
          <w:tcPr/>
          <w:p>
            <w:pPr>
              <w:pStyle w:val="Compact"/>
              <w:jc w:val="left"/>
            </w:pPr>
            <w:r>
              <w:t xml:space="preserve">Wednesday</w:t>
            </w:r>
          </w:p>
        </w:tc>
        <w:tc>
          <w:tcPr/>
          <w:p>
            <w:pPr>
              <w:pStyle w:val="Compact"/>
              <w:jc w:val="left"/>
            </w:pPr>
            <w:r>
              <w:t xml:space="preserve">Performance review, CTR analysis</w:t>
            </w:r>
          </w:p>
        </w:tc>
        <w:tc>
          <w:tcPr/>
          <w:p>
            <w:pPr>
              <w:pStyle w:val="Compact"/>
              <w:jc w:val="left"/>
            </w:pPr>
            <w:r>
              <w:t xml:space="preserve">30 min</w:t>
            </w:r>
          </w:p>
        </w:tc>
      </w:tr>
      <w:tr>
        <w:tc>
          <w:tcPr/>
          <w:p>
            <w:pPr>
              <w:pStyle w:val="Compact"/>
              <w:jc w:val="left"/>
            </w:pPr>
            <w:r>
              <w:t xml:space="preserve">Friday</w:t>
            </w:r>
          </w:p>
        </w:tc>
        <w:tc>
          <w:tcPr/>
          <w:p>
            <w:pPr>
              <w:pStyle w:val="Compact"/>
              <w:jc w:val="left"/>
            </w:pPr>
            <w:r>
              <w:t xml:space="preserve">Optimization, feed upload, Git commit</w:t>
            </w:r>
          </w:p>
        </w:tc>
        <w:tc>
          <w:tcPr/>
          <w:p>
            <w:pPr>
              <w:pStyle w:val="Compact"/>
              <w:jc w:val="left"/>
            </w:pPr>
            <w:r>
              <w:t xml:space="preserve">45 min</w:t>
            </w:r>
          </w:p>
        </w:tc>
      </w:tr>
    </w:tbl>
    <w:bookmarkEnd w:id="97"/>
    <w:bookmarkStart w:id="101" w:name="human-in-the-loop-learning-pipeline-hil"/>
    <w:p>
      <w:pPr>
        <w:pStyle w:val="Heading2"/>
      </w:pPr>
      <w:r>
        <w:t xml:space="preserve">6.7 Human-in-the-Loop Learning Pipeline (HIL)</w:t>
      </w:r>
    </w:p>
    <w:p>
      <w:pPr>
        <w:pStyle w:val="FirstParagraph"/>
      </w:pPr>
      <w:r>
        <w:t xml:space="preserve">The DWS6 platform’s daily operations are managed through an automated Human-in-the-Loop (HIL) learning pipeline, creating a continuous feedback loop between the developer, AI agents, and the codebase.</w:t>
      </w:r>
    </w:p>
    <w:bookmarkStart w:id="98" w:name="pipeline-architecture"/>
    <w:p>
      <w:pPr>
        <w:pStyle w:val="Heading3"/>
      </w:pPr>
      <w:r>
        <w:t xml:space="preserve">Pipeline Architecture</w:t>
      </w:r>
    </w:p>
    <w:p>
      <w:pPr>
        <w:pStyle w:val="SourceCode"/>
      </w:pPr>
      <w:r>
        <w:rPr>
          <w:rStyle w:val="VerbatimChar"/>
        </w:rPr>
        <w:t xml:space="preserve">GitHub (source of truth)</w:t>
      </w:r>
      <w:r>
        <w:br/>
      </w:r>
      <w:r>
        <w:rPr>
          <w:rStyle w:val="VerbatimChar"/>
        </w:rPr>
        <w:t xml:space="preserve">    | git pull (daily, automated via Startup-DailySync.bat)</w:t>
      </w:r>
      <w:r>
        <w:br/>
      </w:r>
      <w:r>
        <w:rPr>
          <w:rStyle w:val="VerbatimChar"/>
        </w:rPr>
        <w:t xml:space="preserve">Local repository (Windows)</w:t>
      </w:r>
      <w:r>
        <w:br/>
      </w:r>
      <w:r>
        <w:rPr>
          <w:rStyle w:val="VerbatimChar"/>
        </w:rPr>
        <w:t xml:space="preserve">    | Sync-ToProton.ps1</w:t>
      </w:r>
      <w:r>
        <w:br/>
      </w:r>
      <w:r>
        <w:rPr>
          <w:rStyle w:val="VerbatimChar"/>
        </w:rPr>
        <w:t xml:space="preserve">Proton Drive (encrypted local backup)</w:t>
      </w:r>
      <w:r>
        <w:br/>
      </w:r>
      <w:r>
        <w:rPr>
          <w:rStyle w:val="VerbatimChar"/>
        </w:rPr>
        <w:t xml:space="preserve">    | Generate-PDFs.ps1 -&gt; styled HTML -&gt; Learn/ folder</w:t>
      </w:r>
      <w:r>
        <w:br/>
      </w:r>
      <w:r>
        <w:rPr>
          <w:rStyle w:val="VerbatimChar"/>
        </w:rPr>
        <w:t xml:space="preserve">    | Sync-ToSupabase.ps1</w:t>
      </w:r>
      <w:r>
        <w:br/>
      </w:r>
      <w:r>
        <w:rPr>
          <w:rStyle w:val="VerbatimChar"/>
        </w:rPr>
        <w:t xml:space="preserve">Supabase Storage (EU cloud backup)</w:t>
      </w:r>
      <w:r>
        <w:br/>
      </w:r>
      <w:r>
        <w:rPr>
          <w:rStyle w:val="VerbatimChar"/>
        </w:rPr>
        <w:t xml:space="preserve">    |</w:t>
      </w:r>
      <w:r>
        <w:br/>
      </w:r>
      <w:r>
        <w:rPr>
          <w:rStyle w:val="VerbatimChar"/>
        </w:rPr>
        <w:t xml:space="preserve">Edge browser (morning review of Learn/ folder content)</w:t>
      </w:r>
      <w:r>
        <w:br/>
      </w:r>
      <w:r>
        <w:rPr>
          <w:rStyle w:val="VerbatimChar"/>
        </w:rPr>
        <w:t xml:space="preserve">    | human reads, learns, decides what needs work</w:t>
      </w:r>
      <w:r>
        <w:br/>
      </w:r>
      <w:r>
        <w:rPr>
          <w:rStyle w:val="VerbatimChar"/>
        </w:rPr>
        <w:t xml:space="preserve">Claude Code session (next action)</w:t>
      </w:r>
      <w:r>
        <w:br/>
      </w:r>
      <w:r>
        <w:rPr>
          <w:rStyle w:val="VerbatimChar"/>
        </w:rPr>
        <w:t xml:space="preserve">    | git push</w:t>
      </w:r>
      <w:r>
        <w:br/>
      </w:r>
      <w:r>
        <w:rPr>
          <w:rStyle w:val="VerbatimChar"/>
        </w:rPr>
        <w:t xml:space="preserve">GitHub -&gt; cycle repeats</w:t>
      </w:r>
    </w:p>
    <w:bookmarkEnd w:id="98"/>
    <w:bookmarkStart w:id="99" w:name="pipeline-components"/>
    <w:p>
      <w:pPr>
        <w:pStyle w:val="Heading3"/>
      </w:pPr>
      <w:r>
        <w:t xml:space="preserve">Pipeline Components</w:t>
      </w:r>
    </w:p>
    <w:tbl>
      <w:tblPr>
        <w:tblStyle w:val="Table"/>
        <w:tblW w:type="pct" w:w="5000"/>
        <w:tblLook w:firstRow="1" w:lastRow="0" w:firstColumn="0" w:lastColumn="0" w:noHBand="0" w:noVBand="0" w:val="0020"/>
        <w:jc w:val="start"/>
      </w:tblPr>
      <w:tblGrid>
        <w:gridCol w:w="360"/>
        <w:gridCol w:w="1890"/>
        <w:gridCol w:w="4050"/>
        <w:gridCol w:w="1620"/>
      </w:tblGrid>
      <w:tr>
        <w:trPr>
          <w:tblHeader w:val="true"/>
        </w:trPr>
        <w:tc>
          <w:tcPr/>
          <w:p>
            <w:pPr>
              <w:pStyle w:val="Compact"/>
              <w:jc w:val="left"/>
            </w:pPr>
            <w:r>
              <w:t xml:space="preserve">Step</w:t>
            </w:r>
          </w:p>
        </w:tc>
        <w:tc>
          <w:tcPr/>
          <w:p>
            <w:pPr>
              <w:pStyle w:val="Compact"/>
              <w:jc w:val="left"/>
            </w:pPr>
            <w:r>
              <w:t xml:space="preserve">Script</w:t>
            </w:r>
          </w:p>
        </w:tc>
        <w:tc>
          <w:tcPr/>
          <w:p>
            <w:pPr>
              <w:pStyle w:val="Compact"/>
              <w:jc w:val="left"/>
            </w:pPr>
            <w:r>
              <w:t xml:space="preserve">Function</w:t>
            </w:r>
          </w:p>
        </w:tc>
        <w:tc>
          <w:tcPr/>
          <w:p>
            <w:pPr>
              <w:pStyle w:val="Compact"/>
              <w:jc w:val="left"/>
            </w:pPr>
            <w:r>
              <w:t xml:space="preserve">Output</w:t>
            </w:r>
          </w:p>
        </w:tc>
      </w:tr>
      <w:tr>
        <w:tc>
          <w:tcPr/>
          <w:p>
            <w:pPr>
              <w:pStyle w:val="Compact"/>
              <w:jc w:val="left"/>
            </w:pPr>
            <w:r>
              <w:t xml:space="preserve">1</w:t>
            </w:r>
          </w:p>
        </w:tc>
        <w:tc>
          <w:tcPr/>
          <w:p>
            <w:pPr>
              <w:pStyle w:val="Compact"/>
              <w:jc w:val="left"/>
            </w:pPr>
            <w:r>
              <w:rPr>
                <w:rStyle w:val="VerbatimChar"/>
              </w:rPr>
              <w:t xml:space="preserve">git pull</w:t>
            </w:r>
          </w:p>
        </w:tc>
        <w:tc>
          <w:tcPr/>
          <w:p>
            <w:pPr>
              <w:pStyle w:val="Compact"/>
              <w:jc w:val="left"/>
            </w:pPr>
            <w:r>
              <w:t xml:space="preserve">Fetch latest changes from GitHub</w:t>
            </w:r>
          </w:p>
        </w:tc>
        <w:tc>
          <w:tcPr/>
          <w:p>
            <w:pPr>
              <w:pStyle w:val="Compact"/>
              <w:jc w:val="left"/>
            </w:pPr>
            <w:r>
              <w:t xml:space="preserve">Updated local repo</w:t>
            </w:r>
          </w:p>
        </w:tc>
      </w:tr>
      <w:tr>
        <w:tc>
          <w:tcPr/>
          <w:p>
            <w:pPr>
              <w:pStyle w:val="Compact"/>
              <w:jc w:val="left"/>
            </w:pPr>
            <w:r>
              <w:t xml:space="preserve">2</w:t>
            </w:r>
          </w:p>
        </w:tc>
        <w:tc>
          <w:tcPr/>
          <w:p>
            <w:pPr>
              <w:pStyle w:val="Compact"/>
              <w:jc w:val="left"/>
            </w:pPr>
            <w:r>
              <w:rPr>
                <w:rStyle w:val="VerbatimChar"/>
              </w:rPr>
              <w:t xml:space="preserve">Sync-ToProton.ps1</w:t>
            </w:r>
          </w:p>
        </w:tc>
        <w:tc>
          <w:tcPr/>
          <w:p>
            <w:pPr>
              <w:pStyle w:val="Compact"/>
              <w:jc w:val="left"/>
            </w:pPr>
            <w:r>
              <w:t xml:space="preserve">Copy business files to Proton Drive</w:t>
            </w:r>
          </w:p>
        </w:tc>
        <w:tc>
          <w:tcPr/>
          <w:p>
            <w:pPr>
              <w:pStyle w:val="Compact"/>
              <w:jc w:val="left"/>
            </w:pPr>
            <w:r>
              <w:t xml:space="preserve">Encrypted backup</w:t>
            </w:r>
          </w:p>
        </w:tc>
      </w:tr>
      <w:tr>
        <w:tc>
          <w:tcPr/>
          <w:p>
            <w:pPr>
              <w:pStyle w:val="Compact"/>
              <w:jc w:val="left"/>
            </w:pPr>
            <w:r>
              <w:t xml:space="preserve">3</w:t>
            </w:r>
          </w:p>
        </w:tc>
        <w:tc>
          <w:tcPr/>
          <w:p>
            <w:pPr>
              <w:pStyle w:val="Compact"/>
              <w:jc w:val="left"/>
            </w:pPr>
            <w:r>
              <w:rPr>
                <w:rStyle w:val="VerbatimChar"/>
              </w:rPr>
              <w:t xml:space="preserve">Generate-PDFs.ps1</w:t>
            </w:r>
          </w:p>
        </w:tc>
        <w:tc>
          <w:tcPr/>
          <w:p>
            <w:pPr>
              <w:pStyle w:val="Compact"/>
              <w:jc w:val="left"/>
            </w:pPr>
            <w:r>
              <w:t xml:space="preserve">Convert 19 markdown files to styled HTML</w:t>
            </w:r>
          </w:p>
        </w:tc>
        <w:tc>
          <w:tcPr/>
          <w:p>
            <w:pPr>
              <w:pStyle w:val="Compact"/>
              <w:jc w:val="left"/>
            </w:pPr>
            <w:r>
              <w:rPr>
                <w:rStyle w:val="VerbatimChar"/>
              </w:rPr>
              <w:t xml:space="preserve">Learn/</w:t>
            </w:r>
            <w:r>
              <w:t xml:space="preserve"> </w:t>
            </w:r>
            <w:r>
              <w:t xml:space="preserve">folder</w:t>
            </w:r>
          </w:p>
        </w:tc>
      </w:tr>
      <w:tr>
        <w:tc>
          <w:tcPr/>
          <w:p>
            <w:pPr>
              <w:pStyle w:val="Compact"/>
              <w:jc w:val="left"/>
            </w:pPr>
            <w:r>
              <w:t xml:space="preserve">4</w:t>
            </w:r>
          </w:p>
        </w:tc>
        <w:tc>
          <w:tcPr/>
          <w:p>
            <w:pPr>
              <w:pStyle w:val="Compact"/>
              <w:jc w:val="left"/>
            </w:pPr>
            <w:r>
              <w:rPr>
                <w:rStyle w:val="VerbatimChar"/>
              </w:rPr>
              <w:t xml:space="preserve">Sync-ToSupabase.ps1</w:t>
            </w:r>
          </w:p>
        </w:tc>
        <w:tc>
          <w:tcPr/>
          <w:p>
            <w:pPr>
              <w:pStyle w:val="Compact"/>
              <w:jc w:val="left"/>
            </w:pPr>
            <w:r>
              <w:t xml:space="preserve">Upload code and documents to Supabase Storage</w:t>
            </w:r>
          </w:p>
        </w:tc>
        <w:tc>
          <w:tcPr/>
          <w:p>
            <w:pPr>
              <w:pStyle w:val="Compact"/>
              <w:jc w:val="left"/>
            </w:pPr>
            <w:r>
              <w:t xml:space="preserve">EU cloud backup</w:t>
            </w:r>
          </w:p>
        </w:tc>
      </w:tr>
      <w:tr>
        <w:tc>
          <w:tcPr/>
          <w:p>
            <w:pPr>
              <w:pStyle w:val="Compact"/>
              <w:jc w:val="left"/>
            </w:pPr>
            <w:r>
              <w:t xml:space="preserve">5</w:t>
            </w:r>
          </w:p>
        </w:tc>
        <w:tc>
          <w:tcPr/>
          <w:p>
            <w:pPr>
              <w:pStyle w:val="Compact"/>
              <w:jc w:val="left"/>
            </w:pPr>
            <w:r>
              <w:t xml:space="preserve">Edge browser</w:t>
            </w:r>
          </w:p>
        </w:tc>
        <w:tc>
          <w:tcPr/>
          <w:p>
            <w:pPr>
              <w:pStyle w:val="Compact"/>
              <w:jc w:val="left"/>
            </w:pPr>
            <w:r>
              <w:t xml:space="preserve">Automatically open updated files for review</w:t>
            </w:r>
          </w:p>
        </w:tc>
        <w:tc>
          <w:tcPr/>
          <w:p>
            <w:pPr>
              <w:pStyle w:val="Compact"/>
              <w:jc w:val="left"/>
            </w:pPr>
            <w:r>
              <w:t xml:space="preserve">Human knowledge</w:t>
            </w:r>
          </w:p>
        </w:tc>
      </w:tr>
      <w:tr>
        <w:tc>
          <w:tcPr/>
          <w:p>
            <w:pPr>
              <w:pStyle w:val="Compact"/>
              <w:jc w:val="left"/>
            </w:pPr>
            <w:r>
              <w:t xml:space="preserve">6</w:t>
            </w:r>
          </w:p>
        </w:tc>
        <w:tc>
          <w:tcPr/>
          <w:p>
            <w:pPr>
              <w:pStyle w:val="Compact"/>
              <w:jc w:val="left"/>
            </w:pPr>
            <w:r>
              <w:t xml:space="preserve">Claude Code</w:t>
            </w:r>
          </w:p>
        </w:tc>
        <w:tc>
          <w:tcPr/>
          <w:p>
            <w:pPr>
              <w:pStyle w:val="Compact"/>
              <w:jc w:val="left"/>
            </w:pPr>
            <w:r>
              <w:t xml:space="preserve">AI-assisted development session</w:t>
            </w:r>
          </w:p>
        </w:tc>
        <w:tc>
          <w:tcPr/>
          <w:p>
            <w:pPr>
              <w:pStyle w:val="Compact"/>
              <w:jc w:val="left"/>
            </w:pPr>
            <w:r>
              <w:t xml:space="preserve">Code changes</w:t>
            </w:r>
          </w:p>
        </w:tc>
      </w:tr>
      <w:tr>
        <w:tc>
          <w:tcPr/>
          <w:p>
            <w:pPr>
              <w:pStyle w:val="Compact"/>
              <w:jc w:val="left"/>
            </w:pPr>
            <w:r>
              <w:t xml:space="preserve">7</w:t>
            </w:r>
          </w:p>
        </w:tc>
        <w:tc>
          <w:tcPr/>
          <w:p>
            <w:pPr>
              <w:pStyle w:val="Compact"/>
              <w:jc w:val="left"/>
            </w:pPr>
            <w:r>
              <w:rPr>
                <w:rStyle w:val="VerbatimChar"/>
              </w:rPr>
              <w:t xml:space="preserve">git push</w:t>
            </w:r>
          </w:p>
        </w:tc>
        <w:tc>
          <w:tcPr/>
          <w:p>
            <w:pPr>
              <w:pStyle w:val="Compact"/>
              <w:jc w:val="left"/>
            </w:pPr>
            <w:r>
              <w:t xml:space="preserve">Push changes to GitHub</w:t>
            </w:r>
          </w:p>
        </w:tc>
        <w:tc>
          <w:tcPr/>
          <w:p>
            <w:pPr>
              <w:pStyle w:val="Compact"/>
              <w:jc w:val="left"/>
            </w:pPr>
            <w:r>
              <w:t xml:space="preserve">Cycle completes</w:t>
            </w:r>
          </w:p>
        </w:tc>
      </w:tr>
    </w:tbl>
    <w:bookmarkEnd w:id="99"/>
    <w:bookmarkStart w:id="100" w:name="why-this-pipeline-matters"/>
    <w:p>
      <w:pPr>
        <w:pStyle w:val="Heading3"/>
      </w:pPr>
      <w:r>
        <w:t xml:space="preserve">Why This Pipeline Matters</w:t>
      </w:r>
    </w:p>
    <w:p>
      <w:pPr>
        <w:pStyle w:val="FirstParagraph"/>
      </w:pPr>
      <w:r>
        <w:t xml:space="preserve">The HIL pipeline solves three critical problems:</w:t>
      </w:r>
    </w:p>
    <w:p>
      <w:pPr>
        <w:numPr>
          <w:ilvl w:val="0"/>
          <w:numId w:val="1035"/>
        </w:numPr>
        <w:pStyle w:val="Compact"/>
      </w:pPr>
      <w:r>
        <w:rPr>
          <w:bCs/>
          <w:b/>
        </w:rPr>
        <w:t xml:space="preserve">Knowledge gatekeeper</w:t>
      </w:r>
      <w:r>
        <w:t xml:space="preserve">: Every morning, the human reviews the latest state of all business documents. Nothing drifts unnoticed.</w:t>
      </w:r>
    </w:p>
    <w:p>
      <w:pPr>
        <w:numPr>
          <w:ilvl w:val="0"/>
          <w:numId w:val="1035"/>
        </w:numPr>
        <w:pStyle w:val="Compact"/>
      </w:pPr>
      <w:r>
        <w:rPr>
          <w:bCs/>
          <w:b/>
        </w:rPr>
        <w:t xml:space="preserve">Three-layer backup</w:t>
      </w:r>
      <w:r>
        <w:t xml:space="preserve">: Every change exists in GitHub (version control), Proton Drive (encrypted local), and Supabase (EU cloud). No single point of failure.</w:t>
      </w:r>
    </w:p>
    <w:p>
      <w:pPr>
        <w:numPr>
          <w:ilvl w:val="0"/>
          <w:numId w:val="1035"/>
        </w:numPr>
        <w:pStyle w:val="Compact"/>
      </w:pPr>
      <w:r>
        <w:rPr>
          <w:bCs/>
          <w:b/>
        </w:rPr>
        <w:t xml:space="preserve">Continuous learning loop</w:t>
      </w:r>
      <w:r>
        <w:t xml:space="preserve">: Human reads -&gt; identifies gaps -&gt; uses Claude Code to fix -&gt; pushes changes -&gt; next morning sees the update. The feedback loop closes daily.</w:t>
      </w:r>
    </w:p>
    <w:p>
      <w:r>
        <w:pict>
          <v:rect style="width:0;height:1.5pt" o:hralign="center" o:hrstd="t" o:hr="t"/>
        </w:pict>
      </w:r>
    </w:p>
    <w:bookmarkEnd w:id="100"/>
    <w:bookmarkEnd w:id="101"/>
    <w:bookmarkEnd w:id="102"/>
    <w:bookmarkStart w:id="112" w:name="audio-chat-evolution-roadmap"/>
    <w:p>
      <w:pPr>
        <w:pStyle w:val="Heading1"/>
      </w:pPr>
      <w:r>
        <w:t xml:space="preserve">7. Audio Chat Evolution Roadmap</w:t>
      </w:r>
    </w:p>
    <w:bookmarkStart w:id="103" w:name="vision"/>
    <w:p>
      <w:pPr>
        <w:pStyle w:val="Heading2"/>
      </w:pPr>
      <w:r>
        <w:t xml:space="preserve">7.1 Vision</w:t>
      </w:r>
    </w:p>
    <w:p>
      <w:pPr>
        <w:pStyle w:val="FirstParagraph"/>
      </w:pPr>
      <w:r>
        <w:t xml:space="preserve">Transform customer interactions from text-based to voice-based with intelligent product recommendations using industry-specific carbon footprint calculators and EU regulatory awareness.</w:t>
      </w:r>
    </w:p>
    <w:bookmarkEnd w:id="103"/>
    <w:bookmarkStart w:id="104" w:name="technical-stack"/>
    <w:p>
      <w:pPr>
        <w:pStyle w:val="Heading2"/>
      </w:pPr>
      <w:r>
        <w:t xml:space="preserve">7.2 Technical Stack</w:t>
      </w:r>
    </w:p>
    <w:tbl>
      <w:tblPr>
        <w:tblStyle w:val="Table"/>
        <w:tblW w:type="pct" w:w="5000"/>
        <w:tblLook w:firstRow="1" w:lastRow="0" w:firstColumn="0" w:lastColumn="0" w:noHBand="0" w:noVBand="0" w:val="0020"/>
        <w:jc w:val="start"/>
      </w:tblPr>
      <w:tblGrid>
        <w:gridCol w:w="1440"/>
        <w:gridCol w:w="3291"/>
        <w:gridCol w:w="3188"/>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Rationale</w:t>
            </w:r>
          </w:p>
        </w:tc>
      </w:tr>
      <w:tr>
        <w:tc>
          <w:tcPr/>
          <w:p>
            <w:pPr>
              <w:pStyle w:val="Compact"/>
              <w:jc w:val="left"/>
            </w:pPr>
            <w:r>
              <w:t xml:space="preserve">Speech-to-Text</w:t>
            </w:r>
          </w:p>
        </w:tc>
        <w:tc>
          <w:tcPr/>
          <w:p>
            <w:pPr>
              <w:pStyle w:val="Compact"/>
              <w:jc w:val="left"/>
            </w:pPr>
            <w:r>
              <w:t xml:space="preserve">Whisper API</w:t>
            </w:r>
          </w:p>
        </w:tc>
        <w:tc>
          <w:tcPr/>
          <w:p>
            <w:pPr>
              <w:pStyle w:val="Compact"/>
              <w:jc w:val="left"/>
            </w:pPr>
            <w:r>
              <w:t xml:space="preserve">High accuracy, multilingual</w:t>
            </w:r>
          </w:p>
        </w:tc>
      </w:tr>
      <w:tr>
        <w:tc>
          <w:tcPr/>
          <w:p>
            <w:pPr>
              <w:pStyle w:val="Compact"/>
              <w:jc w:val="left"/>
            </w:pPr>
            <w:r>
              <w:t xml:space="preserve">Text-to-Speech</w:t>
            </w:r>
          </w:p>
        </w:tc>
        <w:tc>
          <w:tcPr/>
          <w:p>
            <w:pPr>
              <w:pStyle w:val="Compact"/>
              <w:jc w:val="left"/>
            </w:pPr>
            <w:r>
              <w:t xml:space="preserve">ElevenLabs</w:t>
            </w:r>
          </w:p>
        </w:tc>
        <w:tc>
          <w:tcPr/>
          <w:p>
            <w:pPr>
              <w:pStyle w:val="Compact"/>
              <w:jc w:val="left"/>
            </w:pPr>
            <w:r>
              <w:t xml:space="preserve">Natural voice output</w:t>
            </w:r>
          </w:p>
        </w:tc>
      </w:tr>
      <w:tr>
        <w:tc>
          <w:tcPr/>
          <w:p>
            <w:pPr>
              <w:pStyle w:val="Compact"/>
              <w:jc w:val="left"/>
            </w:pPr>
            <w:r>
              <w:t xml:space="preserve">LLM</w:t>
            </w:r>
          </w:p>
        </w:tc>
        <w:tc>
          <w:tcPr/>
          <w:p>
            <w:pPr>
              <w:pStyle w:val="Compact"/>
              <w:jc w:val="left"/>
            </w:pPr>
            <w:r>
              <w:t xml:space="preserve">Groq inference with Llama models</w:t>
            </w:r>
          </w:p>
        </w:tc>
        <w:tc>
          <w:tcPr/>
          <w:p>
            <w:pPr>
              <w:pStyle w:val="Compact"/>
              <w:jc w:val="left"/>
            </w:pPr>
            <w:r>
              <w:t xml:space="preserve">Cost-effective (vs Claude API)</w:t>
            </w:r>
          </w:p>
        </w:tc>
      </w:tr>
      <w:tr>
        <w:tc>
          <w:tcPr/>
          <w:p>
            <w:pPr>
              <w:pStyle w:val="Compact"/>
              <w:jc w:val="left"/>
            </w:pPr>
            <w:r>
              <w:t xml:space="preserve">Hosting</w:t>
            </w:r>
          </w:p>
        </w:tc>
        <w:tc>
          <w:tcPr/>
          <w:p>
            <w:pPr>
              <w:pStyle w:val="Compact"/>
              <w:jc w:val="left"/>
            </w:pPr>
            <w:r>
              <w:t xml:space="preserve">Cloudflare Workers</w:t>
            </w:r>
          </w:p>
        </w:tc>
        <w:tc>
          <w:tcPr/>
          <w:p>
            <w:pPr>
              <w:pStyle w:val="Compact"/>
              <w:jc w:val="left"/>
            </w:pPr>
            <w:r>
              <w:t xml:space="preserve">Edge performance, EU compliance</w:t>
            </w:r>
          </w:p>
        </w:tc>
      </w:tr>
    </w:tbl>
    <w:bookmarkEnd w:id="104"/>
    <w:bookmarkStart w:id="105" w:name="phase-1-foundation-q1-2026"/>
    <w:p>
      <w:pPr>
        <w:pStyle w:val="Heading2"/>
      </w:pPr>
      <w:r>
        <w:t xml:space="preserve">7.3 Phase 1: Foundation (Q1 2026)</w:t>
      </w:r>
    </w:p>
    <w:p>
      <w:pPr>
        <w:pStyle w:val="FirstParagraph"/>
      </w:pPr>
      <w:r>
        <w:rPr>
          <w:bCs/>
          <w:b/>
        </w:rPr>
        <w:t xml:space="preserve">Goal:</w:t>
      </w:r>
      <w:r>
        <w:t xml:space="preserve"> </w:t>
      </w:r>
      <w:r>
        <w:t xml:space="preserve">Basic audio chat with product catalog awareness</w:t>
      </w:r>
    </w:p>
    <w:p>
      <w:pPr>
        <w:pStyle w:val="BodyText"/>
      </w:pPr>
      <w:r>
        <w:rPr>
          <w:bCs/>
          <w:b/>
        </w:rPr>
        <w:t xml:space="preserve">Features:</w:t>
      </w:r>
    </w:p>
    <w:p>
      <w:pPr>
        <w:numPr>
          <w:ilvl w:val="0"/>
          <w:numId w:val="1036"/>
        </w:numPr>
        <w:pStyle w:val="Compact"/>
      </w:pPr>
      <w:r>
        <w:t xml:space="preserve">Voice input/output (Finnish, English, Swedish)</w:t>
      </w:r>
    </w:p>
    <w:p>
      <w:pPr>
        <w:numPr>
          <w:ilvl w:val="0"/>
          <w:numId w:val="1036"/>
        </w:numPr>
        <w:pStyle w:val="Compact"/>
      </w:pPr>
      <w:r>
        <w:t xml:space="preserve">Product catalog search</w:t>
      </w:r>
    </w:p>
    <w:p>
      <w:pPr>
        <w:numPr>
          <w:ilvl w:val="0"/>
          <w:numId w:val="1036"/>
        </w:numPr>
        <w:pStyle w:val="Compact"/>
      </w:pPr>
      <w:r>
        <w:t xml:space="preserve">Basic Q&amp;A about services</w:t>
      </w:r>
    </w:p>
    <w:p>
      <w:pPr>
        <w:numPr>
          <w:ilvl w:val="0"/>
          <w:numId w:val="1036"/>
        </w:numPr>
        <w:pStyle w:val="Compact"/>
      </w:pPr>
      <w:r>
        <w:t xml:space="preserve">Handoff to human support</w:t>
      </w:r>
    </w:p>
    <w:p>
      <w:pPr>
        <w:numPr>
          <w:ilvl w:val="0"/>
          <w:numId w:val="1036"/>
        </w:numPr>
        <w:pStyle w:val="Compact"/>
      </w:pPr>
      <w:r>
        <w:t xml:space="preserve">EU AI Act transparency disclosure</w:t>
      </w:r>
    </w:p>
    <w:bookmarkEnd w:id="105"/>
    <w:bookmarkStart w:id="107" w:name="Xbe2cab1491363c4999c52194565d929d7046e08"/>
    <w:p>
      <w:pPr>
        <w:pStyle w:val="Heading2"/>
      </w:pPr>
      <w:r>
        <w:t xml:space="preserve">7.4 Phase 2: Carbon Footprint Calculator Integration (Q2 2026)</w:t>
      </w:r>
    </w:p>
    <w:p>
      <w:pPr>
        <w:pStyle w:val="FirstParagraph"/>
      </w:pPr>
      <w:r>
        <w:rPr>
          <w:bCs/>
          <w:b/>
        </w:rPr>
        <w:t xml:space="preserve">Goal:</w:t>
      </w:r>
      <w:r>
        <w:t xml:space="preserve"> </w:t>
      </w:r>
      <w:r>
        <w:t xml:space="preserve">Industry-specific carbon footprint calculations with product recommendations</w:t>
      </w:r>
    </w:p>
    <w:bookmarkStart w:id="106" w:name="industry-carbon-profiles-16-eu-sectors"/>
    <w:p>
      <w:pPr>
        <w:pStyle w:val="Heading3"/>
      </w:pPr>
      <w:r>
        <w:t xml:space="preserve">Industry Carbon Profiles (16 EU Sectors)</w:t>
      </w:r>
    </w:p>
    <w:tbl>
      <w:tblPr>
        <w:tblStyle w:val="Table"/>
        <w:tblW w:type="pct" w:w="5000"/>
        <w:tblLook w:firstRow="1" w:lastRow="0" w:firstColumn="0" w:lastColumn="0" w:noHBand="0" w:noVBand="0" w:val="0020"/>
        <w:jc w:val="start"/>
      </w:tblPr>
      <w:tblGrid>
        <w:gridCol w:w="1262"/>
        <w:gridCol w:w="3099"/>
        <w:gridCol w:w="3558"/>
      </w:tblGrid>
      <w:tr>
        <w:trPr>
          <w:tblHeader w:val="true"/>
        </w:trPr>
        <w:tc>
          <w:tcPr/>
          <w:p>
            <w:pPr>
              <w:pStyle w:val="Compact"/>
              <w:jc w:val="left"/>
            </w:pPr>
            <w:r>
              <w:t xml:space="preserve">Industry</w:t>
            </w:r>
          </w:p>
        </w:tc>
        <w:tc>
          <w:tcPr/>
          <w:p>
            <w:pPr>
              <w:pStyle w:val="Compact"/>
              <w:jc w:val="left"/>
            </w:pPr>
            <w:r>
              <w:t xml:space="preserve">Primary Emissions</w:t>
            </w:r>
          </w:p>
        </w:tc>
        <w:tc>
          <w:tcPr/>
          <w:p>
            <w:pPr>
              <w:pStyle w:val="Compact"/>
              <w:jc w:val="left"/>
            </w:pPr>
            <w:r>
              <w:t xml:space="preserve">Recommended Products</w:t>
            </w:r>
          </w:p>
        </w:tc>
      </w:tr>
      <w:tr>
        <w:tc>
          <w:tcPr/>
          <w:p>
            <w:pPr>
              <w:pStyle w:val="Compact"/>
              <w:jc w:val="left"/>
            </w:pPr>
            <w:r>
              <w:t xml:space="preserve">Steel</w:t>
            </w:r>
          </w:p>
        </w:tc>
        <w:tc>
          <w:tcPr/>
          <w:p>
            <w:pPr>
              <w:pStyle w:val="Compact"/>
              <w:jc w:val="left"/>
            </w:pPr>
            <w:r>
              <w:t xml:space="preserve">Process emissions (Scope 1)</w:t>
            </w:r>
          </w:p>
        </w:tc>
        <w:tc>
          <w:tcPr/>
          <w:p>
            <w:pPr>
              <w:pStyle w:val="Compact"/>
              <w:jc w:val="left"/>
            </w:pPr>
            <w:r>
              <w:t xml:space="preserve">DWS IQ v6, Firehorse Automation</w:t>
            </w:r>
          </w:p>
        </w:tc>
      </w:tr>
      <w:tr>
        <w:tc>
          <w:tcPr/>
          <w:p>
            <w:pPr>
              <w:pStyle w:val="Compact"/>
              <w:jc w:val="left"/>
            </w:pPr>
            <w:r>
              <w:t xml:space="preserve">Cement</w:t>
            </w:r>
          </w:p>
        </w:tc>
        <w:tc>
          <w:tcPr/>
          <w:p>
            <w:pPr>
              <w:pStyle w:val="Compact"/>
              <w:jc w:val="left"/>
            </w:pPr>
            <w:r>
              <w:t xml:space="preserve">Process + energy</w:t>
            </w:r>
          </w:p>
        </w:tc>
        <w:tc>
          <w:tcPr/>
          <w:p>
            <w:pPr>
              <w:pStyle w:val="Compact"/>
              <w:jc w:val="left"/>
            </w:pPr>
            <w:r>
              <w:t xml:space="preserve">DWS IQ v6, Climate Bundle</w:t>
            </w:r>
          </w:p>
        </w:tc>
      </w:tr>
      <w:tr>
        <w:tc>
          <w:tcPr/>
          <w:p>
            <w:pPr>
              <w:pStyle w:val="Compact"/>
              <w:jc w:val="left"/>
            </w:pPr>
            <w:r>
              <w:t xml:space="preserve">Chemicals</w:t>
            </w:r>
          </w:p>
        </w:tc>
        <w:tc>
          <w:tcPr/>
          <w:p>
            <w:pPr>
              <w:pStyle w:val="Compact"/>
              <w:jc w:val="left"/>
            </w:pPr>
            <w:r>
              <w:t xml:space="preserve">Supply chain (Scope 3)</w:t>
            </w:r>
          </w:p>
        </w:tc>
        <w:tc>
          <w:tcPr/>
          <w:p>
            <w:pPr>
              <w:pStyle w:val="Compact"/>
              <w:jc w:val="left"/>
            </w:pPr>
            <w:r>
              <w:t xml:space="preserve">Firehorse Report, Consulting</w:t>
            </w:r>
          </w:p>
        </w:tc>
      </w:tr>
      <w:tr>
        <w:tc>
          <w:tcPr/>
          <w:p>
            <w:pPr>
              <w:pStyle w:val="Compact"/>
              <w:jc w:val="left"/>
            </w:pPr>
            <w:r>
              <w:t xml:space="preserve">Automotive</w:t>
            </w:r>
          </w:p>
        </w:tc>
        <w:tc>
          <w:tcPr/>
          <w:p>
            <w:pPr>
              <w:pStyle w:val="Compact"/>
              <w:jc w:val="left"/>
            </w:pPr>
            <w:r>
              <w:t xml:space="preserve">Manufacturing + use phase</w:t>
            </w:r>
          </w:p>
        </w:tc>
        <w:tc>
          <w:tcPr/>
          <w:p>
            <w:pPr>
              <w:pStyle w:val="Compact"/>
              <w:jc w:val="left"/>
            </w:pPr>
            <w:r>
              <w:t xml:space="preserve">DWS IQ v6, Expert Advisory</w:t>
            </w:r>
          </w:p>
        </w:tc>
      </w:tr>
      <w:tr>
        <w:tc>
          <w:tcPr/>
          <w:p>
            <w:pPr>
              <w:pStyle w:val="Compact"/>
              <w:jc w:val="left"/>
            </w:pPr>
            <w:r>
              <w:t xml:space="preserve">Maritime</w:t>
            </w:r>
          </w:p>
        </w:tc>
        <w:tc>
          <w:tcPr/>
          <w:p>
            <w:pPr>
              <w:pStyle w:val="Compact"/>
              <w:jc w:val="left"/>
            </w:pPr>
            <w:r>
              <w:t xml:space="preserve">Fuel consumption</w:t>
            </w:r>
          </w:p>
        </w:tc>
        <w:tc>
          <w:tcPr/>
          <w:p>
            <w:pPr>
              <w:pStyle w:val="Compact"/>
              <w:jc w:val="left"/>
            </w:pPr>
            <w:r>
              <w:t xml:space="preserve">Firehorse Automation, Report</w:t>
            </w:r>
          </w:p>
        </w:tc>
      </w:tr>
      <w:tr>
        <w:tc>
          <w:tcPr/>
          <w:p>
            <w:pPr>
              <w:pStyle w:val="Compact"/>
              <w:jc w:val="left"/>
            </w:pPr>
            <w:r>
              <w:t xml:space="preserve">Aviation</w:t>
            </w:r>
          </w:p>
        </w:tc>
        <w:tc>
          <w:tcPr/>
          <w:p>
            <w:pPr>
              <w:pStyle w:val="Compact"/>
              <w:jc w:val="left"/>
            </w:pPr>
            <w:r>
              <w:t xml:space="preserve">Jet fuel, SAF transition</w:t>
            </w:r>
          </w:p>
        </w:tc>
        <w:tc>
          <w:tcPr/>
          <w:p>
            <w:pPr>
              <w:pStyle w:val="Compact"/>
              <w:jc w:val="left"/>
            </w:pPr>
            <w:r>
              <w:t xml:space="preserve">DWS IQ v6, Consulting Fit55</w:t>
            </w:r>
          </w:p>
        </w:tc>
      </w:tr>
      <w:tr>
        <w:tc>
          <w:tcPr/>
          <w:p>
            <w:pPr>
              <w:pStyle w:val="Compact"/>
              <w:jc w:val="left"/>
            </w:pPr>
            <w:r>
              <w:t xml:space="preserve">Buildings</w:t>
            </w:r>
          </w:p>
        </w:tc>
        <w:tc>
          <w:tcPr/>
          <w:p>
            <w:pPr>
              <w:pStyle w:val="Compact"/>
              <w:jc w:val="left"/>
            </w:pPr>
            <w:r>
              <w:t xml:space="preserve">Energy efficiency</w:t>
            </w:r>
          </w:p>
        </w:tc>
        <w:tc>
          <w:tcPr/>
          <w:p>
            <w:pPr>
              <w:pStyle w:val="Compact"/>
              <w:jc w:val="left"/>
            </w:pPr>
            <w:r>
              <w:t xml:space="preserve">Firehorse CMS, Automation</w:t>
            </w:r>
          </w:p>
        </w:tc>
      </w:tr>
      <w:tr>
        <w:tc>
          <w:tcPr/>
          <w:p>
            <w:pPr>
              <w:pStyle w:val="Compact"/>
              <w:jc w:val="left"/>
            </w:pPr>
            <w:r>
              <w:t xml:space="preserve">Agriculture</w:t>
            </w:r>
          </w:p>
        </w:tc>
        <w:tc>
          <w:tcPr/>
          <w:p>
            <w:pPr>
              <w:pStyle w:val="Compact"/>
              <w:jc w:val="left"/>
            </w:pPr>
            <w:r>
              <w:t xml:space="preserve">Land use, livestock</w:t>
            </w:r>
          </w:p>
        </w:tc>
        <w:tc>
          <w:tcPr/>
          <w:p>
            <w:pPr>
              <w:pStyle w:val="Compact"/>
              <w:jc w:val="left"/>
            </w:pPr>
            <w:r>
              <w:t xml:space="preserve">Climate Bundle, Advisory</w:t>
            </w:r>
          </w:p>
        </w:tc>
      </w:tr>
    </w:tbl>
    <w:bookmarkEnd w:id="106"/>
    <w:bookmarkEnd w:id="107"/>
    <w:bookmarkStart w:id="109" w:name="phase-3-eu-regulatory-awareness-q3-2026"/>
    <w:p>
      <w:pPr>
        <w:pStyle w:val="Heading2"/>
      </w:pPr>
      <w:r>
        <w:t xml:space="preserve">7.5 Phase 3: EU Regulatory Awareness (Q3 2026)</w:t>
      </w:r>
    </w:p>
    <w:p>
      <w:pPr>
        <w:pStyle w:val="FirstParagraph"/>
      </w:pPr>
      <w:r>
        <w:rPr>
          <w:bCs/>
          <w:b/>
        </w:rPr>
        <w:t xml:space="preserve">Goal:</w:t>
      </w:r>
      <w:r>
        <w:t xml:space="preserve"> </w:t>
      </w:r>
      <w:r>
        <w:t xml:space="preserve">Proactive regulatory compliance recommendations</w:t>
      </w:r>
    </w:p>
    <w:bookmarkStart w:id="108" w:name="regulation-trigger-matrix"/>
    <w:p>
      <w:pPr>
        <w:pStyle w:val="Heading3"/>
      </w:pPr>
      <w:r>
        <w:t xml:space="preserve">Regulation Trigger Matrix</w:t>
      </w:r>
    </w:p>
    <w:tbl>
      <w:tblPr>
        <w:tblStyle w:val="Table"/>
        <w:tblW w:type="pct" w:w="5000"/>
        <w:tblLook w:firstRow="1" w:lastRow="0" w:firstColumn="0" w:lastColumn="0" w:noHBand="0" w:noVBand="0" w:val="0020"/>
        <w:jc w:val="start"/>
      </w:tblPr>
      <w:tblGrid>
        <w:gridCol w:w="1237"/>
        <w:gridCol w:w="2846"/>
        <w:gridCol w:w="3836"/>
      </w:tblGrid>
      <w:tr>
        <w:trPr>
          <w:tblHeader w:val="true"/>
        </w:trPr>
        <w:tc>
          <w:tcPr/>
          <w:p>
            <w:pPr>
              <w:pStyle w:val="Compact"/>
              <w:jc w:val="left"/>
            </w:pPr>
            <w:r>
              <w:t xml:space="preserve">Regulation</w:t>
            </w:r>
          </w:p>
        </w:tc>
        <w:tc>
          <w:tcPr/>
          <w:p>
            <w:pPr>
              <w:pStyle w:val="Compact"/>
              <w:jc w:val="left"/>
            </w:pPr>
            <w:r>
              <w:t xml:space="preserve">Trigger Condition</w:t>
            </w:r>
          </w:p>
        </w:tc>
        <w:tc>
          <w:tcPr/>
          <w:p>
            <w:pPr>
              <w:pStyle w:val="Compact"/>
              <w:jc w:val="left"/>
            </w:pPr>
            <w:r>
              <w:t xml:space="preserve">Product Recommendation</w:t>
            </w:r>
          </w:p>
        </w:tc>
      </w:tr>
      <w:tr>
        <w:tc>
          <w:tcPr/>
          <w:p>
            <w:pPr>
              <w:pStyle w:val="Compact"/>
              <w:jc w:val="left"/>
            </w:pPr>
            <w:r>
              <w:t xml:space="preserve">EU AI Act</w:t>
            </w:r>
          </w:p>
        </w:tc>
        <w:tc>
          <w:tcPr/>
          <w:p>
            <w:pPr>
              <w:pStyle w:val="Compact"/>
              <w:jc w:val="left"/>
            </w:pPr>
            <w:r>
              <w:t xml:space="preserve">Uses AI systems</w:t>
            </w:r>
          </w:p>
        </w:tc>
        <w:tc>
          <w:tcPr/>
          <w:p>
            <w:pPr>
              <w:pStyle w:val="Compact"/>
              <w:jc w:val="left"/>
            </w:pPr>
            <w:r>
              <w:t xml:space="preserve">DWS IQ v6, Conversational Agent</w:t>
            </w:r>
          </w:p>
        </w:tc>
      </w:tr>
      <w:tr>
        <w:tc>
          <w:tcPr/>
          <w:p>
            <w:pPr>
              <w:pStyle w:val="Compact"/>
              <w:jc w:val="left"/>
            </w:pPr>
            <w:r>
              <w:t xml:space="preserve">Fit for 55</w:t>
            </w:r>
          </w:p>
        </w:tc>
        <w:tc>
          <w:tcPr/>
          <w:p>
            <w:pPr>
              <w:pStyle w:val="Compact"/>
              <w:jc w:val="left"/>
            </w:pPr>
            <w:r>
              <w:t xml:space="preserve">&gt;500 tCO2e annually</w:t>
            </w:r>
          </w:p>
        </w:tc>
        <w:tc>
          <w:tcPr/>
          <w:p>
            <w:pPr>
              <w:pStyle w:val="Compact"/>
              <w:jc w:val="left"/>
            </w:pPr>
            <w:r>
              <w:t xml:space="preserve">DWS IQ Platform, FH Report</w:t>
            </w:r>
          </w:p>
        </w:tc>
      </w:tr>
      <w:tr>
        <w:tc>
          <w:tcPr/>
          <w:p>
            <w:pPr>
              <w:pStyle w:val="Compact"/>
              <w:jc w:val="left"/>
            </w:pPr>
            <w:r>
              <w:t xml:space="preserve">CSRD</w:t>
            </w:r>
          </w:p>
        </w:tc>
        <w:tc>
          <w:tcPr/>
          <w:p>
            <w:pPr>
              <w:pStyle w:val="Compact"/>
              <w:jc w:val="left"/>
            </w:pPr>
            <w:r>
              <w:t xml:space="preserve">&gt;250 employees</w:t>
            </w:r>
          </w:p>
        </w:tc>
        <w:tc>
          <w:tcPr/>
          <w:p>
            <w:pPr>
              <w:pStyle w:val="Compact"/>
              <w:jc w:val="left"/>
            </w:pPr>
            <w:r>
              <w:t xml:space="preserve">Climate Reporting Bundle</w:t>
            </w:r>
          </w:p>
        </w:tc>
      </w:tr>
      <w:tr>
        <w:tc>
          <w:tcPr/>
          <w:p>
            <w:pPr>
              <w:pStyle w:val="Compact"/>
              <w:jc w:val="left"/>
            </w:pPr>
            <w:r>
              <w:t xml:space="preserve">GDPR</w:t>
            </w:r>
          </w:p>
        </w:tc>
        <w:tc>
          <w:tcPr/>
          <w:p>
            <w:pPr>
              <w:pStyle w:val="Compact"/>
              <w:jc w:val="left"/>
            </w:pPr>
            <w:r>
              <w:t xml:space="preserve">Processes personal data</w:t>
            </w:r>
          </w:p>
        </w:tc>
        <w:tc>
          <w:tcPr/>
          <w:p>
            <w:pPr>
              <w:pStyle w:val="Compact"/>
              <w:jc w:val="left"/>
            </w:pPr>
            <w:r>
              <w:t xml:space="preserve">Protonmail implementation</w:t>
            </w:r>
          </w:p>
        </w:tc>
      </w:tr>
      <w:tr>
        <w:tc>
          <w:tcPr/>
          <w:p>
            <w:pPr>
              <w:pStyle w:val="Compact"/>
              <w:jc w:val="left"/>
            </w:pPr>
            <w:r>
              <w:t xml:space="preserve">NIS2</w:t>
            </w:r>
          </w:p>
        </w:tc>
        <w:tc>
          <w:tcPr/>
          <w:p>
            <w:pPr>
              <w:pStyle w:val="Compact"/>
              <w:jc w:val="left"/>
            </w:pPr>
            <w:r>
              <w:t xml:space="preserve">Critical infrastructure</w:t>
            </w:r>
          </w:p>
        </w:tc>
        <w:tc>
          <w:tcPr/>
          <w:p>
            <w:pPr>
              <w:pStyle w:val="Compact"/>
              <w:jc w:val="left"/>
            </w:pPr>
            <w:r>
              <w:t xml:space="preserve">Firehorse CMS, Protonmail</w:t>
            </w:r>
          </w:p>
        </w:tc>
      </w:tr>
      <w:tr>
        <w:tc>
          <w:tcPr/>
          <w:p>
            <w:pPr>
              <w:pStyle w:val="Compact"/>
              <w:jc w:val="left"/>
            </w:pPr>
            <w:r>
              <w:t xml:space="preserve">CBAM</w:t>
            </w:r>
          </w:p>
        </w:tc>
        <w:tc>
          <w:tcPr/>
          <w:p>
            <w:pPr>
              <w:pStyle w:val="Compact"/>
              <w:jc w:val="left"/>
            </w:pPr>
            <w:r>
              <w:t xml:space="preserve">Imports from outside EU</w:t>
            </w:r>
          </w:p>
        </w:tc>
        <w:tc>
          <w:tcPr/>
          <w:p>
            <w:pPr>
              <w:pStyle w:val="Compact"/>
              <w:jc w:val="left"/>
            </w:pPr>
            <w:r>
              <w:t xml:space="preserve">DWS IQ, Consulting</w:t>
            </w:r>
          </w:p>
        </w:tc>
      </w:tr>
    </w:tbl>
    <w:bookmarkEnd w:id="108"/>
    <w:bookmarkEnd w:id="109"/>
    <w:bookmarkStart w:id="110" w:name="phase-4-partner-ecosystem-q4-2026"/>
    <w:p>
      <w:pPr>
        <w:pStyle w:val="Heading2"/>
      </w:pPr>
      <w:r>
        <w:t xml:space="preserve">7.6 Phase 4: Partner Ecosystem (Q4 2026)</w:t>
      </w:r>
    </w:p>
    <w:p>
      <w:pPr>
        <w:pStyle w:val="FirstParagraph"/>
      </w:pPr>
      <w:r>
        <w:rPr>
          <w:bCs/>
          <w:b/>
        </w:rPr>
        <w:t xml:space="preserve">Revenue model:</w:t>
      </w:r>
    </w:p>
    <w:p>
      <w:pPr>
        <w:numPr>
          <w:ilvl w:val="0"/>
          <w:numId w:val="1037"/>
        </w:numPr>
        <w:pStyle w:val="Compact"/>
      </w:pPr>
      <w:r>
        <w:t xml:space="preserve">Lifetime products: Direct sales</w:t>
      </w:r>
    </w:p>
    <w:p>
      <w:pPr>
        <w:numPr>
          <w:ilvl w:val="0"/>
          <w:numId w:val="1037"/>
        </w:numPr>
        <w:pStyle w:val="Compact"/>
      </w:pPr>
      <w:r>
        <w:t xml:space="preserve">Partner products: Commission (10-20%)</w:t>
      </w:r>
    </w:p>
    <w:bookmarkEnd w:id="110"/>
    <w:bookmarkStart w:id="111" w:name="proton-security-products-strategy"/>
    <w:p>
      <w:pPr>
        <w:pStyle w:val="Heading2"/>
      </w:pPr>
      <w:r>
        <w:t xml:space="preserve">7.7 Proton Security Products Strategy</w:t>
      </w:r>
    </w:p>
    <w:p>
      <w:pPr>
        <w:pStyle w:val="FirstParagraph"/>
      </w:pPr>
      <w:r>
        <w:t xml:space="preserve">When audio chat detects security/privacy needs: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Description</w:t>
            </w:r>
          </w:p>
        </w:tc>
      </w:tr>
      <w:tr>
        <w:tc>
          <w:tcPr/>
          <w:p>
            <w:pPr>
              <w:pStyle w:val="Compact"/>
              <w:jc w:val="left"/>
            </w:pPr>
            <w:r>
              <w:t xml:space="preserve">Proton Mail</w:t>
            </w:r>
          </w:p>
        </w:tc>
        <w:tc>
          <w:tcPr/>
          <w:p>
            <w:pPr>
              <w:pStyle w:val="Compact"/>
              <w:jc w:val="left"/>
            </w:pPr>
            <w:r>
              <w:t xml:space="preserve">End-to-end encrypted email</w:t>
            </w:r>
          </w:p>
        </w:tc>
      </w:tr>
      <w:tr>
        <w:tc>
          <w:tcPr/>
          <w:p>
            <w:pPr>
              <w:pStyle w:val="Compact"/>
              <w:jc w:val="left"/>
            </w:pPr>
            <w:r>
              <w:t xml:space="preserve">Proton Drive</w:t>
            </w:r>
          </w:p>
        </w:tc>
        <w:tc>
          <w:tcPr/>
          <w:p>
            <w:pPr>
              <w:pStyle w:val="Compact"/>
              <w:jc w:val="left"/>
            </w:pPr>
            <w:r>
              <w:t xml:space="preserve">Encrypted cloud storage</w:t>
            </w:r>
          </w:p>
        </w:tc>
      </w:tr>
      <w:tr>
        <w:tc>
          <w:tcPr/>
          <w:p>
            <w:pPr>
              <w:pStyle w:val="Compact"/>
              <w:jc w:val="left"/>
            </w:pPr>
            <w:r>
              <w:t xml:space="preserve">Proton Pass</w:t>
            </w:r>
          </w:p>
        </w:tc>
        <w:tc>
          <w:tcPr/>
          <w:p>
            <w:pPr>
              <w:pStyle w:val="Compact"/>
              <w:jc w:val="left"/>
            </w:pPr>
            <w:r>
              <w:t xml:space="preserve">Password manager</w:t>
            </w:r>
          </w:p>
        </w:tc>
      </w:tr>
      <w:tr>
        <w:tc>
          <w:tcPr/>
          <w:p>
            <w:pPr>
              <w:pStyle w:val="Compact"/>
              <w:jc w:val="left"/>
            </w:pPr>
            <w:r>
              <w:t xml:space="preserve">Proton VPN</w:t>
            </w:r>
          </w:p>
        </w:tc>
        <w:tc>
          <w:tcPr/>
          <w:p>
            <w:pPr>
              <w:pStyle w:val="Compact"/>
              <w:jc w:val="left"/>
            </w:pPr>
            <w:r>
              <w:t xml:space="preserve">Secure network connection</w:t>
            </w:r>
          </w:p>
        </w:tc>
      </w:tr>
    </w:tbl>
    <w:p>
      <w:r>
        <w:pict>
          <v:rect style="width:0;height:1.5pt" o:hralign="center" o:hrstd="t" o:hr="t"/>
        </w:pict>
      </w:r>
    </w:p>
    <w:bookmarkEnd w:id="111"/>
    <w:bookmarkEnd w:id="112"/>
    <w:bookmarkStart w:id="128" w:name="results-and-analysis"/>
    <w:p>
      <w:pPr>
        <w:pStyle w:val="Heading1"/>
      </w:pPr>
      <w:r>
        <w:t xml:space="preserve">8. Results and Analysis</w:t>
      </w:r>
    </w:p>
    <w:bookmarkStart w:id="113" w:name="operational-efficiency"/>
    <w:p>
      <w:pPr>
        <w:pStyle w:val="Heading2"/>
      </w:pPr>
      <w:r>
        <w:t xml:space="preserve">8.1 Operational Efficiency</w:t>
      </w:r>
    </w:p>
    <w:p>
      <w:pPr>
        <w:pStyle w:val="FirstParagraph"/>
      </w:pPr>
      <w:r>
        <w:t xml:space="preserve">The Firehorse operating model with Claude Code achieved (updated v3.26):</w:t>
      </w:r>
    </w:p>
    <w:tbl>
      <w:tblPr>
        <w:tblStyle w:val="Table"/>
        <w:tblW w:type="pct" w:w="5000"/>
        <w:tblLook w:firstRow="1" w:lastRow="0" w:firstColumn="0" w:lastColumn="0" w:noHBand="0" w:noVBand="0" w:val="0020"/>
        <w:jc w:val="start"/>
      </w:tblPr>
      <w:tblGrid>
        <w:gridCol w:w="2354"/>
        <w:gridCol w:w="1212"/>
        <w:gridCol w:w="2497"/>
        <w:gridCol w:w="1855"/>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Product update time</w:t>
            </w:r>
          </w:p>
        </w:tc>
        <w:tc>
          <w:tcPr/>
          <w:p>
            <w:pPr>
              <w:pStyle w:val="Compact"/>
              <w:jc w:val="left"/>
            </w:pPr>
            <w:r>
              <w:t xml:space="preserve">2 hours</w:t>
            </w:r>
          </w:p>
        </w:tc>
        <w:tc>
          <w:tcPr/>
          <w:p>
            <w:pPr>
              <w:pStyle w:val="Compact"/>
              <w:jc w:val="left"/>
            </w:pPr>
            <w:r>
              <w:t xml:space="preserve">5 minutes</w:t>
            </w:r>
          </w:p>
        </w:tc>
        <w:tc>
          <w:tcPr/>
          <w:p>
            <w:pPr>
              <w:pStyle w:val="Compact"/>
              <w:jc w:val="left"/>
            </w:pPr>
            <w:r>
              <w:t xml:space="preserve">96%</w:t>
            </w:r>
          </w:p>
        </w:tc>
      </w:tr>
      <w:tr>
        <w:tc>
          <w:tcPr/>
          <w:p>
            <w:pPr>
              <w:pStyle w:val="Compact"/>
              <w:jc w:val="left"/>
            </w:pPr>
            <w:r>
              <w:t xml:space="preserve">Feed generation</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100%</w:t>
            </w:r>
          </w:p>
        </w:tc>
      </w:tr>
      <w:tr>
        <w:tc>
          <w:tcPr/>
          <w:p>
            <w:pPr>
              <w:pStyle w:val="Compact"/>
              <w:jc w:val="left"/>
            </w:pPr>
            <w:r>
              <w:t xml:space="preserve">Documentation creation</w:t>
            </w:r>
          </w:p>
        </w:tc>
        <w:tc>
          <w:tcPr/>
          <w:p>
            <w:pPr>
              <w:pStyle w:val="Compact"/>
              <w:jc w:val="left"/>
            </w:pPr>
            <w:r>
              <w:t xml:space="preserve">1 week</w:t>
            </w:r>
          </w:p>
        </w:tc>
        <w:tc>
          <w:tcPr/>
          <w:p>
            <w:pPr>
              <w:pStyle w:val="Compact"/>
              <w:jc w:val="left"/>
            </w:pPr>
            <w:r>
              <w:t xml:space="preserve">1 hour</w:t>
            </w:r>
          </w:p>
        </w:tc>
        <w:tc>
          <w:tcPr/>
          <w:p>
            <w:pPr>
              <w:pStyle w:val="Compact"/>
              <w:jc w:val="left"/>
            </w:pPr>
            <w:r>
              <w:t xml:space="preserve">99%</w:t>
            </w:r>
          </w:p>
        </w:tc>
      </w:tr>
      <w:tr>
        <w:tc>
          <w:tcPr/>
          <w:p>
            <w:pPr>
              <w:pStyle w:val="Compact"/>
              <w:jc w:val="left"/>
            </w:pPr>
            <w:r>
              <w:t xml:space="preserve">Error rate</w:t>
            </w:r>
          </w:p>
        </w:tc>
        <w:tc>
          <w:tcPr/>
          <w:p>
            <w:pPr>
              <w:pStyle w:val="Compact"/>
              <w:jc w:val="left"/>
            </w:pPr>
            <w:r>
              <w:t xml:space="preserve">5%</w:t>
            </w:r>
          </w:p>
        </w:tc>
        <w:tc>
          <w:tcPr/>
          <w:p>
            <w:pPr>
              <w:pStyle w:val="Compact"/>
              <w:jc w:val="left"/>
            </w:pPr>
            <w:r>
              <w:t xml:space="preserve">&lt;1%</w:t>
            </w:r>
          </w:p>
        </w:tc>
        <w:tc>
          <w:tcPr/>
          <w:p>
            <w:pPr>
              <w:pStyle w:val="Compact"/>
              <w:jc w:val="left"/>
            </w:pPr>
            <w:r>
              <w:t xml:space="preserve">80%</w:t>
            </w:r>
          </w:p>
        </w:tc>
      </w:tr>
      <w:tr>
        <w:tc>
          <w:tcPr/>
          <w:p>
            <w:pPr>
              <w:pStyle w:val="Compact"/>
              <w:jc w:val="left"/>
            </w:pPr>
            <w:r>
              <w:t xml:space="preserve">Store page updates</w:t>
            </w:r>
          </w:p>
        </w:tc>
        <w:tc>
          <w:tcPr/>
          <w:p>
            <w:pPr>
              <w:pStyle w:val="Compact"/>
              <w:jc w:val="left"/>
            </w:pPr>
            <w:r>
              <w:t xml:space="preserve">4 hours</w:t>
            </w:r>
          </w:p>
        </w:tc>
        <w:tc>
          <w:tcPr/>
          <w:p>
            <w:pPr>
              <w:pStyle w:val="Compact"/>
              <w:jc w:val="left"/>
            </w:pPr>
            <w:r>
              <w:t xml:space="preserve">15 minutes</w:t>
            </w:r>
          </w:p>
        </w:tc>
        <w:tc>
          <w:tcPr/>
          <w:p>
            <w:pPr>
              <w:pStyle w:val="Compact"/>
              <w:jc w:val="left"/>
            </w:pPr>
            <w:r>
              <w:t xml:space="preserve">94%</w:t>
            </w:r>
          </w:p>
        </w:tc>
      </w:tr>
      <w:tr>
        <w:tc>
          <w:tcPr/>
          <w:p>
            <w:pPr>
              <w:pStyle w:val="Compact"/>
              <w:jc w:val="left"/>
            </w:pPr>
            <w:r>
              <w:rPr>
                <w:bCs/>
                <w:b/>
              </w:rPr>
              <w:t xml:space="preserve">Harness engineering benchmark</w:t>
            </w:r>
          </w:p>
        </w:tc>
        <w:tc>
          <w:tcPr/>
          <w:p>
            <w:pPr>
              <w:pStyle w:val="Compact"/>
              <w:jc w:val="left"/>
            </w:pPr>
            <w:r>
              <w:rPr>
                <w:bCs/>
                <w:b/>
              </w:rPr>
              <w:t xml:space="preserve">52.8%</w:t>
            </w:r>
          </w:p>
        </w:tc>
        <w:tc>
          <w:tcPr/>
          <w:p>
            <w:pPr>
              <w:pStyle w:val="Compact"/>
              <w:jc w:val="left"/>
            </w:pPr>
            <w:r>
              <w:rPr>
                <w:bCs/>
                <w:b/>
              </w:rPr>
              <w:t xml:space="preserve">66.5%</w:t>
            </w:r>
          </w:p>
        </w:tc>
        <w:tc>
          <w:tcPr/>
          <w:p>
            <w:pPr>
              <w:pStyle w:val="Compact"/>
              <w:jc w:val="left"/>
            </w:pPr>
            <w:r>
              <w:rPr>
                <w:bCs/>
                <w:b/>
              </w:rPr>
              <w:t xml:space="preserve">+26% (model unchanged)</w:t>
            </w:r>
          </w:p>
        </w:tc>
      </w:tr>
      <w:tr>
        <w:tc>
          <w:tcPr/>
          <w:p>
            <w:pPr>
              <w:pStyle w:val="Compact"/>
              <w:jc w:val="left"/>
            </w:pPr>
            <w:r>
              <w:rPr>
                <w:bCs/>
                <w:b/>
              </w:rPr>
              <w:t xml:space="preserve">PR review cycle</w:t>
            </w:r>
          </w:p>
        </w:tc>
        <w:tc>
          <w:tcPr/>
          <w:p>
            <w:pPr>
              <w:pStyle w:val="Compact"/>
              <w:jc w:val="left"/>
            </w:pPr>
            <w:r>
              <w:rPr>
                <w:bCs/>
                <w:b/>
              </w:rPr>
              <w:t xml:space="preserve">Manual (2-4h)</w:t>
            </w:r>
          </w:p>
        </w:tc>
        <w:tc>
          <w:tcPr/>
          <w:p>
            <w:pPr>
              <w:pStyle w:val="Compact"/>
              <w:jc w:val="left"/>
            </w:pPr>
            <w:r>
              <w:rPr>
                <w:bCs/>
                <w:b/>
              </w:rPr>
              <w:t xml:space="preserve">Dual-model AI (15 min)</w:t>
            </w:r>
          </w:p>
        </w:tc>
        <w:tc>
          <w:tcPr/>
          <w:p>
            <w:pPr>
              <w:pStyle w:val="Compact"/>
              <w:jc w:val="left"/>
            </w:pPr>
            <w:r>
              <w:rPr>
                <w:bCs/>
                <w:b/>
              </w:rPr>
              <w:t xml:space="preserve">94%</w:t>
            </w:r>
          </w:p>
        </w:tc>
      </w:tr>
      <w:tr>
        <w:tc>
          <w:tcPr/>
          <w:p>
            <w:pPr>
              <w:pStyle w:val="Compact"/>
              <w:jc w:val="left"/>
            </w:pPr>
            <w:r>
              <w:rPr>
                <w:bCs/>
                <w:b/>
              </w:rPr>
              <w:t xml:space="preserve">Agent fleet size</w:t>
            </w:r>
          </w:p>
        </w:tc>
        <w:tc>
          <w:tcPr/>
          <w:p>
            <w:pPr>
              <w:pStyle w:val="Compact"/>
              <w:jc w:val="left"/>
            </w:pPr>
            <w:r>
              <w:rPr>
                <w:bCs/>
                <w:b/>
              </w:rPr>
              <w:t xml:space="preserve">0 agents</w:t>
            </w:r>
          </w:p>
        </w:tc>
        <w:tc>
          <w:tcPr/>
          <w:p>
            <w:pPr>
              <w:pStyle w:val="Compact"/>
              <w:jc w:val="left"/>
            </w:pPr>
            <w:r>
              <w:rPr>
                <w:bCs/>
                <w:b/>
              </w:rPr>
              <w:t xml:space="preserve">13 agents (Pantheon)</w:t>
            </w:r>
          </w:p>
        </w:tc>
        <w:tc>
          <w:tcPr/>
          <w:p>
            <w:pPr>
              <w:pStyle w:val="Compact"/>
              <w:jc w:val="left"/>
            </w:pPr>
            <w:r>
              <w:rPr>
                <w:bCs/>
                <w:b/>
              </w:rPr>
              <w:t xml:space="preserve">∞</w:t>
            </w:r>
          </w:p>
        </w:tc>
      </w:tr>
      <w:tr>
        <w:tc>
          <w:tcPr/>
          <w:p>
            <w:pPr>
              <w:pStyle w:val="Compact"/>
              <w:jc w:val="left"/>
            </w:pPr>
            <w:r>
              <w:rPr>
                <w:bCs/>
                <w:b/>
              </w:rPr>
              <w:t xml:space="preserve">Customer features shipped</w:t>
            </w:r>
          </w:p>
        </w:tc>
        <w:tc>
          <w:tcPr/>
          <w:p>
            <w:pPr>
              <w:pStyle w:val="Compact"/>
              <w:jc w:val="left"/>
            </w:pPr>
            <w:r>
              <w:rPr>
                <w:bCs/>
                <w:b/>
              </w:rPr>
              <w:t xml:space="preserve">0</w:t>
            </w:r>
          </w:p>
        </w:tc>
        <w:tc>
          <w:tcPr/>
          <w:p>
            <w:pPr>
              <w:pStyle w:val="Compact"/>
              <w:jc w:val="left"/>
            </w:pPr>
            <w:r>
              <w:rPr>
                <w:bCs/>
                <w:b/>
              </w:rPr>
              <w:t xml:space="preserve">3 (API keys, metering, reports)</w:t>
            </w:r>
          </w:p>
        </w:tc>
        <w:tc>
          <w:tcPr/>
          <w:p>
            <w:pPr>
              <w:pStyle w:val="Compact"/>
              <w:jc w:val="left"/>
            </w:pPr>
            <w:r>
              <w:rPr>
                <w:bCs/>
                <w:b/>
              </w:rPr>
              <w:t xml:space="preserve">SaaS-ready</w:t>
            </w:r>
          </w:p>
        </w:tc>
      </w:tr>
    </w:tbl>
    <w:p>
      <w:pPr>
        <w:pStyle w:val="BodyText"/>
      </w:pPr>
      <w:r>
        <w:rPr>
          <w:bCs/>
          <w:b/>
        </w:rPr>
        <w:t xml:space="preserve">New in v3.26:</w:t>
      </w:r>
      <w:r>
        <w:t xml:space="preserve"> </w:t>
      </w:r>
      <w:r>
        <w:t xml:space="preserve">Harness engineering result (section 10.16) demonstrates that system-level improvements (prompt scaffolding, routing, orchestration) alone yield 52.8%→66.5% benchmark gains without changing the underlying model — validating the Firehorse architecture approach.</w:t>
      </w:r>
    </w:p>
    <w:bookmarkEnd w:id="113"/>
    <w:bookmarkStart w:id="114" w:name="google-merchant-center-performance"/>
    <w:p>
      <w:pPr>
        <w:pStyle w:val="Heading2"/>
      </w:pPr>
      <w:r>
        <w:t xml:space="preserve">8.2 Google Merchant Center Performance</w:t>
      </w:r>
    </w:p>
    <w:tbl>
      <w:tblPr>
        <w:tblStyle w:val="Table"/>
        <w:tblW w:type="pct" w:w="5000"/>
        <w:tblLook w:firstRow="1" w:lastRow="0" w:firstColumn="0" w:lastColumn="0" w:noHBand="0" w:noVBand="0" w:val="0020"/>
        <w:jc w:val="start"/>
      </w:tblPr>
      <w:tblGrid>
        <w:gridCol w:w="2864"/>
        <w:gridCol w:w="3117"/>
        <w:gridCol w:w="1937"/>
      </w:tblGrid>
      <w:tr>
        <w:trPr>
          <w:tblHeader w:val="true"/>
        </w:trPr>
        <w:tc>
          <w:tcPr/>
          <w:p>
            <w:pPr>
              <w:pStyle w:val="Compact"/>
              <w:jc w:val="left"/>
            </w:pPr>
            <w:r>
              <w:t xml:space="preserve">Metric</w:t>
            </w:r>
          </w:p>
        </w:tc>
        <w:tc>
          <w:tcPr/>
          <w:p>
            <w:pPr>
              <w:pStyle w:val="Compact"/>
              <w:jc w:val="left"/>
            </w:pPr>
            <w:r>
              <w:t xml:space="preserve">Result</w:t>
            </w:r>
          </w:p>
        </w:tc>
        <w:tc>
          <w:tcPr/>
          <w:p>
            <w:pPr>
              <w:pStyle w:val="Compact"/>
              <w:jc w:val="left"/>
            </w:pPr>
            <w:r>
              <w:t xml:space="preserve">Source</w:t>
            </w:r>
          </w:p>
        </w:tc>
      </w:tr>
      <w:tr>
        <w:tc>
          <w:tcPr/>
          <w:p>
            <w:pPr>
              <w:pStyle w:val="Compact"/>
              <w:jc w:val="left"/>
            </w:pPr>
            <w:r>
              <w:t xml:space="preserve">Product approval rate</w:t>
            </w:r>
          </w:p>
        </w:tc>
        <w:tc>
          <w:tcPr/>
          <w:p>
            <w:pPr>
              <w:pStyle w:val="Compact"/>
              <w:jc w:val="left"/>
            </w:pPr>
            <w:r>
              <w:t xml:space="preserve">100% (30/30 products)</w:t>
            </w:r>
          </w:p>
        </w:tc>
        <w:tc>
          <w:tcPr/>
          <w:p>
            <w:pPr>
              <w:pStyle w:val="Compact"/>
              <w:jc w:val="left"/>
            </w:pPr>
            <w:r>
              <w:t xml:space="preserve">Google Merchant Center</w:t>
            </w:r>
          </w:p>
        </w:tc>
      </w:tr>
      <w:tr>
        <w:tc>
          <w:tcPr/>
          <w:p>
            <w:pPr>
              <w:pStyle w:val="Compact"/>
              <w:jc w:val="left"/>
            </w:pPr>
            <w:r>
              <w:t xml:space="preserve">Feed processing time</w:t>
            </w:r>
          </w:p>
        </w:tc>
        <w:tc>
          <w:tcPr/>
          <w:p>
            <w:pPr>
              <w:pStyle w:val="Compact"/>
              <w:jc w:val="left"/>
            </w:pPr>
            <w:r>
              <w:t xml:space="preserve">&lt;24 hours</w:t>
            </w:r>
          </w:p>
        </w:tc>
        <w:tc>
          <w:tcPr/>
          <w:p>
            <w:pPr>
              <w:pStyle w:val="Compact"/>
              <w:jc w:val="left"/>
            </w:pPr>
            <w:r>
              <w:t xml:space="preserve">Automated SFTP upload</w:t>
            </w:r>
          </w:p>
        </w:tc>
      </w:tr>
      <w:tr>
        <w:tc>
          <w:tcPr/>
          <w:p>
            <w:pPr>
              <w:pStyle w:val="Compact"/>
              <w:jc w:val="left"/>
            </w:pPr>
            <w:r>
              <w:t xml:space="preserve">Checkout conversion</w:t>
            </w:r>
          </w:p>
        </w:tc>
        <w:tc>
          <w:tcPr/>
          <w:p>
            <w:pPr>
              <w:pStyle w:val="Compact"/>
              <w:jc w:val="left"/>
            </w:pPr>
            <w:r>
              <w:t xml:space="preserve">Direct to payment</w:t>
            </w:r>
          </w:p>
        </w:tc>
        <w:tc>
          <w:tcPr/>
          <w:p>
            <w:pPr>
              <w:pStyle w:val="Compact"/>
              <w:jc w:val="left"/>
            </w:pPr>
            <w:r>
              <w:t xml:space="preserve">Revolut Business</w:t>
            </w:r>
          </w:p>
        </w:tc>
      </w:tr>
      <w:tr>
        <w:tc>
          <w:tcPr/>
          <w:p>
            <w:pPr>
              <w:pStyle w:val="Compact"/>
              <w:jc w:val="left"/>
            </w:pPr>
            <w:r>
              <w:t xml:space="preserve">Feed file size</w:t>
            </w:r>
          </w:p>
        </w:tc>
        <w:tc>
          <w:tcPr/>
          <w:p>
            <w:pPr>
              <w:pStyle w:val="Compact"/>
              <w:jc w:val="left"/>
            </w:pPr>
            <w:r>
              <w:t xml:space="preserve">32,893 bytes</w:t>
            </w:r>
          </w:p>
        </w:tc>
        <w:tc>
          <w:tcPr/>
          <w:p>
            <w:pPr>
              <w:pStyle w:val="Compact"/>
              <w:jc w:val="left"/>
            </w:pPr>
            <w:r>
              <w:t xml:space="preserve">XML feed</w:t>
            </w:r>
          </w:p>
        </w:tc>
      </w:tr>
      <w:tr>
        <w:tc>
          <w:tcPr/>
          <w:p>
            <w:pPr>
              <w:pStyle w:val="Compact"/>
              <w:jc w:val="left"/>
            </w:pPr>
            <w:r>
              <w:rPr>
                <w:bCs/>
                <w:b/>
              </w:rPr>
              <w:t xml:space="preserve">A/B test: product descriptions</w:t>
            </w:r>
          </w:p>
        </w:tc>
        <w:tc>
          <w:tcPr/>
          <w:p>
            <w:pPr>
              <w:pStyle w:val="Compact"/>
              <w:jc w:val="left"/>
            </w:pPr>
            <w:r>
              <w:rPr>
                <w:bCs/>
                <w:b/>
              </w:rPr>
              <w:t xml:space="preserve">+18% CTR (AI-generated vs manual)</w:t>
            </w:r>
          </w:p>
        </w:tc>
        <w:tc>
          <w:tcPr/>
          <w:p>
            <w:pPr>
              <w:pStyle w:val="Compact"/>
              <w:jc w:val="left"/>
            </w:pPr>
            <w:r>
              <w:rPr>
                <w:bCs/>
                <w:b/>
              </w:rPr>
              <w:t xml:space="preserve">Google Merchant A/B</w:t>
            </w:r>
          </w:p>
        </w:tc>
      </w:tr>
      <w:tr>
        <w:tc>
          <w:tcPr/>
          <w:p>
            <w:pPr>
              <w:pStyle w:val="Compact"/>
              <w:jc w:val="left"/>
            </w:pPr>
            <w:r>
              <w:rPr>
                <w:bCs/>
                <w:b/>
              </w:rPr>
              <w:t xml:space="preserve">Category page bounce rate</w:t>
            </w:r>
          </w:p>
        </w:tc>
        <w:tc>
          <w:tcPr/>
          <w:p>
            <w:pPr>
              <w:pStyle w:val="Compact"/>
              <w:jc w:val="left"/>
            </w:pPr>
            <w:r>
              <w:rPr>
                <w:bCs/>
                <w:b/>
              </w:rPr>
              <w:t xml:space="preserve">-12% (hierarchical vs flat)</w:t>
            </w:r>
          </w:p>
        </w:tc>
        <w:tc>
          <w:tcPr/>
          <w:p>
            <w:pPr>
              <w:pStyle w:val="Compact"/>
              <w:jc w:val="left"/>
            </w:pPr>
            <w:r>
              <w:rPr>
                <w:bCs/>
                <w:b/>
              </w:rPr>
              <w:t xml:space="preserve">SEO analytics</w:t>
            </w:r>
          </w:p>
        </w:tc>
      </w:tr>
    </w:tbl>
    <w:bookmarkEnd w:id="114"/>
    <w:bookmarkStart w:id="115" w:name="compliance-readiness"/>
    <w:p>
      <w:pPr>
        <w:pStyle w:val="Heading2"/>
      </w:pPr>
      <w:r>
        <w:t xml:space="preserve">8.3 Compliance Readiness</w:t>
      </w:r>
    </w:p>
    <w:tbl>
      <w:tblPr>
        <w:tblStyle w:val="Table"/>
        <w:tblW w:type="pct" w:w="5000"/>
        <w:tblLook w:firstRow="1" w:lastRow="0" w:firstColumn="0" w:lastColumn="0" w:noHBand="0" w:noVBand="0" w:val="0020"/>
        <w:jc w:val="start"/>
      </w:tblPr>
      <w:tblGrid>
        <w:gridCol w:w="1212"/>
        <w:gridCol w:w="404"/>
        <w:gridCol w:w="565"/>
        <w:gridCol w:w="484"/>
        <w:gridCol w:w="5253"/>
      </w:tblGrid>
      <w:tr>
        <w:trPr>
          <w:tblHeader w:val="true"/>
        </w:trPr>
        <w:tc>
          <w:tcPr/>
          <w:p>
            <w:pPr>
              <w:pStyle w:val="Compact"/>
              <w:jc w:val="left"/>
            </w:pPr>
            <w:r>
              <w:t xml:space="preserve">Regulation</w:t>
            </w:r>
          </w:p>
        </w:tc>
        <w:tc>
          <w:tcPr/>
          <w:p>
            <w:pPr>
              <w:pStyle w:val="Compact"/>
              <w:jc w:val="left"/>
            </w:pPr>
            <w:r>
              <w:t xml:space="preserve">v3.15</w:t>
            </w:r>
          </w:p>
        </w:tc>
        <w:tc>
          <w:tcPr/>
          <w:p>
            <w:pPr>
              <w:pStyle w:val="Compact"/>
              <w:jc w:val="left"/>
            </w:pPr>
            <w:r>
              <w:t xml:space="preserve">v3.26</w:t>
            </w:r>
          </w:p>
        </w:tc>
        <w:tc>
          <w:tcPr/>
          <w:p>
            <w:pPr>
              <w:pStyle w:val="Compact"/>
              <w:jc w:val="left"/>
            </w:pPr>
            <w:r>
              <w:t xml:space="preserve">Change</w:t>
            </w:r>
          </w:p>
        </w:tc>
        <w:tc>
          <w:tcPr/>
          <w:p>
            <w:pPr>
              <w:pStyle w:val="Compact"/>
              <w:jc w:val="left"/>
            </w:pPr>
            <w:r>
              <w:t xml:space="preserve">Evidence</w:t>
            </w:r>
          </w:p>
        </w:tc>
      </w:tr>
      <w:tr>
        <w:tc>
          <w:tcPr/>
          <w:p>
            <w:pPr>
              <w:pStyle w:val="Compact"/>
              <w:jc w:val="left"/>
            </w:pPr>
            <w:r>
              <w:t xml:space="preserve">EU AI Act</w:t>
            </w:r>
          </w:p>
        </w:tc>
        <w:tc>
          <w:tcPr/>
          <w:p>
            <w:pPr>
              <w:pStyle w:val="Compact"/>
              <w:jc w:val="left"/>
            </w:pPr>
            <w:r>
              <w:t xml:space="preserve">80%</w:t>
            </w:r>
          </w:p>
        </w:tc>
        <w:tc>
          <w:tcPr/>
          <w:p>
            <w:pPr>
              <w:pStyle w:val="Compact"/>
              <w:jc w:val="left"/>
            </w:pPr>
            <w:r>
              <w:rPr>
                <w:bCs/>
                <w:b/>
              </w:rPr>
              <w:t xml:space="preserve">92%</w:t>
            </w:r>
          </w:p>
        </w:tc>
        <w:tc>
          <w:tcPr/>
          <w:p>
            <w:pPr>
              <w:pStyle w:val="Compact"/>
              <w:jc w:val="left"/>
            </w:pPr>
            <w:r>
              <w:t xml:space="preserve">+12%</w:t>
            </w:r>
          </w:p>
        </w:tc>
        <w:tc>
          <w:tcPr/>
          <w:p>
            <w:pPr>
              <w:pStyle w:val="Compact"/>
              <w:jc w:val="left"/>
            </w:pPr>
            <w:r>
              <w:t xml:space="preserve">Article 12 logging implemented (Pantheon agents), SOUL.md pattern</w:t>
            </w:r>
          </w:p>
        </w:tc>
      </w:tr>
      <w:tr>
        <w:tc>
          <w:tcPr/>
          <w:p>
            <w:pPr>
              <w:pStyle w:val="Compact"/>
              <w:jc w:val="left"/>
            </w:pPr>
            <w:r>
              <w:t xml:space="preserve">GDPR</w:t>
            </w:r>
          </w:p>
        </w:tc>
        <w:tc>
          <w:tcPr/>
          <w:p>
            <w:pPr>
              <w:pStyle w:val="Compact"/>
              <w:jc w:val="left"/>
            </w:pPr>
            <w:r>
              <w:t xml:space="preserve">95%</w:t>
            </w:r>
          </w:p>
        </w:tc>
        <w:tc>
          <w:tcPr/>
          <w:p>
            <w:pPr>
              <w:pStyle w:val="Compact"/>
              <w:jc w:val="left"/>
            </w:pPr>
            <w:r>
              <w:rPr>
                <w:bCs/>
                <w:b/>
              </w:rPr>
              <w:t xml:space="preserve">97%</w:t>
            </w:r>
          </w:p>
        </w:tc>
        <w:tc>
          <w:tcPr/>
          <w:p>
            <w:pPr>
              <w:pStyle w:val="Compact"/>
              <w:jc w:val="left"/>
            </w:pPr>
            <w:r>
              <w:t xml:space="preserve">+2%</w:t>
            </w:r>
          </w:p>
        </w:tc>
        <w:tc>
          <w:tcPr/>
          <w:p>
            <w:pPr>
              <w:pStyle w:val="Compact"/>
              <w:jc w:val="left"/>
            </w:pPr>
            <w:r>
              <w:t xml:space="preserve">Proton + Supabase RLS + europe-north1</w:t>
            </w:r>
          </w:p>
        </w:tc>
      </w:tr>
      <w:tr>
        <w:tc>
          <w:tcPr/>
          <w:p>
            <w:pPr>
              <w:pStyle w:val="Compact"/>
              <w:jc w:val="left"/>
            </w:pPr>
            <w:r>
              <w:t xml:space="preserve">Fit for 55</w:t>
            </w:r>
          </w:p>
        </w:tc>
        <w:tc>
          <w:tcPr/>
          <w:p>
            <w:pPr>
              <w:pStyle w:val="Compact"/>
              <w:jc w:val="left"/>
            </w:pPr>
            <w:r>
              <w:t xml:space="preserve">90%</w:t>
            </w:r>
          </w:p>
        </w:tc>
        <w:tc>
          <w:tcPr/>
          <w:p>
            <w:pPr>
              <w:pStyle w:val="Compact"/>
              <w:jc w:val="left"/>
            </w:pPr>
            <w:r>
              <w:rPr>
                <w:bCs/>
                <w:b/>
              </w:rPr>
              <w:t xml:space="preserve">93%</w:t>
            </w:r>
          </w:p>
        </w:tc>
        <w:tc>
          <w:tcPr/>
          <w:p>
            <w:pPr>
              <w:pStyle w:val="Compact"/>
              <w:jc w:val="left"/>
            </w:pPr>
            <w:r>
              <w:t xml:space="preserve">+3%</w:t>
            </w:r>
          </w:p>
        </w:tc>
        <w:tc>
          <w:tcPr/>
          <w:p>
            <w:pPr>
              <w:pStyle w:val="Compact"/>
              <w:jc w:val="left"/>
            </w:pPr>
            <w:r>
              <w:t xml:space="preserve">25+-industry carbon calculator, product catalog</w:t>
            </w:r>
          </w:p>
        </w:tc>
      </w:tr>
      <w:tr>
        <w:tc>
          <w:tcPr/>
          <w:p>
            <w:pPr>
              <w:pStyle w:val="Compact"/>
              <w:jc w:val="left"/>
            </w:pPr>
            <w:r>
              <w:t xml:space="preserve">NIS2</w:t>
            </w:r>
          </w:p>
        </w:tc>
        <w:tc>
          <w:tcPr/>
          <w:p>
            <w:pPr>
              <w:pStyle w:val="Compact"/>
              <w:jc w:val="left"/>
            </w:pPr>
            <w:r>
              <w:t xml:space="preserve">75%</w:t>
            </w:r>
          </w:p>
        </w:tc>
        <w:tc>
          <w:tcPr/>
          <w:p>
            <w:pPr>
              <w:pStyle w:val="Compact"/>
              <w:jc w:val="left"/>
            </w:pPr>
            <w:r>
              <w:rPr>
                <w:bCs/>
                <w:b/>
              </w:rPr>
              <w:t xml:space="preserve">85%</w:t>
            </w:r>
          </w:p>
        </w:tc>
        <w:tc>
          <w:tcPr/>
          <w:p>
            <w:pPr>
              <w:pStyle w:val="Compact"/>
              <w:jc w:val="left"/>
            </w:pPr>
            <w:r>
              <w:t xml:space="preserve">+10%</w:t>
            </w:r>
          </w:p>
        </w:tc>
        <w:tc>
          <w:tcPr/>
          <w:p>
            <w:pPr>
              <w:pStyle w:val="Compact"/>
              <w:jc w:val="left"/>
            </w:pPr>
            <w:r>
              <w:t xml:space="preserve">Security hardening (RC2-RC4), Snyk MCP, agent system hardening</w:t>
            </w:r>
          </w:p>
        </w:tc>
      </w:tr>
      <w:tr>
        <w:tc>
          <w:tcPr/>
          <w:p>
            <w:pPr>
              <w:pStyle w:val="Compact"/>
              <w:jc w:val="left"/>
            </w:pPr>
            <w:r>
              <w:t xml:space="preserve">CSRD</w:t>
            </w:r>
          </w:p>
        </w:tc>
        <w:tc>
          <w:tcPr/>
          <w:p>
            <w:pPr>
              <w:pStyle w:val="Compact"/>
              <w:jc w:val="left"/>
            </w:pPr>
            <w:r>
              <w:t xml:space="preserve">85%</w:t>
            </w:r>
          </w:p>
        </w:tc>
        <w:tc>
          <w:tcPr/>
          <w:p>
            <w:pPr>
              <w:pStyle w:val="Compact"/>
              <w:jc w:val="left"/>
            </w:pPr>
            <w:r>
              <w:rPr>
                <w:bCs/>
                <w:b/>
              </w:rPr>
              <w:t xml:space="preserve">88%</w:t>
            </w:r>
          </w:p>
        </w:tc>
        <w:tc>
          <w:tcPr/>
          <w:p>
            <w:pPr>
              <w:pStyle w:val="Compact"/>
              <w:jc w:val="left"/>
            </w:pPr>
            <w:r>
              <w:t xml:space="preserve">+3%</w:t>
            </w:r>
          </w:p>
        </w:tc>
        <w:tc>
          <w:tcPr/>
          <w:p>
            <w:pPr>
              <w:pStyle w:val="Compact"/>
              <w:jc w:val="left"/>
            </w:pPr>
            <w:r>
              <w:t xml:space="preserve">Reporting templates + compliance report export feature</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w:t>
            </w:r>
          </w:p>
        </w:tc>
        <w:tc>
          <w:tcPr/>
          <w:p>
            <w:pPr>
              <w:pStyle w:val="Compact"/>
              <w:jc w:val="left"/>
            </w:pPr>
            <w:r>
              <w:t xml:space="preserve">New</w:t>
            </w:r>
          </w:p>
        </w:tc>
        <w:tc>
          <w:tcPr/>
          <w:p>
            <w:pPr>
              <w:pStyle w:val="Compact"/>
              <w:jc w:val="left"/>
            </w:pPr>
            <w:r>
              <w:t xml:space="preserve">DWS Data Standard, HTAP architecture</w:t>
            </w:r>
          </w:p>
        </w:tc>
      </w:tr>
    </w:tbl>
    <w:bookmarkEnd w:id="115"/>
    <w:bookmarkStart w:id="116" w:name="cost-model-validation"/>
    <w:p>
      <w:pPr>
        <w:pStyle w:val="Heading2"/>
      </w:pPr>
      <w:r>
        <w:t xml:space="preserve">8.4 Cost Model Validation</w:t>
      </w:r>
    </w:p>
    <w:tbl>
      <w:tblPr>
        <w:tblStyle w:val="Table"/>
        <w:tblW w:type="pct" w:w="5000"/>
        <w:tblLook w:firstRow="1" w:lastRow="0" w:firstColumn="0" w:lastColumn="0" w:noHBand="0" w:noVBand="0" w:val="0020"/>
        <w:jc w:val="start"/>
      </w:tblPr>
      <w:tblGrid>
        <w:gridCol w:w="535"/>
        <w:gridCol w:w="1391"/>
        <w:gridCol w:w="1819"/>
        <w:gridCol w:w="1284"/>
        <w:gridCol w:w="2889"/>
      </w:tblGrid>
      <w:tr>
        <w:trPr>
          <w:tblHeader w:val="true"/>
        </w:trPr>
        <w:tc>
          <w:tcPr/>
          <w:p>
            <w:pPr>
              <w:pStyle w:val="Compact"/>
              <w:jc w:val="left"/>
            </w:pPr>
            <w:r>
              <w:t xml:space="preserve">Phase</w:t>
            </w:r>
          </w:p>
        </w:tc>
        <w:tc>
          <w:tcPr/>
          <w:p>
            <w:pPr>
              <w:pStyle w:val="Compact"/>
              <w:jc w:val="left"/>
            </w:pPr>
            <w:r>
              <w:t xml:space="preserve">Target</w:t>
            </w:r>
          </w:p>
        </w:tc>
        <w:tc>
          <w:tcPr/>
          <w:p>
            <w:pPr>
              <w:pStyle w:val="Compact"/>
              <w:jc w:val="left"/>
            </w:pPr>
            <w:r>
              <w:t xml:space="preserve">Achieved</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MVP</w:t>
            </w:r>
          </w:p>
        </w:tc>
        <w:tc>
          <w:tcPr/>
          <w:p>
            <w:pPr>
              <w:pStyle w:val="Compact"/>
              <w:jc w:val="left"/>
            </w:pPr>
            <w:r>
              <w:t xml:space="preserve">€0/month</w:t>
            </w:r>
          </w:p>
        </w:tc>
        <w:tc>
          <w:tcPr/>
          <w:p>
            <w:pPr>
              <w:pStyle w:val="Compact"/>
              <w:jc w:val="left"/>
            </w:pPr>
            <w:r>
              <w:t xml:space="preserve">€0/month</w:t>
            </w:r>
          </w:p>
        </w:tc>
        <w:tc>
          <w:tcPr/>
          <w:p>
            <w:pPr>
              <w:pStyle w:val="Compact"/>
              <w:jc w:val="left"/>
            </w:pPr>
            <w:r>
              <w:rPr>
                <w:bCs/>
                <w:b/>
              </w:rPr>
              <w:t xml:space="preserve">ACHIEVED</w:t>
            </w:r>
          </w:p>
        </w:tc>
        <w:tc>
          <w:tcPr/>
          <w:p>
            <w:pPr>
              <w:pStyle w:val="Compact"/>
              <w:jc w:val="left"/>
            </w:pPr>
            <w:r>
              <w:t xml:space="preserve">Free-tier stack operational</w:t>
            </w:r>
          </w:p>
        </w:tc>
      </w:tr>
      <w:tr>
        <w:tc>
          <w:tcPr/>
          <w:p>
            <w:pPr>
              <w:pStyle w:val="Compact"/>
              <w:jc w:val="left"/>
            </w:pPr>
            <w:r>
              <w:t xml:space="preserve">Alpha</w:t>
            </w:r>
          </w:p>
        </w:tc>
        <w:tc>
          <w:tcPr/>
          <w:p>
            <w:pPr>
              <w:pStyle w:val="Compact"/>
              <w:jc w:val="left"/>
            </w:pPr>
            <w:r>
              <w:t xml:space="preserve">€50-150/month</w:t>
            </w:r>
          </w:p>
        </w:tc>
        <w:tc>
          <w:tcPr/>
          <w:p>
            <w:pPr>
              <w:pStyle w:val="Compact"/>
              <w:jc w:val="left"/>
            </w:pPr>
            <w:r>
              <w:t xml:space="preserve">€75/month</w:t>
            </w:r>
          </w:p>
        </w:tc>
        <w:tc>
          <w:tcPr/>
          <w:p>
            <w:pPr>
              <w:pStyle w:val="Compact"/>
              <w:jc w:val="left"/>
            </w:pPr>
            <w:r>
              <w:rPr>
                <w:bCs/>
                <w:b/>
              </w:rPr>
              <w:t xml:space="preserve">ON TRACK</w:t>
            </w:r>
          </w:p>
        </w:tc>
        <w:tc>
          <w:tcPr/>
          <w:p>
            <w:pPr>
              <w:pStyle w:val="Compact"/>
              <w:jc w:val="left"/>
            </w:pPr>
            <w:r>
              <w:t xml:space="preserve">Aiven managed + edge</w:t>
            </w:r>
          </w:p>
        </w:tc>
      </w:tr>
      <w:tr>
        <w:tc>
          <w:tcPr/>
          <w:p>
            <w:pPr>
              <w:pStyle w:val="Compact"/>
              <w:jc w:val="left"/>
            </w:pPr>
            <w:r>
              <w:t xml:space="preserve">V1</w:t>
            </w:r>
          </w:p>
        </w:tc>
        <w:tc>
          <w:tcPr/>
          <w:p>
            <w:pPr>
              <w:pStyle w:val="Compact"/>
              <w:jc w:val="left"/>
            </w:pPr>
            <w:r>
              <w:t xml:space="preserve">€350/month</w:t>
            </w:r>
          </w:p>
        </w:tc>
        <w:tc>
          <w:tcPr/>
          <w:p>
            <w:pPr>
              <w:pStyle w:val="Compact"/>
              <w:jc w:val="left"/>
            </w:pPr>
            <w:r>
              <w:t xml:space="preserve">€280/month (est.)</w:t>
            </w:r>
          </w:p>
        </w:tc>
        <w:tc>
          <w:tcPr/>
          <w:p>
            <w:pPr>
              <w:pStyle w:val="Compact"/>
              <w:jc w:val="left"/>
            </w:pPr>
            <w:r>
              <w:rPr>
                <w:bCs/>
                <w:b/>
              </w:rPr>
              <w:t xml:space="preserve">AHEAD</w:t>
            </w:r>
          </w:p>
        </w:tc>
        <w:tc>
          <w:tcPr/>
          <w:p>
            <w:pPr>
              <w:pStyle w:val="Compact"/>
              <w:jc w:val="left"/>
            </w:pPr>
            <w:r>
              <w:t xml:space="preserve">Two-tier HTAP reduces costs</w:t>
            </w:r>
          </w:p>
        </w:tc>
      </w:tr>
    </w:tbl>
    <w:p>
      <w:pPr>
        <w:pStyle w:val="BodyText"/>
      </w:pPr>
      <w:r>
        <w:rPr>
          <w:bCs/>
          <w:b/>
        </w:rPr>
        <w:t xml:space="preserve">New in v3.26:</w:t>
      </w:r>
      <w:r>
        <w:t xml:space="preserve"> </w:t>
      </w:r>
      <w:r>
        <w:t xml:space="preserve">Two-tier HTAP architecture (Aiven managed + GN100 edge) positions V1 costs below target due to edge offloading analytics workloads.</w:t>
      </w:r>
    </w:p>
    <w:bookmarkEnd w:id="116"/>
    <w:bookmarkStart w:id="121" w:name="answering-research-questions"/>
    <w:p>
      <w:pPr>
        <w:pStyle w:val="Heading2"/>
      </w:pPr>
      <w:r>
        <w:t xml:space="preserve">8.5 Answering Research Questions</w:t>
      </w:r>
    </w:p>
    <w:bookmarkStart w:id="117" w:name="rq1-product-business-model"/>
    <w:p>
      <w:pPr>
        <w:pStyle w:val="Heading3"/>
      </w:pPr>
      <w:r>
        <w:t xml:space="preserve">8.5.1 RQ1: Product &amp; Business Model</w:t>
      </w:r>
    </w:p>
    <w:p>
      <w:pPr>
        <w:pStyle w:val="FirstParagraph"/>
      </w:pPr>
      <w:r>
        <w:t xml:space="preserve">The 2-month payback promise has been validated with real customer deployments:</w:t>
      </w:r>
    </w:p>
    <w:tbl>
      <w:tblPr>
        <w:tblStyle w:val="Table"/>
        <w:tblW w:type="pct" w:w="5000"/>
        <w:tblLook w:firstRow="1" w:lastRow="0" w:firstColumn="0" w:lastColumn="0" w:noHBand="0" w:noVBand="0" w:val="0020"/>
        <w:jc w:val="start"/>
      </w:tblPr>
      <w:tblGrid>
        <w:gridCol w:w="2084"/>
        <w:gridCol w:w="2584"/>
        <w:gridCol w:w="3251"/>
      </w:tblGrid>
      <w:tr>
        <w:trPr>
          <w:tblHeader w:val="true"/>
        </w:trPr>
        <w:tc>
          <w:tcPr/>
          <w:p>
            <w:pPr>
              <w:pStyle w:val="Compact"/>
              <w:jc w:val="left"/>
            </w:pPr>
            <w:r>
              <w:t xml:space="preserve">Evidence</w:t>
            </w:r>
          </w:p>
        </w:tc>
        <w:tc>
          <w:tcPr/>
          <w:p>
            <w:pPr>
              <w:pStyle w:val="Compact"/>
              <w:jc w:val="left"/>
            </w:pPr>
            <w:r>
              <w:t xml:space="preserve">Source</w:t>
            </w:r>
          </w:p>
        </w:tc>
        <w:tc>
          <w:tcPr/>
          <w:p>
            <w:pPr>
              <w:pStyle w:val="Compact"/>
              <w:jc w:val="left"/>
            </w:pPr>
            <w:r>
              <w:t xml:space="preserve">Result</w:t>
            </w:r>
          </w:p>
        </w:tc>
      </w:tr>
      <w:tr>
        <w:tc>
          <w:tcPr/>
          <w:p>
            <w:pPr>
              <w:pStyle w:val="Compact"/>
              <w:jc w:val="left"/>
            </w:pPr>
            <w:r>
              <w:t xml:space="preserve">Payback period</w:t>
            </w:r>
          </w:p>
        </w:tc>
        <w:tc>
          <w:tcPr/>
          <w:p>
            <w:pPr>
              <w:pStyle w:val="Compact"/>
              <w:jc w:val="left"/>
            </w:pPr>
            <w:r>
              <w:t xml:space="preserve">Edge AI ROI calculation</w:t>
            </w:r>
          </w:p>
        </w:tc>
        <w:tc>
          <w:tcPr/>
          <w:p>
            <w:pPr>
              <w:pStyle w:val="Compact"/>
              <w:jc w:val="left"/>
            </w:pPr>
            <w:r>
              <w:t xml:space="preserve">1.95 months</w:t>
            </w:r>
          </w:p>
        </w:tc>
      </w:tr>
      <w:tr>
        <w:tc>
          <w:tcPr/>
          <w:p>
            <w:pPr>
              <w:pStyle w:val="Compact"/>
              <w:jc w:val="left"/>
            </w:pPr>
            <w:r>
              <w:t xml:space="preserve">Customer validation</w:t>
            </w:r>
          </w:p>
        </w:tc>
        <w:tc>
          <w:tcPr/>
          <w:p>
            <w:pPr>
              <w:pStyle w:val="Compact"/>
              <w:jc w:val="left"/>
            </w:pPr>
            <w:r>
              <w:t xml:space="preserve">Uber, Bolt, Kela pilots</w:t>
            </w:r>
          </w:p>
        </w:tc>
        <w:tc>
          <w:tcPr/>
          <w:p>
            <w:pPr>
              <w:pStyle w:val="Compact"/>
              <w:jc w:val="left"/>
            </w:pPr>
            <w:r>
              <w:t xml:space="preserve">€10k MRR during pilot</w:t>
            </w:r>
          </w:p>
        </w:tc>
      </w:tr>
      <w:tr>
        <w:tc>
          <w:tcPr/>
          <w:p>
            <w:pPr>
              <w:pStyle w:val="Compact"/>
              <w:jc w:val="left"/>
            </w:pPr>
            <w:r>
              <w:t xml:space="preserve">International scaling</w:t>
            </w:r>
          </w:p>
        </w:tc>
        <w:tc>
          <w:tcPr/>
          <w:p>
            <w:pPr>
              <w:pStyle w:val="Compact"/>
              <w:jc w:val="left"/>
            </w:pPr>
            <w:r>
              <w:t xml:space="preserve">8 vertical templates</w:t>
            </w:r>
          </w:p>
        </w:tc>
        <w:tc>
          <w:tcPr/>
          <w:p>
            <w:pPr>
              <w:pStyle w:val="Compact"/>
              <w:jc w:val="left"/>
            </w:pPr>
            <w:r>
              <w:t xml:space="preserve">Ready for multi-national deployment</w:t>
            </w:r>
          </w:p>
        </w:tc>
      </w:tr>
      <w:tr>
        <w:tc>
          <w:tcPr/>
          <w:p>
            <w:pPr>
              <w:pStyle w:val="Compact"/>
              <w:jc w:val="left"/>
            </w:pPr>
            <w:r>
              <w:rPr>
                <w:bCs/>
                <w:b/>
              </w:rPr>
              <w:t xml:space="preserve">Customer MVP features</w:t>
            </w:r>
          </w:p>
        </w:tc>
        <w:tc>
          <w:tcPr/>
          <w:p>
            <w:pPr>
              <w:pStyle w:val="Compact"/>
              <w:jc w:val="left"/>
            </w:pPr>
            <w:r>
              <w:rPr>
                <w:bCs/>
                <w:b/>
              </w:rPr>
              <w:t xml:space="preserve">API keys, metering, reports</w:t>
            </w:r>
          </w:p>
        </w:tc>
        <w:tc>
          <w:tcPr/>
          <w:p>
            <w:pPr>
              <w:pStyle w:val="Compact"/>
              <w:jc w:val="left"/>
            </w:pPr>
            <w:r>
              <w:rPr>
                <w:bCs/>
                <w:b/>
              </w:rPr>
              <w:t xml:space="preserve">SaaS-ready for paid customers</w:t>
            </w:r>
          </w:p>
        </w:tc>
      </w:tr>
      <w:tr>
        <w:tc>
          <w:tcPr/>
          <w:p>
            <w:pPr>
              <w:pStyle w:val="Compact"/>
              <w:jc w:val="left"/>
            </w:pPr>
            <w:r>
              <w:rPr>
                <w:bCs/>
                <w:b/>
              </w:rPr>
              <w:t xml:space="preserve">Investor readiness</w:t>
            </w:r>
          </w:p>
        </w:tc>
        <w:tc>
          <w:tcPr/>
          <w:p>
            <w:pPr>
              <w:pStyle w:val="Compact"/>
              <w:jc w:val="left"/>
            </w:pPr>
            <w:r>
              <w:rPr>
                <w:bCs/>
                <w:b/>
              </w:rPr>
              <w:t xml:space="preserve">InvestEU pipeline</w:t>
            </w:r>
          </w:p>
        </w:tc>
        <w:tc>
          <w:tcPr/>
          <w:p>
            <w:pPr>
              <w:pStyle w:val="Compact"/>
              <w:jc w:val="left"/>
            </w:pPr>
            <w:r>
              <w:rPr>
                <w:bCs/>
                <w:b/>
              </w:rPr>
              <w:t xml:space="preserve">Product portfolio validated Q1 2026</w:t>
            </w:r>
          </w:p>
        </w:tc>
      </w:tr>
    </w:tbl>
    <w:bookmarkEnd w:id="117"/>
    <w:bookmarkStart w:id="118" w:name="X544c176ac6458cb16df50739e6d02c1305c6ba2"/>
    <w:p>
      <w:pPr>
        <w:pStyle w:val="Heading3"/>
      </w:pPr>
      <w:r>
        <w:t xml:space="preserve">8.5.2 RQ2: Technology — Multi-Platform Development</w:t>
      </w:r>
    </w:p>
    <w:tbl>
      <w:tblPr>
        <w:tblStyle w:val="Table"/>
        <w:tblW w:type="pct" w:w="5000"/>
        <w:tblLook w:firstRow="1" w:lastRow="0" w:firstColumn="0" w:lastColumn="0" w:noHBand="0" w:noVBand="0" w:val="0020"/>
        <w:jc w:val="start"/>
      </w:tblPr>
      <w:tblGrid>
        <w:gridCol w:w="1150"/>
        <w:gridCol w:w="2504"/>
        <w:gridCol w:w="4264"/>
      </w:tblGrid>
      <w:tr>
        <w:trPr>
          <w:tblHeader w:val="true"/>
        </w:trPr>
        <w:tc>
          <w:tcPr/>
          <w:p>
            <w:pPr>
              <w:pStyle w:val="Compact"/>
              <w:jc w:val="left"/>
            </w:pPr>
            <w:r>
              <w:t xml:space="preserve">Platform</w:t>
            </w:r>
          </w:p>
        </w:tc>
        <w:tc>
          <w:tcPr/>
          <w:p>
            <w:pPr>
              <w:pStyle w:val="Compact"/>
              <w:jc w:val="left"/>
            </w:pPr>
            <w:r>
              <w:t xml:space="preserve">Technology</w:t>
            </w:r>
          </w:p>
        </w:tc>
        <w:tc>
          <w:tcPr/>
          <w:p>
            <w:pPr>
              <w:pStyle w:val="Compact"/>
              <w:jc w:val="left"/>
            </w:pPr>
            <w:r>
              <w:t xml:space="preserve">Evidence</w:t>
            </w:r>
          </w:p>
        </w:tc>
      </w:tr>
      <w:tr>
        <w:tc>
          <w:tcPr/>
          <w:p>
            <w:pPr>
              <w:pStyle w:val="Compact"/>
              <w:jc w:val="left"/>
            </w:pPr>
            <w:r>
              <w:rPr>
                <w:bCs/>
                <w:b/>
              </w:rPr>
              <w:t xml:space="preserve">Cloud</w:t>
            </w:r>
          </w:p>
        </w:tc>
        <w:tc>
          <w:tcPr/>
          <w:p>
            <w:pPr>
              <w:pStyle w:val="Compact"/>
              <w:jc w:val="left"/>
            </w:pPr>
            <w:r>
              <w:t xml:space="preserve">Google Cloud Run + Groq API</w:t>
            </w:r>
          </w:p>
        </w:tc>
        <w:tc>
          <w:tcPr/>
          <w:p>
            <w:pPr>
              <w:pStyle w:val="Compact"/>
              <w:jc w:val="left"/>
            </w:pPr>
            <w:r>
              <w:t xml:space="preserve">MCP Hub on port 8765</w:t>
            </w:r>
          </w:p>
        </w:tc>
      </w:tr>
      <w:tr>
        <w:tc>
          <w:tcPr/>
          <w:p>
            <w:pPr>
              <w:pStyle w:val="Compact"/>
              <w:jc w:val="left"/>
            </w:pPr>
            <w:r>
              <w:rPr>
                <w:bCs/>
                <w:b/>
              </w:rPr>
              <w:t xml:space="preserve">Edge</w:t>
            </w:r>
          </w:p>
        </w:tc>
        <w:tc>
          <w:tcPr/>
          <w:p>
            <w:pPr>
              <w:pStyle w:val="Compact"/>
              <w:jc w:val="left"/>
            </w:pPr>
            <w:r>
              <w:t xml:space="preserve">NVIDIA Jetson Orin Nano + Acer GN100</w:t>
            </w:r>
          </w:p>
        </w:tc>
        <w:tc>
          <w:tcPr/>
          <w:p>
            <w:pPr>
              <w:pStyle w:val="Compact"/>
              <w:jc w:val="left"/>
            </w:pPr>
            <w:r>
              <w:t xml:space="preserve">&lt;100ms inference (25x faster)</w:t>
            </w:r>
          </w:p>
        </w:tc>
      </w:tr>
      <w:tr>
        <w:tc>
          <w:tcPr/>
          <w:p>
            <w:pPr>
              <w:pStyle w:val="Compact"/>
              <w:jc w:val="left"/>
            </w:pPr>
            <w:r>
              <w:rPr>
                <w:bCs/>
                <w:b/>
              </w:rPr>
              <w:t xml:space="preserve">E-commerce</w:t>
            </w:r>
          </w:p>
        </w:tc>
        <w:tc>
          <w:tcPr/>
          <w:p>
            <w:pPr>
              <w:pStyle w:val="Compact"/>
              <w:jc w:val="left"/>
            </w:pPr>
            <w:r>
              <w:t xml:space="preserve">dws10.com (Cloudflare Pages)</w:t>
            </w:r>
          </w:p>
        </w:tc>
        <w:tc>
          <w:tcPr/>
          <w:p>
            <w:pPr>
              <w:pStyle w:val="Compact"/>
              <w:jc w:val="left"/>
            </w:pPr>
            <w:r>
              <w:t xml:space="preserve">€0/month, 99.95% uptime</w:t>
            </w:r>
          </w:p>
        </w:tc>
      </w:tr>
      <w:tr>
        <w:tc>
          <w:tcPr/>
          <w:p>
            <w:pPr>
              <w:pStyle w:val="Compact"/>
              <w:jc w:val="left"/>
            </w:pPr>
            <w:r>
              <w:rPr>
                <w:bCs/>
                <w:b/>
              </w:rPr>
              <w:t xml:space="preserve">Orchestration</w:t>
            </w:r>
          </w:p>
        </w:tc>
        <w:tc>
          <w:tcPr/>
          <w:p>
            <w:pPr>
              <w:pStyle w:val="Compact"/>
              <w:jc w:val="left"/>
            </w:pPr>
            <w:r>
              <w:t xml:space="preserve">MCP Hub + LlamaStack</w:t>
            </w:r>
          </w:p>
        </w:tc>
        <w:tc>
          <w:tcPr/>
          <w:p>
            <w:pPr>
              <w:pStyle w:val="Compact"/>
              <w:jc w:val="left"/>
            </w:pPr>
            <w:r>
              <w:t xml:space="preserve">4 workflow patterns (Fan-Out, Sequential, Reflection, Pipeline)</w:t>
            </w:r>
          </w:p>
        </w:tc>
      </w:tr>
      <w:tr>
        <w:tc>
          <w:tcPr/>
          <w:p>
            <w:pPr>
              <w:pStyle w:val="Compact"/>
              <w:jc w:val="left"/>
            </w:pPr>
            <w:r>
              <w:rPr>
                <w:bCs/>
                <w:b/>
              </w:rPr>
              <w:t xml:space="preserve">Data</w:t>
            </w:r>
          </w:p>
        </w:tc>
        <w:tc>
          <w:tcPr/>
          <w:p>
            <w:pPr>
              <w:pStyle w:val="Compact"/>
              <w:jc w:val="left"/>
            </w:pPr>
            <w:r>
              <w:t xml:space="preserve">PostgreSQL HTAP (Aiven + TimescaleDB)</w:t>
            </w:r>
          </w:p>
        </w:tc>
        <w:tc>
          <w:tcPr/>
          <w:p>
            <w:pPr>
              <w:pStyle w:val="Compact"/>
              <w:jc w:val="left"/>
            </w:pPr>
            <w:r>
              <w:t xml:space="preserve">Two-tier: managed + edge analytics</w:t>
            </w:r>
          </w:p>
        </w:tc>
      </w:tr>
      <w:tr>
        <w:tc>
          <w:tcPr/>
          <w:p>
            <w:pPr>
              <w:pStyle w:val="Compact"/>
              <w:jc w:val="left"/>
            </w:pPr>
            <w:r>
              <w:rPr>
                <w:bCs/>
                <w:b/>
              </w:rPr>
              <w:t xml:space="preserve">Agents</w:t>
            </w:r>
          </w:p>
        </w:tc>
        <w:tc>
          <w:tcPr/>
          <w:p>
            <w:pPr>
              <w:pStyle w:val="Compact"/>
              <w:jc w:val="left"/>
            </w:pPr>
            <w:r>
              <w:t xml:space="preserve">Climate IQ Pantheon (13 agents)</w:t>
            </w:r>
          </w:p>
        </w:tc>
        <w:tc>
          <w:tcPr/>
          <w:p>
            <w:pPr>
              <w:pStyle w:val="Compact"/>
              <w:jc w:val="left"/>
            </w:pPr>
            <w:r>
              <w:t xml:space="preserve">6 orchestrators + 7 industry specialists</w:t>
            </w:r>
          </w:p>
        </w:tc>
      </w:tr>
    </w:tbl>
    <w:bookmarkEnd w:id="118"/>
    <w:bookmarkStart w:id="119" w:name="rq3-technical-solution-evaluation"/>
    <w:p>
      <w:pPr>
        <w:pStyle w:val="Heading3"/>
      </w:pPr>
      <w:r>
        <w:t xml:space="preserve">8.5.3 RQ3: Technical Solution Evaluation</w:t>
      </w:r>
    </w:p>
    <w:tbl>
      <w:tblPr>
        <w:tblStyle w:val="Table"/>
        <w:tblW w:type="pct" w:w="5000"/>
        <w:tblLook w:firstRow="1" w:lastRow="0" w:firstColumn="0" w:lastColumn="0" w:noHBand="0" w:noVBand="0" w:val="0020"/>
        <w:jc w:val="start"/>
      </w:tblPr>
      <w:tblGrid>
        <w:gridCol w:w="2767"/>
        <w:gridCol w:w="1145"/>
        <w:gridCol w:w="1240"/>
        <w:gridCol w:w="1622"/>
        <w:gridCol w:w="1145"/>
      </w:tblGrid>
      <w:tr>
        <w:trPr>
          <w:tblHeader w:val="true"/>
        </w:trPr>
        <w:tc>
          <w:tcPr/>
          <w:p>
            <w:pPr>
              <w:pStyle w:val="Compact"/>
              <w:jc w:val="left"/>
            </w:pPr>
            <w:r>
              <w:t xml:space="preserve">Solution</w:t>
            </w:r>
          </w:p>
        </w:tc>
        <w:tc>
          <w:tcPr/>
          <w:p>
            <w:pPr>
              <w:pStyle w:val="Compact"/>
              <w:jc w:val="left"/>
            </w:pPr>
            <w:r>
              <w:t xml:space="preserve">Dev Velocity</w:t>
            </w:r>
          </w:p>
        </w:tc>
        <w:tc>
          <w:tcPr/>
          <w:p>
            <w:pPr>
              <w:pStyle w:val="Compact"/>
              <w:jc w:val="left"/>
            </w:pPr>
            <w:r>
              <w:t xml:space="preserve">Bug Reduction</w:t>
            </w:r>
          </w:p>
        </w:tc>
        <w:tc>
          <w:tcPr/>
          <w:p>
            <w:pPr>
              <w:pStyle w:val="Compact"/>
              <w:jc w:val="left"/>
            </w:pPr>
            <w:r>
              <w:t xml:space="preserve">Cost</w:t>
            </w:r>
          </w:p>
        </w:tc>
        <w:tc>
          <w:tcPr/>
          <w:p>
            <w:pPr>
              <w:pStyle w:val="Compact"/>
              <w:jc w:val="left"/>
            </w:pPr>
            <w:r>
              <w:t xml:space="preserve">Rating</w:t>
            </w:r>
          </w:p>
        </w:tc>
      </w:tr>
      <w:tr>
        <w:tc>
          <w:tcPr/>
          <w:p>
            <w:pPr>
              <w:pStyle w:val="Compact"/>
              <w:jc w:val="left"/>
            </w:pPr>
            <w:r>
              <w:t xml:space="preserve">Traditional development</w:t>
            </w:r>
          </w:p>
        </w:tc>
        <w:tc>
          <w:tcPr/>
          <w:p>
            <w:pPr>
              <w:pStyle w:val="Compact"/>
              <w:jc w:val="left"/>
            </w:pPr>
            <w:r>
              <w:t xml:space="preserve">Baseline</w:t>
            </w:r>
          </w:p>
        </w:tc>
        <w:tc>
          <w:tcPr/>
          <w:p>
            <w:pPr>
              <w:pStyle w:val="Compact"/>
              <w:jc w:val="left"/>
            </w:pPr>
            <w:r>
              <w:t xml:space="preserve">Baseline</w:t>
            </w:r>
          </w:p>
        </w:tc>
        <w:tc>
          <w:tcPr/>
          <w:p>
            <w:pPr>
              <w:pStyle w:val="Compact"/>
              <w:jc w:val="left"/>
            </w:pPr>
            <w:r>
              <w:t xml:space="preserve">High</w:t>
            </w:r>
          </w:p>
        </w:tc>
        <w:tc>
          <w:tcPr/>
          <w:p>
            <w:pPr>
              <w:pStyle w:val="Compact"/>
              <w:jc w:val="left"/>
            </w:pPr>
            <w:r>
              <w:t xml:space="preserve">Not suitable</w:t>
            </w:r>
          </w:p>
        </w:tc>
      </w:tr>
      <w:tr>
        <w:tc>
          <w:tcPr/>
          <w:p>
            <w:pPr>
              <w:pStyle w:val="Compact"/>
              <w:jc w:val="left"/>
            </w:pPr>
            <w:r>
              <w:t xml:space="preserve">Cloud-only AI</w:t>
            </w:r>
          </w:p>
        </w:tc>
        <w:tc>
          <w:tcPr/>
          <w:p>
            <w:pPr>
              <w:pStyle w:val="Compact"/>
              <w:jc w:val="left"/>
            </w:pPr>
            <w:r>
              <w:t xml:space="preserve">+30%</w:t>
            </w:r>
          </w:p>
        </w:tc>
        <w:tc>
          <w:tcPr/>
          <w:p>
            <w:pPr>
              <w:pStyle w:val="Compact"/>
              <w:jc w:val="left"/>
            </w:pPr>
            <w:r>
              <w:t xml:space="preserve">-40%</w:t>
            </w:r>
          </w:p>
        </w:tc>
        <w:tc>
          <w:tcPr/>
          <w:p>
            <w:pPr>
              <w:pStyle w:val="Compact"/>
              <w:jc w:val="left"/>
            </w:pPr>
            <w:r>
              <w:t xml:space="preserve">€555/month</w:t>
            </w:r>
          </w:p>
        </w:tc>
        <w:tc>
          <w:tcPr/>
          <w:p>
            <w:pPr>
              <w:pStyle w:val="Compact"/>
              <w:jc w:val="left"/>
            </w:pPr>
            <w:r>
              <w:t xml:space="preserve">Partial</w:t>
            </w:r>
          </w:p>
        </w:tc>
      </w:tr>
      <w:tr>
        <w:tc>
          <w:tcPr/>
          <w:p>
            <w:pPr>
              <w:pStyle w:val="Compact"/>
              <w:jc w:val="left"/>
            </w:pPr>
            <w:r>
              <w:rPr>
                <w:bCs/>
                <w:b/>
              </w:rPr>
              <w:t xml:space="preserve">MCP Hub + Edge AI</w:t>
            </w:r>
          </w:p>
        </w:tc>
        <w:tc>
          <w:tcPr/>
          <w:p>
            <w:pPr>
              <w:pStyle w:val="Compact"/>
              <w:jc w:val="left"/>
            </w:pPr>
            <w:r>
              <w:rPr>
                <w:bCs/>
                <w:b/>
              </w:rPr>
              <w:t xml:space="preserve">+62%</w:t>
            </w:r>
          </w:p>
        </w:tc>
        <w:tc>
          <w:tcPr/>
          <w:p>
            <w:pPr>
              <w:pStyle w:val="Compact"/>
              <w:jc w:val="left"/>
            </w:pPr>
            <w:r>
              <w:rPr>
                <w:bCs/>
                <w:b/>
              </w:rPr>
              <w:t xml:space="preserve">-73%</w:t>
            </w:r>
          </w:p>
        </w:tc>
        <w:tc>
          <w:tcPr/>
          <w:p>
            <w:pPr>
              <w:pStyle w:val="Compact"/>
              <w:jc w:val="left"/>
            </w:pPr>
            <w:r>
              <w:rPr>
                <w:bCs/>
                <w:b/>
              </w:rPr>
              <w:t xml:space="preserve">€25-350/month</w:t>
            </w:r>
          </w:p>
        </w:tc>
        <w:tc>
          <w:tcPr/>
          <w:p>
            <w:pPr>
              <w:pStyle w:val="Compact"/>
              <w:jc w:val="left"/>
            </w:pPr>
            <w:r>
              <w:rPr>
                <w:bCs/>
                <w:b/>
              </w:rPr>
              <w:t xml:space="preserve">Best</w:t>
            </w:r>
          </w:p>
        </w:tc>
      </w:tr>
      <w:tr>
        <w:tc>
          <w:tcPr/>
          <w:p>
            <w:pPr>
              <w:pStyle w:val="Compact"/>
              <w:jc w:val="left"/>
            </w:pPr>
            <w:r>
              <w:rPr>
                <w:bCs/>
                <w:b/>
              </w:rPr>
              <w:t xml:space="preserve">Harness-optimized (v3.26)</w:t>
            </w:r>
          </w:p>
        </w:tc>
        <w:tc>
          <w:tcPr/>
          <w:p>
            <w:pPr>
              <w:pStyle w:val="Compact"/>
              <w:jc w:val="left"/>
            </w:pPr>
            <w:r>
              <w:rPr>
                <w:bCs/>
                <w:b/>
              </w:rPr>
              <w:t xml:space="preserve">+85%</w:t>
            </w:r>
          </w:p>
        </w:tc>
        <w:tc>
          <w:tcPr/>
          <w:p>
            <w:pPr>
              <w:pStyle w:val="Compact"/>
              <w:jc w:val="left"/>
            </w:pPr>
            <w:r>
              <w:rPr>
                <w:bCs/>
                <w:b/>
              </w:rPr>
              <w:t xml:space="preserve">-80%</w:t>
            </w:r>
          </w:p>
        </w:tc>
        <w:tc>
          <w:tcPr/>
          <w:p>
            <w:pPr>
              <w:pStyle w:val="Compact"/>
              <w:jc w:val="left"/>
            </w:pPr>
            <w:r>
              <w:rPr>
                <w:bCs/>
                <w:b/>
              </w:rPr>
              <w:t xml:space="preserve">€25-280/month</w:t>
            </w:r>
          </w:p>
        </w:tc>
        <w:tc>
          <w:tcPr/>
          <w:p>
            <w:pPr>
              <w:pStyle w:val="Compact"/>
              <w:jc w:val="left"/>
            </w:pPr>
            <w:r>
              <w:rPr>
                <w:bCs/>
                <w:b/>
              </w:rPr>
              <w:t xml:space="preserve">Optimal</w:t>
            </w:r>
          </w:p>
        </w:tc>
      </w:tr>
    </w:tbl>
    <w:p>
      <w:pPr>
        <w:pStyle w:val="BodyText"/>
      </w:pPr>
      <w:r>
        <w:rPr>
          <w:bCs/>
          <w:b/>
        </w:rPr>
        <w:t xml:space="preserve">New in v3.26:</w:t>
      </w:r>
      <w:r>
        <w:t xml:space="preserve"> </w:t>
      </w:r>
      <w:r>
        <w:t xml:space="preserve">Harness engineering adds a fourth row — system-level optimization without model changes achieves additional +23% dev velocity and -7% bug reduction vs base MCP Hub approach.</w:t>
      </w:r>
    </w:p>
    <w:bookmarkEnd w:id="119"/>
    <w:bookmarkStart w:id="120" w:name="rq4-enterprise-security-and-compliance"/>
    <w:p>
      <w:pPr>
        <w:pStyle w:val="Heading3"/>
      </w:pPr>
      <w:r>
        <w:t xml:space="preserve">8.5.4 RQ4: Enterprise Security and Compliance</w:t>
      </w:r>
    </w:p>
    <w:tbl>
      <w:tblPr>
        <w:tblStyle w:val="Table"/>
        <w:tblW w:type="pct" w:w="5000"/>
        <w:tblLook w:firstRow="1" w:lastRow="0" w:firstColumn="0" w:lastColumn="0" w:noHBand="0" w:noVBand="0" w:val="0020"/>
        <w:jc w:val="start"/>
      </w:tblPr>
      <w:tblGrid>
        <w:gridCol w:w="1363"/>
        <w:gridCol w:w="2272"/>
        <w:gridCol w:w="2921"/>
        <w:gridCol w:w="1363"/>
      </w:tblGrid>
      <w:tr>
        <w:trPr>
          <w:tblHeader w:val="true"/>
        </w:trPr>
        <w:tc>
          <w:tcPr/>
          <w:p>
            <w:pPr>
              <w:pStyle w:val="Compact"/>
              <w:jc w:val="left"/>
            </w:pPr>
            <w:r>
              <w:t xml:space="preserve">Regulation</w:t>
            </w:r>
          </w:p>
        </w:tc>
        <w:tc>
          <w:tcPr/>
          <w:p>
            <w:pPr>
              <w:pStyle w:val="Compact"/>
              <w:jc w:val="left"/>
            </w:pPr>
            <w:r>
              <w:t xml:space="preserve">Requirement</w:t>
            </w:r>
          </w:p>
        </w:tc>
        <w:tc>
          <w:tcPr/>
          <w:p>
            <w:pPr>
              <w:pStyle w:val="Compact"/>
              <w:jc w:val="left"/>
            </w:pPr>
            <w:r>
              <w:t xml:space="preserve">Implementation</w:t>
            </w:r>
          </w:p>
        </w:tc>
        <w:tc>
          <w:tcPr/>
          <w:p>
            <w:pPr>
              <w:pStyle w:val="Compact"/>
              <w:jc w:val="left"/>
            </w:pPr>
            <w:r>
              <w:t xml:space="preserve">Status</w:t>
            </w:r>
          </w:p>
        </w:tc>
      </w:tr>
      <w:tr>
        <w:tc>
          <w:tcPr/>
          <w:p>
            <w:pPr>
              <w:pStyle w:val="Compact"/>
              <w:jc w:val="left"/>
            </w:pPr>
            <w:r>
              <w:rPr>
                <w:bCs/>
                <w:b/>
              </w:rPr>
              <w:t xml:space="preserve">NIS 2</w:t>
            </w:r>
          </w:p>
        </w:tc>
        <w:tc>
          <w:tcPr/>
          <w:p>
            <w:pPr>
              <w:pStyle w:val="Compact"/>
              <w:jc w:val="left"/>
            </w:pPr>
            <w:r>
              <w:t xml:space="preserve">Cybersecurity risk management</w:t>
            </w:r>
          </w:p>
        </w:tc>
        <w:tc>
          <w:tcPr/>
          <w:p>
            <w:pPr>
              <w:pStyle w:val="Compact"/>
              <w:jc w:val="left"/>
            </w:pPr>
            <w:r>
              <w:t xml:space="preserve">Security Agent + Snyk MCP + RC2-RC4 hardening</w:t>
            </w:r>
          </w:p>
        </w:tc>
        <w:tc>
          <w:tcPr/>
          <w:p>
            <w:pPr>
              <w:pStyle w:val="Compact"/>
              <w:jc w:val="left"/>
            </w:pPr>
            <w:r>
              <w:rPr>
                <w:bCs/>
                <w:b/>
              </w:rPr>
              <w:t xml:space="preserve">Active</w:t>
            </w:r>
          </w:p>
        </w:tc>
      </w:tr>
      <w:tr>
        <w:tc>
          <w:tcPr/>
          <w:p>
            <w:pPr>
              <w:pStyle w:val="Compact"/>
              <w:jc w:val="left"/>
            </w:pPr>
            <w:r>
              <w:rPr>
                <w:bCs/>
                <w:b/>
              </w:rPr>
              <w:t xml:space="preserve">EU AI Act</w:t>
            </w:r>
          </w:p>
        </w:tc>
        <w:tc>
          <w:tcPr/>
          <w:p>
            <w:pPr>
              <w:pStyle w:val="Compact"/>
              <w:jc w:val="left"/>
            </w:pPr>
            <w:r>
              <w:t xml:space="preserve">Transparency, human oversight</w:t>
            </w:r>
          </w:p>
        </w:tc>
        <w:tc>
          <w:tcPr/>
          <w:p>
            <w:pPr>
              <w:pStyle w:val="Compact"/>
              <w:jc w:val="left"/>
            </w:pPr>
            <w:r>
              <w:t xml:space="preserve">Art. 12 logging, SOUL.md, Pantheon agents</w:t>
            </w:r>
          </w:p>
        </w:tc>
        <w:tc>
          <w:tcPr/>
          <w:p>
            <w:pPr>
              <w:pStyle w:val="Compact"/>
              <w:jc w:val="left"/>
            </w:pPr>
            <w:r>
              <w:rPr>
                <w:bCs/>
                <w:b/>
              </w:rPr>
              <w:t xml:space="preserve">Compliant (92%)</w:t>
            </w:r>
          </w:p>
        </w:tc>
      </w:tr>
      <w:tr>
        <w:tc>
          <w:tcPr/>
          <w:p>
            <w:pPr>
              <w:pStyle w:val="Compact"/>
              <w:jc w:val="left"/>
            </w:pPr>
            <w:r>
              <w:rPr>
                <w:bCs/>
                <w:b/>
              </w:rPr>
              <w:t xml:space="preserve">GDPR</w:t>
            </w:r>
          </w:p>
        </w:tc>
        <w:tc>
          <w:tcPr/>
          <w:p>
            <w:pPr>
              <w:pStyle w:val="Compact"/>
              <w:jc w:val="left"/>
            </w:pPr>
            <w:r>
              <w:t xml:space="preserve">Data residency, data subject rights</w:t>
            </w:r>
          </w:p>
        </w:tc>
        <w:tc>
          <w:tcPr/>
          <w:p>
            <w:pPr>
              <w:pStyle w:val="Compact"/>
              <w:jc w:val="left"/>
            </w:pPr>
            <w:r>
              <w:t xml:space="preserve">europe-north1, Supabase RLS, Aiven EU</w:t>
            </w:r>
          </w:p>
        </w:tc>
        <w:tc>
          <w:tcPr/>
          <w:p>
            <w:pPr>
              <w:pStyle w:val="Compact"/>
              <w:jc w:val="left"/>
            </w:pPr>
            <w:r>
              <w:rPr>
                <w:bCs/>
                <w:b/>
              </w:rPr>
              <w:t xml:space="preserve">Compliant</w:t>
            </w:r>
          </w:p>
        </w:tc>
      </w:tr>
      <w:tr>
        <w:tc>
          <w:tcPr/>
          <w:p>
            <w:pPr>
              <w:pStyle w:val="Compact"/>
              <w:jc w:val="left"/>
            </w:pPr>
            <w:r>
              <w:rPr>
                <w:bCs/>
                <w:b/>
              </w:rPr>
              <w:t xml:space="preserve">Cybersecurity Act</w:t>
            </w:r>
          </w:p>
        </w:tc>
        <w:tc>
          <w:tcPr/>
          <w:p>
            <w:pPr>
              <w:pStyle w:val="Compact"/>
              <w:jc w:val="left"/>
            </w:pPr>
            <w:r>
              <w:t xml:space="preserve">Security certification</w:t>
            </w:r>
          </w:p>
        </w:tc>
        <w:tc>
          <w:tcPr/>
          <w:p>
            <w:pPr>
              <w:pStyle w:val="Compact"/>
              <w:jc w:val="left"/>
            </w:pPr>
            <w:r>
              <w:t xml:space="preserve">ISO 27001 target Q3 2026</w:t>
            </w:r>
          </w:p>
        </w:tc>
        <w:tc>
          <w:tcPr/>
          <w:p>
            <w:pPr>
              <w:pStyle w:val="Compact"/>
              <w:jc w:val="left"/>
            </w:pPr>
            <w:r>
              <w:t xml:space="preserve">Planned</w:t>
            </w:r>
          </w:p>
        </w:tc>
      </w:tr>
      <w:tr>
        <w:tc>
          <w:tcPr/>
          <w:p>
            <w:pPr>
              <w:pStyle w:val="Compact"/>
              <w:jc w:val="left"/>
            </w:pPr>
            <w:r>
              <w:rPr>
                <w:bCs/>
                <w:b/>
              </w:rPr>
              <w:t xml:space="preserve">EU Data Act</w:t>
            </w:r>
          </w:p>
        </w:tc>
        <w:tc>
          <w:tcPr/>
          <w:p>
            <w:pPr>
              <w:pStyle w:val="Compact"/>
              <w:jc w:val="left"/>
            </w:pPr>
            <w:r>
              <w:t xml:space="preserve">Data portability, interoperability</w:t>
            </w:r>
          </w:p>
        </w:tc>
        <w:tc>
          <w:tcPr/>
          <w:p>
            <w:pPr>
              <w:pStyle w:val="Compact"/>
              <w:jc w:val="left"/>
            </w:pPr>
            <w:r>
              <w:t xml:space="preserve">DWS Data Standard, HTAP architecture</w:t>
            </w:r>
          </w:p>
        </w:tc>
        <w:tc>
          <w:tcPr/>
          <w:p>
            <w:pPr>
              <w:pStyle w:val="Compact"/>
              <w:jc w:val="left"/>
            </w:pPr>
            <w:r>
              <w:rPr>
                <w:bCs/>
                <w:b/>
              </w:rPr>
              <w:t xml:space="preserve">In progress (80%)</w:t>
            </w:r>
          </w:p>
        </w:tc>
      </w:tr>
    </w:tbl>
    <w:bookmarkEnd w:id="120"/>
    <w:bookmarkEnd w:id="121"/>
    <w:bookmarkStart w:id="126" w:name="swot-analysis-updated-v3.26"/>
    <w:p>
      <w:pPr>
        <w:pStyle w:val="Heading2"/>
      </w:pPr>
      <w:r>
        <w:t xml:space="preserve">8.6 SWOT Analysis (Updated v3.26)</w:t>
      </w:r>
    </w:p>
    <w:bookmarkStart w:id="122" w:name="strengths"/>
    <w:p>
      <w:pPr>
        <w:pStyle w:val="Heading3"/>
      </w:pPr>
      <w:r>
        <w:t xml:space="preserve">Strengths</w:t>
      </w:r>
    </w:p>
    <w:p>
      <w:pPr>
        <w:numPr>
          <w:ilvl w:val="0"/>
          <w:numId w:val="1038"/>
        </w:numPr>
        <w:pStyle w:val="Compact"/>
      </w:pPr>
      <w:r>
        <w:t xml:space="preserve">Complete implementation (live system with €10k MRR)</w:t>
      </w:r>
    </w:p>
    <w:p>
      <w:pPr>
        <w:numPr>
          <w:ilvl w:val="0"/>
          <w:numId w:val="1038"/>
        </w:numPr>
        <w:pStyle w:val="Compact"/>
      </w:pPr>
      <w:r>
        <w:t xml:space="preserve">Novel coordination protocol (Lifetime Scope Signals)</w:t>
      </w:r>
    </w:p>
    <w:p>
      <w:pPr>
        <w:numPr>
          <w:ilvl w:val="0"/>
          <w:numId w:val="1038"/>
        </w:numPr>
        <w:pStyle w:val="Compact"/>
      </w:pPr>
      <w:r>
        <w:t xml:space="preserve">Cost leadership (82% cheaper than competitors)</w:t>
      </w:r>
    </w:p>
    <w:p>
      <w:pPr>
        <w:numPr>
          <w:ilvl w:val="0"/>
          <w:numId w:val="1038"/>
        </w:numPr>
        <w:pStyle w:val="Compact"/>
      </w:pPr>
      <w:r>
        <w:t xml:space="preserve">EU compliance built-in (5 regulations tracked)</w:t>
      </w:r>
    </w:p>
    <w:p>
      <w:pPr>
        <w:numPr>
          <w:ilvl w:val="0"/>
          <w:numId w:val="1038"/>
        </w:numPr>
        <w:pStyle w:val="Compact"/>
      </w:pPr>
      <w:r>
        <w:rPr>
          <w:bCs/>
          <w:b/>
        </w:rPr>
        <w:t xml:space="preserve">13-agent Pantheon system operational</w:t>
      </w:r>
    </w:p>
    <w:p>
      <w:pPr>
        <w:numPr>
          <w:ilvl w:val="0"/>
          <w:numId w:val="1038"/>
        </w:numPr>
        <w:pStyle w:val="Compact"/>
      </w:pPr>
      <w:r>
        <w:rPr>
          <w:bCs/>
          <w:b/>
        </w:rPr>
        <w:t xml:space="preserve">Harness engineering validated (+26% from system alone)</w:t>
      </w:r>
    </w:p>
    <w:p>
      <w:pPr>
        <w:numPr>
          <w:ilvl w:val="0"/>
          <w:numId w:val="1038"/>
        </w:numPr>
        <w:pStyle w:val="Compact"/>
      </w:pPr>
      <w:r>
        <w:rPr>
          <w:bCs/>
          <w:b/>
        </w:rPr>
        <w:t xml:space="preserve">Strategic partnerships: NVIDIA, Siemens, ABB, xAI, Mistral, Red Hat</w:t>
      </w:r>
    </w:p>
    <w:bookmarkEnd w:id="122"/>
    <w:bookmarkStart w:id="123" w:name="weaknesses"/>
    <w:p>
      <w:pPr>
        <w:pStyle w:val="Heading3"/>
      </w:pPr>
      <w:r>
        <w:t xml:space="preserve">Weaknesses</w:t>
      </w:r>
    </w:p>
    <w:p>
      <w:pPr>
        <w:numPr>
          <w:ilvl w:val="0"/>
          <w:numId w:val="1039"/>
        </w:numPr>
        <w:pStyle w:val="Compact"/>
      </w:pPr>
      <w:r>
        <w:t xml:space="preserve">Single developer dependency (mitigated by CEO automation agents)</w:t>
      </w:r>
    </w:p>
    <w:p>
      <w:pPr>
        <w:numPr>
          <w:ilvl w:val="0"/>
          <w:numId w:val="1039"/>
        </w:numPr>
        <w:pStyle w:val="Compact"/>
      </w:pPr>
      <w:r>
        <w:t xml:space="preserve">External validation limited (A/B testing data growing)</w:t>
      </w:r>
    </w:p>
    <w:p>
      <w:pPr>
        <w:numPr>
          <w:ilvl w:val="0"/>
          <w:numId w:val="1039"/>
        </w:numPr>
        <w:pStyle w:val="Compact"/>
      </w:pPr>
      <w:r>
        <w:t xml:space="preserve">Edge hardware dependency (now 2 devices: Jetson + GN100)</w:t>
      </w:r>
    </w:p>
    <w:bookmarkEnd w:id="123"/>
    <w:bookmarkStart w:id="124" w:name="opportunities"/>
    <w:p>
      <w:pPr>
        <w:pStyle w:val="Heading3"/>
      </w:pPr>
      <w:r>
        <w:t xml:space="preserve">Opportunities</w:t>
      </w:r>
    </w:p>
    <w:p>
      <w:pPr>
        <w:numPr>
          <w:ilvl w:val="0"/>
          <w:numId w:val="1040"/>
        </w:numPr>
        <w:pStyle w:val="Compact"/>
      </w:pPr>
      <w:r>
        <w:t xml:space="preserve">EU Fit for 55 mandate (€15-20 billion EU TAM)</w:t>
      </w:r>
    </w:p>
    <w:p>
      <w:pPr>
        <w:numPr>
          <w:ilvl w:val="0"/>
          <w:numId w:val="1040"/>
        </w:numPr>
        <w:pStyle w:val="Compact"/>
      </w:pPr>
      <w:r>
        <w:t xml:space="preserve">Solution Factory replication (8 verticals)</w:t>
      </w:r>
    </w:p>
    <w:p>
      <w:pPr>
        <w:numPr>
          <w:ilvl w:val="0"/>
          <w:numId w:val="1040"/>
        </w:numPr>
        <w:pStyle w:val="Compact"/>
      </w:pPr>
      <w:r>
        <w:t xml:space="preserve">NCC board-level partnership</w:t>
      </w:r>
    </w:p>
    <w:p>
      <w:pPr>
        <w:numPr>
          <w:ilvl w:val="0"/>
          <w:numId w:val="1040"/>
        </w:numPr>
        <w:pStyle w:val="Compact"/>
      </w:pPr>
      <w:r>
        <w:rPr>
          <w:bCs/>
          <w:b/>
        </w:rPr>
        <w:t xml:space="preserve">EU Data Act compliance as differentiator</w:t>
      </w:r>
    </w:p>
    <w:p>
      <w:pPr>
        <w:numPr>
          <w:ilvl w:val="0"/>
          <w:numId w:val="1040"/>
        </w:numPr>
        <w:pStyle w:val="Compact"/>
      </w:pPr>
      <w:r>
        <w:rPr>
          <w:bCs/>
          <w:b/>
        </w:rPr>
        <w:t xml:space="preserve">Harness engineering as IP moat</w:t>
      </w:r>
    </w:p>
    <w:p>
      <w:pPr>
        <w:numPr>
          <w:ilvl w:val="0"/>
          <w:numId w:val="1040"/>
        </w:numPr>
        <w:pStyle w:val="Compact"/>
      </w:pPr>
      <w:r>
        <w:rPr>
          <w:bCs/>
          <w:b/>
        </w:rPr>
        <w:t xml:space="preserve">$644B GenAI market (2025) with 76.4% YoY growth validates enterprise AI demand</w:t>
      </w:r>
    </w:p>
    <w:p>
      <w:pPr>
        <w:numPr>
          <w:ilvl w:val="0"/>
          <w:numId w:val="1040"/>
        </w:numPr>
        <w:pStyle w:val="Compact"/>
      </w:pPr>
      <w:r>
        <w:rPr>
          <w:bCs/>
          <w:b/>
        </w:rPr>
        <w:t xml:space="preserve">Inference shift: 80%+ accelerators for inference by 2028 validates edge-first architecture</w:t>
      </w:r>
    </w:p>
    <w:bookmarkEnd w:id="124"/>
    <w:bookmarkStart w:id="125" w:name="threats"/>
    <w:p>
      <w:pPr>
        <w:pStyle w:val="Heading3"/>
      </w:pPr>
      <w:r>
        <w:t xml:space="preserve">Threats</w:t>
      </w:r>
    </w:p>
    <w:p>
      <w:pPr>
        <w:numPr>
          <w:ilvl w:val="0"/>
          <w:numId w:val="1041"/>
        </w:numPr>
        <w:pStyle w:val="Compact"/>
      </w:pPr>
      <w:r>
        <w:t xml:space="preserve">Big tech market entry</w:t>
      </w:r>
    </w:p>
    <w:p>
      <w:pPr>
        <w:numPr>
          <w:ilvl w:val="0"/>
          <w:numId w:val="1041"/>
        </w:numPr>
        <w:pStyle w:val="Compact"/>
      </w:pPr>
      <w:r>
        <w:t xml:space="preserve">Credit expiration (12 months)</w:t>
      </w:r>
    </w:p>
    <w:p>
      <w:pPr>
        <w:numPr>
          <w:ilvl w:val="0"/>
          <w:numId w:val="1041"/>
        </w:numPr>
        <w:pStyle w:val="Compact"/>
      </w:pPr>
      <w:r>
        <w:t xml:space="preserve">Competition from established players</w:t>
      </w:r>
    </w:p>
    <w:p>
      <w:pPr>
        <w:numPr>
          <w:ilvl w:val="0"/>
          <w:numId w:val="1041"/>
        </w:numPr>
        <w:pStyle w:val="Compact"/>
      </w:pPr>
      <w:r>
        <w:rPr>
          <w:bCs/>
          <w:b/>
        </w:rPr>
        <w:t xml:space="preserve">EU AI Act enforcement timeline (August 2026)</w:t>
      </w:r>
    </w:p>
    <w:bookmarkEnd w:id="125"/>
    <w:bookmarkEnd w:id="126"/>
    <w:bookmarkStart w:id="127" w:name="ab-testing-and-feedback-channel-results"/>
    <w:p>
      <w:pPr>
        <w:pStyle w:val="Heading2"/>
      </w:pPr>
      <w:r>
        <w:t xml:space="preserve">8.7 A/B Testing and Feedback Channel Results</w:t>
      </w:r>
    </w:p>
    <w:p>
      <w:pPr>
        <w:pStyle w:val="FirstParagraph"/>
      </w:pPr>
      <w:r>
        <w:t xml:space="preserve">Product validation through the four-channel feedback pipeline (section 1.6):</w:t>
      </w:r>
    </w:p>
    <w:tbl>
      <w:tblPr>
        <w:tblStyle w:val="Table"/>
        <w:tblW w:type="pct" w:w="5000"/>
        <w:tblLook w:firstRow="1" w:lastRow="0" w:firstColumn="0" w:lastColumn="0" w:noHBand="0" w:noVBand="0" w:val="0020"/>
        <w:jc w:val="start"/>
      </w:tblPr>
      <w:tblGrid>
        <w:gridCol w:w="1343"/>
        <w:gridCol w:w="2404"/>
        <w:gridCol w:w="1272"/>
        <w:gridCol w:w="2121"/>
        <w:gridCol w:w="777"/>
      </w:tblGrid>
      <w:tr>
        <w:trPr>
          <w:tblHeader w:val="true"/>
        </w:trPr>
        <w:tc>
          <w:tcPr/>
          <w:p>
            <w:pPr>
              <w:pStyle w:val="Compact"/>
              <w:jc w:val="left"/>
            </w:pPr>
            <w:r>
              <w:t xml:space="preserve">Channel</w:t>
            </w:r>
          </w:p>
        </w:tc>
        <w:tc>
          <w:tcPr/>
          <w:p>
            <w:pPr>
              <w:pStyle w:val="Compact"/>
              <w:jc w:val="left"/>
            </w:pPr>
            <w:r>
              <w:t xml:space="preserve">Metric</w:t>
            </w:r>
          </w:p>
        </w:tc>
        <w:tc>
          <w:tcPr/>
          <w:p>
            <w:pPr>
              <w:pStyle w:val="Compact"/>
              <w:jc w:val="left"/>
            </w:pPr>
            <w:r>
              <w:t xml:space="preserve">Baseline (v3.15)</w:t>
            </w:r>
          </w:p>
        </w:tc>
        <w:tc>
          <w:tcPr/>
          <w:p>
            <w:pPr>
              <w:pStyle w:val="Compact"/>
              <w:jc w:val="left"/>
            </w:pPr>
            <w:r>
              <w:t xml:space="preserve">Current (v3.26)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Product approval rate</w:t>
            </w:r>
          </w:p>
        </w:tc>
        <w:tc>
          <w:tcPr/>
          <w:p>
            <w:pPr>
              <w:pStyle w:val="Compact"/>
              <w:jc w:val="left"/>
            </w:pPr>
            <w:r>
              <w:t xml:space="preserve">30/30 (100%)</w:t>
            </w:r>
          </w:p>
        </w:tc>
        <w:tc>
          <w:tcPr/>
          <w:p>
            <w:pPr>
              <w:pStyle w:val="Compact"/>
              <w:jc w:val="left"/>
            </w:pPr>
            <w:r>
              <w:t xml:space="preserve">30/30 (100%)</w:t>
            </w:r>
          </w:p>
        </w:tc>
        <w:tc>
          <w:tcPr/>
          <w:p>
            <w:pPr>
              <w:pStyle w:val="Compact"/>
              <w:jc w:val="left"/>
            </w:pPr>
            <w:r>
              <w:t xml:space="preserve">Maintained</w:t>
            </w:r>
          </w:p>
        </w:tc>
      </w:tr>
      <w:tr>
        <w:tc>
          <w:tcPr/>
          <w:p>
            <w:pPr>
              <w:pStyle w:val="Compact"/>
              <w:jc w:val="left"/>
            </w:pPr>
            <w:r>
              <w:rPr>
                <w:bCs/>
                <w:b/>
              </w:rPr>
              <w:t xml:space="preserve">Google Merchant</w:t>
            </w:r>
          </w:p>
        </w:tc>
        <w:tc>
          <w:tcPr/>
          <w:p>
            <w:pPr>
              <w:pStyle w:val="Compact"/>
              <w:jc w:val="left"/>
            </w:pPr>
            <w:r>
              <w:t xml:space="preserve">Average CTR</w:t>
            </w:r>
          </w:p>
        </w:tc>
        <w:tc>
          <w:tcPr/>
          <w:p>
            <w:pPr>
              <w:pStyle w:val="Compact"/>
              <w:jc w:val="left"/>
            </w:pPr>
            <w:r>
              <w:t xml:space="preserve">1.2%</w:t>
            </w:r>
          </w:p>
        </w:tc>
        <w:tc>
          <w:tcPr/>
          <w:p>
            <w:pPr>
              <w:pStyle w:val="Compact"/>
              <w:jc w:val="left"/>
            </w:pPr>
            <w:r>
              <w:t xml:space="preserve">1.8% (A/B tested descriptions)</w:t>
            </w:r>
          </w:p>
        </w:tc>
        <w:tc>
          <w:tcPr/>
          <w:p>
            <w:pPr>
              <w:pStyle w:val="Compact"/>
              <w:jc w:val="left"/>
            </w:pPr>
            <w:r>
              <w:t xml:space="preserve">+50%</w:t>
            </w:r>
          </w:p>
        </w:tc>
      </w:tr>
      <w:tr>
        <w:tc>
          <w:tcPr/>
          <w:p>
            <w:pPr>
              <w:pStyle w:val="Compact"/>
              <w:jc w:val="left"/>
            </w:pPr>
            <w:r>
              <w:rPr>
                <w:bCs/>
                <w:b/>
              </w:rPr>
              <w:t xml:space="preserve">SEO</w:t>
            </w:r>
          </w:p>
        </w:tc>
        <w:tc>
          <w:tcPr/>
          <w:p>
            <w:pPr>
              <w:pStyle w:val="Compact"/>
              <w:jc w:val="left"/>
            </w:pPr>
            <w:r>
              <w:t xml:space="preserve">Organic keywords ranked</w:t>
            </w:r>
          </w:p>
        </w:tc>
        <w:tc>
          <w:tcPr/>
          <w:p>
            <w:pPr>
              <w:pStyle w:val="Compact"/>
              <w:jc w:val="left"/>
            </w:pPr>
            <w:r>
              <w:t xml:space="preserve">45</w:t>
            </w:r>
          </w:p>
        </w:tc>
        <w:tc>
          <w:tcPr/>
          <w:p>
            <w:pPr>
              <w:pStyle w:val="Compact"/>
              <w:jc w:val="left"/>
            </w:pPr>
            <w:r>
              <w:t xml:space="preserve">78</w:t>
            </w:r>
          </w:p>
        </w:tc>
        <w:tc>
          <w:tcPr/>
          <w:p>
            <w:pPr>
              <w:pStyle w:val="Compact"/>
              <w:jc w:val="left"/>
            </w:pPr>
            <w:r>
              <w:t xml:space="preserve">+73%</w:t>
            </w:r>
          </w:p>
        </w:tc>
      </w:tr>
      <w:tr>
        <w:tc>
          <w:tcPr/>
          <w:p>
            <w:pPr>
              <w:pStyle w:val="Compact"/>
              <w:jc w:val="left"/>
            </w:pPr>
            <w:r>
              <w:rPr>
                <w:bCs/>
                <w:b/>
              </w:rPr>
              <w:t xml:space="preserve">SEO</w:t>
            </w:r>
          </w:p>
        </w:tc>
        <w:tc>
          <w:tcPr/>
          <w:p>
            <w:pPr>
              <w:pStyle w:val="Compact"/>
              <w:jc w:val="left"/>
            </w:pPr>
            <w:r>
              <w:t xml:space="preserve">Average position (target keywords)</w:t>
            </w:r>
          </w:p>
        </w:tc>
        <w:tc>
          <w:tcPr/>
          <w:p>
            <w:pPr>
              <w:pStyle w:val="Compact"/>
              <w:jc w:val="left"/>
            </w:pPr>
            <w:r>
              <w:t xml:space="preserve">32</w:t>
            </w:r>
          </w:p>
        </w:tc>
        <w:tc>
          <w:tcPr/>
          <w:p>
            <w:pPr>
              <w:pStyle w:val="Compact"/>
              <w:jc w:val="left"/>
            </w:pPr>
            <w:r>
              <w:t xml:space="preserve">18</w:t>
            </w:r>
          </w:p>
        </w:tc>
        <w:tc>
          <w:tcPr/>
          <w:p>
            <w:pPr>
              <w:pStyle w:val="Compact"/>
              <w:jc w:val="left"/>
            </w:pPr>
            <w:r>
              <w:t xml:space="preserve">+44%</w:t>
            </w:r>
          </w:p>
        </w:tc>
      </w:tr>
      <w:tr>
        <w:tc>
          <w:tcPr/>
          <w:p>
            <w:pPr>
              <w:pStyle w:val="Compact"/>
              <w:jc w:val="left"/>
            </w:pPr>
            <w:r>
              <w:rPr>
                <w:bCs/>
                <w:b/>
              </w:rPr>
              <w:t xml:space="preserve">Sales</w:t>
            </w:r>
          </w:p>
        </w:tc>
        <w:tc>
          <w:tcPr/>
          <w:p>
            <w:pPr>
              <w:pStyle w:val="Compact"/>
              <w:jc w:val="left"/>
            </w:pPr>
            <w:r>
              <w:t xml:space="preserve">MRR</w:t>
            </w:r>
          </w:p>
        </w:tc>
        <w:tc>
          <w:tcPr/>
          <w:p>
            <w:pPr>
              <w:pStyle w:val="Compact"/>
              <w:jc w:val="left"/>
            </w:pPr>
            <w:r>
              <w:t xml:space="preserve">€10k (pilot)</w:t>
            </w:r>
          </w:p>
        </w:tc>
        <w:tc>
          <w:tcPr/>
          <w:p>
            <w:pPr>
              <w:pStyle w:val="Compact"/>
              <w:jc w:val="left"/>
            </w:pPr>
            <w:r>
              <w:t xml:space="preserve">€10k (stable)</w:t>
            </w:r>
          </w:p>
        </w:tc>
        <w:tc>
          <w:tcPr/>
          <w:p>
            <w:pPr>
              <w:pStyle w:val="Compact"/>
              <w:jc w:val="left"/>
            </w:pPr>
            <w:r>
              <w:t xml:space="preserve">Maintained</w:t>
            </w:r>
          </w:p>
        </w:tc>
      </w:tr>
      <w:tr>
        <w:tc>
          <w:tcPr/>
          <w:p>
            <w:pPr>
              <w:pStyle w:val="Compact"/>
              <w:jc w:val="left"/>
            </w:pPr>
            <w:r>
              <w:rPr>
                <w:bCs/>
                <w:b/>
              </w:rPr>
              <w:t xml:space="preserve">Sales</w:t>
            </w:r>
          </w:p>
        </w:tc>
        <w:tc>
          <w:tcPr/>
          <w:p>
            <w:pPr>
              <w:pStyle w:val="Compact"/>
              <w:jc w:val="left"/>
            </w:pPr>
            <w:r>
              <w:t xml:space="preserve">Conversion rate (store)</w:t>
            </w:r>
          </w:p>
        </w:tc>
        <w:tc>
          <w:tcPr/>
          <w:p>
            <w:pPr>
              <w:pStyle w:val="Compact"/>
              <w:jc w:val="left"/>
            </w:pPr>
            <w:r>
              <w:t xml:space="preserve">2.1%</w:t>
            </w:r>
          </w:p>
        </w:tc>
        <w:tc>
          <w:tcPr/>
          <w:p>
            <w:pPr>
              <w:pStyle w:val="Compact"/>
              <w:jc w:val="left"/>
            </w:pPr>
            <w:r>
              <w:t xml:space="preserve">3.4%</w:t>
            </w:r>
          </w:p>
        </w:tc>
        <w:tc>
          <w:tcPr/>
          <w:p>
            <w:pPr>
              <w:pStyle w:val="Compact"/>
              <w:jc w:val="left"/>
            </w:pPr>
            <w:r>
              <w:t xml:space="preserve">+62%</w:t>
            </w:r>
          </w:p>
        </w:tc>
      </w:tr>
      <w:tr>
        <w:tc>
          <w:tcPr/>
          <w:p>
            <w:pPr>
              <w:pStyle w:val="Compact"/>
              <w:jc w:val="left"/>
            </w:pPr>
            <w:r>
              <w:rPr>
                <w:bCs/>
                <w:b/>
              </w:rPr>
              <w:t xml:space="preserve">Investor</w:t>
            </w:r>
          </w:p>
        </w:tc>
        <w:tc>
          <w:tcPr/>
          <w:p>
            <w:pPr>
              <w:pStyle w:val="Compact"/>
              <w:jc w:val="left"/>
            </w:pPr>
            <w:r>
              <w:t xml:space="preserve">InvestEU readiness</w:t>
            </w:r>
          </w:p>
        </w:tc>
        <w:tc>
          <w:tcPr/>
          <w:p>
            <w:pPr>
              <w:pStyle w:val="Compact"/>
              <w:jc w:val="left"/>
            </w:pPr>
            <w:r>
              <w:t xml:space="preserve">Pipeline</w:t>
            </w:r>
          </w:p>
        </w:tc>
        <w:tc>
          <w:tcPr/>
          <w:p>
            <w:pPr>
              <w:pStyle w:val="Compact"/>
              <w:jc w:val="left"/>
            </w:pPr>
            <w:r>
              <w:t xml:space="preserve">Assessment phase</w:t>
            </w:r>
          </w:p>
        </w:tc>
        <w:tc>
          <w:tcPr/>
          <w:p>
            <w:pPr>
              <w:pStyle w:val="Compact"/>
              <w:jc w:val="left"/>
            </w:pPr>
            <w:r>
              <w:t xml:space="preserve">Progressing</w:t>
            </w:r>
          </w:p>
        </w:tc>
      </w:tr>
      <w:tr>
        <w:tc>
          <w:tcPr/>
          <w:p>
            <w:pPr>
              <w:pStyle w:val="Compact"/>
              <w:jc w:val="left"/>
            </w:pPr>
            <w:r>
              <w:rPr>
                <w:bCs/>
                <w:b/>
              </w:rPr>
              <w:t xml:space="preserve">Investor</w:t>
            </w:r>
          </w:p>
        </w:tc>
        <w:tc>
          <w:tcPr/>
          <w:p>
            <w:pPr>
              <w:pStyle w:val="Compact"/>
              <w:jc w:val="left"/>
            </w:pPr>
            <w:r>
              <w:t xml:space="preserve">Product portfolio score</w:t>
            </w:r>
          </w:p>
        </w:tc>
        <w:tc>
          <w:tcPr/>
          <w:p>
            <w:pPr>
              <w:pStyle w:val="Compact"/>
              <w:jc w:val="left"/>
            </w:pPr>
            <w:r>
              <w:t xml:space="preserve">30 products listed</w:t>
            </w:r>
          </w:p>
        </w:tc>
        <w:tc>
          <w:tcPr/>
          <w:p>
            <w:pPr>
              <w:pStyle w:val="Compact"/>
              <w:jc w:val="left"/>
            </w:pPr>
            <w:r>
              <w:t xml:space="preserve">30 products + 3 SaaS features</w:t>
            </w:r>
          </w:p>
        </w:tc>
        <w:tc>
          <w:tcPr/>
          <w:p>
            <w:pPr>
              <w:pStyle w:val="Compact"/>
              <w:jc w:val="left"/>
            </w:pPr>
            <w:r>
              <w:t xml:space="preserve">Enhanced</w:t>
            </w:r>
          </w:p>
        </w:tc>
      </w:tr>
    </w:tbl>
    <w:p>
      <w:pPr>
        <w:pStyle w:val="BodyText"/>
      </w:pPr>
      <w:r>
        <w:rPr>
          <w:bCs/>
          <w:b/>
        </w:rPr>
        <w:t xml:space="preserve">Key A/B test findings:</w:t>
      </w:r>
    </w:p>
    <w:p>
      <w:pPr>
        <w:numPr>
          <w:ilvl w:val="0"/>
          <w:numId w:val="1042"/>
        </w:numPr>
        <w:pStyle w:val="Compact"/>
      </w:pPr>
      <w:r>
        <w:rPr>
          <w:bCs/>
          <w:b/>
        </w:rPr>
        <w:t xml:space="preserve">AI-generated product descriptions</w:t>
      </w:r>
      <w:r>
        <w:t xml:space="preserve"> </w:t>
      </w:r>
      <w:r>
        <w:t xml:space="preserve">outperform manual descriptions by +18% CTR in Google Merchant</w:t>
      </w:r>
    </w:p>
    <w:p>
      <w:pPr>
        <w:numPr>
          <w:ilvl w:val="0"/>
          <w:numId w:val="1042"/>
        </w:numPr>
        <w:pStyle w:val="Compact"/>
      </w:pPr>
      <w:r>
        <w:rPr>
          <w:bCs/>
          <w:b/>
        </w:rPr>
        <w:t xml:space="preserve">Hierarchical category pages</w:t>
      </w:r>
      <w:r>
        <w:t xml:space="preserve"> </w:t>
      </w:r>
      <w:r>
        <w:t xml:space="preserve">reduce bounce rate by 12% vs flat product listing</w:t>
      </w:r>
    </w:p>
    <w:p>
      <w:pPr>
        <w:numPr>
          <w:ilvl w:val="0"/>
          <w:numId w:val="1042"/>
        </w:numPr>
        <w:pStyle w:val="Compact"/>
      </w:pPr>
      <w:r>
        <w:rPr>
          <w:bCs/>
          <w:b/>
        </w:rPr>
        <w:t xml:space="preserve">Dynamic pricing signals</w:t>
      </w:r>
      <w:r>
        <w:t xml:space="preserve"> </w:t>
      </w:r>
      <w:r>
        <w:t xml:space="preserve">(showing competitor comparison) increase conversion by 8%</w:t>
      </w:r>
    </w:p>
    <w:p>
      <w:pPr>
        <w:numPr>
          <w:ilvl w:val="0"/>
          <w:numId w:val="1042"/>
        </w:numPr>
        <w:pStyle w:val="Compact"/>
      </w:pPr>
      <w:r>
        <w:rPr>
          <w:bCs/>
          <w:b/>
        </w:rPr>
        <w:t xml:space="preserve">Investor feedback</w:t>
      </w:r>
      <w:r>
        <w:t xml:space="preserve"> </w:t>
      </w:r>
      <w:r>
        <w:t xml:space="preserve">confirmed product portfolio breadth as a strength; pricing model feedback led to 3-tier billing implementation</w:t>
      </w:r>
    </w:p>
    <w:p>
      <w:r>
        <w:pict>
          <v:rect style="width:0;height:1.5pt" o:hralign="center" o:hrstd="t" o:hr="t"/>
        </w:pict>
      </w:r>
    </w:p>
    <w:bookmarkEnd w:id="127"/>
    <w:bookmarkEnd w:id="128"/>
    <w:bookmarkStart w:id="139" w:name="discussion"/>
    <w:p>
      <w:pPr>
        <w:pStyle w:val="Heading1"/>
      </w:pPr>
      <w:r>
        <w:t xml:space="preserve">9. Discussion</w:t>
      </w:r>
    </w:p>
    <w:bookmarkStart w:id="130" w:name="key-findings-and-implications"/>
    <w:p>
      <w:pPr>
        <w:pStyle w:val="Heading2"/>
      </w:pPr>
      <w:r>
        <w:t xml:space="preserve">9.1 Key Findings and Implications</w:t>
      </w:r>
    </w:p>
    <w:bookmarkStart w:id="129" w:name="Xe1b2c8116099c1064818009868175ce91100a68"/>
    <w:p>
      <w:pPr>
        <w:pStyle w:val="Heading3"/>
      </w:pPr>
      <w:r>
        <w:t xml:space="preserve">9.1.1 Validation of AI-Assisted Development Model</w:t>
      </w:r>
    </w:p>
    <w:p>
      <w:pPr>
        <w:pStyle w:val="FirstParagraph"/>
      </w:pPr>
      <w:r>
        <w:rPr>
          <w:bCs/>
          <w:b/>
        </w:rPr>
        <w:t xml:space="preserve">Finding 1: Cursor Pro + Claude Code Max enabled rapid MVP development</w:t>
      </w:r>
    </w:p>
    <w:p>
      <w:pPr>
        <w:numPr>
          <w:ilvl w:val="0"/>
          <w:numId w:val="1043"/>
        </w:numPr>
        <w:pStyle w:val="Compact"/>
      </w:pPr>
      <w:r>
        <w:t xml:space="preserve">AI-assisted development tools (Cursor Pro, Claude Code Max subscriptions) enabled a complete MVP in 15 weeks</w:t>
      </w:r>
    </w:p>
    <w:p>
      <w:pPr>
        <w:numPr>
          <w:ilvl w:val="0"/>
          <w:numId w:val="1043"/>
        </w:numPr>
        <w:pStyle w:val="Compact"/>
      </w:pPr>
      <w:r>
        <w:t xml:space="preserve">Minimal cloud credits supplemented by targeted tool subscriptions eliminate the need for early-stage venture capital</w:t>
      </w:r>
    </w:p>
    <w:p>
      <w:pPr>
        <w:pStyle w:val="FirstParagraph"/>
      </w:pPr>
      <w:r>
        <w:rPr>
          <w:bCs/>
          <w:b/>
        </w:rPr>
        <w:t xml:space="preserve">Finding 2: Edge AI provides sustainable cost advantage</w:t>
      </w:r>
    </w:p>
    <w:p>
      <w:pPr>
        <w:numPr>
          <w:ilvl w:val="0"/>
          <w:numId w:val="1044"/>
        </w:numPr>
        <w:pStyle w:val="Compact"/>
      </w:pPr>
      <w:r>
        <w:t xml:space="preserve">82% cost reduction vs. cloud-only architecture</w:t>
      </w:r>
    </w:p>
    <w:p>
      <w:pPr>
        <w:numPr>
          <w:ilvl w:val="0"/>
          <w:numId w:val="1044"/>
        </w:numPr>
        <w:pStyle w:val="Compact"/>
      </w:pPr>
      <w:r>
        <w:t xml:space="preserve">1.95-month payback period on hardware investment</w:t>
      </w:r>
    </w:p>
    <w:bookmarkEnd w:id="129"/>
    <w:bookmarkEnd w:id="130"/>
    <w:bookmarkStart w:id="131" w:name="replicability-the-solution-factory-model"/>
    <w:p>
      <w:pPr>
        <w:pStyle w:val="Heading2"/>
      </w:pPr>
      <w:r>
        <w:t xml:space="preserve">9.2 Replicability: The Solution Factory Model</w:t>
      </w:r>
    </w:p>
    <w:p>
      <w:pPr>
        <w:pStyle w:val="FirstParagraph"/>
      </w:pPr>
      <w:r>
        <w:rPr>
          <w:bCs/>
          <w:b/>
        </w:rPr>
        <w:t xml:space="preserve">Phase 1: Bootstrap (6 months, EUR 0-350/month)</w:t>
      </w:r>
      <w:r>
        <w:t xml:space="preserve"> </w:t>
      </w:r>
      <w:r>
        <w:t xml:space="preserve">— Free tiers, 5 pilot customers</w:t>
      </w:r>
    </w:p>
    <w:p>
      <w:pPr>
        <w:pStyle w:val="BodyText"/>
      </w:pPr>
      <w:r>
        <w:rPr>
          <w:bCs/>
          <w:b/>
        </w:rPr>
        <w:t xml:space="preserve">Phase 2: Validate (6 months, EUR 5-15k MRR)</w:t>
      </w:r>
      <w:r>
        <w:t xml:space="preserve"> </w:t>
      </w:r>
      <w:r>
        <w:t xml:space="preserve">— Paying customers, &lt;2 month payback</w:t>
      </w:r>
    </w:p>
    <w:p>
      <w:pPr>
        <w:pStyle w:val="BodyText"/>
      </w:pPr>
      <w:r>
        <w:rPr>
          <w:bCs/>
          <w:b/>
        </w:rPr>
        <w:t xml:space="preserve">Phase 3: Scale (12 months, EUR 50k+ MRR)</w:t>
      </w:r>
      <w:r>
        <w:t xml:space="preserve"> </w:t>
      </w:r>
      <w:r>
        <w:t xml:space="preserve">— 2-3 verticals, Series A</w:t>
      </w:r>
    </w:p>
    <w:bookmarkEnd w:id="131"/>
    <w:bookmarkStart w:id="132" w:name="limitations"/>
    <w:p>
      <w:pPr>
        <w:pStyle w:val="Heading2"/>
      </w:pPr>
      <w:r>
        <w:t xml:space="preserve">9.3 Limitations</w:t>
      </w:r>
    </w:p>
    <w:tbl>
      <w:tblPr>
        <w:tblStyle w:val="Table"/>
        <w:tblW w:type="pct" w:w="5000"/>
        <w:tblLook w:firstRow="1" w:lastRow="0" w:firstColumn="0" w:lastColumn="0" w:noHBand="0" w:noVBand="0" w:val="0020"/>
        <w:jc w:val="start"/>
      </w:tblPr>
      <w:tblGrid>
        <w:gridCol w:w="1959"/>
        <w:gridCol w:w="2041"/>
        <w:gridCol w:w="3919"/>
      </w:tblGrid>
      <w:tr>
        <w:trPr>
          <w:tblHeader w:val="true"/>
        </w:trPr>
        <w:tc>
          <w:tcPr/>
          <w:p>
            <w:pPr>
              <w:pStyle w:val="Compact"/>
              <w:jc w:val="left"/>
            </w:pPr>
            <w:r>
              <w:t xml:space="preserve">Limitation</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Single case study</w:t>
            </w:r>
          </w:p>
        </w:tc>
        <w:tc>
          <w:tcPr/>
          <w:p>
            <w:pPr>
              <w:pStyle w:val="Compact"/>
              <w:jc w:val="left"/>
            </w:pPr>
            <w:r>
              <w:t xml:space="preserve">Limited generalizability</w:t>
            </w:r>
          </w:p>
        </w:tc>
        <w:tc>
          <w:tcPr/>
          <w:p>
            <w:pPr>
              <w:pStyle w:val="Compact"/>
              <w:jc w:val="left"/>
            </w:pPr>
            <w:r>
              <w:t xml:space="preserve">Model provides framework for replication studies</w:t>
            </w:r>
          </w:p>
        </w:tc>
      </w:tr>
      <w:tr>
        <w:tc>
          <w:tcPr/>
          <w:p>
            <w:pPr>
              <w:pStyle w:val="Compact"/>
              <w:jc w:val="left"/>
            </w:pPr>
            <w:r>
              <w:t xml:space="preserve">Self-reported metrics</w:t>
            </w:r>
          </w:p>
        </w:tc>
        <w:tc>
          <w:tcPr/>
          <w:p>
            <w:pPr>
              <w:pStyle w:val="Compact"/>
              <w:jc w:val="left"/>
            </w:pPr>
            <w:r>
              <w:t xml:space="preserve">Potential bias</w:t>
            </w:r>
          </w:p>
        </w:tc>
        <w:tc>
          <w:tcPr/>
          <w:p>
            <w:pPr>
              <w:pStyle w:val="Compact"/>
              <w:jc w:val="left"/>
            </w:pPr>
            <w:r>
              <w:t xml:space="preserve">Third-party validation planned Q2 2026</w:t>
            </w:r>
          </w:p>
        </w:tc>
      </w:tr>
      <w:tr>
        <w:tc>
          <w:tcPr/>
          <w:p>
            <w:pPr>
              <w:pStyle w:val="Compact"/>
              <w:jc w:val="left"/>
            </w:pPr>
            <w:r>
              <w:t xml:space="preserve">Short observation period</w:t>
            </w:r>
          </w:p>
        </w:tc>
        <w:tc>
          <w:tcPr/>
          <w:p>
            <w:pPr>
              <w:pStyle w:val="Compact"/>
              <w:jc w:val="left"/>
            </w:pPr>
            <w:r>
              <w:t xml:space="preserve">Long-term effects unknown</w:t>
            </w:r>
          </w:p>
        </w:tc>
        <w:tc>
          <w:tcPr/>
          <w:p>
            <w:pPr>
              <w:pStyle w:val="Compact"/>
              <w:jc w:val="left"/>
            </w:pPr>
            <w:r>
              <w:t xml:space="preserve">Continuous monitoring</w:t>
            </w:r>
          </w:p>
        </w:tc>
      </w:tr>
    </w:tbl>
    <w:bookmarkEnd w:id="132"/>
    <w:bookmarkStart w:id="133" w:name="recommendations"/>
    <w:p>
      <w:pPr>
        <w:pStyle w:val="Heading2"/>
      </w:pPr>
      <w:r>
        <w:t xml:space="preserve">9.4 Recommendations</w:t>
      </w:r>
    </w:p>
    <w:p>
      <w:pPr>
        <w:numPr>
          <w:ilvl w:val="0"/>
          <w:numId w:val="1045"/>
        </w:numPr>
        <w:pStyle w:val="Compact"/>
      </w:pPr>
      <w:r>
        <w:rPr>
          <w:bCs/>
          <w:b/>
        </w:rPr>
        <w:t xml:space="preserve">Execute V1.0 release (23 February 2026)</w:t>
      </w:r>
    </w:p>
    <w:p>
      <w:pPr>
        <w:numPr>
          <w:ilvl w:val="0"/>
          <w:numId w:val="1045"/>
        </w:numPr>
        <w:pStyle w:val="Compact"/>
      </w:pPr>
      <w:r>
        <w:rPr>
          <w:bCs/>
          <w:b/>
        </w:rPr>
        <w:t xml:space="preserve">Document Solution Factory</w:t>
      </w:r>
      <w:r>
        <w:t xml:space="preserve"> </w:t>
      </w:r>
      <w:r>
        <w:t xml:space="preserve">— public cost calculator, AgentFoundry templates</w:t>
      </w:r>
    </w:p>
    <w:p>
      <w:pPr>
        <w:numPr>
          <w:ilvl w:val="0"/>
          <w:numId w:val="1045"/>
        </w:numPr>
        <w:pStyle w:val="Compact"/>
      </w:pPr>
      <w:r>
        <w:rPr>
          <w:bCs/>
          <w:b/>
        </w:rPr>
        <w:t xml:space="preserve">Validate second vertical</w:t>
      </w:r>
      <w:r>
        <w:t xml:space="preserve"> </w:t>
      </w:r>
      <w:r>
        <w:t xml:space="preserve">— Construction (NCC, T2H)</w:t>
      </w:r>
    </w:p>
    <w:bookmarkEnd w:id="133"/>
    <w:bookmarkStart w:id="138" w:name="X1ed1201d73bbf54458553ea5859fce5dfd771ff"/>
    <w:p>
      <w:pPr>
        <w:pStyle w:val="Heading2"/>
      </w:pPr>
      <w:r>
        <w:t xml:space="preserve">9.5 Learn Thinking — A Reflective Learning Framework for AI-Assisted Development</w:t>
      </w:r>
    </w:p>
    <w:p>
      <w:pPr>
        <w:pStyle w:val="FirstParagraph"/>
      </w:pPr>
      <w:r>
        <w:t xml:space="preserve">A critical innovation of the Firehorse operating model is</w:t>
      </w:r>
      <w:r>
        <w:t xml:space="preserve"> </w:t>
      </w:r>
      <w:r>
        <w:rPr>
          <w:bCs/>
          <w:b/>
        </w:rPr>
        <w:t xml:space="preserve">Learn Thinking</w:t>
      </w:r>
      <w:r>
        <w:t xml:space="preserve"> </w:t>
      </w:r>
      <w:r>
        <w:t xml:space="preserve">— a systematic approach where every AI-assisted development session produces not only code and documentation, but also</w:t>
      </w:r>
      <w:r>
        <w:t xml:space="preserve"> </w:t>
      </w:r>
      <w:r>
        <w:rPr>
          <w:bCs/>
          <w:b/>
        </w:rPr>
        <w:t xml:space="preserve">structural learning</w:t>
      </w:r>
      <w:r>
        <w:t xml:space="preserve"> </w:t>
      </w:r>
      <w:r>
        <w:t xml:space="preserve">that returns to the developer the following morning.</w:t>
      </w:r>
    </w:p>
    <w:bookmarkStart w:id="134" w:name="learn-thinking-principles"/>
    <w:p>
      <w:pPr>
        <w:pStyle w:val="Heading3"/>
      </w:pPr>
      <w:r>
        <w:t xml:space="preserve">Learn Thinking Principles</w:t>
      </w:r>
    </w:p>
    <w:tbl>
      <w:tblPr>
        <w:tblStyle w:val="Table"/>
        <w:tblW w:type="pct" w:w="5000"/>
        <w:tblLook w:firstRow="1" w:lastRow="0" w:firstColumn="0" w:lastColumn="0" w:noHBand="0" w:noVBand="0" w:val="0020"/>
        <w:jc w:val="start"/>
      </w:tblPr>
      <w:tblGrid>
        <w:gridCol w:w="1466"/>
        <w:gridCol w:w="3568"/>
        <w:gridCol w:w="2884"/>
      </w:tblGrid>
      <w:tr>
        <w:trPr>
          <w:tblHeader w:val="true"/>
        </w:trPr>
        <w:tc>
          <w:tcPr/>
          <w:p>
            <w:pPr>
              <w:pStyle w:val="Compact"/>
              <w:jc w:val="left"/>
            </w:pPr>
            <w:r>
              <w:t xml:space="preserve">Principle</w:t>
            </w:r>
          </w:p>
        </w:tc>
        <w:tc>
          <w:tcPr/>
          <w:p>
            <w:pPr>
              <w:pStyle w:val="Compact"/>
              <w:jc w:val="left"/>
            </w:pPr>
            <w:r>
              <w:t xml:space="preserve">Implementation</w:t>
            </w:r>
          </w:p>
        </w:tc>
        <w:tc>
          <w:tcPr/>
          <w:p>
            <w:pPr>
              <w:pStyle w:val="Compact"/>
              <w:jc w:val="left"/>
            </w:pPr>
            <w:r>
              <w:t xml:space="preserve">Impact</w:t>
            </w:r>
          </w:p>
        </w:tc>
      </w:tr>
      <w:tr>
        <w:tc>
          <w:tcPr/>
          <w:p>
            <w:pPr>
              <w:pStyle w:val="Compact"/>
              <w:jc w:val="left"/>
            </w:pPr>
            <w:r>
              <w:rPr>
                <w:bCs/>
                <w:b/>
              </w:rPr>
              <w:t xml:space="preserve">Daily reflection</w:t>
            </w:r>
          </w:p>
        </w:tc>
        <w:tc>
          <w:tcPr/>
          <w:p>
            <w:pPr>
              <w:pStyle w:val="Compact"/>
              <w:jc w:val="left"/>
            </w:pPr>
            <w:r>
              <w:t xml:space="preserve">Learn/ folder HTML output opens in Edge every morning</w:t>
            </w:r>
          </w:p>
        </w:tc>
        <w:tc>
          <w:tcPr/>
          <w:p>
            <w:pPr>
              <w:pStyle w:val="Compact"/>
              <w:jc w:val="left"/>
            </w:pPr>
            <w:r>
              <w:t xml:space="preserve">Developer starts each day with a review of the latest state</w:t>
            </w:r>
          </w:p>
        </w:tc>
      </w:tr>
      <w:tr>
        <w:tc>
          <w:tcPr/>
          <w:p>
            <w:pPr>
              <w:pStyle w:val="Compact"/>
              <w:jc w:val="left"/>
            </w:pPr>
            <w:r>
              <w:rPr>
                <w:bCs/>
                <w:b/>
              </w:rPr>
              <w:t xml:space="preserve">Versioned learning journal</w:t>
            </w:r>
          </w:p>
        </w:tc>
        <w:tc>
          <w:tcPr/>
          <w:p>
            <w:pPr>
              <w:pStyle w:val="Compact"/>
              <w:jc w:val="left"/>
            </w:pPr>
            <w:r>
              <w:t xml:space="preserve">Thesis version history = learning journal</w:t>
            </w:r>
          </w:p>
        </w:tc>
        <w:tc>
          <w:tcPr/>
          <w:p>
            <w:pPr>
              <w:pStyle w:val="Compact"/>
              <w:jc w:val="left"/>
            </w:pPr>
            <w:r>
              <w:t xml:space="preserve">Each version documents what was learned and why</w:t>
            </w:r>
          </w:p>
        </w:tc>
      </w:tr>
      <w:tr>
        <w:tc>
          <w:tcPr/>
          <w:p>
            <w:pPr>
              <w:pStyle w:val="Compact"/>
              <w:jc w:val="left"/>
            </w:pPr>
            <w:r>
              <w:rPr>
                <w:bCs/>
                <w:b/>
              </w:rPr>
              <w:t xml:space="preserve">AI as learning partner</w:t>
            </w:r>
          </w:p>
        </w:tc>
        <w:tc>
          <w:tcPr/>
          <w:p>
            <w:pPr>
              <w:pStyle w:val="Compact"/>
              <w:jc w:val="left"/>
            </w:pPr>
            <w:r>
              <w:t xml:space="preserve">Claude Code / Copilot generates content, human validates</w:t>
            </w:r>
          </w:p>
        </w:tc>
        <w:tc>
          <w:tcPr/>
          <w:p>
            <w:pPr>
              <w:pStyle w:val="Compact"/>
              <w:jc w:val="left"/>
            </w:pPr>
            <w:r>
              <w:t xml:space="preserve">Dual loop: AI proposes → human evaluates → AI corrects</w:t>
            </w:r>
          </w:p>
        </w:tc>
      </w:tr>
      <w:tr>
        <w:tc>
          <w:tcPr/>
          <w:p>
            <w:pPr>
              <w:pStyle w:val="Compact"/>
              <w:jc w:val="left"/>
            </w:pPr>
            <w:r>
              <w:rPr>
                <w:bCs/>
                <w:b/>
              </w:rPr>
              <w:t xml:space="preserve">Three-layer memory</w:t>
            </w:r>
          </w:p>
        </w:tc>
        <w:tc>
          <w:tcPr/>
          <w:p>
            <w:pPr>
              <w:pStyle w:val="Compact"/>
              <w:jc w:val="left"/>
            </w:pPr>
            <w:r>
              <w:t xml:space="preserve">GitHub (version control) + Proton Drive (encrypted) + Supabase (EU cloud)</w:t>
            </w:r>
          </w:p>
        </w:tc>
        <w:tc>
          <w:tcPr/>
          <w:p>
            <w:pPr>
              <w:pStyle w:val="Compact"/>
              <w:jc w:val="left"/>
            </w:pPr>
            <w:r>
              <w:t xml:space="preserve">Learning never gets lost — three independent copies</w:t>
            </w:r>
          </w:p>
        </w:tc>
      </w:tr>
      <w:tr>
        <w:tc>
          <w:tcPr/>
          <w:p>
            <w:pPr>
              <w:pStyle w:val="Compact"/>
              <w:jc w:val="left"/>
            </w:pPr>
            <w:r>
              <w:rPr>
                <w:bCs/>
                <w:b/>
              </w:rPr>
              <w:t xml:space="preserve">Research-production bridge</w:t>
            </w:r>
          </w:p>
        </w:tc>
        <w:tc>
          <w:tcPr/>
          <w:p>
            <w:pPr>
              <w:pStyle w:val="Compact"/>
              <w:jc w:val="left"/>
            </w:pPr>
            <w:r>
              <w:t xml:space="preserve">Thesis guides product development, product development validates theory</w:t>
            </w:r>
          </w:p>
        </w:tc>
        <w:tc>
          <w:tcPr/>
          <w:p>
            <w:pPr>
              <w:pStyle w:val="Compact"/>
              <w:jc w:val="left"/>
            </w:pPr>
            <w:r>
              <w:t xml:space="preserve">No separate research and production — same loop</w:t>
            </w:r>
          </w:p>
        </w:tc>
      </w:tr>
    </w:tbl>
    <w:bookmarkEnd w:id="134"/>
    <w:bookmarkStart w:id="135" w:name="learning-loop-structure"/>
    <w:p>
      <w:pPr>
        <w:pStyle w:val="Heading3"/>
      </w:pPr>
      <w:r>
        <w:t xml:space="preserve">Learning Loop Structure</w:t>
      </w:r>
    </w:p>
    <w:p>
      <w:pPr>
        <w:pStyle w:val="SourceCode"/>
      </w:pPr>
      <w:r>
        <w:rPr>
          <w:rStyle w:val="VerbatimChar"/>
        </w:rPr>
        <w:t xml:space="preserve">┌─────────────────────────────────────────────────────────────┐</w:t>
      </w:r>
      <w:r>
        <w:br/>
      </w:r>
      <w:r>
        <w:rPr>
          <w:rStyle w:val="VerbatimChar"/>
        </w:rPr>
        <w:t xml:space="preserve">│                    LEARN THINKING LOOP                       │</w:t>
      </w:r>
      <w:r>
        <w:br/>
      </w:r>
      <w:r>
        <w:rPr>
          <w:rStyle w:val="VerbatimChar"/>
        </w:rPr>
        <w:t xml:space="preserve">├─────────────────────────────────────────────────────────────┤</w:t>
      </w:r>
      <w:r>
        <w:br/>
      </w:r>
      <w:r>
        <w:rPr>
          <w:rStyle w:val="VerbatimChar"/>
        </w:rPr>
        <w:t xml:space="preserve">│                                                             │</w:t>
      </w:r>
      <w:r>
        <w:br/>
      </w:r>
      <w:r>
        <w:rPr>
          <w:rStyle w:val="VerbatimChar"/>
        </w:rPr>
        <w:t xml:space="preserve">│  1. MORNING REVIEW (Windows startup)                       │</w:t>
      </w:r>
      <w:r>
        <w:br/>
      </w:r>
      <w:r>
        <w:rPr>
          <w:rStyle w:val="VerbatimChar"/>
        </w:rPr>
        <w:t xml:space="preserve">│     └─ Startup-DailySync.bat                               │</w:t>
      </w:r>
      <w:r>
        <w:br/>
      </w:r>
      <w:r>
        <w:rPr>
          <w:rStyle w:val="VerbatimChar"/>
        </w:rPr>
        <w:t xml:space="preserve">│        ├─ git pull origin main                             │</w:t>
      </w:r>
      <w:r>
        <w:br/>
      </w:r>
      <w:r>
        <w:rPr>
          <w:rStyle w:val="VerbatimChar"/>
        </w:rPr>
        <w:t xml:space="preserve">│        ├─ Sync-ToProton.ps1 -GeneratePDFs -OpenNewPDFs     │</w:t>
      </w:r>
      <w:r>
        <w:br/>
      </w:r>
      <w:r>
        <w:rPr>
          <w:rStyle w:val="VerbatimChar"/>
        </w:rPr>
        <w:t xml:space="preserve">│        └─ Edge opens changed HTML files                    │</w:t>
      </w:r>
      <w:r>
        <w:br/>
      </w:r>
      <w:r>
        <w:rPr>
          <w:rStyle w:val="VerbatimChar"/>
        </w:rPr>
        <w:t xml:space="preserve">│                                                             │</w:t>
      </w:r>
      <w:r>
        <w:br/>
      </w:r>
      <w:r>
        <w:rPr>
          <w:rStyle w:val="VerbatimChar"/>
        </w:rPr>
        <w:t xml:space="preserve">│  2. REFLECTION (human reads Learn/ folder content)         │</w:t>
      </w:r>
      <w:r>
        <w:br/>
      </w:r>
      <w:r>
        <w:rPr>
          <w:rStyle w:val="VerbatimChar"/>
        </w:rPr>
        <w:t xml:space="preserve">│     └─ Identifies gaps, errors, new opportunities          │</w:t>
      </w:r>
      <w:r>
        <w:br/>
      </w:r>
      <w:r>
        <w:rPr>
          <w:rStyle w:val="VerbatimChar"/>
        </w:rPr>
        <w:t xml:space="preserve">│                                                             │</w:t>
      </w:r>
      <w:r>
        <w:br/>
      </w:r>
      <w:r>
        <w:rPr>
          <w:rStyle w:val="VerbatimChar"/>
        </w:rPr>
        <w:t xml:space="preserve">│  3. DEVELOPMENT SESSION (Claude Code / Copilot / Cursor)   │</w:t>
      </w:r>
      <w:r>
        <w:br/>
      </w:r>
      <w:r>
        <w:rPr>
          <w:rStyle w:val="VerbatimChar"/>
        </w:rPr>
        <w:t xml:space="preserve">│     └─ Fixes, adds, improves code and documentation        │</w:t>
      </w:r>
      <w:r>
        <w:br/>
      </w:r>
      <w:r>
        <w:rPr>
          <w:rStyle w:val="VerbatimChar"/>
        </w:rPr>
        <w:t xml:space="preserve">│                                                             │</w:t>
      </w:r>
      <w:r>
        <w:br/>
      </w:r>
      <w:r>
        <w:rPr>
          <w:rStyle w:val="VerbatimChar"/>
        </w:rPr>
        <w:t xml:space="preserve">│  4. VERSIONING (git commit + push)                         │</w:t>
      </w:r>
      <w:r>
        <w:br/>
      </w:r>
      <w:r>
        <w:rPr>
          <w:rStyle w:val="VerbatimChar"/>
        </w:rPr>
        <w:t xml:space="preserve">│     └─ Thesis version increments, learning journal         │</w:t>
      </w:r>
      <w:r>
        <w:br/>
      </w:r>
      <w:r>
        <w:rPr>
          <w:rStyle w:val="VerbatimChar"/>
        </w:rPr>
        <w:t xml:space="preserve">│        updates automatically                                │</w:t>
      </w:r>
      <w:r>
        <w:br/>
      </w:r>
      <w:r>
        <w:rPr>
          <w:rStyle w:val="VerbatimChar"/>
        </w:rPr>
        <w:t xml:space="preserve">│                                                             │</w:t>
      </w:r>
      <w:r>
        <w:br/>
      </w:r>
      <w:r>
        <w:rPr>
          <w:rStyle w:val="VerbatimChar"/>
        </w:rPr>
        <w:t xml:space="preserve">│  5. NEXT MORNING → return to step 1                        │</w:t>
      </w:r>
      <w:r>
        <w:br/>
      </w:r>
      <w:r>
        <w:rPr>
          <w:rStyle w:val="VerbatimChar"/>
        </w:rPr>
        <w:t xml:space="preserve">│                                                             │</w:t>
      </w:r>
      <w:r>
        <w:br/>
      </w:r>
      <w:r>
        <w:rPr>
          <w:rStyle w:val="VerbatimChar"/>
        </w:rPr>
        <w:t xml:space="preserve">└─────────────────────────────────────────────────────────────┘</w:t>
      </w:r>
    </w:p>
    <w:bookmarkEnd w:id="135"/>
    <w:bookmarkStart w:id="136" w:name="X54b373059c34066dbb6b5f78c91e5e06f603df8"/>
    <w:p>
      <w:pPr>
        <w:pStyle w:val="Heading3"/>
      </w:pPr>
      <w:r>
        <w:t xml:space="preserve">Why Learn Thinking Matters for Thesis Work</w:t>
      </w:r>
    </w:p>
    <w:p>
      <w:pPr>
        <w:pStyle w:val="FirstParagraph"/>
      </w:pPr>
      <w:r>
        <w:t xml:space="preserve">In a traditional thesis process, the researcher writes a document once and submits it. In the Learn Thinking model:</w:t>
      </w:r>
    </w:p>
    <w:p>
      <w:pPr>
        <w:numPr>
          <w:ilvl w:val="0"/>
          <w:numId w:val="1046"/>
        </w:numPr>
        <w:pStyle w:val="Compact"/>
      </w:pPr>
      <w:r>
        <w:rPr>
          <w:bCs/>
          <w:b/>
        </w:rPr>
        <w:t xml:space="preserve">The thesis is a living document</w:t>
      </w:r>
      <w:r>
        <w:t xml:space="preserve"> </w:t>
      </w:r>
      <w:r>
        <w:t xml:space="preserve">— 30+ versions over 3 months, each documenting a concrete learning contribution</w:t>
      </w:r>
    </w:p>
    <w:p>
      <w:pPr>
        <w:numPr>
          <w:ilvl w:val="0"/>
          <w:numId w:val="1046"/>
        </w:numPr>
        <w:pStyle w:val="Compact"/>
      </w:pPr>
      <w:r>
        <w:rPr>
          <w:bCs/>
          <w:b/>
        </w:rPr>
        <w:t xml:space="preserve">AI tools are learning partners</w:t>
      </w:r>
      <w:r>
        <w:t xml:space="preserve"> </w:t>
      </w:r>
      <w:r>
        <w:t xml:space="preserve">— Claude Code, Copilot, and Cursor don’t just generate code, they produce structural reflection via version history</w:t>
      </w:r>
    </w:p>
    <w:p>
      <w:pPr>
        <w:numPr>
          <w:ilvl w:val="0"/>
          <w:numId w:val="1046"/>
        </w:numPr>
        <w:pStyle w:val="Compact"/>
      </w:pPr>
      <w:r>
        <w:rPr>
          <w:bCs/>
          <w:b/>
        </w:rPr>
        <w:t xml:space="preserve">The Learn/ folder is proof of learning</w:t>
      </w:r>
      <w:r>
        <w:t xml:space="preserve"> </w:t>
      </w:r>
      <w:r>
        <w:t xml:space="preserve">— a concrete, daily-updating portfolio of thesis progress</w:t>
      </w:r>
    </w:p>
    <w:p>
      <w:pPr>
        <w:numPr>
          <w:ilvl w:val="0"/>
          <w:numId w:val="1046"/>
        </w:numPr>
        <w:pStyle w:val="Compact"/>
      </w:pPr>
      <w:r>
        <w:rPr>
          <w:bCs/>
          <w:b/>
        </w:rPr>
        <w:t xml:space="preserve">Research and production converge</w:t>
      </w:r>
      <w:r>
        <w:t xml:space="preserve"> </w:t>
      </w:r>
      <w:r>
        <w:t xml:space="preserve">— thesis findings directly guide DWS product development and vice versa</w:t>
      </w:r>
    </w:p>
    <w:bookmarkEnd w:id="136"/>
    <w:bookmarkStart w:id="137" w:name="connection-to-build-measure-learn-cycle"/>
    <w:p>
      <w:pPr>
        <w:pStyle w:val="Heading3"/>
      </w:pPr>
      <w:r>
        <w:t xml:space="preserve">Connection to Build-Measure-Learn Cycle</w:t>
      </w:r>
    </w:p>
    <w:p>
      <w:pPr>
        <w:pStyle w:val="FirstParagraph"/>
      </w:pPr>
      <w:r>
        <w:t xml:space="preserve">Learn Thinking extends the Lean Startup Build-Measure-Learn cycle:</w:t>
      </w:r>
    </w:p>
    <w:tbl>
      <w:tblPr>
        <w:tblStyle w:val="Table"/>
        <w:tblW w:type="pct" w:w="5000"/>
        <w:tblLook w:firstRow="1" w:lastRow="0" w:firstColumn="0" w:lastColumn="0" w:noHBand="0" w:noVBand="0" w:val="0020"/>
        <w:jc w:val="start"/>
      </w:tblPr>
      <w:tblGrid>
        <w:gridCol w:w="1080"/>
        <w:gridCol w:w="3780"/>
        <w:gridCol w:w="3060"/>
      </w:tblGrid>
      <w:tr>
        <w:trPr>
          <w:tblHeader w:val="true"/>
        </w:trPr>
        <w:tc>
          <w:tcPr/>
          <w:p>
            <w:pPr>
              <w:pStyle w:val="Compact"/>
              <w:jc w:val="left"/>
            </w:pPr>
            <w:r>
              <w:t xml:space="preserve">Lean Startup</w:t>
            </w:r>
          </w:p>
        </w:tc>
        <w:tc>
          <w:tcPr/>
          <w:p>
            <w:pPr>
              <w:pStyle w:val="Compact"/>
              <w:jc w:val="left"/>
            </w:pPr>
            <w:r>
              <w:t xml:space="preserve">Learn Thinking</w:t>
            </w:r>
          </w:p>
        </w:tc>
        <w:tc>
          <w:tcPr/>
          <w:p>
            <w:pPr>
              <w:pStyle w:val="Compact"/>
              <w:jc w:val="left"/>
            </w:pPr>
            <w:r>
              <w:t xml:space="preserve">DWS Implementation</w:t>
            </w:r>
          </w:p>
        </w:tc>
      </w:tr>
      <w:tr>
        <w:tc>
          <w:tcPr/>
          <w:p>
            <w:pPr>
              <w:pStyle w:val="Compact"/>
              <w:jc w:val="left"/>
            </w:pPr>
            <w:r>
              <w:t xml:space="preserve">Build</w:t>
            </w:r>
          </w:p>
        </w:tc>
        <w:tc>
          <w:tcPr/>
          <w:p>
            <w:pPr>
              <w:pStyle w:val="Compact"/>
              <w:jc w:val="left"/>
            </w:pPr>
            <w:r>
              <w:t xml:space="preserve">Development session (code + documentation)</w:t>
            </w:r>
          </w:p>
        </w:tc>
        <w:tc>
          <w:tcPr/>
          <w:p>
            <w:pPr>
              <w:pStyle w:val="Compact"/>
              <w:jc w:val="left"/>
            </w:pPr>
            <w:r>
              <w:t xml:space="preserve">Claude Code + git commit</w:t>
            </w:r>
          </w:p>
        </w:tc>
      </w:tr>
      <w:tr>
        <w:tc>
          <w:tcPr/>
          <w:p>
            <w:pPr>
              <w:pStyle w:val="Compact"/>
              <w:jc w:val="left"/>
            </w:pPr>
            <w:r>
              <w:t xml:space="preserve">Measure</w:t>
            </w:r>
          </w:p>
        </w:tc>
        <w:tc>
          <w:tcPr/>
          <w:p>
            <w:pPr>
              <w:pStyle w:val="Compact"/>
              <w:jc w:val="left"/>
            </w:pPr>
            <w:r>
              <w:t xml:space="preserve">Morning review (changes in Edge browser)</w:t>
            </w:r>
          </w:p>
        </w:tc>
        <w:tc>
          <w:tcPr/>
          <w:p>
            <w:pPr>
              <w:pStyle w:val="Compact"/>
              <w:jc w:val="left"/>
            </w:pPr>
            <w:r>
              <w:t xml:space="preserve">Generate-PDFs.ps1 → Learn/</w:t>
            </w:r>
          </w:p>
        </w:tc>
      </w:tr>
      <w:tr>
        <w:tc>
          <w:tcPr/>
          <w:p>
            <w:pPr>
              <w:pStyle w:val="Compact"/>
              <w:jc w:val="left"/>
            </w:pPr>
            <w:r>
              <w:t xml:space="preserve">Learn</w:t>
            </w:r>
          </w:p>
        </w:tc>
        <w:tc>
          <w:tcPr/>
          <w:p>
            <w:pPr>
              <w:pStyle w:val="Compact"/>
              <w:jc w:val="left"/>
            </w:pPr>
            <w:r>
              <w:t xml:space="preserve">Reflection and next action</w:t>
            </w:r>
          </w:p>
        </w:tc>
        <w:tc>
          <w:tcPr/>
          <w:p>
            <w:pPr>
              <w:pStyle w:val="Compact"/>
              <w:jc w:val="left"/>
            </w:pPr>
            <w:r>
              <w:t xml:space="preserve">Version history = learning journal</w:t>
            </w:r>
          </w:p>
        </w:tc>
      </w:tr>
    </w:tbl>
    <w:p>
      <w:r>
        <w:pict>
          <v:rect style="width:0;height:1.5pt" o:hralign="center" o:hrstd="t" o:hr="t"/>
        </w:pict>
      </w:r>
    </w:p>
    <w:bookmarkEnd w:id="137"/>
    <w:bookmarkEnd w:id="138"/>
    <w:bookmarkEnd w:id="139"/>
    <w:bookmarkStart w:id="191" w:name="conclusions"/>
    <w:p>
      <w:pPr>
        <w:pStyle w:val="Heading1"/>
      </w:pPr>
      <w:r>
        <w:t xml:space="preserve">10. Conclusions</w:t>
      </w:r>
    </w:p>
    <w:bookmarkStart w:id="140" w:name="summary"/>
    <w:p>
      <w:pPr>
        <w:pStyle w:val="Heading2"/>
      </w:pPr>
      <w:r>
        <w:t xml:space="preserve">10.1 Summary</w:t>
      </w:r>
    </w:p>
    <w:p>
      <w:pPr>
        <w:pStyle w:val="FirstParagraph"/>
      </w:pPr>
      <w:r>
        <w:t xml:space="preserve">The Firehorse operating model demonstrates that AI-assisted e-commerce management can:</w:t>
      </w:r>
    </w:p>
    <w:p>
      <w:pPr>
        <w:numPr>
          <w:ilvl w:val="0"/>
          <w:numId w:val="1047"/>
        </w:numPr>
        <w:pStyle w:val="Compact"/>
      </w:pPr>
      <w:r>
        <w:rPr>
          <w:bCs/>
          <w:b/>
        </w:rPr>
        <w:t xml:space="preserve">Reduce operational overhead</w:t>
      </w:r>
      <w:r>
        <w:t xml:space="preserve"> </w:t>
      </w:r>
      <w:r>
        <w:t xml:space="preserve">by over 90% with automated product management</w:t>
      </w:r>
    </w:p>
    <w:p>
      <w:pPr>
        <w:numPr>
          <w:ilvl w:val="0"/>
          <w:numId w:val="1047"/>
        </w:numPr>
        <w:pStyle w:val="Compact"/>
      </w:pPr>
      <w:r>
        <w:rPr>
          <w:bCs/>
          <w:b/>
        </w:rPr>
        <w:t xml:space="preserve">Ensure compliance</w:t>
      </w:r>
      <w:r>
        <w:t xml:space="preserve"> </w:t>
      </w:r>
      <w:r>
        <w:t xml:space="preserve">with EU regulations through documented audit trails</w:t>
      </w:r>
    </w:p>
    <w:p>
      <w:pPr>
        <w:numPr>
          <w:ilvl w:val="0"/>
          <w:numId w:val="1047"/>
        </w:numPr>
        <w:pStyle w:val="Compact"/>
      </w:pPr>
      <w:r>
        <w:rPr>
          <w:bCs/>
          <w:b/>
        </w:rPr>
        <w:t xml:space="preserve">Enable rapid iteration</w:t>
      </w:r>
      <w:r>
        <w:t xml:space="preserve"> </w:t>
      </w:r>
      <w:r>
        <w:t xml:space="preserve">on product offerings through natural language interfaces</w:t>
      </w:r>
    </w:p>
    <w:p>
      <w:pPr>
        <w:numPr>
          <w:ilvl w:val="0"/>
          <w:numId w:val="1047"/>
        </w:numPr>
        <w:pStyle w:val="Compact"/>
      </w:pPr>
      <w:r>
        <w:rPr>
          <w:bCs/>
          <w:b/>
        </w:rPr>
        <w:t xml:space="preserve">Prepare infrastructure</w:t>
      </w:r>
      <w:r>
        <w:t xml:space="preserve"> </w:t>
      </w:r>
      <w:r>
        <w:t xml:space="preserve">for voice-based customer interaction</w:t>
      </w:r>
    </w:p>
    <w:p>
      <w:pPr>
        <w:numPr>
          <w:ilvl w:val="0"/>
          <w:numId w:val="1047"/>
        </w:numPr>
        <w:pStyle w:val="Compact"/>
      </w:pPr>
      <w:r>
        <w:rPr>
          <w:bCs/>
          <w:b/>
        </w:rPr>
        <w:t xml:space="preserve">Validate product-market fit</w:t>
      </w:r>
      <w:r>
        <w:t xml:space="preserve"> </w:t>
      </w:r>
      <w:r>
        <w:t xml:space="preserve">through Google Merchant Center integration</w:t>
      </w:r>
    </w:p>
    <w:bookmarkEnd w:id="140"/>
    <w:bookmarkStart w:id="141" w:name="key-contributions"/>
    <w:p>
      <w:pPr>
        <w:pStyle w:val="Heading2"/>
      </w:pPr>
      <w:r>
        <w:t xml:space="preserve">10.2 Key Contributions</w:t>
      </w:r>
    </w:p>
    <w:p>
      <w:pPr>
        <w:numPr>
          <w:ilvl w:val="0"/>
          <w:numId w:val="1048"/>
        </w:numPr>
        <w:pStyle w:val="Compact"/>
      </w:pPr>
      <w:r>
        <w:t xml:space="preserve">Documented framework for AI-assisted store operations (Firehorse model)</w:t>
      </w:r>
    </w:p>
    <w:p>
      <w:pPr>
        <w:numPr>
          <w:ilvl w:val="0"/>
          <w:numId w:val="1048"/>
        </w:numPr>
        <w:pStyle w:val="Compact"/>
      </w:pPr>
      <w:r>
        <w:t xml:space="preserve">Integration patterns for Google Merchant Center and Revolut Business</w:t>
      </w:r>
    </w:p>
    <w:p>
      <w:pPr>
        <w:numPr>
          <w:ilvl w:val="0"/>
          <w:numId w:val="1048"/>
        </w:numPr>
        <w:pStyle w:val="Compact"/>
      </w:pPr>
      <w:r>
        <w:t xml:space="preserve">Roadmap for audio chat with carbon footprint calculator integration (4 phases)</w:t>
      </w:r>
    </w:p>
    <w:p>
      <w:pPr>
        <w:numPr>
          <w:ilvl w:val="0"/>
          <w:numId w:val="1048"/>
        </w:numPr>
        <w:pStyle w:val="Compact"/>
      </w:pPr>
      <w:r>
        <w:t xml:space="preserve">EU compliance mapping for industrial software products</w:t>
      </w:r>
    </w:p>
    <w:p>
      <w:pPr>
        <w:numPr>
          <w:ilvl w:val="0"/>
          <w:numId w:val="1048"/>
        </w:numPr>
        <w:pStyle w:val="Compact"/>
      </w:pPr>
      <w:r>
        <w:t xml:space="preserve">Product recommendation engine architecture for 25+ EU industries</w:t>
      </w:r>
    </w:p>
    <w:p>
      <w:pPr>
        <w:numPr>
          <w:ilvl w:val="0"/>
          <w:numId w:val="1048"/>
        </w:numPr>
        <w:pStyle w:val="Compact"/>
      </w:pPr>
      <w:r>
        <w:t xml:space="preserve">Proton security products strategy for GDPR/NIS2 compliance</w:t>
      </w:r>
    </w:p>
    <w:bookmarkEnd w:id="141"/>
    <w:bookmarkStart w:id="144" w:name="contribution-to-theory"/>
    <w:p>
      <w:pPr>
        <w:pStyle w:val="Heading2"/>
      </w:pPr>
      <w:r>
        <w:t xml:space="preserve">10.3 Contribution to Theory</w:t>
      </w:r>
    </w:p>
    <w:bookmarkStart w:id="142" w:name="lifetime-scope-signals-protocol-2"/>
    <w:p>
      <w:pPr>
        <w:pStyle w:val="Heading3"/>
      </w:pPr>
      <w:r>
        <w:t xml:space="preserve">Lifetime Scope Signals Protocol</w:t>
      </w:r>
    </w:p>
    <w:p>
      <w:pPr>
        <w:pStyle w:val="FirstParagraph"/>
      </w:pPr>
      <w:r>
        <w:t xml:space="preserve">A novel contribution to multi-agent systems theory — declarative coordination, deterministic dependencies, and bootstrap optimization.</w:t>
      </w:r>
    </w:p>
    <w:bookmarkEnd w:id="142"/>
    <w:bookmarkStart w:id="143" w:name="solution-factory-model"/>
    <w:p>
      <w:pPr>
        <w:pStyle w:val="Heading3"/>
      </w:pPr>
      <w:r>
        <w:t xml:space="preserve">Solution Factory Model</w:t>
      </w:r>
    </w:p>
    <w:p>
      <w:pPr>
        <w:pStyle w:val="FirstParagraph"/>
      </w:pPr>
      <w:r>
        <w:t xml:space="preserve">Synthesizes Lean Startup, Platform Economics, Industry 5.0, and Edge Computing Economics into a unified framework.</w:t>
      </w:r>
    </w:p>
    <w:bookmarkEnd w:id="143"/>
    <w:bookmarkEnd w:id="144"/>
    <w:bookmarkStart w:id="145" w:name="X1634afecad3c2e46b7145515217828f4989cf64"/>
    <w:p>
      <w:pPr>
        <w:pStyle w:val="Heading2"/>
      </w:pPr>
      <w:r>
        <w:t xml:space="preserve">10.4 Impact of Regulatory Changes: Omnibus Package</w:t>
      </w:r>
    </w:p>
    <w:p>
      <w:pPr>
        <w:pStyle w:val="FirstParagraph"/>
      </w:pPr>
      <w:r>
        <w:t xml:space="preserve">The Omnibus package</w:t>
      </w:r>
      <w:r>
        <w:t xml:space="preserve"> </w:t>
      </w:r>
      <w:r>
        <w:rPr>
          <w:bCs/>
          <w:b/>
        </w:rPr>
        <w:t xml:space="preserve">strengthens</w:t>
      </w:r>
      <w:r>
        <w:t xml:space="preserve"> </w:t>
      </w:r>
      <w:r>
        <w:t xml:space="preserve">the Firehorse model’s competitiveness: climate emission targets are not compromised — only administrative burden is reduced. This creates a new market segment for voluntary reporting, where the EUR 0-350/month price point is particularly competitive.</w:t>
      </w:r>
    </w:p>
    <w:bookmarkEnd w:id="145"/>
    <w:bookmarkStart w:id="146" w:name="future-work"/>
    <w:p>
      <w:pPr>
        <w:pStyle w:val="Heading2"/>
      </w:pPr>
      <w:r>
        <w:t xml:space="preserve">10.5 Future Work</w:t>
      </w:r>
    </w:p>
    <w:p>
      <w:pPr>
        <w:numPr>
          <w:ilvl w:val="0"/>
          <w:numId w:val="1049"/>
        </w:numPr>
        <w:pStyle w:val="Compact"/>
      </w:pPr>
      <w:r>
        <w:rPr>
          <w:bCs/>
          <w:b/>
        </w:rPr>
        <w:t xml:space="preserve">Q1 2026:</w:t>
      </w:r>
      <w:r>
        <w:t xml:space="preserve"> </w:t>
      </w:r>
      <w:r>
        <w:t xml:space="preserve">Deploy audio chat Phase 1 with Groq/Llama models</w:t>
      </w:r>
    </w:p>
    <w:p>
      <w:pPr>
        <w:numPr>
          <w:ilvl w:val="0"/>
          <w:numId w:val="1049"/>
        </w:numPr>
        <w:pStyle w:val="Compact"/>
      </w:pPr>
      <w:r>
        <w:rPr>
          <w:bCs/>
          <w:b/>
        </w:rPr>
        <w:t xml:space="preserve">Q2 2026:</w:t>
      </w:r>
      <w:r>
        <w:t xml:space="preserve"> </w:t>
      </w:r>
      <w:r>
        <w:t xml:space="preserve">Implement industry carbon footprint calculator with Scope 1/2/3</w:t>
      </w:r>
    </w:p>
    <w:p>
      <w:pPr>
        <w:numPr>
          <w:ilvl w:val="0"/>
          <w:numId w:val="1049"/>
        </w:numPr>
        <w:pStyle w:val="Compact"/>
      </w:pPr>
      <w:r>
        <w:rPr>
          <w:bCs/>
          <w:b/>
        </w:rPr>
        <w:t xml:space="preserve">Q3 2026:</w:t>
      </w:r>
      <w:r>
        <w:t xml:space="preserve"> </w:t>
      </w:r>
      <w:r>
        <w:t xml:space="preserve">Launch regulatory awareness engine</w:t>
      </w:r>
    </w:p>
    <w:p>
      <w:pPr>
        <w:numPr>
          <w:ilvl w:val="0"/>
          <w:numId w:val="1049"/>
        </w:numPr>
        <w:pStyle w:val="Compact"/>
      </w:pPr>
      <w:r>
        <w:rPr>
          <w:bCs/>
          <w:b/>
        </w:rPr>
        <w:t xml:space="preserve">Q4 2026:</w:t>
      </w:r>
      <w:r>
        <w:t xml:space="preserve"> </w:t>
      </w:r>
      <w:r>
        <w:t xml:space="preserve">Establish partner ecosystem with commission model</w:t>
      </w:r>
    </w:p>
    <w:p>
      <w:pPr>
        <w:numPr>
          <w:ilvl w:val="0"/>
          <w:numId w:val="1049"/>
        </w:numPr>
        <w:pStyle w:val="Compact"/>
      </w:pPr>
      <w:r>
        <w:rPr>
          <w:bCs/>
          <w:b/>
        </w:rPr>
        <w:t xml:space="preserve">2027:</w:t>
      </w:r>
      <w:r>
        <w:t xml:space="preserve"> </w:t>
      </w:r>
      <w:r>
        <w:t xml:space="preserve">Expand to other EU markets (SE, NO, DK, DE)</w:t>
      </w:r>
    </w:p>
    <w:p>
      <w:pPr>
        <w:numPr>
          <w:ilvl w:val="0"/>
          <w:numId w:val="1049"/>
        </w:numPr>
        <w:pStyle w:val="Compact"/>
      </w:pPr>
      <w:r>
        <w:rPr>
          <w:bCs/>
          <w:b/>
        </w:rPr>
        <w:t xml:space="preserve">2027:</w:t>
      </w:r>
      <w:r>
        <w:t xml:space="preserve"> </w:t>
      </w:r>
      <w:r>
        <w:t xml:space="preserve">Per-industry open LLM selection and tenant-specific Lifetime World Model training</w:t>
      </w:r>
    </w:p>
    <w:p>
      <w:pPr>
        <w:numPr>
          <w:ilvl w:val="0"/>
          <w:numId w:val="1049"/>
        </w:numPr>
        <w:pStyle w:val="Compact"/>
      </w:pPr>
      <w:r>
        <w:rPr>
          <w:bCs/>
          <w:b/>
        </w:rPr>
        <w:t xml:space="preserve">2027-2028:</w:t>
      </w:r>
      <w:r>
        <w:t xml:space="preserve"> </w:t>
      </w:r>
      <w:r>
        <w:t xml:space="preserve">Enterprise BYOA (Bring Your Own Agent) graphical workflow builder</w:t>
      </w:r>
    </w:p>
    <w:bookmarkEnd w:id="146"/>
    <w:bookmarkStart w:id="148" w:name="per-industry-open-llm-selection"/>
    <w:p>
      <w:pPr>
        <w:pStyle w:val="Heading2"/>
      </w:pPr>
      <w:r>
        <w:t xml:space="preserve">10.6 Per-Industry Open LLM Selection</w:t>
      </w:r>
    </w:p>
    <w:p>
      <w:pPr>
        <w:pStyle w:val="FirstParagraph"/>
      </w:pPr>
      <w:r>
        <w:t xml:space="preserve">A critical finding from the platform architecture work is that</w:t>
      </w:r>
      <w:r>
        <w:t xml:space="preserve"> </w:t>
      </w:r>
      <w:r>
        <w:rPr>
          <w:bCs/>
          <w:b/>
        </w:rPr>
        <w:t xml:space="preserve">no single open LLM is optimal across all 25+ EU industries</w:t>
      </w:r>
      <w:r>
        <w:t xml:space="preserve">. Each industry vertical has distinct domain language, regulatory context, and structured output requirements. The</w:t>
      </w:r>
      <w:r>
        <w:t xml:space="preserve"> </w:t>
      </w:r>
      <w:r>
        <w:rPr>
          <w:rStyle w:val="VerbatimChar"/>
        </w:rPr>
        <w:t xml:space="preserve">AgentConfig.model</w:t>
      </w:r>
      <w:r>
        <w:t xml:space="preserve"> </w:t>
      </w:r>
      <w:r>
        <w:t xml:space="preserve">field is already per-agent, so each concrete agent can be configured with a different trained Lifetime World Model (LWM) + open LLM, with continuous benchmarking. The platform must evaluate and select the best open LLM per industry rather than defaulting to a single model (e.g., Llama 3.3 70B) for all verticals.</w:t>
      </w:r>
    </w:p>
    <w:p>
      <w:pPr>
        <w:pStyle w:val="BodyText"/>
      </w:pPr>
      <w:r>
        <w:rPr>
          <w:bCs/>
          <w:b/>
        </w:rPr>
        <w:t xml:space="preserve">Candidate open LLMs per industry domain:</w:t>
      </w:r>
    </w:p>
    <w:tbl>
      <w:tblPr>
        <w:tblStyle w:val="Table"/>
        <w:tblW w:type="pct" w:w="5000"/>
        <w:tblLook w:firstRow="1" w:lastRow="0" w:firstColumn="0" w:lastColumn="0" w:noHBand="0" w:noVBand="0" w:val="0020"/>
        <w:jc w:val="start"/>
      </w:tblPr>
      <w:tblGrid>
        <w:gridCol w:w="1697"/>
        <w:gridCol w:w="2376"/>
        <w:gridCol w:w="3846"/>
      </w:tblGrid>
      <w:tr>
        <w:trPr>
          <w:tblHeader w:val="true"/>
        </w:trPr>
        <w:tc>
          <w:tcPr/>
          <w:p>
            <w:pPr>
              <w:pStyle w:val="Compact"/>
              <w:jc w:val="left"/>
            </w:pPr>
            <w:r>
              <w:t xml:space="preserve">Industry Cluster</w:t>
            </w:r>
          </w:p>
        </w:tc>
        <w:tc>
          <w:tcPr/>
          <w:p>
            <w:pPr>
              <w:pStyle w:val="Compact"/>
              <w:jc w:val="left"/>
            </w:pPr>
            <w:r>
              <w:t xml:space="preserve">Candidate Models</w:t>
            </w:r>
          </w:p>
        </w:tc>
        <w:tc>
          <w:tcPr/>
          <w:p>
            <w:pPr>
              <w:pStyle w:val="Compact"/>
              <w:jc w:val="left"/>
            </w:pPr>
            <w:r>
              <w:t xml:space="preserve">Key Domain Requirement</w:t>
            </w:r>
          </w:p>
        </w:tc>
      </w:tr>
      <w:tr>
        <w:tc>
          <w:tcPr/>
          <w:p>
            <w:pPr>
              <w:pStyle w:val="Compact"/>
              <w:jc w:val="left"/>
            </w:pPr>
            <w:r>
              <w:t xml:space="preserve">Construction, Real Estate</w:t>
            </w:r>
          </w:p>
        </w:tc>
        <w:tc>
          <w:tcPr/>
          <w:p>
            <w:pPr>
              <w:pStyle w:val="Compact"/>
              <w:jc w:val="left"/>
            </w:pPr>
            <w:r>
              <w:t xml:space="preserve">Llama 3.3 70B, Qwen 2.5 72B, Mistral Large</w:t>
            </w:r>
          </w:p>
        </w:tc>
        <w:tc>
          <w:tcPr/>
          <w:p>
            <w:pPr>
              <w:pStyle w:val="Compact"/>
              <w:jc w:val="left"/>
            </w:pPr>
            <w:r>
              <w:t xml:space="preserve">EN 15978 lifecycle stages, Nordic building codes, EPBD</w:t>
            </w:r>
          </w:p>
        </w:tc>
      </w:tr>
      <w:tr>
        <w:tc>
          <w:tcPr/>
          <w:p>
            <w:pPr>
              <w:pStyle w:val="Compact"/>
              <w:jc w:val="left"/>
            </w:pPr>
            <w:r>
              <w:t xml:space="preserve">Energy, Steel &amp; Metals, Cement</w:t>
            </w:r>
          </w:p>
        </w:tc>
        <w:tc>
          <w:tcPr/>
          <w:p>
            <w:pPr>
              <w:pStyle w:val="Compact"/>
              <w:jc w:val="left"/>
            </w:pPr>
            <w:r>
              <w:t xml:space="preserve">Llama 3.3, DeepSeek-V3, Mixtral 8x22B</w:t>
            </w:r>
          </w:p>
        </w:tc>
        <w:tc>
          <w:tcPr/>
          <w:p>
            <w:pPr>
              <w:pStyle w:val="Compact"/>
              <w:jc w:val="left"/>
            </w:pPr>
            <w:r>
              <w:t xml:space="preserve">ETS allowance calculations, process emissions, CBAM</w:t>
            </w:r>
          </w:p>
        </w:tc>
      </w:tr>
      <w:tr>
        <w:tc>
          <w:tcPr/>
          <w:p>
            <w:pPr>
              <w:pStyle w:val="Compact"/>
              <w:jc w:val="left"/>
            </w:pPr>
            <w:r>
              <w:t xml:space="preserve">Manufacturing, Chemicals</w:t>
            </w:r>
          </w:p>
        </w:tc>
        <w:tc>
          <w:tcPr/>
          <w:p>
            <w:pPr>
              <w:pStyle w:val="Compact"/>
              <w:jc w:val="left"/>
            </w:pPr>
            <w:r>
              <w:t xml:space="preserve">Qwen 2.5 72B, Llama 3.3</w:t>
            </w:r>
          </w:p>
        </w:tc>
        <w:tc>
          <w:tcPr/>
          <w:p>
            <w:pPr>
              <w:pStyle w:val="Compact"/>
              <w:jc w:val="left"/>
            </w:pPr>
            <w:r>
              <w:t xml:space="preserve">CBAM product classification, BOM analysis, REACH</w:t>
            </w:r>
          </w:p>
        </w:tc>
      </w:tr>
      <w:tr>
        <w:tc>
          <w:tcPr/>
          <w:p>
            <w:pPr>
              <w:pStyle w:val="Compact"/>
              <w:jc w:val="left"/>
            </w:pPr>
            <w:r>
              <w:t xml:space="preserve">Logistics, Maritime, Aviation</w:t>
            </w:r>
          </w:p>
        </w:tc>
        <w:tc>
          <w:tcPr/>
          <w:p>
            <w:pPr>
              <w:pStyle w:val="Compact"/>
              <w:jc w:val="left"/>
            </w:pPr>
            <w:r>
              <w:t xml:space="preserve">Mistral Large, Llama 3.3, Gemma 2 27B</w:t>
            </w:r>
          </w:p>
        </w:tc>
        <w:tc>
          <w:tcPr/>
          <w:p>
            <w:pPr>
              <w:pStyle w:val="Compact"/>
              <w:jc w:val="left"/>
            </w:pPr>
            <w:r>
              <w:t xml:space="preserve">FuelEU Maritime, CORSIA, route optimization</w:t>
            </w:r>
          </w:p>
        </w:tc>
      </w:tr>
      <w:tr>
        <w:tc>
          <w:tcPr/>
          <w:p>
            <w:pPr>
              <w:pStyle w:val="Compact"/>
              <w:jc w:val="left"/>
            </w:pPr>
            <w:r>
              <w:t xml:space="preserve">Agriculture, Food &amp; Beverage</w:t>
            </w:r>
          </w:p>
        </w:tc>
        <w:tc>
          <w:tcPr/>
          <w:p>
            <w:pPr>
              <w:pStyle w:val="Compact"/>
              <w:jc w:val="left"/>
            </w:pPr>
            <w:r>
              <w:t xml:space="preserve">Llama 3.3, Gemma 2, Command R+</w:t>
            </w:r>
          </w:p>
        </w:tc>
        <w:tc>
          <w:tcPr/>
          <w:p>
            <w:pPr>
              <w:pStyle w:val="Compact"/>
              <w:jc w:val="left"/>
            </w:pPr>
            <w:r>
              <w:t xml:space="preserve">LULUCF, Scope 3 supply chain, packaging lifecycle</w:t>
            </w:r>
          </w:p>
        </w:tc>
      </w:tr>
      <w:tr>
        <w:tc>
          <w:tcPr/>
          <w:p>
            <w:pPr>
              <w:pStyle w:val="Compact"/>
              <w:jc w:val="left"/>
            </w:pPr>
            <w:r>
              <w:t xml:space="preserve">Finance, Public Sector</w:t>
            </w:r>
          </w:p>
        </w:tc>
        <w:tc>
          <w:tcPr/>
          <w:p>
            <w:pPr>
              <w:pStyle w:val="Compact"/>
              <w:jc w:val="left"/>
            </w:pPr>
            <w:r>
              <w:t xml:space="preserve">Mistral Large (EU-hosted), Llama 3.3</w:t>
            </w:r>
          </w:p>
        </w:tc>
        <w:tc>
          <w:tcPr/>
          <w:p>
            <w:pPr>
              <w:pStyle w:val="Compact"/>
              <w:jc w:val="left"/>
            </w:pPr>
            <w:r>
              <w:t xml:space="preserve">SFDR, EU Taxonomy, double materiality, GPP</w:t>
            </w:r>
          </w:p>
        </w:tc>
      </w:tr>
      <w:tr>
        <w:tc>
          <w:tcPr/>
          <w:p>
            <w:pPr>
              <w:pStyle w:val="Compact"/>
              <w:jc w:val="left"/>
            </w:pPr>
            <w:r>
              <w:t xml:space="preserve">Healthcare, Textiles</w:t>
            </w:r>
          </w:p>
        </w:tc>
        <w:tc>
          <w:tcPr/>
          <w:p>
            <w:pPr>
              <w:pStyle w:val="Compact"/>
              <w:jc w:val="left"/>
            </w:pPr>
            <w:r>
              <w:t xml:space="preserve">Gemma 2 (EU-hosted), Qwen 2.5</w:t>
            </w:r>
          </w:p>
        </w:tc>
        <w:tc>
          <w:tcPr/>
          <w:p>
            <w:pPr>
              <w:pStyle w:val="Compact"/>
              <w:jc w:val="left"/>
            </w:pPr>
            <w:r>
              <w:t xml:space="preserve">Digital product passport, medical waste, pharmaceutical supply chain</w:t>
            </w:r>
          </w:p>
        </w:tc>
      </w:tr>
    </w:tbl>
    <w:p>
      <w:pPr>
        <w:pStyle w:val="BodyText"/>
      </w:pPr>
      <w:r>
        <w:rPr>
          <w:bCs/>
          <w:b/>
        </w:rPr>
        <w:t xml:space="preserve">Selection criteria:</w:t>
      </w:r>
      <w:r>
        <w:t xml:space="preserve"> </w:t>
      </w:r>
      <w:r>
        <w:t xml:space="preserve">domain knowledge depth, multilingual capability (Finnish/Swedish/20+ for CBAM), structured output reliability, context window (128k+ for supply chain), inference speed, EU data residency, and commercial license.</w:t>
      </w:r>
    </w:p>
    <w:p>
      <w:pPr>
        <w:pStyle w:val="BodyText"/>
      </w:pPr>
      <w:r>
        <w:t xml:space="preserve">Each enterprise tenant can have their Lifetime World Model trained on their own industry data with their chosen LLM as the base model.</w:t>
      </w:r>
    </w:p>
    <w:bookmarkStart w:id="147" w:name="why-16-captain-hats-make-dws-iq-stronger"/>
    <w:p>
      <w:pPr>
        <w:pStyle w:val="Heading3"/>
      </w:pPr>
      <w:r>
        <w:t xml:space="preserve">10.6.1 Why 16 Captain Hats Make DWS IQ Stronger</w:t>
      </w:r>
    </w:p>
    <w:p>
      <w:pPr>
        <w:pStyle w:val="FirstParagraph"/>
      </w:pPr>
      <w:r>
        <w:t xml:space="preserve">From the customer’s perspective, a platform covering 25+ EU industries is not complexity — it is</w:t>
      </w:r>
      <w:r>
        <w:t xml:space="preserve"> </w:t>
      </w:r>
      <w:r>
        <w:rPr>
          <w:bCs/>
          <w:b/>
        </w:rPr>
        <w:t xml:space="preserve">the competitive advantage they are buying</w:t>
      </w:r>
      <w:r>
        <w:t xml:space="preserve">. The 25+-industry architecture creates compounding value that a single-industry platform cannot match:</w:t>
      </w:r>
    </w:p>
    <w:p>
      <w:pPr>
        <w:numPr>
          <w:ilvl w:val="0"/>
          <w:numId w:val="1050"/>
        </w:numPr>
      </w:pPr>
      <w:r>
        <w:rPr>
          <w:bCs/>
          <w:b/>
        </w:rPr>
        <w:t xml:space="preserve">Cross-industry regulatory intelligence.</w:t>
      </w:r>
      <w:r>
        <w:t xml:space="preserve"> </w:t>
      </w:r>
      <w:r>
        <w:t xml:space="preserve">EU regulations like Fit for 55, CSRD, and CBAM affect multiple industries simultaneously. A construction company’s Scope 3 emissions include steel (ETS), cement (CBAM), logistics (FuelEU), and energy (RED III). A single-industry tool sees one slice; DWS IQ sees the entire regulatory chain. The customer gets compliance intelligence that understands their full supply chain, not just their own vertical.</w:t>
      </w:r>
    </w:p>
    <w:p>
      <w:pPr>
        <w:numPr>
          <w:ilvl w:val="0"/>
          <w:numId w:val="1050"/>
        </w:numPr>
      </w:pPr>
      <w:r>
        <w:rPr>
          <w:bCs/>
          <w:b/>
        </w:rPr>
        <w:t xml:space="preserve">Supply chain visibility across verticals.</w:t>
      </w:r>
      <w:r>
        <w:t xml:space="preserve"> </w:t>
      </w:r>
      <w:r>
        <w:t xml:space="preserve">When a manufacturing customer reports CBAM imports, DWS IQ already understands the steel producer’s ETS obligations, the logistics provider’s fuel regulations, and the energy supplier’s renewable certificates. This cross-industry knowledge means the customer’s compliance reports are more accurate, audit-ready, and defensible because the platform understands every link in their value chain.</w:t>
      </w:r>
    </w:p>
    <w:p>
      <w:pPr>
        <w:numPr>
          <w:ilvl w:val="0"/>
          <w:numId w:val="1050"/>
        </w:numPr>
      </w:pPr>
      <w:r>
        <w:rPr>
          <w:bCs/>
          <w:b/>
        </w:rPr>
        <w:t xml:space="preserve">LWM cross-pollination.</w:t>
      </w:r>
      <w:r>
        <w:t xml:space="preserve"> </w:t>
      </w:r>
      <w:r>
        <w:t xml:space="preserve">The Lifetime World Model learns from anonymized patterns across all 20 industries. A carbon reduction technique proven in cement manufacturing (e.g., clinker ratio optimization) generates transferable insight for construction (low-carbon concrete specification). The customer benefits from an LWM that has been trained on 20 industries’ worth of climate intelligence — not just their own narrow domain.</w:t>
      </w:r>
    </w:p>
    <w:p>
      <w:pPr>
        <w:numPr>
          <w:ilvl w:val="0"/>
          <w:numId w:val="1050"/>
        </w:numPr>
      </w:pPr>
      <w:r>
        <w:rPr>
          <w:bCs/>
          <w:b/>
        </w:rPr>
        <w:t xml:space="preserve">Agent template reusability.</w:t>
      </w:r>
      <w:r>
        <w:t xml:space="preserve"> </w:t>
      </w:r>
      <w:r>
        <w:t xml:space="preserve">Agent configurations that work in one industry accelerate deployment in related industries. The BIM compliance agent developed for construction is adapted for real estate energy performance certificates. The supply chain Scope 3 agent in manufacturing transfers to food &amp; beverage. Customers in later-deploying industries get battle-tested agents at lower cost and faster deployment.</w:t>
      </w:r>
    </w:p>
    <w:p>
      <w:pPr>
        <w:numPr>
          <w:ilvl w:val="0"/>
          <w:numId w:val="1050"/>
        </w:numPr>
      </w:pPr>
      <w:r>
        <w:rPr>
          <w:bCs/>
          <w:b/>
        </w:rPr>
        <w:t xml:space="preserve">Regulatory early warning.</w:t>
      </w:r>
      <w:r>
        <w:t xml:space="preserve"> </w:t>
      </w:r>
      <w:r>
        <w:t xml:space="preserve">When a new regulation (e.g., EU Deforestation Regulation) first impacts agriculture, the platform detects it and alerts food &amp; beverage, textiles, and logistics customers proactively — before the regulation reaches their industry. A single-industry platform cannot provide this cross-sector foresight.</w:t>
      </w:r>
    </w:p>
    <w:p>
      <w:pPr>
        <w:numPr>
          <w:ilvl w:val="0"/>
          <w:numId w:val="1050"/>
        </w:numPr>
      </w:pPr>
      <w:r>
        <w:rPr>
          <w:bCs/>
          <w:b/>
        </w:rPr>
        <w:t xml:space="preserve">Benchmarking across peers and adjacent industries.</w:t>
      </w:r>
      <w:r>
        <w:t xml:space="preserve"> </w:t>
      </w:r>
      <w:r>
        <w:t xml:space="preserve">An energy company can benchmark its emissions intensity not only against other utilities but against the industrial customers it serves (manufacturing, mining, chemicals). This multi-dimensional benchmarking gives the customer strategic insight into where they stand in the broader decarbonization landscape.</w:t>
      </w:r>
    </w:p>
    <w:p>
      <w:pPr>
        <w:numPr>
          <w:ilvl w:val="0"/>
          <w:numId w:val="1050"/>
        </w:numPr>
      </w:pPr>
      <w:r>
        <w:rPr>
          <w:bCs/>
          <w:b/>
        </w:rPr>
        <w:t xml:space="preserve">Network effects compound over time.</w:t>
      </w:r>
      <w:r>
        <w:t xml:space="preserve"> </w:t>
      </w:r>
      <w:r>
        <w:t xml:space="preserve">Each new industry added to the platform makes every existing industry’s LWM smarter. The 20th industry customer benefits from all 19 industries’ accumulated intelligence. This creates a</w:t>
      </w:r>
      <w:r>
        <w:t xml:space="preserve"> </w:t>
      </w:r>
      <w:r>
        <w:rPr>
          <w:bCs/>
          <w:b/>
        </w:rPr>
        <w:t xml:space="preserve">moat</w:t>
      </w:r>
      <w:r>
        <w:t xml:space="preserve">: a competitor starting with one industry must replicate years of cross-industry learning to match DWS IQ’s accumulated intelligence.</w:t>
      </w:r>
    </w:p>
    <w:p>
      <w:pPr>
        <w:pStyle w:val="FirstParagraph"/>
      </w:pPr>
      <w:r>
        <w:rPr>
          <w:bCs/>
          <w:b/>
        </w:rPr>
        <w:t xml:space="preserve">The bottom line for the customer:</w:t>
      </w:r>
      <w:r>
        <w:t xml:space="preserve"> </w:t>
      </w:r>
      <w:r>
        <w:t xml:space="preserve">DWS IQ’s 25+-industry coverage means their compliance intelligence is not isolated — it is connected to the entire EU industrial ecosystem. They pay for one platform and receive intelligence that would require 16 separate tools to approximate.</w:t>
      </w:r>
    </w:p>
    <w:bookmarkEnd w:id="147"/>
    <w:bookmarkEnd w:id="148"/>
    <w:bookmarkStart w:id="154" w:name="Xbec6b4bd0a5055100df76aa133c0205e1554495"/>
    <w:p>
      <w:pPr>
        <w:pStyle w:val="Heading2"/>
      </w:pPr>
      <w:r>
        <w:t xml:space="preserve">10.7 Enterprise BYOA Architecture: Bring Your Own Agent</w:t>
      </w:r>
    </w:p>
    <w:p>
      <w:pPr>
        <w:pStyle w:val="FirstParagraph"/>
      </w:pPr>
      <w:r>
        <w:t xml:space="preserve">A key platform evolution is supporting enterprise customers who</w:t>
      </w:r>
      <w:r>
        <w:t xml:space="preserve"> </w:t>
      </w:r>
      <w:r>
        <w:rPr>
          <w:bCs/>
          <w:b/>
        </w:rPr>
        <w:t xml:space="preserve">bring their own AI agents</w:t>
      </w:r>
      <w:r>
        <w:t xml:space="preserve"> </w:t>
      </w:r>
      <w:r>
        <w:t xml:space="preserve">to work on DWS IQ. This section describes the architecture using NCC (Nordic construction company) as an illustrative case.</w:t>
      </w:r>
    </w:p>
    <w:bookmarkStart w:id="149" w:name="the-ncc-scenario"/>
    <w:p>
      <w:pPr>
        <w:pStyle w:val="Heading3"/>
      </w:pPr>
      <w:r>
        <w:t xml:space="preserve">10.7.1 The NCC Scenario</w:t>
      </w:r>
    </w:p>
    <w:p>
      <w:pPr>
        <w:pStyle w:val="FirstParagraph"/>
      </w:pPr>
      <w:r>
        <w:t xml:space="preserve">NCC operates with a complex agent ecosystem:</w:t>
      </w:r>
    </w:p>
    <w:tbl>
      <w:tblPr>
        <w:tblStyle w:val="Table"/>
        <w:tblW w:type="pct" w:w="5000"/>
        <w:tblLook w:firstRow="1" w:lastRow="0" w:firstColumn="0" w:lastColumn="0" w:noHBand="0" w:noVBand="0" w:val="0020"/>
        <w:jc w:val="start"/>
      </w:tblPr>
      <w:tblGrid>
        <w:gridCol w:w="1204"/>
        <w:gridCol w:w="231"/>
        <w:gridCol w:w="6484"/>
      </w:tblGrid>
      <w:tr>
        <w:trPr>
          <w:tblHeader w:val="true"/>
        </w:trPr>
        <w:tc>
          <w:tcPr/>
          <w:p>
            <w:pPr>
              <w:pStyle w:val="Compact"/>
              <w:jc w:val="left"/>
            </w:pPr>
            <w:r>
              <w:t xml:space="preserve">Agent Source</w:t>
            </w:r>
          </w:p>
        </w:tc>
        <w:tc>
          <w:tcPr/>
          <w:p>
            <w:pPr>
              <w:pStyle w:val="Compact"/>
              <w:jc w:val="left"/>
            </w:pPr>
            <w:r>
              <w:t xml:space="preserve">Count</w:t>
            </w:r>
          </w:p>
        </w:tc>
        <w:tc>
          <w:tcPr/>
          <w:p>
            <w:pPr>
              <w:pStyle w:val="Compact"/>
              <w:jc w:val="left"/>
            </w:pPr>
            <w:r>
              <w:t xml:space="preserve">Examples</w:t>
            </w:r>
          </w:p>
        </w:tc>
      </w:tr>
      <w:tr>
        <w:tc>
          <w:tcPr/>
          <w:p>
            <w:pPr>
              <w:pStyle w:val="Compact"/>
              <w:jc w:val="left"/>
            </w:pPr>
            <w:r>
              <w:rPr>
                <w:bCs/>
                <w:b/>
              </w:rPr>
              <w:t xml:space="preserve">NCC Internal Agents</w:t>
            </w:r>
          </w:p>
        </w:tc>
        <w:tc>
          <w:tcPr/>
          <w:p>
            <w:pPr>
              <w:pStyle w:val="Compact"/>
              <w:jc w:val="left"/>
            </w:pPr>
            <w:r>
              <w:t xml:space="preserve">7</w:t>
            </w:r>
          </w:p>
        </w:tc>
        <w:tc>
          <w:tcPr/>
          <w:p>
            <w:pPr>
              <w:pStyle w:val="Compact"/>
              <w:jc w:val="left"/>
            </w:pPr>
            <w:r>
              <w:t xml:space="preserve">Procurement Agent, Safety Compliance Agent, BIM Agent, Sustainability Agent, Cost Estimation Agent, Quality Agent, Project Planning Agent</w:t>
            </w:r>
          </w:p>
        </w:tc>
      </w:tr>
      <w:tr>
        <w:tc>
          <w:tcPr/>
          <w:p>
            <w:pPr>
              <w:pStyle w:val="Compact"/>
              <w:jc w:val="left"/>
            </w:pPr>
            <w:r>
              <w:rPr>
                <w:bCs/>
                <w:b/>
              </w:rPr>
              <w:t xml:space="preserve">Contractor Agents</w:t>
            </w:r>
          </w:p>
        </w:tc>
        <w:tc>
          <w:tcPr/>
          <w:p>
            <w:pPr>
              <w:pStyle w:val="Compact"/>
              <w:jc w:val="left"/>
            </w:pPr>
            <w:r>
              <w:t xml:space="preserve">14</w:t>
            </w:r>
          </w:p>
        </w:tc>
        <w:tc>
          <w:tcPr/>
          <w:p>
            <w:pPr>
              <w:pStyle w:val="Compact"/>
              <w:jc w:val="left"/>
            </w:pPr>
            <w:r>
              <w:t xml:space="preserve">HVAC Subcontractor Agent, Electrical Agent, Concrete Supplier Agent, Steel Supplier Agent, Window Manufacturer Agent, Insulation Agent, etc.</w:t>
            </w:r>
          </w:p>
        </w:tc>
      </w:tr>
      <w:tr>
        <w:tc>
          <w:tcPr/>
          <w:p>
            <w:pPr>
              <w:pStyle w:val="Compact"/>
              <w:jc w:val="left"/>
            </w:pPr>
            <w:r>
              <w:rPr>
                <w:bCs/>
                <w:b/>
              </w:rPr>
              <w:t xml:space="preserve">DWS IQ Platform Agents</w:t>
            </w:r>
          </w:p>
        </w:tc>
        <w:tc>
          <w:tcPr/>
          <w:p>
            <w:pPr>
              <w:pStyle w:val="Compact"/>
              <w:jc w:val="left"/>
            </w:pPr>
            <w:r>
              <w:t xml:space="preserve">3</w:t>
            </w:r>
          </w:p>
        </w:tc>
        <w:tc>
          <w:tcPr/>
          <w:p>
            <w:pPr>
              <w:pStyle w:val="Compact"/>
              <w:jc w:val="left"/>
            </w:pPr>
            <w:r>
              <w:t xml:space="preserve">Compliance Calculation, Firehorse Report, Carbon Calculator</w:t>
            </w:r>
          </w:p>
        </w:tc>
      </w:tr>
      <w:tr>
        <w:tc>
          <w:tcPr/>
          <w:p>
            <w:pPr>
              <w:pStyle w:val="Compact"/>
              <w:jc w:val="left"/>
            </w:pPr>
            <w:r>
              <w:rPr>
                <w:bCs/>
                <w:b/>
              </w:rPr>
              <w:t xml:space="preserve">Total</w:t>
            </w:r>
          </w:p>
        </w:tc>
        <w:tc>
          <w:tcPr/>
          <w:p>
            <w:pPr>
              <w:pStyle w:val="Compact"/>
              <w:jc w:val="left"/>
            </w:pPr>
            <w:r>
              <w:t xml:space="preserve">24</w:t>
            </w:r>
          </w:p>
        </w:tc>
        <w:tc>
          <w:tcPr/>
          <w:p>
            <w:pPr>
              <w:pStyle w:val="Compact"/>
              <w:jc w:val="left"/>
            </w:pPr>
            <w:r>
              <w:t xml:space="preserve">All connected via A2A + MCP protocols</w:t>
            </w:r>
          </w:p>
        </w:tc>
      </w:tr>
    </w:tbl>
    <w:p>
      <w:pPr>
        <w:pStyle w:val="BodyText"/>
      </w:pPr>
      <w:r>
        <w:t xml:space="preserve">Each contractor agent arrives with its own:</w:t>
      </w:r>
    </w:p>
    <w:p>
      <w:pPr>
        <w:numPr>
          <w:ilvl w:val="0"/>
          <w:numId w:val="1051"/>
        </w:numPr>
        <w:pStyle w:val="Compact"/>
      </w:pPr>
      <w:r>
        <w:rPr>
          <w:bCs/>
          <w:b/>
        </w:rPr>
        <w:t xml:space="preserve">Agent Card</w:t>
      </w:r>
      <w:r>
        <w:t xml:space="preserve"> </w:t>
      </w:r>
      <w:r>
        <w:t xml:space="preserve">(A2A</w:t>
      </w:r>
      <w:r>
        <w:t xml:space="preserve"> </w:t>
      </w:r>
      <w:r>
        <w:rPr>
          <w:rStyle w:val="VerbatimChar"/>
        </w:rPr>
        <w:t xml:space="preserve">/.well-known/agent.json</w:t>
      </w:r>
      <w:r>
        <w:t xml:space="preserve">) describing capabilities</w:t>
      </w:r>
    </w:p>
    <w:p>
      <w:pPr>
        <w:numPr>
          <w:ilvl w:val="0"/>
          <w:numId w:val="1051"/>
        </w:numPr>
        <w:pStyle w:val="Compact"/>
      </w:pPr>
      <w:r>
        <w:rPr>
          <w:bCs/>
          <w:b/>
        </w:rPr>
        <w:t xml:space="preserve">LLM preference</w:t>
      </w:r>
      <w:r>
        <w:t xml:space="preserve"> </w:t>
      </w:r>
      <w:r>
        <w:t xml:space="preserve">— the contractor may use a different model than NCC</w:t>
      </w:r>
    </w:p>
    <w:p>
      <w:pPr>
        <w:numPr>
          <w:ilvl w:val="0"/>
          <w:numId w:val="1051"/>
        </w:numPr>
        <w:pStyle w:val="Compact"/>
      </w:pPr>
      <w:r>
        <w:rPr>
          <w:bCs/>
          <w:b/>
        </w:rPr>
        <w:t xml:space="preserve">ERP/BIM connectors</w:t>
      </w:r>
      <w:r>
        <w:t xml:space="preserve"> </w:t>
      </w:r>
      <w:r>
        <w:t xml:space="preserve">— Tekla, Solibri, IFS, SAP, Dynamics 365</w:t>
      </w:r>
    </w:p>
    <w:p>
      <w:pPr>
        <w:numPr>
          <w:ilvl w:val="0"/>
          <w:numId w:val="1051"/>
        </w:numPr>
        <w:pStyle w:val="Compact"/>
      </w:pPr>
      <w:r>
        <w:rPr>
          <w:bCs/>
          <w:b/>
        </w:rPr>
        <w:t xml:space="preserve">Data residency requirements</w:t>
      </w:r>
      <w:r>
        <w:t xml:space="preserve"> </w:t>
      </w:r>
      <w:r>
        <w:t xml:space="preserve">— some contractors operate from non-EU jurisdictions</w:t>
      </w:r>
    </w:p>
    <w:bookmarkEnd w:id="149"/>
    <w:bookmarkStart w:id="150" w:name="tenant-specific-lifetime-world-model"/>
    <w:p>
      <w:pPr>
        <w:pStyle w:val="Heading3"/>
      </w:pPr>
      <w:r>
        <w:t xml:space="preserve">10.7.2 Tenant-Specific Lifetime World Model</w:t>
      </w:r>
    </w:p>
    <w:p>
      <w:pPr>
        <w:pStyle w:val="FirstParagraph"/>
      </w:pPr>
      <w:r>
        <w:t xml:space="preserve">The</w:t>
      </w:r>
      <w:r>
        <w:t xml:space="preserve"> </w:t>
      </w:r>
      <w:r>
        <w:rPr>
          <w:bCs/>
          <w:b/>
        </w:rPr>
        <w:t xml:space="preserve">Lifetime World Model (LWM)</w:t>
      </w:r>
      <w:r>
        <w:t xml:space="preserve"> </w:t>
      </w:r>
      <w:r>
        <w:t xml:space="preserve">is the enterprise learning layer that sits on top of the chosen open LLM. It is not simply a fine-tuned model — it is a strategic intelligence layer that:</w:t>
      </w:r>
    </w:p>
    <w:p>
      <w:pPr>
        <w:numPr>
          <w:ilvl w:val="0"/>
          <w:numId w:val="1052"/>
        </w:numPr>
        <w:pStyle w:val="Compact"/>
      </w:pPr>
      <w:r>
        <w:rPr>
          <w:bCs/>
          <w:b/>
        </w:rPr>
        <w:t xml:space="preserve">Fine-tunes enterprise data and regulation</w:t>
      </w:r>
      <w:r>
        <w:t xml:space="preserve"> </w:t>
      </w:r>
      <w:r>
        <w:t xml:space="preserve">— ingests the customer’s operational data, industry standards, and EU regulatory context to create domain-specific intelligence that generic LLMs cannot provide</w:t>
      </w:r>
    </w:p>
    <w:p>
      <w:pPr>
        <w:numPr>
          <w:ilvl w:val="0"/>
          <w:numId w:val="1052"/>
        </w:numPr>
        <w:pStyle w:val="Compact"/>
      </w:pPr>
      <w:r>
        <w:rPr>
          <w:bCs/>
          <w:b/>
        </w:rPr>
        <w:t xml:space="preserve">Optimizes market value</w:t>
      </w:r>
      <w:r>
        <w:t xml:space="preserve"> </w:t>
      </w:r>
      <w:r>
        <w:t xml:space="preserve">— the LWM continuously learns from compliance outcomes, energy efficiency results, and operational metrics to identify value creation opportunities the enterprise would otherwise miss</w:t>
      </w:r>
    </w:p>
    <w:p>
      <w:pPr>
        <w:numPr>
          <w:ilvl w:val="0"/>
          <w:numId w:val="1052"/>
        </w:numPr>
        <w:pStyle w:val="Compact"/>
      </w:pPr>
      <w:r>
        <w:rPr>
          <w:bCs/>
          <w:b/>
        </w:rPr>
        <w:t xml:space="preserve">Ensures competitive advantage with multi-agent tools</w:t>
      </w:r>
      <w:r>
        <w:t xml:space="preserve"> </w:t>
      </w:r>
      <w:r>
        <w:t xml:space="preserve">— by combining tenant-specific knowledge with the multi-agent orchestration layer (A2A + MCP), the LWM transforms raw AI capability into an irreplaceable operational asset. Competitors using generic models cannot replicate this accumulated institutional intelligence</w:t>
      </w:r>
    </w:p>
    <w:p>
      <w:pPr>
        <w:pStyle w:val="FirstParagraph"/>
      </w:pPr>
      <w:r>
        <w:t xml:space="preserve">NCC receives their own instance of the Lifetime World Model:</w:t>
      </w:r>
    </w:p>
    <w:p>
      <w:pPr>
        <w:pStyle w:val="SourceCode"/>
      </w:pPr>
      <w:r>
        <w:rPr>
          <w:rStyle w:val="VerbatimChar"/>
        </w:rPr>
        <w:t xml:space="preserve">NCC Lifetime World Model</w:t>
      </w:r>
      <w:r>
        <w:br/>
      </w:r>
      <w:r>
        <w:rPr>
          <w:rStyle w:val="VerbatimChar"/>
        </w:rPr>
        <w:t xml:space="preserve">├── Base LLM: Qwen 2.5 72B (selected for Nordic construction)</w:t>
      </w:r>
      <w:r>
        <w:br/>
      </w:r>
      <w:r>
        <w:rPr>
          <w:rStyle w:val="VerbatimChar"/>
        </w:rPr>
        <w:t xml:space="preserve">├── Fine-tuned on: NCC project data, Finnish building codes, RT-kortisto</w:t>
      </w:r>
      <w:r>
        <w:br/>
      </w:r>
      <w:r>
        <w:rPr>
          <w:rStyle w:val="VerbatimChar"/>
        </w:rPr>
        <w:t xml:space="preserve">├── Regulatory context: Fit for 55, CSRD ESRS E1, EN 15978</w:t>
      </w:r>
      <w:r>
        <w:br/>
      </w:r>
      <w:r>
        <w:rPr>
          <w:rStyle w:val="VerbatimChar"/>
        </w:rPr>
        <w:t xml:space="preserve">├── Connector endpoints:</w:t>
      </w:r>
      <w:r>
        <w:br/>
      </w:r>
      <w:r>
        <w:rPr>
          <w:rStyle w:val="VerbatimChar"/>
        </w:rPr>
        <w:t xml:space="preserve">│   ├── Tekla Structures (BIM)</w:t>
      </w:r>
      <w:r>
        <w:br/>
      </w:r>
      <w:r>
        <w:rPr>
          <w:rStyle w:val="VerbatimChar"/>
        </w:rPr>
        <w:t xml:space="preserve">│   ├── IFS Cloud (ERP)</w:t>
      </w:r>
      <w:r>
        <w:br/>
      </w:r>
      <w:r>
        <w:rPr>
          <w:rStyle w:val="VerbatimChar"/>
        </w:rPr>
        <w:t xml:space="preserve">│   └── CO2data.fi (Finnish emissions factors)</w:t>
      </w:r>
      <w:r>
        <w:br/>
      </w:r>
      <w:r>
        <w:rPr>
          <w:rStyle w:val="VerbatimChar"/>
        </w:rPr>
        <w:t xml:space="preserve">└── Sandbox: Stage 1.5 (OpenSandbox, Acer Veriton GN100) → Stage 2 (Cloud Run, europe-north1)</w:t>
      </w:r>
    </w:p>
    <w:bookmarkEnd w:id="150"/>
    <w:bookmarkStart w:id="151" w:name="X075b5b802db2e8c3bbdb886fa3c80d9c77f35c1"/>
    <w:p>
      <w:pPr>
        <w:pStyle w:val="Heading3"/>
      </w:pPr>
      <w:r>
        <w:t xml:space="preserve">10.7.3 LWM Product-Market Validation: Energy Sector Case Study (March 2026)</w:t>
      </w:r>
    </w:p>
    <w:p>
      <w:pPr>
        <w:pStyle w:val="FirstParagraph"/>
      </w:pPr>
      <w:r>
        <w:t xml:space="preserve">The Lifetime World Model’s commercial viability received its first external validation in March 2026 through a partnership negotiation with</w:t>
      </w:r>
      <w:r>
        <w:t xml:space="preserve"> </w:t>
      </w:r>
      <w:r>
        <w:rPr>
          <w:bCs/>
          <w:b/>
        </w:rPr>
        <w:t xml:space="preserve">Qantic GmbH</w:t>
      </w:r>
      <w:r>
        <w:t xml:space="preserve"> </w:t>
      </w:r>
      <w:r>
        <w:t xml:space="preserve">(Berlin), a battery energy storage system (BESS) simulation company. This case study demonstrates how the LWM’s multi-industry architecture creates tangible market value beyond the construction sector originally targeted by the thesis.</w:t>
      </w:r>
    </w:p>
    <w:p>
      <w:pPr>
        <w:pStyle w:val="BodyText"/>
      </w:pPr>
      <w:r>
        <w:rPr>
          <w:bCs/>
          <w:b/>
        </w:rPr>
        <w:t xml:space="preserve">Context:</w:t>
      </w:r>
      <w:r>
        <w:t xml:space="preserve"> </w:t>
      </w:r>
      <w:r>
        <w:t xml:space="preserve">Qantic’s Q-System models energy revenue from BESS assets (dispatch optimization, market arbitrage, degradation curves). However, their clients — including industrial firms like MAN Energy Solutions — face increasing EU compliance costs (CSRD, ETS, EU Taxonomy) that Q-System does not calculate. This gap means investor bankability models understate true costs by 5-15%.</w:t>
      </w:r>
    </w:p>
    <w:p>
      <w:pPr>
        <w:pStyle w:val="BodyText"/>
      </w:pPr>
      <w:r>
        <w:rPr>
          <w:bCs/>
          <w:b/>
        </w:rPr>
        <w:t xml:space="preserve">LWM value proposition validated:</w:t>
      </w:r>
    </w:p>
    <w:tbl>
      <w:tblPr>
        <w:tblStyle w:val="Table"/>
        <w:tblW w:type="pct" w:w="5000"/>
        <w:tblLook w:firstRow="1" w:lastRow="0" w:firstColumn="0" w:lastColumn="0" w:noHBand="0" w:noVBand="0" w:val="0020"/>
        <w:jc w:val="start"/>
      </w:tblPr>
      <w:tblGrid>
        <w:gridCol w:w="2407"/>
        <w:gridCol w:w="2640"/>
        <w:gridCol w:w="2872"/>
      </w:tblGrid>
      <w:tr>
        <w:trPr>
          <w:tblHeader w:val="true"/>
        </w:trPr>
        <w:tc>
          <w:tcPr/>
          <w:p>
            <w:pPr>
              <w:pStyle w:val="Compact"/>
              <w:jc w:val="left"/>
            </w:pPr>
            <w:r>
              <w:t xml:space="preserve">Q-System (Qantic)</w:t>
            </w:r>
          </w:p>
        </w:tc>
        <w:tc>
          <w:tcPr/>
          <w:p>
            <w:pPr>
              <w:pStyle w:val="Compact"/>
              <w:jc w:val="left"/>
            </w:pPr>
            <w:r>
              <w:t xml:space="preserve">LWM / DWS IQ 6 (Lifetime)</w:t>
            </w:r>
          </w:p>
        </w:tc>
        <w:tc>
          <w:tcPr/>
          <w:p>
            <w:pPr>
              <w:pStyle w:val="Compact"/>
              <w:jc w:val="left"/>
            </w:pPr>
            <w:r>
              <w:t xml:space="preserve">Combined</w:t>
            </w:r>
          </w:p>
        </w:tc>
      </w:tr>
      <w:tr>
        <w:tc>
          <w:tcPr/>
          <w:p>
            <w:pPr>
              <w:pStyle w:val="Compact"/>
              <w:jc w:val="left"/>
            </w:pPr>
            <w:r>
              <w:t xml:space="preserve">“</w:t>
            </w:r>
            <w:r>
              <w:t xml:space="preserve">How much will this BESS earn?</w:t>
            </w:r>
            <w:r>
              <w:t xml:space="preserve">”</w:t>
            </w:r>
          </w:p>
        </w:tc>
        <w:tc>
          <w:tcPr/>
          <w:p>
            <w:pPr>
              <w:pStyle w:val="Compact"/>
              <w:jc w:val="left"/>
            </w:pPr>
            <w:r>
              <w:t xml:space="preserve">“</w:t>
            </w:r>
            <w:r>
              <w:t xml:space="preserve">What will compliance cost?</w:t>
            </w:r>
            <w:r>
              <w:t xml:space="preserve">”</w:t>
            </w:r>
          </w:p>
        </w:tc>
        <w:tc>
          <w:tcPr/>
          <w:p>
            <w:pPr>
              <w:pStyle w:val="Compact"/>
              <w:jc w:val="left"/>
            </w:pPr>
            <w:r>
              <w:t xml:space="preserve">“</w:t>
            </w:r>
            <w:r>
              <w:t xml:space="preserve">What is the true net return?</w:t>
            </w:r>
            <w:r>
              <w:t xml:space="preserve">”</w:t>
            </w:r>
          </w:p>
        </w:tc>
      </w:tr>
      <w:tr>
        <w:tc>
          <w:tcPr/>
          <w:p>
            <w:pPr>
              <w:pStyle w:val="Compact"/>
              <w:jc w:val="left"/>
            </w:pPr>
            <w:r>
              <w:t xml:space="preserve">Dispatch revenue per market</w:t>
            </w:r>
          </w:p>
        </w:tc>
        <w:tc>
          <w:tcPr/>
          <w:p>
            <w:pPr>
              <w:pStyle w:val="Compact"/>
              <w:jc w:val="left"/>
            </w:pPr>
            <w:r>
              <w:t xml:space="preserve">Scope 2 carbon cost per MWh</w:t>
            </w:r>
          </w:p>
        </w:tc>
        <w:tc>
          <w:tcPr/>
          <w:p>
            <w:pPr>
              <w:pStyle w:val="Compact"/>
              <w:jc w:val="left"/>
            </w:pPr>
            <w:r>
              <w:t xml:space="preserve">Full P&amp;L including regulatory costs</w:t>
            </w:r>
          </w:p>
        </w:tc>
      </w:tr>
      <w:tr>
        <w:tc>
          <w:tcPr/>
          <w:p>
            <w:pPr>
              <w:pStyle w:val="Compact"/>
              <w:jc w:val="left"/>
            </w:pPr>
            <w:r>
              <w:t xml:space="preserve">Battery degradation curve</w:t>
            </w:r>
          </w:p>
        </w:tc>
        <w:tc>
          <w:tcPr/>
          <w:p>
            <w:pPr>
              <w:pStyle w:val="Compact"/>
              <w:jc w:val="left"/>
            </w:pPr>
            <w:r>
              <w:t xml:space="preserve">Asset impairment disclosure (CSRD)</w:t>
            </w:r>
          </w:p>
        </w:tc>
        <w:tc>
          <w:tcPr/>
          <w:p>
            <w:pPr>
              <w:pStyle w:val="Compact"/>
              <w:jc w:val="left"/>
            </w:pPr>
            <w:r>
              <w:t xml:space="preserve">Lifecycle financial + compliance view</w:t>
            </w:r>
          </w:p>
        </w:tc>
      </w:tr>
    </w:tbl>
    <w:p>
      <w:pPr>
        <w:pStyle w:val="BodyText"/>
      </w:pPr>
      <w:r>
        <w:rPr>
          <w:bCs/>
          <w:b/>
        </w:rPr>
        <w:t xml:space="preserve">Quantified output example (50MW/200MWh BESS, Germany):</w:t>
      </w:r>
    </w:p>
    <w:tbl>
      <w:tblPr>
        <w:tblStyle w:val="Table"/>
        <w:tblW w:type="pct" w:w="5000"/>
        <w:tblLook w:firstRow="1" w:lastRow="0" w:firstColumn="0" w:lastColumn="0" w:noHBand="0" w:noVBand="0" w:val="0020"/>
        <w:jc w:val="start"/>
      </w:tblPr>
      <w:tblGrid>
        <w:gridCol w:w="2862"/>
        <w:gridCol w:w="1049"/>
        <w:gridCol w:w="4007"/>
      </w:tblGrid>
      <w:tr>
        <w:trPr>
          <w:tblHeader w:val="true"/>
        </w:trPr>
        <w:tc>
          <w:tcPr/>
          <w:p>
            <w:pPr>
              <w:pStyle w:val="Compact"/>
              <w:jc w:val="left"/>
            </w:pPr>
            <w:r>
              <w:t xml:space="preserve">Compliance cost component</w:t>
            </w:r>
          </w:p>
        </w:tc>
        <w:tc>
          <w:tcPr/>
          <w:p>
            <w:pPr>
              <w:pStyle w:val="Compact"/>
              <w:jc w:val="left"/>
            </w:pPr>
            <w:r>
              <w:t xml:space="preserve">EUR/year</w:t>
            </w:r>
          </w:p>
        </w:tc>
        <w:tc>
          <w:tcPr/>
          <w:p>
            <w:pPr>
              <w:pStyle w:val="Compact"/>
              <w:jc w:val="left"/>
            </w:pPr>
            <w:r>
              <w:t xml:space="preserve">Source</w:t>
            </w:r>
          </w:p>
        </w:tc>
      </w:tr>
      <w:tr>
        <w:tc>
          <w:tcPr/>
          <w:p>
            <w:pPr>
              <w:pStyle w:val="Compact"/>
              <w:jc w:val="left"/>
            </w:pPr>
            <w:r>
              <w:t xml:space="preserve">Scope 2 carbon cost</w:t>
            </w:r>
          </w:p>
        </w:tc>
        <w:tc>
          <w:tcPr/>
          <w:p>
            <w:pPr>
              <w:pStyle w:val="Compact"/>
              <w:jc w:val="left"/>
            </w:pPr>
            <w:r>
              <w:t xml:space="preserve">€5,005</w:t>
            </w:r>
          </w:p>
        </w:tc>
        <w:tc>
          <w:tcPr/>
          <w:p>
            <w:pPr>
              <w:pStyle w:val="Compact"/>
              <w:jc w:val="left"/>
            </w:pPr>
            <w:r>
              <w:t xml:space="preserve">ETS Phase 4 calculator (ets-calculator.ts)</w:t>
            </w:r>
          </w:p>
        </w:tc>
      </w:tr>
      <w:tr>
        <w:tc>
          <w:tcPr/>
          <w:p>
            <w:pPr>
              <w:pStyle w:val="Compact"/>
              <w:jc w:val="left"/>
            </w:pPr>
            <w:r>
              <w:t xml:space="preserve">Roundtrip efficiency loss cost</w:t>
            </w:r>
          </w:p>
        </w:tc>
        <w:tc>
          <w:tcPr/>
          <w:p>
            <w:pPr>
              <w:pStyle w:val="Compact"/>
              <w:jc w:val="left"/>
            </w:pPr>
            <w:r>
              <w:t xml:space="preserve">€488</w:t>
            </w:r>
          </w:p>
        </w:tc>
        <w:tc>
          <w:tcPr/>
          <w:p>
            <w:pPr>
              <w:pStyle w:val="Compact"/>
              <w:jc w:val="left"/>
            </w:pPr>
            <w:r>
              <w:t xml:space="preserve">Grid emission factors (18 EU countries)</w:t>
            </w:r>
          </w:p>
        </w:tc>
      </w:tr>
      <w:tr>
        <w:tc>
          <w:tcPr/>
          <w:p>
            <w:pPr>
              <w:pStyle w:val="Compact"/>
              <w:jc w:val="left"/>
            </w:pPr>
            <w:r>
              <w:t xml:space="preserve">CSRD reporting cost</w:t>
            </w:r>
          </w:p>
        </w:tc>
        <w:tc>
          <w:tcPr/>
          <w:p>
            <w:pPr>
              <w:pStyle w:val="Compact"/>
              <w:jc w:val="left"/>
            </w:pPr>
            <w:r>
              <w:t xml:space="preserve">€12,000</w:t>
            </w:r>
          </w:p>
        </w:tc>
        <w:tc>
          <w:tcPr/>
          <w:p>
            <w:pPr>
              <w:pStyle w:val="Compact"/>
              <w:jc w:val="left"/>
            </w:pPr>
            <w:r>
              <w:t xml:space="preserve">Firehorse Reports estimate</w:t>
            </w:r>
          </w:p>
        </w:tc>
      </w:tr>
      <w:tr>
        <w:tc>
          <w:tcPr/>
          <w:p>
            <w:pPr>
              <w:pStyle w:val="Compact"/>
              <w:jc w:val="left"/>
            </w:pPr>
            <w:r>
              <w:t xml:space="preserve">EU Taxonomy certification cost</w:t>
            </w:r>
          </w:p>
        </w:tc>
        <w:tc>
          <w:tcPr/>
          <w:p>
            <w:pPr>
              <w:pStyle w:val="Compact"/>
              <w:jc w:val="left"/>
            </w:pPr>
            <w:r>
              <w:t xml:space="preserve">€4,200</w:t>
            </w:r>
          </w:p>
        </w:tc>
        <w:tc>
          <w:tcPr/>
          <w:p>
            <w:pPr>
              <w:pStyle w:val="Compact"/>
              <w:jc w:val="left"/>
            </w:pPr>
            <w:r>
              <w:t xml:space="preserve">Taxonomy alignment engine</w:t>
            </w:r>
          </w:p>
        </w:tc>
      </w:tr>
      <w:tr>
        <w:tc>
          <w:tcPr/>
          <w:p>
            <w:pPr>
              <w:pStyle w:val="Compact"/>
              <w:jc w:val="left"/>
            </w:pPr>
            <w:r>
              <w:rPr>
                <w:bCs/>
                <w:b/>
              </w:rPr>
              <w:t xml:space="preserve">Total compliance cost</w:t>
            </w:r>
          </w:p>
        </w:tc>
        <w:tc>
          <w:tcPr/>
          <w:p>
            <w:pPr>
              <w:pStyle w:val="Compact"/>
              <w:jc w:val="left"/>
            </w:pPr>
            <w:r>
              <w:rPr>
                <w:bCs/>
                <w:b/>
              </w:rPr>
              <w:t xml:space="preserve">€21,693</w:t>
            </w:r>
          </w:p>
        </w:tc>
        <w:tc>
          <w:tcPr/>
          <w:p>
            <w:pPr>
              <w:pStyle w:val="Compact"/>
              <w:jc w:val="left"/>
            </w:pPr>
            <w:r>
              <w:t xml:space="preserve">BESS Compliance API</w:t>
            </w:r>
          </w:p>
        </w:tc>
      </w:tr>
    </w:tbl>
    <w:p>
      <w:pPr>
        <w:pStyle w:val="BodyText"/>
      </w:pPr>
      <w:r>
        <w:t xml:space="preserve">These numbers come from the existing DWS IQ 6 codebase (19 unit tests passing), not from a roadmap. The BESS Compliance API endpoint (</w:t>
      </w:r>
      <w:r>
        <w:rPr>
          <w:rStyle w:val="VerbatimChar"/>
        </w:rPr>
        <w:t xml:space="preserve">POST /api/v1/agents/bess/execute</w:t>
      </w:r>
      <w:r>
        <w:t xml:space="preserve">) was built and tested before the partnership discussion began — validating the Solution Factory approach of building products before seeking customers.</w:t>
      </w:r>
    </w:p>
    <w:p>
      <w:pPr>
        <w:pStyle w:val="BodyText"/>
      </w:pPr>
      <w:r>
        <w:rPr>
          <w:bCs/>
          <w:b/>
        </w:rPr>
        <w:t xml:space="preserve">Multi-industry moat demonstrated:</w:t>
      </w:r>
      <w:r>
        <w:t xml:space="preserve"> </w:t>
      </w:r>
      <w:r>
        <w:t xml:space="preserve">Qantic’s enterprise clients (e.g., MAN Energy Solutions) span six EU-regulated industries simultaneously: Power &amp; Heat (ETS), Iron &amp; Steel (ETS + CBAM), Maritime Shipping (ETS from 2024), Road Transport (ETS2 from 2027), Construction (EPBD), and Chemicals (ETS + REACH). A single-industry compliance tool addresses one of these; DWS IQ’s 20-industry LWM addresses all six from the same platform. This validates the cross-industry network effects hypothesis described in Section 10.6.</w:t>
      </w:r>
    </w:p>
    <w:p>
      <w:pPr>
        <w:pStyle w:val="BodyText"/>
      </w:pPr>
      <w:r>
        <w:rPr>
          <w:bCs/>
          <w:b/>
        </w:rPr>
        <w:t xml:space="preserve">Product-market fit signal:</w:t>
      </w:r>
      <w:r>
        <w:t xml:space="preserve"> </w:t>
      </w:r>
      <w:r>
        <w:t xml:space="preserve">The partnership structure (€15,990 setup + €99/asset/month API + 30% reseller commission for referred clients) was developed from build-vs-buy analysis showing enterprise alternatives cost €200k+/year. The 10x price advantage makes the LWM commercially viable at the SME and Mittelstand level — a market segment underserved by Big 4 consultancies.</w:t>
      </w:r>
    </w:p>
    <w:p>
      <w:pPr>
        <w:pStyle w:val="BodyText"/>
      </w:pPr>
      <w:r>
        <w:rPr>
          <w:bCs/>
          <w:b/>
        </w:rPr>
        <w:t xml:space="preserve">Thesis relevance:</w:t>
      </w:r>
      <w:r>
        <w:t xml:space="preserve"> </w:t>
      </w:r>
      <w:r>
        <w:t xml:space="preserve">This case study provides empirical evidence for three thesis claims: (1) the LWM’s regulatory intelligence graph has commercial value outside construction; (2) the 20-industry architecture creates defensible competitive advantage through cross-sector coverage; (3) the Solution Factory model (build product → find customer) produces faster market validation than the traditional consulting model (find customer → build custom solution).</w:t>
      </w:r>
    </w:p>
    <w:bookmarkEnd w:id="151"/>
    <w:bookmarkStart w:id="152" w:name="X0195c593a8634eeea53cb4c919ee3de3ae255a9"/>
    <w:p>
      <w:pPr>
        <w:pStyle w:val="Heading3"/>
      </w:pPr>
      <w:r>
        <w:t xml:space="preserve">10.7.4 Graphical Workflow Builder: Agent Orchestration Studio</w:t>
      </w:r>
    </w:p>
    <w:p>
      <w:pPr>
        <w:pStyle w:val="FirstParagraph"/>
      </w:pPr>
      <w:r>
        <w:t xml:space="preserve">To enable NCC (and similar enterprise customers) to build connections and workflows between 24+ agents, the platform requires a</w:t>
      </w:r>
      <w:r>
        <w:t xml:space="preserve"> </w:t>
      </w:r>
      <w:r>
        <w:rPr>
          <w:bCs/>
          <w:b/>
        </w:rPr>
        <w:t xml:space="preserve">visual workflow builder</w:t>
      </w:r>
      <w:r>
        <w:t xml:space="preserve">. After evaluating six open-source candidates, the recommended architecture is:</w:t>
      </w:r>
    </w:p>
    <w:p>
      <w:pPr>
        <w:pStyle w:val="BodyText"/>
      </w:pPr>
      <w:r>
        <w:rPr>
          <w:bCs/>
          <w:b/>
        </w:rPr>
        <w:t xml:space="preserve">Evaluation of graphical workflow tools:</w:t>
      </w:r>
    </w:p>
    <w:tbl>
      <w:tblPr>
        <w:tblStyle w:val="Table"/>
        <w:tblW w:type="pct" w:w="5000"/>
        <w:tblLook w:firstRow="1" w:lastRow="0" w:firstColumn="0" w:lastColumn="0" w:noHBand="0" w:noVBand="0" w:val="0020"/>
        <w:jc w:val="start"/>
      </w:tblPr>
      <w:tblGrid>
        <w:gridCol w:w="771"/>
        <w:gridCol w:w="1388"/>
        <w:gridCol w:w="1234"/>
        <w:gridCol w:w="1080"/>
        <w:gridCol w:w="720"/>
        <w:gridCol w:w="977"/>
        <w:gridCol w:w="1748"/>
      </w:tblGrid>
      <w:tr>
        <w:trPr>
          <w:tblHeader w:val="true"/>
        </w:trPr>
        <w:tc>
          <w:tcPr/>
          <w:p>
            <w:pPr>
              <w:pStyle w:val="Compact"/>
              <w:jc w:val="left"/>
            </w:pPr>
            <w:r>
              <w:t xml:space="preserve">Tool</w:t>
            </w:r>
          </w:p>
        </w:tc>
        <w:tc>
          <w:tcPr/>
          <w:p>
            <w:pPr>
              <w:pStyle w:val="Compact"/>
              <w:jc w:val="left"/>
            </w:pPr>
            <w:r>
              <w:t xml:space="preserve">License</w:t>
            </w:r>
          </w:p>
        </w:tc>
        <w:tc>
          <w:tcPr/>
          <w:p>
            <w:pPr>
              <w:pStyle w:val="Compact"/>
              <w:jc w:val="left"/>
            </w:pPr>
            <w:r>
              <w:t xml:space="preserve">MCP Support</w:t>
            </w:r>
          </w:p>
        </w:tc>
        <w:tc>
          <w:tcPr/>
          <w:p>
            <w:pPr>
              <w:pStyle w:val="Compact"/>
              <w:jc w:val="left"/>
            </w:pPr>
            <w:r>
              <w:t xml:space="preserve">A2A Support</w:t>
            </w:r>
          </w:p>
        </w:tc>
        <w:tc>
          <w:tcPr/>
          <w:p>
            <w:pPr>
              <w:pStyle w:val="Compact"/>
              <w:jc w:val="left"/>
            </w:pPr>
            <w:r>
              <w:t xml:space="preserve">Self-Hosted EU</w:t>
            </w:r>
          </w:p>
        </w:tc>
        <w:tc>
          <w:tcPr/>
          <w:p>
            <w:pPr>
              <w:pStyle w:val="Compact"/>
              <w:jc w:val="left"/>
            </w:pPr>
            <w:r>
              <w:t xml:space="preserve">Embeddable in React</w:t>
            </w:r>
          </w:p>
        </w:tc>
        <w:tc>
          <w:tcPr/>
          <w:p>
            <w:pPr>
              <w:pStyle w:val="Compact"/>
              <w:jc w:val="left"/>
            </w:pPr>
            <w:r>
              <w:t xml:space="preserve">Best For</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Native (client + server)</w:t>
            </w:r>
          </w:p>
        </w:tc>
        <w:tc>
          <w:tcPr/>
          <w:p>
            <w:pPr>
              <w:pStyle w:val="Compact"/>
              <w:jc w:val="left"/>
            </w:pPr>
            <w:r>
              <w:t xml:space="preserve">Via custom nodes</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Agent orchestration, LLM workflows</w:t>
            </w:r>
          </w:p>
        </w:tc>
      </w:tr>
      <w:tr>
        <w:tc>
          <w:tcPr/>
          <w:p>
            <w:pPr>
              <w:pStyle w:val="Compact"/>
              <w:jc w:val="left"/>
            </w:pPr>
            <w:r>
              <w:rPr>
                <w:bCs/>
                <w:b/>
              </w:rPr>
              <w:t xml:space="preserve">n8n</w:t>
            </w:r>
          </w:p>
        </w:tc>
        <w:tc>
          <w:tcPr/>
          <w:p>
            <w:pPr>
              <w:pStyle w:val="Compact"/>
              <w:jc w:val="left"/>
            </w:pPr>
            <w:r>
              <w:t xml:space="preserve">Fair Code (sustainable-use)</w:t>
            </w:r>
          </w:p>
        </w:tc>
        <w:tc>
          <w:tcPr/>
          <w:p>
            <w:pPr>
              <w:pStyle w:val="Compact"/>
              <w:jc w:val="left"/>
            </w:pPr>
            <w:r>
              <w:t xml:space="preserve">Via community nodes</w:t>
            </w:r>
          </w:p>
        </w:tc>
        <w:tc>
          <w:tcPr/>
          <w:p>
            <w:pPr>
              <w:pStyle w:val="Compact"/>
              <w:jc w:val="left"/>
            </w:pPr>
            <w:r>
              <w:t xml:space="preserve">Via HTTP nodes</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ERP/BIM connectors, data pipelines</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Custom implementation</w:t>
            </w:r>
          </w:p>
        </w:tc>
        <w:tc>
          <w:tcPr/>
          <w:p>
            <w:pPr>
              <w:pStyle w:val="Compact"/>
              <w:jc w:val="left"/>
            </w:pPr>
            <w:r>
              <w:t xml:space="preserve">Custom implementation</w:t>
            </w:r>
          </w:p>
        </w:tc>
        <w:tc>
          <w:tcPr/>
          <w:p>
            <w:pPr>
              <w:pStyle w:val="Compact"/>
              <w:jc w:val="left"/>
            </w:pPr>
            <w:r>
              <w:t xml:space="preserve">N/A (library)</w:t>
            </w:r>
          </w:p>
        </w:tc>
        <w:tc>
          <w:tcPr/>
          <w:p>
            <w:pPr>
              <w:pStyle w:val="Compact"/>
              <w:jc w:val="left"/>
            </w:pPr>
            <w:r>
              <w:t xml:space="preserve">Native React</w:t>
            </w:r>
          </w:p>
        </w:tc>
        <w:tc>
          <w:tcPr/>
          <w:p>
            <w:pPr>
              <w:pStyle w:val="Compact"/>
              <w:jc w:val="left"/>
            </w:pPr>
            <w:r>
              <w:t xml:space="preserve">Custom visual builder UI</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Chatbot-focused RAG workflows</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Via FlowFuse</w:t>
            </w:r>
          </w:p>
        </w:tc>
        <w:tc>
          <w:tcPr/>
          <w:p>
            <w:pPr>
              <w:pStyle w:val="Compact"/>
              <w:jc w:val="left"/>
            </w:pPr>
            <w:r>
              <w:t xml:space="preserve">Via HTTP nodes</w:t>
            </w:r>
          </w:p>
        </w:tc>
        <w:tc>
          <w:tcPr/>
          <w:p>
            <w:pPr>
              <w:pStyle w:val="Compact"/>
              <w:jc w:val="left"/>
            </w:pPr>
            <w:r>
              <w:t xml:space="preserve">Yes</w:t>
            </w:r>
          </w:p>
        </w:tc>
        <w:tc>
          <w:tcPr/>
          <w:p>
            <w:pPr>
              <w:pStyle w:val="Compact"/>
              <w:jc w:val="left"/>
            </w:pPr>
            <w:r>
              <w:t xml:space="preserve">Via iframe</w:t>
            </w:r>
          </w:p>
        </w:tc>
        <w:tc>
          <w:tcPr/>
          <w:p>
            <w:pPr>
              <w:pStyle w:val="Compact"/>
              <w:jc w:val="left"/>
            </w:pPr>
            <w:r>
              <w:t xml:space="preserve">IoT/edge, industrial automation</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Via API</w:t>
            </w:r>
          </w:p>
        </w:tc>
        <w:tc>
          <w:tcPr/>
          <w:p>
            <w:pPr>
              <w:pStyle w:val="Compact"/>
              <w:jc w:val="left"/>
            </w:pPr>
            <w:r>
              <w:t xml:space="preserve">Workflow execution monitoring</w:t>
            </w:r>
          </w:p>
        </w:tc>
      </w:tr>
    </w:tbl>
    <w:p>
      <w:pPr>
        <w:pStyle w:val="BodyText"/>
      </w:pPr>
      <w:r>
        <w:rPr>
          <w:bCs/>
          <w:b/>
        </w:rPr>
        <w:t xml:space="preserve">Recommended architecture: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Visual Canvas                         │  │</w:t>
      </w:r>
      <w:r>
        <w:br/>
      </w:r>
      <w:r>
        <w:rPr>
          <w:rStyle w:val="VerbatimChar"/>
        </w:rPr>
        <w:t xml:space="preserve">│  │  ┌──────┐  ┌──────┐  ┌──────┐  ┌──────┐         │  │</w:t>
      </w:r>
      <w:r>
        <w:br/>
      </w:r>
      <w:r>
        <w:rPr>
          <w:rStyle w:val="VerbatimChar"/>
        </w:rPr>
        <w:t xml:space="preserve">│  │  │ NCC  │→│Safety│→│ DWS  │→│Report│         │  │</w:t>
      </w:r>
      <w:r>
        <w:br/>
      </w:r>
      <w:r>
        <w:rPr>
          <w:rStyle w:val="VerbatimChar"/>
        </w:rPr>
        <w:t xml:space="preserve">│  │  │ BIM  │  │Agent │  │Carbon│  │ Gen  │         │  │</w:t>
      </w:r>
      <w:r>
        <w:br/>
      </w:r>
      <w:r>
        <w:rPr>
          <w:rStyle w:val="VerbatimChar"/>
        </w:rPr>
        <w:t xml:space="preserve">│  │  └──────┘  └──────┘  └──────┘  └──────┘         │  │</w:t>
      </w:r>
      <w:r>
        <w:br/>
      </w:r>
      <w:r>
        <w:rPr>
          <w:rStyle w:val="VerbatimChar"/>
        </w:rPr>
        <w:t xml:space="preserve">│  │       ↑                   ↑                       │  │</w:t>
      </w:r>
      <w:r>
        <w:br/>
      </w:r>
      <w:r>
        <w:rPr>
          <w:rStyle w:val="VerbatimChar"/>
        </w:rPr>
        <w:t xml:space="preserve">│  │  ┌──────┐            ┌──────┐                     │  │</w:t>
      </w:r>
      <w:r>
        <w:br/>
      </w:r>
      <w:r>
        <w:rPr>
          <w:rStyle w:val="VerbatimChar"/>
        </w:rPr>
        <w:t xml:space="preserve">│  │  │Tekla │            │HVAC  │ (contractor)        │  │</w:t>
      </w:r>
      <w:r>
        <w:br/>
      </w:r>
      <w:r>
        <w:rPr>
          <w:rStyle w:val="VerbatimChar"/>
        </w:rPr>
        <w:t xml:space="preserve">│  │  │Conn. │            │Agent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Langflow Engine (MCP + A2A orchestration)        │  │</w:t>
      </w:r>
      <w:r>
        <w:br/>
      </w:r>
      <w:r>
        <w:rPr>
          <w:rStyle w:val="VerbatimChar"/>
        </w:rPr>
        <w:t xml:space="preserve">│  │  - Each agent node = A2A Agent Card               │  │</w:t>
      </w:r>
      <w:r>
        <w:br/>
      </w:r>
      <w:r>
        <w:rPr>
          <w:rStyle w:val="VerbatimChar"/>
        </w:rPr>
        <w:t xml:space="preserve">│  │  - Each connector = MCP tool                      │  │</w:t>
      </w:r>
      <w:r>
        <w:br/>
      </w:r>
      <w:r>
        <w:rPr>
          <w:rStyle w:val="VerbatimChar"/>
        </w:rPr>
        <w:t xml:space="preserve">│  │  - Flows export as Temporal.io workflows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Temporal.io (execution engine, already in stack) │  │</w:t>
      </w:r>
      <w:r>
        <w:br/>
      </w:r>
      <w:r>
        <w:rPr>
          <w:rStyle w:val="VerbatimChar"/>
        </w:rPr>
        <w:t xml:space="preserve">│  │  - Durable workflow execution                     │  │</w:t>
      </w:r>
      <w:r>
        <w:br/>
      </w:r>
      <w:r>
        <w:rPr>
          <w:rStyle w:val="VerbatimChar"/>
        </w:rPr>
        <w:t xml:space="preserve">│  │  - Retry, timeout, compensation                   │  │</w:t>
      </w:r>
      <w:r>
        <w:br/>
      </w:r>
      <w:r>
        <w:rPr>
          <w:rStyle w:val="VerbatimChar"/>
        </w:rPr>
        <w:t xml:space="preserve">│  │  - EU AI Act Article 12 audit trail               │  │</w:t>
      </w:r>
      <w:r>
        <w:br/>
      </w:r>
      <w:r>
        <w:rPr>
          <w:rStyle w:val="VerbatimChar"/>
        </w:rPr>
        <w:t xml:space="preserve">│  └───────────────────────────────────────────────────┘  │</w:t>
      </w:r>
      <w:r>
        <w:br/>
      </w:r>
      <w:r>
        <w:rPr>
          <w:rStyle w:val="VerbatimChar"/>
        </w:rPr>
        <w:t xml:space="preserve">└─────────────────────────────────────────────────────────┘</w:t>
      </w:r>
    </w:p>
    <w:p>
      <w:pPr>
        <w:pStyle w:val="FirstParagraph"/>
      </w:pPr>
      <w:r>
        <w:rPr>
          <w:bCs/>
          <w:b/>
        </w:rPr>
        <w:t xml:space="preserve">Why this combination:</w:t>
      </w:r>
    </w:p>
    <w:p>
      <w:pPr>
        <w:numPr>
          <w:ilvl w:val="0"/>
          <w:numId w:val="1053"/>
        </w:numPr>
      </w:pPr>
      <w:r>
        <w:rPr>
          <w:bCs/>
          <w:b/>
        </w:rPr>
        <w:t xml:space="preserve">React Flow</w:t>
      </w:r>
      <w:r>
        <w:t xml:space="preserve"> </w:t>
      </w:r>
      <w:r>
        <w:t xml:space="preserve">— Custom visual canvas embedded in the DWS IQ React dashboard. NCC users drag-and-drop agent nodes, draw connections, set per-agent LLM models. MIT license, zero vendor lock-in.</w:t>
      </w:r>
    </w:p>
    <w:p>
      <w:pPr>
        <w:numPr>
          <w:ilvl w:val="0"/>
          <w:numId w:val="1053"/>
        </w:numPr>
      </w:pPr>
      <w:r>
        <w:rPr>
          <w:bCs/>
          <w:b/>
        </w:rPr>
        <w:t xml:space="preserve">Langflow</w:t>
      </w:r>
      <w:r>
        <w:t xml:space="preserve"> </w:t>
      </w:r>
      <w:r>
        <w:t xml:space="preserve">— Backend orchestration engine. Native MCP protocol support means every DWS IQ tool (Supabase, Carbon Engine, ERP connectors) is accessible. Native A2A support means contractor agents auto-register via Agent Cards. Apache 2.0, self-hosted in EU (europe-north1). IBM enterprise partnership provides additional validation.</w:t>
      </w:r>
    </w:p>
    <w:p>
      <w:pPr>
        <w:numPr>
          <w:ilvl w:val="0"/>
          <w:numId w:val="1053"/>
        </w:numPr>
      </w:pPr>
      <w:r>
        <w:rPr>
          <w:bCs/>
          <w:b/>
        </w:rPr>
        <w:t xml:space="preserve">Temporal.io</w:t>
      </w:r>
      <w:r>
        <w:t xml:space="preserve"> </w:t>
      </w:r>
      <w:r>
        <w:t xml:space="preserve">— Already in the DWS IQ stack. Executes the workflows defined in the visual builder. Provides durable execution (workflows survive server restarts), automatic retries, timeout handling, and full audit trail for EU AI Act Article 12 compliance.</w:t>
      </w:r>
    </w:p>
    <w:p>
      <w:pPr>
        <w:pStyle w:val="FirstParagraph"/>
      </w:pPr>
      <w:r>
        <w:rPr>
          <w:bCs/>
          <w:b/>
        </w:rPr>
        <w:t xml:space="preserve">n8n</w:t>
      </w:r>
      <w:r>
        <w:t xml:space="preserve"> </w:t>
      </w:r>
      <w:r>
        <w:t xml:space="preserve">serves as a supplementary tool for ERP/BIM connector workflows (Tekla Structures ↔ IFS Cloud data sync) where Langflow’s LLM focus is unnecessary.</w:t>
      </w:r>
    </w:p>
    <w:bookmarkEnd w:id="152"/>
    <w:bookmarkStart w:id="153" w:name="contractor-agent-onboarding-flow"/>
    <w:p>
      <w:pPr>
        <w:pStyle w:val="Heading3"/>
      </w:pPr>
      <w:r>
        <w:t xml:space="preserve">10.7.4 Contractor Agent Onboarding Flow</w:t>
      </w:r>
    </w:p>
    <w:p>
      <w:pPr>
        <w:pStyle w:val="SourceCode"/>
      </w:pPr>
      <w:r>
        <w:rPr>
          <w:rStyle w:val="VerbatimChar"/>
        </w:rPr>
        <w:t xml:space="preserve">1. Contractor publishes Agent Card at /.well-known/agent.json</w:t>
      </w:r>
      <w:r>
        <w:br/>
      </w:r>
      <w:r>
        <w:rPr>
          <w:rStyle w:val="VerbatimChar"/>
        </w:rPr>
        <w:t xml:space="preserve">2. NCC admin opens Agent Orchestration Studio</w:t>
      </w:r>
      <w:r>
        <w:br/>
      </w:r>
      <w:r>
        <w:rPr>
          <w:rStyle w:val="VerbatimChar"/>
        </w:rPr>
        <w:t xml:space="preserve">3. Studio discovers contractor agent via A2A protocol</w:t>
      </w:r>
      <w:r>
        <w:br/>
      </w:r>
      <w:r>
        <w:rPr>
          <w:rStyle w:val="VerbatimChar"/>
        </w:rPr>
        <w:t xml:space="preserve">4. NCC admin drags contractor agent onto canvas</w:t>
      </w:r>
      <w:r>
        <w:br/>
      </w:r>
      <w:r>
        <w:rPr>
          <w:rStyle w:val="VerbatimChar"/>
        </w:rPr>
        <w:t xml:space="preserve">5. NCC admin connects contractor to relevant workflows</w:t>
      </w:r>
      <w:r>
        <w:br/>
      </w:r>
      <w:r>
        <w:rPr>
          <w:rStyle w:val="VerbatimChar"/>
        </w:rPr>
        <w:t xml:space="preserve">6. Studio validates connectivity (A2A health check)</w:t>
      </w:r>
      <w:r>
        <w:br/>
      </w:r>
      <w:r>
        <w:rPr>
          <w:rStyle w:val="VerbatimChar"/>
        </w:rPr>
        <w:t xml:space="preserve">7. Workflow deploys to Temporal.io for execution</w:t>
      </w:r>
      <w:r>
        <w:br/>
      </w:r>
      <w:r>
        <w:rPr>
          <w:rStyle w:val="VerbatimChar"/>
        </w:rPr>
        <w:t xml:space="preserve">8. All agent interactions logged per EU AI Act Article 12</w:t>
      </w:r>
    </w:p>
    <w:p>
      <w:pPr>
        <w:pStyle w:val="FirstParagraph"/>
      </w:pPr>
      <w:r>
        <w:t xml:space="preserve">This architecture enables NCC to manage 24+ agents visually without writing code, while maintaining full EU data residency, audit compliance, and per-agent LLM flexibility.</w:t>
      </w:r>
    </w:p>
    <w:bookmarkEnd w:id="153"/>
    <w:bookmarkEnd w:id="154"/>
    <w:bookmarkStart w:id="158" w:name="X92f5601af86c3975dc71a1d632564a2dec4821d"/>
    <w:p>
      <w:pPr>
        <w:pStyle w:val="Heading2"/>
      </w:pPr>
      <w:r>
        <w:t xml:space="preserve">10.6 DWS Product Standard — Resolving Enterprise Product Chaos</w:t>
      </w:r>
    </w:p>
    <w:bookmarkStart w:id="155" w:name="problem-statement"/>
    <w:p>
      <w:pPr>
        <w:pStyle w:val="Heading3"/>
      </w:pPr>
      <w:r>
        <w:t xml:space="preserve">Problem Statement</w:t>
      </w:r>
    </w:p>
    <w:p>
      <w:pPr>
        <w:pStyle w:val="FirstParagraph"/>
      </w:pPr>
      <w:r>
        <w:t xml:space="preserve">As the Firehorse product catalog grew to 30 unique products duplicated across 5 catalog files, pricing inconsistencies emerged that threatened commercial credibility. The same product appeared with different prices depending on which file a sales agent, investor, or customer consulted:</w:t>
      </w:r>
    </w:p>
    <w:tbl>
      <w:tblPr>
        <w:tblStyle w:val="Table"/>
        <w:tblW w:type="pct" w:w="5000"/>
        <w:tblLook w:firstRow="1" w:lastRow="0" w:firstColumn="0" w:lastColumn="0" w:noHBand="0" w:noVBand="0" w:val="0020"/>
        <w:jc w:val="start"/>
      </w:tblPr>
      <w:tblGrid>
        <w:gridCol w:w="2520"/>
        <w:gridCol w:w="2160"/>
        <w:gridCol w:w="2280"/>
        <w:gridCol w:w="960"/>
      </w:tblGrid>
      <w:tr>
        <w:trPr>
          <w:tblHeader w:val="true"/>
        </w:trPr>
        <w:tc>
          <w:tcPr/>
          <w:p>
            <w:pPr>
              <w:pStyle w:val="Compact"/>
              <w:jc w:val="left"/>
            </w:pPr>
            <w:r>
              <w:t xml:space="preserve">Product</w:t>
            </w:r>
          </w:p>
        </w:tc>
        <w:tc>
          <w:tcPr/>
          <w:p>
            <w:pPr>
              <w:pStyle w:val="Compact"/>
              <w:jc w:val="left"/>
            </w:pPr>
            <w:r>
              <w:t xml:space="preserve">Lowest Price Found</w:t>
            </w:r>
          </w:p>
        </w:tc>
        <w:tc>
          <w:tcPr/>
          <w:p>
            <w:pPr>
              <w:pStyle w:val="Compact"/>
              <w:jc w:val="left"/>
            </w:pPr>
            <w:r>
              <w:t xml:space="preserve">Highest Price Found</w:t>
            </w:r>
          </w:p>
        </w:tc>
        <w:tc>
          <w:tcPr/>
          <w:p>
            <w:pPr>
              <w:pStyle w:val="Compact"/>
              <w:jc w:val="left"/>
            </w:pPr>
            <w:r>
              <w:t xml:space="preserve">Variance</w:t>
            </w:r>
          </w:p>
        </w:tc>
      </w:tr>
      <w:tr>
        <w:tc>
          <w:tcPr/>
          <w:p>
            <w:pPr>
              <w:pStyle w:val="Compact"/>
              <w:jc w:val="left"/>
            </w:pPr>
            <w:r>
              <w:t xml:space="preserve">DWS IQ Platform</w:t>
            </w:r>
          </w:p>
        </w:tc>
        <w:tc>
          <w:tcPr/>
          <w:p>
            <w:pPr>
              <w:pStyle w:val="Compact"/>
              <w:jc w:val="left"/>
            </w:pPr>
            <w:r>
              <w:t xml:space="preserve">€4,999</w:t>
            </w:r>
          </w:p>
        </w:tc>
        <w:tc>
          <w:tcPr/>
          <w:p>
            <w:pPr>
              <w:pStyle w:val="Compact"/>
              <w:jc w:val="left"/>
            </w:pPr>
            <w:r>
              <w:t xml:space="preserve">€12,500</w:t>
            </w:r>
          </w:p>
        </w:tc>
        <w:tc>
          <w:tcPr/>
          <w:p>
            <w:pPr>
              <w:pStyle w:val="Compact"/>
              <w:jc w:val="left"/>
            </w:pPr>
            <w:r>
              <w:t xml:space="preserve">2.5×</w:t>
            </w:r>
          </w:p>
        </w:tc>
      </w:tr>
      <w:tr>
        <w:tc>
          <w:tcPr/>
          <w:p>
            <w:pPr>
              <w:pStyle w:val="Compact"/>
              <w:jc w:val="left"/>
            </w:pPr>
            <w:r>
              <w:t xml:space="preserve">Consulting Hourly</w:t>
            </w:r>
          </w:p>
        </w:tc>
        <w:tc>
          <w:tcPr/>
          <w:p>
            <w:pPr>
              <w:pStyle w:val="Compact"/>
              <w:jc w:val="left"/>
            </w:pPr>
            <w:r>
              <w:t xml:space="preserve">€98/hr</w:t>
            </w:r>
          </w:p>
        </w:tc>
        <w:tc>
          <w:tcPr/>
          <w:p>
            <w:pPr>
              <w:pStyle w:val="Compact"/>
              <w:jc w:val="left"/>
            </w:pPr>
            <w:r>
              <w:t xml:space="preserve">€350/hr</w:t>
            </w:r>
          </w:p>
        </w:tc>
        <w:tc>
          <w:tcPr/>
          <w:p>
            <w:pPr>
              <w:pStyle w:val="Compact"/>
              <w:jc w:val="left"/>
            </w:pPr>
            <w:r>
              <w:t xml:space="preserve">3.6×</w:t>
            </w:r>
          </w:p>
        </w:tc>
      </w:tr>
      <w:tr>
        <w:tc>
          <w:tcPr/>
          <w:p>
            <w:pPr>
              <w:pStyle w:val="Compact"/>
              <w:jc w:val="left"/>
            </w:pPr>
            <w:r>
              <w:t xml:space="preserve">Workshop 3 Days</w:t>
            </w:r>
          </w:p>
        </w:tc>
        <w:tc>
          <w:tcPr/>
          <w:p>
            <w:pPr>
              <w:pStyle w:val="Compact"/>
              <w:jc w:val="left"/>
            </w:pPr>
            <w:r>
              <w:t xml:space="preserve">€4,500</w:t>
            </w:r>
          </w:p>
        </w:tc>
        <w:tc>
          <w:tcPr/>
          <w:p>
            <w:pPr>
              <w:pStyle w:val="Compact"/>
              <w:jc w:val="left"/>
            </w:pPr>
            <w:r>
              <w:t xml:space="preserve">€15,000</w:t>
            </w:r>
          </w:p>
        </w:tc>
        <w:tc>
          <w:tcPr/>
          <w:p>
            <w:pPr>
              <w:pStyle w:val="Compact"/>
              <w:jc w:val="left"/>
            </w:pPr>
            <w:r>
              <w:t xml:space="preserve">3.3×</w:t>
            </w:r>
          </w:p>
        </w:tc>
      </w:tr>
      <w:tr>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€8,000</w:t>
            </w:r>
          </w:p>
        </w:tc>
        <w:tc>
          <w:tcPr/>
          <w:p>
            <w:pPr>
              <w:pStyle w:val="Compact"/>
              <w:jc w:val="left"/>
            </w:pPr>
            <w:r>
              <w:t xml:space="preserve">16.0×</w:t>
            </w:r>
          </w:p>
        </w:tc>
      </w:tr>
    </w:tbl>
    <w:p>
      <w:pPr>
        <w:pStyle w:val="BodyText"/>
      </w:pPr>
      <w:r>
        <w:t xml:space="preserve">This is not a technical problem. It is a</w:t>
      </w:r>
      <w:r>
        <w:t xml:space="preserve"> </w:t>
      </w:r>
      <w:r>
        <w:rPr>
          <w:bCs/>
          <w:b/>
        </w:rPr>
        <w:t xml:space="preserve">trust problem.</w:t>
      </w:r>
      <w:r>
        <w:t xml:space="preserve"> </w:t>
      </w:r>
      <w:r>
        <w:t xml:space="preserve">In Nordic B2B markets where transparency is a cultural requirement, inconsistent pricing destroys credibility faster than any competitor.</w:t>
      </w:r>
    </w:p>
    <w:bookmarkEnd w:id="155"/>
    <w:bookmarkStart w:id="156" w:name="solution-dws-product-standard-v1.0"/>
    <w:p>
      <w:pPr>
        <w:pStyle w:val="Heading3"/>
      </w:pPr>
      <w:r>
        <w:t xml:space="preserve">Solution: DWS Product Standard v1.0</w:t>
      </w:r>
    </w:p>
    <w:p>
      <w:pPr>
        <w:pStyle w:val="FirstParagraph"/>
      </w:pPr>
      <w:r>
        <w:t xml:space="preserve">The DWS Product Standard (</w:t>
      </w:r>
      <w:r>
        <w:rPr>
          <w:rStyle w:val="VerbatimChar"/>
        </w:rPr>
        <w:t xml:space="preserve">DWS_PRODUCT_STANDARD.md</w:t>
      </w:r>
      <w:r>
        <w:t xml:space="preserve">) was created as the single source of truth for all product definitions, resolving conflicts through a</w:t>
      </w:r>
      <w:r>
        <w:t xml:space="preserve"> </w:t>
      </w:r>
      <w:r>
        <w:rPr>
          <w:bCs/>
          <w:b/>
        </w:rPr>
        <w:t xml:space="preserve">two-channel pricing model:</w:t>
      </w:r>
    </w:p>
    <w:p>
      <w:pPr>
        <w:numPr>
          <w:ilvl w:val="0"/>
          <w:numId w:val="1054"/>
        </w:numPr>
        <w:pStyle w:val="Compact"/>
      </w:pPr>
      <w:r>
        <w:rPr>
          <w:bCs/>
          <w:b/>
        </w:rPr>
        <w:t xml:space="preserve">Self-Service Store</w:t>
      </w:r>
      <w:r>
        <w:t xml:space="preserve"> </w:t>
      </w:r>
      <w:r>
        <w:t xml:space="preserve">(dws10.com): Published prices for SMEs and self-serve buyers, powered by Revolut/Stripe checkout</w:t>
      </w:r>
    </w:p>
    <w:p>
      <w:pPr>
        <w:numPr>
          <w:ilvl w:val="0"/>
          <w:numId w:val="1054"/>
        </w:numPr>
        <w:pStyle w:val="Compact"/>
      </w:pPr>
      <w:r>
        <w:rPr>
          <w:bCs/>
          <w:b/>
        </w:rPr>
        <w:t xml:space="preserve">Enterprise Direct</w:t>
      </w:r>
      <w:r>
        <w:t xml:space="preserve">: Subscription tiers (€5,990-€10,950/month) for large organizations, with full Firehorse Suite included</w:t>
      </w:r>
    </w:p>
    <w:p>
      <w:pPr>
        <w:pStyle w:val="FirstParagraph"/>
      </w:pPr>
      <w:r>
        <w:t xml:space="preserve">The standard establishes:</w:t>
      </w:r>
    </w:p>
    <w:p>
      <w:pPr>
        <w:numPr>
          <w:ilvl w:val="0"/>
          <w:numId w:val="1055"/>
        </w:numPr>
        <w:pStyle w:val="Compact"/>
      </w:pPr>
      <w:r>
        <w:t xml:space="preserve">Product taxonomy across 6 product families</w:t>
      </w:r>
    </w:p>
    <w:p>
      <w:pPr>
        <w:numPr>
          <w:ilvl w:val="0"/>
          <w:numId w:val="1055"/>
        </w:numPr>
        <w:pStyle w:val="Compact"/>
      </w:pPr>
      <w:r>
        <w:t xml:space="preserve">Mandatory two-number pricing rule (</w:t>
      </w:r>
      <w:r>
        <w:t xml:space="preserve">“</w:t>
      </w:r>
      <w:r>
        <w:t xml:space="preserve">Buy now: €XX / Monthly: €YY</w:t>
      </w:r>
      <w:r>
        <w:t xml:space="preserve">”</w:t>
      </w:r>
      <w:r>
        <w:t xml:space="preserve">)</w:t>
      </w:r>
    </w:p>
    <w:p>
      <w:pPr>
        <w:numPr>
          <w:ilvl w:val="0"/>
          <w:numId w:val="1055"/>
        </w:numPr>
        <w:pStyle w:val="Compact"/>
      </w:pPr>
      <w:r>
        <w:t xml:space="preserve">Price floor enforcement (minimum €150/hr for consulting, €499 for software modules)</w:t>
      </w:r>
    </w:p>
    <w:p>
      <w:pPr>
        <w:numPr>
          <w:ilvl w:val="0"/>
          <w:numId w:val="1055"/>
        </w:numPr>
        <w:pStyle w:val="Compact"/>
      </w:pPr>
      <w:r>
        <w:t xml:space="preserve">Google Merchant Center compliance for all 67 products</w:t>
      </w:r>
    </w:p>
    <w:p>
      <w:pPr>
        <w:numPr>
          <w:ilvl w:val="0"/>
          <w:numId w:val="1055"/>
        </w:numPr>
        <w:pStyle w:val="Compact"/>
      </w:pPr>
      <w:r>
        <w:t xml:space="preserve">Price conflict resolution protocol with change propagation checklist</w:t>
      </w:r>
    </w:p>
    <w:p>
      <w:pPr>
        <w:numPr>
          <w:ilvl w:val="0"/>
          <w:numId w:val="1055"/>
        </w:numPr>
        <w:pStyle w:val="Compact"/>
      </w:pPr>
      <w:r>
        <w:t xml:space="preserve">Product lifecycle management (Alpha → Active → Sunset → Retired)</w:t>
      </w:r>
    </w:p>
    <w:bookmarkEnd w:id="156"/>
    <w:bookmarkStart w:id="157" w:name="research-contribution"/>
    <w:p>
      <w:pPr>
        <w:pStyle w:val="Heading3"/>
      </w:pPr>
      <w:r>
        <w:t xml:space="preserve">Research Contribution</w:t>
      </w:r>
    </w:p>
    <w:p>
      <w:pPr>
        <w:pStyle w:val="FirstParagraph"/>
      </w:pPr>
      <w:r>
        <w:t xml:space="preserve">This represents a novel contribution to</w:t>
      </w:r>
      <w:r>
        <w:t xml:space="preserve"> </w:t>
      </w:r>
      <w:r>
        <w:rPr>
          <w:bCs/>
          <w:b/>
        </w:rPr>
        <w:t xml:space="preserve">AI-assisted product management</w:t>
      </w:r>
      <w:r>
        <w:t xml:space="preserve">: the Product Standard was generated through systematic AI analysis of the entire codebase, identifying conflicts that manual review missed over 3 months. The audit methodology — multi-file price extraction, cross-reference, and conflict resolution — is reproducible for any SaaS company scaling from single-product to multi-product catalog.</w:t>
      </w:r>
    </w:p>
    <w:bookmarkEnd w:id="157"/>
    <w:bookmarkEnd w:id="158"/>
    <w:bookmarkStart w:id="162" w:name="Xef2723201df77e81f58f313eda8a217af1eb9cc"/>
    <w:p>
      <w:pPr>
        <w:pStyle w:val="Heading2"/>
      </w:pPr>
      <w:r>
        <w:t xml:space="preserve">10.7 Brand Standard Product Clarity — One-Click Industrial Buy</w:t>
      </w:r>
    </w:p>
    <w:bookmarkStart w:id="159" w:name="the-one-click-hypothesis"/>
    <w:p>
      <w:pPr>
        <w:pStyle w:val="Heading3"/>
      </w:pPr>
      <w:r>
        <w:t xml:space="preserve">The One-Click Hypothesis</w:t>
      </w:r>
    </w:p>
    <w:p>
      <w:pPr>
        <w:pStyle w:val="FirstParagraph"/>
      </w:pPr>
      <w:r>
        <w:t xml:space="preserve">Industrial B2B SaaS products are traditionally sold through 45-90 day consultative cycles. The Nordic Sales Strategy (Section 11) challenges this assumption: if pricing is transparent, the demo is self-service, and the agreement is digital, the actual decision takes one day. The remaining 44-89 days are friction.</w:t>
      </w:r>
    </w:p>
    <w:p>
      <w:pPr>
        <w:pStyle w:val="BodyText"/>
      </w:pPr>
      <w:r>
        <w:t xml:space="preserve">The DWS Brand Standard v1.1 was updated to codify this insight into product card UI components:</w:t>
      </w:r>
    </w:p>
    <w:p>
      <w:pPr>
        <w:numPr>
          <w:ilvl w:val="0"/>
          <w:numId w:val="1056"/>
        </w:numPr>
        <w:pStyle w:val="Compact"/>
      </w:pPr>
      <w:r>
        <w:rPr>
          <w:bCs/>
          <w:b/>
        </w:rPr>
        <w:t xml:space="preserve">Product Pricing Clarity (Section 7):</w:t>
      </w:r>
      <w:r>
        <w:t xml:space="preserve"> </w:t>
      </w:r>
      <w:r>
        <w:t xml:space="preserve">New CSS tokens for price display, enterprise tier card variants, and the mandatory two-number rule as a UI standard</w:t>
      </w:r>
    </w:p>
    <w:p>
      <w:pPr>
        <w:numPr>
          <w:ilvl w:val="0"/>
          <w:numId w:val="1056"/>
        </w:numPr>
        <w:pStyle w:val="Compact"/>
      </w:pPr>
      <w:r>
        <w:rPr>
          <w:bCs/>
          <w:b/>
        </w:rPr>
        <w:t xml:space="preserve">Intelligent Decision Helper:</w:t>
      </w:r>
      <w:r>
        <w:t xml:space="preserve"> </w:t>
      </w:r>
      <w:r>
        <w:t xml:space="preserve">A 2-question recommender that tells the buyer which tier is right, based on portfolio size and CSRD deadline pressure</w:t>
      </w:r>
    </w:p>
    <w:p>
      <w:pPr>
        <w:numPr>
          <w:ilvl w:val="0"/>
          <w:numId w:val="1056"/>
        </w:numPr>
        <w:pStyle w:val="Compact"/>
      </w:pPr>
      <w:r>
        <w:rPr>
          <w:bCs/>
          <w:b/>
        </w:rPr>
        <w:t xml:space="preserve">Tier Badge System:</w:t>
      </w:r>
      <w:r>
        <w:t xml:space="preserve"> </w:t>
      </w:r>
      <w:r>
        <w:t xml:space="preserve">Visual hierarchy (Pilot = blue, Alpha = purple, Production = green) that communicates progression without requiring sales explanation</w:t>
      </w:r>
    </w:p>
    <w:bookmarkEnd w:id="159"/>
    <w:bookmarkStart w:id="160" w:name="cultural-design-pattern-the-13.70-buffet"/>
    <w:p>
      <w:pPr>
        <w:pStyle w:val="Heading3"/>
      </w:pPr>
      <w:r>
        <w:t xml:space="preserve">Cultural Design Pattern: The €13.70 Buffet</w:t>
      </w:r>
    </w:p>
    <w:p>
      <w:pPr>
        <w:pStyle w:val="FirstParagraph"/>
      </w:pPr>
      <w:r>
        <w:t xml:space="preserve">The brand standard now explicitly encodes a Nordic cultural design principle: the Finnish lunch buffet model. At €13.70, the buffet works because the price is visible before you commit, the value is visible before you pay, the risk is low, and the exit is clean. The updated brand standard applies this same anxiety-reduction pattern to €5,990/month enterprise software:</w:t>
      </w:r>
    </w:p>
    <w:p>
      <w:pPr>
        <w:numPr>
          <w:ilvl w:val="0"/>
          <w:numId w:val="1057"/>
        </w:numPr>
        <w:pStyle w:val="Compact"/>
      </w:pPr>
      <w:r>
        <w:t xml:space="preserve">Published pricing (no</w:t>
      </w:r>
      <w:r>
        <w:t xml:space="preserve"> </w:t>
      </w:r>
      <w:r>
        <w:t xml:space="preserve">“</w:t>
      </w:r>
      <w:r>
        <w:t xml:space="preserve">contact us</w:t>
      </w:r>
      <w:r>
        <w:t xml:space="preserve">”</w:t>
      </w:r>
      <w:r>
        <w:t xml:space="preserve">)</w:t>
      </w:r>
    </w:p>
    <w:p>
      <w:pPr>
        <w:numPr>
          <w:ilvl w:val="0"/>
          <w:numId w:val="1057"/>
        </w:numPr>
        <w:pStyle w:val="Compact"/>
      </w:pPr>
      <w:r>
        <w:t xml:space="preserve">Live demo accessible with email only (no sales qualification)</w:t>
      </w:r>
    </w:p>
    <w:p>
      <w:pPr>
        <w:numPr>
          <w:ilvl w:val="0"/>
          <w:numId w:val="1057"/>
        </w:numPr>
        <w:pStyle w:val="Compact"/>
      </w:pPr>
      <w:r>
        <w:t xml:space="preserve">Standard agreement (no custom negotiation)</w:t>
      </w:r>
    </w:p>
    <w:p>
      <w:pPr>
        <w:numPr>
          <w:ilvl w:val="0"/>
          <w:numId w:val="1057"/>
        </w:numPr>
        <w:pStyle w:val="Compact"/>
      </w:pPr>
      <w:r>
        <w:t xml:space="preserve">5-month pilot with clean exit</w:t>
      </w:r>
    </w:p>
    <w:bookmarkEnd w:id="160"/>
    <w:bookmarkStart w:id="161" w:name="research-contribution-1"/>
    <w:p>
      <w:pPr>
        <w:pStyle w:val="Heading3"/>
      </w:pPr>
      <w:r>
        <w:t xml:space="preserve">Research Contribution</w:t>
      </w:r>
    </w:p>
    <w:p>
      <w:pPr>
        <w:pStyle w:val="FirstParagraph"/>
      </w:pPr>
      <w:r>
        <w:t xml:space="preserve">The connection between cultural psychology (Nordic equality, anxiety reduction) and B2B product design is understudied in existing literature. This work proposes that</w:t>
      </w:r>
      <w:r>
        <w:t xml:space="preserve"> </w:t>
      </w:r>
      <w:r>
        <w:rPr>
          <w:bCs/>
          <w:b/>
        </w:rPr>
        <w:t xml:space="preserve">cultural UX patterns</w:t>
      </w:r>
      <w:r>
        <w:t xml:space="preserve"> </w:t>
      </w:r>
      <w:r>
        <w:t xml:space="preserve">— not just feature completeness — are a primary driver of enterprise conversion rates in Nordic markets.</w:t>
      </w:r>
    </w:p>
    <w:bookmarkEnd w:id="161"/>
    <w:bookmarkEnd w:id="162"/>
    <w:bookmarkStart w:id="171" w:name="measurable-impact-toward-dws-7"/>
    <w:p>
      <w:pPr>
        <w:pStyle w:val="Heading2"/>
      </w:pPr>
      <w:r>
        <w:t xml:space="preserve">10.8 Measurable Impact Toward DWS 7</w:t>
      </w:r>
    </w:p>
    <w:bookmarkStart w:id="163" w:name="what-dws-7-inherits"/>
    <w:p>
      <w:pPr>
        <w:pStyle w:val="Heading3"/>
      </w:pPr>
      <w:r>
        <w:t xml:space="preserve">What DWS 7 Inherits</w:t>
      </w:r>
    </w:p>
    <w:p>
      <w:pPr>
        <w:pStyle w:val="FirstParagraph"/>
      </w:pPr>
      <w:r>
        <w:t xml:space="preserve">DWS 7 is the next major platform generation. The standards created during DWS 6 establish measurable foundations:</w:t>
      </w:r>
    </w:p>
    <w:tbl>
      <w:tblPr>
        <w:tblStyle w:val="Table"/>
        <w:tblW w:type="pct" w:w="5000"/>
        <w:tblLook w:firstRow="1" w:lastRow="0" w:firstColumn="0" w:lastColumn="0" w:noHBand="0" w:noVBand="0" w:val="0020"/>
        <w:jc w:val="start"/>
      </w:tblPr>
      <w:tblGrid>
        <w:gridCol w:w="1179"/>
        <w:gridCol w:w="2302"/>
        <w:gridCol w:w="2471"/>
        <w:gridCol w:w="1965"/>
      </w:tblGrid>
      <w:tr>
        <w:trPr>
          <w:tblHeader w:val="true"/>
        </w:trPr>
        <w:tc>
          <w:tcPr/>
          <w:p>
            <w:pPr>
              <w:pStyle w:val="Compact"/>
              <w:jc w:val="left"/>
            </w:pPr>
            <w:r>
              <w:t xml:space="preserve">Standard</w:t>
            </w:r>
          </w:p>
        </w:tc>
        <w:tc>
          <w:tcPr/>
          <w:p>
            <w:pPr>
              <w:pStyle w:val="Compact"/>
              <w:jc w:val="left"/>
            </w:pPr>
            <w:r>
              <w:t xml:space="preserve">DWS 6 State</w:t>
            </w:r>
          </w:p>
        </w:tc>
        <w:tc>
          <w:tcPr/>
          <w:p>
            <w:pPr>
              <w:pStyle w:val="Compact"/>
              <w:jc w:val="left"/>
            </w:pPr>
            <w:r>
              <w:t xml:space="preserve">DWS 7 Target</w:t>
            </w:r>
          </w:p>
        </w:tc>
        <w:tc>
          <w:tcPr/>
          <w:p>
            <w:pPr>
              <w:pStyle w:val="Compact"/>
              <w:jc w:val="left"/>
            </w:pPr>
            <w:r>
              <w:t xml:space="preserve">Measurable Outcome</w:t>
            </w:r>
          </w:p>
        </w:tc>
      </w:tr>
      <w:tr>
        <w:tc>
          <w:tcPr/>
          <w:p>
            <w:pPr>
              <w:pStyle w:val="Compact"/>
              <w:jc w:val="left"/>
            </w:pPr>
            <w:r>
              <w:rPr>
                <w:bCs/>
                <w:b/>
              </w:rPr>
              <w:t xml:space="preserve">Product Standard</w:t>
            </w:r>
          </w:p>
        </w:tc>
        <w:tc>
          <w:tcPr/>
          <w:p>
            <w:pPr>
              <w:pStyle w:val="Compact"/>
              <w:jc w:val="left"/>
            </w:pPr>
            <w:r>
              <w:t xml:space="preserve">5 conflicting catalogs, 7 price conflicts</w:t>
            </w:r>
          </w:p>
        </w:tc>
        <w:tc>
          <w:tcPr/>
          <w:p>
            <w:pPr>
              <w:pStyle w:val="Compact"/>
              <w:jc w:val="left"/>
            </w:pPr>
            <w:r>
              <w:t xml:space="preserve">Single source of truth, 0 conflicts</w:t>
            </w:r>
          </w:p>
        </w:tc>
        <w:tc>
          <w:tcPr/>
          <w:p>
            <w:pPr>
              <w:pStyle w:val="Compact"/>
              <w:jc w:val="left"/>
            </w:pPr>
            <w:r>
              <w:t xml:space="preserve">Quarterly audit: conflict count = 0</w:t>
            </w:r>
          </w:p>
        </w:tc>
      </w:tr>
      <w:tr>
        <w:tc>
          <w:tcPr/>
          <w:p>
            <w:pPr>
              <w:pStyle w:val="Compact"/>
              <w:jc w:val="left"/>
            </w:pPr>
            <w:r>
              <w:rPr>
                <w:bCs/>
                <w:b/>
              </w:rPr>
              <w:t xml:space="preserve">Brand Standard</w:t>
            </w:r>
          </w:p>
        </w:tc>
        <w:tc>
          <w:tcPr/>
          <w:p>
            <w:pPr>
              <w:pStyle w:val="Compact"/>
              <w:jc w:val="left"/>
            </w:pPr>
            <w:r>
              <w:t xml:space="preserve">No pricing display rules</w:t>
            </w:r>
          </w:p>
        </w:tc>
        <w:tc>
          <w:tcPr/>
          <w:p>
            <w:pPr>
              <w:pStyle w:val="Compact"/>
              <w:jc w:val="left"/>
            </w:pPr>
            <w:r>
              <w:t xml:space="preserve">Two-number rule, tier cards, decision helper</w:t>
            </w:r>
          </w:p>
        </w:tc>
        <w:tc>
          <w:tcPr/>
          <w:p>
            <w:pPr>
              <w:pStyle w:val="Compact"/>
              <w:jc w:val="left"/>
            </w:pPr>
            <w:r>
              <w:t xml:space="preserve">Pricing page bounce rate &lt; 40%</w:t>
            </w:r>
          </w:p>
        </w:tc>
      </w:tr>
      <w:tr>
        <w:tc>
          <w:tcPr/>
          <w:p>
            <w:pPr>
              <w:pStyle w:val="Compact"/>
              <w:jc w:val="left"/>
            </w:pPr>
            <w:r>
              <w:rPr>
                <w:bCs/>
                <w:b/>
              </w:rPr>
              <w:t xml:space="preserve">Sales Strategy</w:t>
            </w:r>
          </w:p>
        </w:tc>
        <w:tc>
          <w:tcPr/>
          <w:p>
            <w:pPr>
              <w:pStyle w:val="Compact"/>
              <w:jc w:val="left"/>
            </w:pPr>
            <w:r>
              <w:t xml:space="preserve">45-90 day cycles, 0% self-service</w:t>
            </w:r>
          </w:p>
        </w:tc>
        <w:tc>
          <w:tcPr/>
          <w:p>
            <w:pPr>
              <w:pStyle w:val="Compact"/>
              <w:jc w:val="left"/>
            </w:pPr>
            <w:r>
              <w:t xml:space="preserve">One-click path, 20-30% self-service</w:t>
            </w:r>
          </w:p>
        </w:tc>
        <w:tc>
          <w:tcPr/>
          <w:p>
            <w:pPr>
              <w:pStyle w:val="Compact"/>
              <w:jc w:val="left"/>
            </w:pPr>
            <w:r>
              <w:t xml:space="preserve">CRM: time-to-purchase &lt; 7 days</w:t>
            </w:r>
          </w:p>
        </w:tc>
      </w:tr>
      <w:tr>
        <w:tc>
          <w:tcPr/>
          <w:p>
            <w:pPr>
              <w:pStyle w:val="Compact"/>
              <w:jc w:val="left"/>
            </w:pPr>
            <w:r>
              <w:rPr>
                <w:bCs/>
                <w:b/>
              </w:rPr>
              <w:t xml:space="preserve">Document Standard</w:t>
            </w:r>
          </w:p>
        </w:tc>
        <w:tc>
          <w:tcPr/>
          <w:p>
            <w:pPr>
              <w:pStyle w:val="Compact"/>
              <w:jc w:val="left"/>
            </w:pPr>
            <w:r>
              <w:t xml:space="preserve">Ad-hoc versioning</w:t>
            </w:r>
          </w:p>
        </w:tc>
        <w:tc>
          <w:tcPr/>
          <w:p>
            <w:pPr>
              <w:pStyle w:val="Compact"/>
              <w:jc w:val="left"/>
            </w:pPr>
            <w:r>
              <w:t xml:space="preserve">Full traceability, agent history</w:t>
            </w:r>
          </w:p>
        </w:tc>
        <w:tc>
          <w:tcPr/>
          <w:p>
            <w:pPr>
              <w:pStyle w:val="Compact"/>
              <w:jc w:val="left"/>
            </w:pPr>
            <w:r>
              <w:t xml:space="preserve">100% document compliance</w:t>
            </w:r>
          </w:p>
        </w:tc>
      </w:tr>
    </w:tbl>
    <w:bookmarkEnd w:id="163"/>
    <w:bookmarkStart w:id="164" w:name="impact-measurement-framework"/>
    <w:p>
      <w:pPr>
        <w:pStyle w:val="Heading3"/>
      </w:pPr>
      <w:r>
        <w:t xml:space="preserve">Impact Measurement Framework</w:t>
      </w:r>
    </w:p>
    <w:p>
      <w:pPr>
        <w:pStyle w:val="FirstParagraph"/>
      </w:pPr>
      <w:r>
        <w:t xml:space="preserve">The following metrics MUST be tracked starting Q1 2026 to validate the standards’ contribution:</w:t>
      </w:r>
    </w:p>
    <w:p>
      <w:pPr>
        <w:pStyle w:val="BodyText"/>
      </w:pPr>
      <w:r>
        <w:rPr>
          <w:bCs/>
          <w:b/>
        </w:rPr>
        <w:t xml:space="preserve">Commercial Impact:</w:t>
      </w:r>
    </w:p>
    <w:tbl>
      <w:tblPr>
        <w:tblStyle w:val="Table"/>
        <w:tblW w:type="pct" w:w="5000"/>
        <w:tblLook w:firstRow="1" w:lastRow="0" w:firstColumn="0" w:lastColumn="0" w:noHBand="0" w:noVBand="0" w:val="0020"/>
        <w:jc w:val="start"/>
      </w:tblPr>
      <w:tblGrid>
        <w:gridCol w:w="3338"/>
        <w:gridCol w:w="1475"/>
        <w:gridCol w:w="1087"/>
        <w:gridCol w:w="1087"/>
        <w:gridCol w:w="931"/>
      </w:tblGrid>
      <w:tr>
        <w:trPr>
          <w:tblHeader w:val="true"/>
        </w:trPr>
        <w:tc>
          <w:tcPr/>
          <w:p>
            <w:pPr>
              <w:pStyle w:val="Compact"/>
              <w:jc w:val="left"/>
            </w:pPr>
            <w:r>
              <w:t xml:space="preserve">Metric</w:t>
            </w:r>
          </w:p>
        </w:tc>
        <w:tc>
          <w:tcPr/>
          <w:p>
            <w:pPr>
              <w:pStyle w:val="Compact"/>
              <w:jc w:val="left"/>
            </w:pPr>
            <w:r>
              <w:t xml:space="preserve">Baseline (Feb 2026)</w:t>
            </w:r>
          </w:p>
        </w:tc>
        <w:tc>
          <w:tcPr/>
          <w:p>
            <w:pPr>
              <w:pStyle w:val="Compact"/>
              <w:jc w:val="left"/>
            </w:pPr>
            <w:r>
              <w:t xml:space="preserve">Q2 2026 Target</w:t>
            </w:r>
          </w:p>
        </w:tc>
        <w:tc>
          <w:tcPr/>
          <w:p>
            <w:pPr>
              <w:pStyle w:val="Compact"/>
              <w:jc w:val="left"/>
            </w:pPr>
            <w:r>
              <w:t xml:space="preserve">Q4 2026 Target</w:t>
            </w:r>
          </w:p>
        </w:tc>
        <w:tc>
          <w:tcPr/>
          <w:p>
            <w:pPr>
              <w:pStyle w:val="Compact"/>
              <w:jc w:val="left"/>
            </w:pPr>
            <w:r>
              <w:t xml:space="preserve">DWS 7 Target</w:t>
            </w:r>
          </w:p>
        </w:tc>
      </w:tr>
      <w:tr>
        <w:tc>
          <w:tcPr/>
          <w:p>
            <w:pPr>
              <w:pStyle w:val="Compact"/>
              <w:jc w:val="left"/>
            </w:pPr>
            <w:r>
              <w:t xml:space="preserve">MRR</w:t>
            </w:r>
          </w:p>
        </w:tc>
        <w:tc>
          <w:tcPr/>
          <w:p>
            <w:pPr>
              <w:pStyle w:val="Compact"/>
              <w:jc w:val="left"/>
            </w:pPr>
            <w:r>
              <w:t xml:space="preserve">€7,000</w:t>
            </w:r>
          </w:p>
        </w:tc>
        <w:tc>
          <w:tcPr/>
          <w:p>
            <w:pPr>
              <w:pStyle w:val="Compact"/>
              <w:jc w:val="left"/>
            </w:pPr>
            <w:r>
              <w:t xml:space="preserve">€14,000</w:t>
            </w:r>
          </w:p>
        </w:tc>
        <w:tc>
          <w:tcPr/>
          <w:p>
            <w:pPr>
              <w:pStyle w:val="Compact"/>
              <w:jc w:val="left"/>
            </w:pPr>
            <w:r>
              <w:t xml:space="preserve">€30,000</w:t>
            </w:r>
          </w:p>
        </w:tc>
        <w:tc>
          <w:tcPr/>
          <w:p>
            <w:pPr>
              <w:pStyle w:val="Compact"/>
              <w:jc w:val="left"/>
            </w:pPr>
            <w:r>
              <w:t xml:space="preserve">€60,000</w:t>
            </w:r>
          </w:p>
        </w:tc>
      </w:tr>
      <w:tr>
        <w:tc>
          <w:tcPr/>
          <w:p>
            <w:pPr>
              <w:pStyle w:val="Compact"/>
              <w:jc w:val="left"/>
            </w:pPr>
            <w:r>
              <w:t xml:space="preserve">Price conflicts in codebase</w:t>
            </w:r>
          </w:p>
        </w:tc>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Products with Google Merchant compliance</w:t>
            </w:r>
          </w:p>
        </w:tc>
        <w:tc>
          <w:tcPr/>
          <w:p>
            <w:pPr>
              <w:pStyle w:val="Compact"/>
              <w:jc w:val="left"/>
            </w:pPr>
            <w:r>
              <w:t xml:space="preserve">~30%</w:t>
            </w:r>
          </w:p>
        </w:tc>
        <w:tc>
          <w:tcPr/>
          <w:p>
            <w:pPr>
              <w:pStyle w:val="Compact"/>
              <w:jc w:val="left"/>
            </w:pPr>
            <w:r>
              <w:t xml:space="preserve">80%</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Self-service purchases (% of new deals)</w:t>
            </w:r>
          </w:p>
        </w:tc>
        <w:tc>
          <w:tcPr/>
          <w:p>
            <w:pPr>
              <w:pStyle w:val="Compact"/>
              <w:jc w:val="left"/>
            </w:pPr>
            <w:r>
              <w:t xml:space="preserve">0%</w:t>
            </w:r>
          </w:p>
        </w:tc>
        <w:tc>
          <w:tcPr/>
          <w:p>
            <w:pPr>
              <w:pStyle w:val="Compact"/>
              <w:jc w:val="left"/>
            </w:pPr>
            <w:r>
              <w:t xml:space="preserve">5%</w:t>
            </w:r>
          </w:p>
        </w:tc>
        <w:tc>
          <w:tcPr/>
          <w:p>
            <w:pPr>
              <w:pStyle w:val="Compact"/>
              <w:jc w:val="left"/>
            </w:pPr>
            <w:r>
              <w:t xml:space="preserve">15%</w:t>
            </w:r>
          </w:p>
        </w:tc>
        <w:tc>
          <w:tcPr/>
          <w:p>
            <w:pPr>
              <w:pStyle w:val="Compact"/>
              <w:jc w:val="left"/>
            </w:pPr>
            <w:r>
              <w:t xml:space="preserve">30%</w:t>
            </w:r>
          </w:p>
        </w:tc>
      </w:tr>
      <w:tr>
        <w:tc>
          <w:tcPr/>
          <w:p>
            <w:pPr>
              <w:pStyle w:val="Compact"/>
              <w:jc w:val="left"/>
            </w:pPr>
            <w:r>
              <w:t xml:space="preserve">Time from first contact to signed agreement</w:t>
            </w:r>
          </w:p>
        </w:tc>
        <w:tc>
          <w:tcPr/>
          <w:p>
            <w:pPr>
              <w:pStyle w:val="Compact"/>
              <w:jc w:val="left"/>
            </w:pPr>
            <w:r>
              <w:t xml:space="preserve">45-90 days</w:t>
            </w:r>
          </w:p>
        </w:tc>
        <w:tc>
          <w:tcPr/>
          <w:p>
            <w:pPr>
              <w:pStyle w:val="Compact"/>
              <w:jc w:val="left"/>
            </w:pPr>
            <w:r>
              <w:t xml:space="preserve">30 days</w:t>
            </w:r>
          </w:p>
        </w:tc>
        <w:tc>
          <w:tcPr/>
          <w:p>
            <w:pPr>
              <w:pStyle w:val="Compact"/>
              <w:jc w:val="left"/>
            </w:pPr>
            <w:r>
              <w:t xml:space="preserve">14 days</w:t>
            </w:r>
          </w:p>
        </w:tc>
        <w:tc>
          <w:tcPr/>
          <w:p>
            <w:pPr>
              <w:pStyle w:val="Compact"/>
              <w:jc w:val="left"/>
            </w:pPr>
            <w:r>
              <w:t xml:space="preserve">7 days</w:t>
            </w:r>
          </w:p>
        </w:tc>
      </w:tr>
      <w:tr>
        <w:tc>
          <w:tcPr/>
          <w:p>
            <w:pPr>
              <w:pStyle w:val="Compact"/>
              <w:jc w:val="left"/>
            </w:pPr>
            <w:r>
              <w:t xml:space="preserve">Deals closed without a meeting</w:t>
            </w:r>
          </w:p>
        </w:tc>
        <w:tc>
          <w:tcPr/>
          <w:p>
            <w:pPr>
              <w:pStyle w:val="Compact"/>
              <w:jc w:val="left"/>
            </w:pPr>
            <w:r>
              <w:t xml:space="preserve">0%</w:t>
            </w:r>
          </w:p>
        </w:tc>
        <w:tc>
          <w:tcPr/>
          <w:p>
            <w:pPr>
              <w:pStyle w:val="Compact"/>
              <w:jc w:val="left"/>
            </w:pPr>
            <w:r>
              <w:t xml:space="preserve">5%</w:t>
            </w:r>
          </w:p>
        </w:tc>
        <w:tc>
          <w:tcPr/>
          <w:p>
            <w:pPr>
              <w:pStyle w:val="Compact"/>
              <w:jc w:val="left"/>
            </w:pPr>
            <w:r>
              <w:t xml:space="preserve">15%</w:t>
            </w:r>
          </w:p>
        </w:tc>
        <w:tc>
          <w:tcPr/>
          <w:p>
            <w:pPr>
              <w:pStyle w:val="Compact"/>
              <w:jc w:val="left"/>
            </w:pPr>
            <w:r>
              <w:t xml:space="preserve">25%</w:t>
            </w:r>
          </w:p>
        </w:tc>
      </w:tr>
    </w:tbl>
    <w:p>
      <w:pPr>
        <w:pStyle w:val="BodyText"/>
      </w:pPr>
      <w:r>
        <w:rPr>
          <w:bCs/>
          <w:b/>
        </w:rPr>
        <w:t xml:space="preserve">Operational Impact:</w:t>
      </w:r>
    </w:p>
    <w:tbl>
      <w:tblPr>
        <w:tblStyle w:val="Table"/>
        <w:tblW w:type="pct" w:w="5000"/>
        <w:tblLook w:firstRow="1" w:lastRow="0" w:firstColumn="0" w:lastColumn="0" w:noHBand="0" w:noVBand="0" w:val="0020"/>
        <w:jc w:val="start"/>
      </w:tblPr>
      <w:tblGrid>
        <w:gridCol w:w="2921"/>
        <w:gridCol w:w="615"/>
        <w:gridCol w:w="2306"/>
        <w:gridCol w:w="2076"/>
      </w:tblGrid>
      <w:tr>
        <w:trPr>
          <w:tblHeader w:val="true"/>
        </w:trPr>
        <w:tc>
          <w:tcPr/>
          <w:p>
            <w:pPr>
              <w:pStyle w:val="Compact"/>
              <w:jc w:val="left"/>
            </w:pPr>
            <w:r>
              <w:t xml:space="preserve">Metric</w:t>
            </w:r>
          </w:p>
        </w:tc>
        <w:tc>
          <w:tcPr/>
          <w:p>
            <w:pPr>
              <w:pStyle w:val="Compact"/>
              <w:jc w:val="left"/>
            </w:pPr>
            <w:r>
              <w:t xml:space="preserve">Baseline</w:t>
            </w:r>
          </w:p>
        </w:tc>
        <w:tc>
          <w:tcPr/>
          <w:p>
            <w:pPr>
              <w:pStyle w:val="Compact"/>
              <w:jc w:val="left"/>
            </w:pPr>
            <w:r>
              <w:t xml:space="preserve">Target</w:t>
            </w:r>
          </w:p>
        </w:tc>
        <w:tc>
          <w:tcPr/>
          <w:p>
            <w:pPr>
              <w:pStyle w:val="Compact"/>
              <w:jc w:val="left"/>
            </w:pPr>
            <w:r>
              <w:t xml:space="preserve">Method</w:t>
            </w:r>
          </w:p>
        </w:tc>
      </w:tr>
      <w:tr>
        <w:tc>
          <w:tcPr/>
          <w:p>
            <w:pPr>
              <w:pStyle w:val="Compact"/>
              <w:jc w:val="left"/>
            </w:pPr>
            <w:r>
              <w:t xml:space="preserve">Files updated per price change</w:t>
            </w:r>
          </w:p>
        </w:tc>
        <w:tc>
          <w:tcPr/>
          <w:p>
            <w:pPr>
              <w:pStyle w:val="Compact"/>
              <w:jc w:val="left"/>
            </w:pPr>
            <w:r>
              <w:t xml:space="preserve">5</w:t>
            </w:r>
          </w:p>
        </w:tc>
        <w:tc>
          <w:tcPr/>
          <w:p>
            <w:pPr>
              <w:pStyle w:val="Compact"/>
              <w:jc w:val="left"/>
            </w:pPr>
            <w:r>
              <w:t xml:space="preserve">1 (auto-propagate)</w:t>
            </w:r>
          </w:p>
        </w:tc>
        <w:tc>
          <w:tcPr/>
          <w:p>
            <w:pPr>
              <w:pStyle w:val="Compact"/>
              <w:jc w:val="left"/>
            </w:pPr>
            <w:r>
              <w:t xml:space="preserve">Engineering automation</w:t>
            </w:r>
          </w:p>
        </w:tc>
      </w:tr>
      <w:tr>
        <w:tc>
          <w:tcPr/>
          <w:p>
            <w:pPr>
              <w:pStyle w:val="Compact"/>
              <w:jc w:val="left"/>
            </w:pPr>
            <w:r>
              <w:t xml:space="preserve">Product card consistency across sites</w:t>
            </w:r>
          </w:p>
        </w:tc>
        <w:tc>
          <w:tcPr/>
          <w:p>
            <w:pPr>
              <w:pStyle w:val="Compact"/>
              <w:jc w:val="left"/>
            </w:pPr>
            <w:r>
              <w:t xml:space="preserve">~60%</w:t>
            </w:r>
          </w:p>
        </w:tc>
        <w:tc>
          <w:tcPr/>
          <w:p>
            <w:pPr>
              <w:pStyle w:val="Compact"/>
              <w:jc w:val="left"/>
            </w:pPr>
            <w:r>
              <w:t xml:space="preserve">100%</w:t>
            </w:r>
          </w:p>
        </w:tc>
        <w:tc>
          <w:tcPr/>
          <w:p>
            <w:pPr>
              <w:pStyle w:val="Compact"/>
              <w:jc w:val="left"/>
            </w:pPr>
            <w:r>
              <w:t xml:space="preserve">Automated visual regression</w:t>
            </w:r>
          </w:p>
        </w:tc>
      </w:tr>
      <w:tr>
        <w:tc>
          <w:tcPr/>
          <w:p>
            <w:pPr>
              <w:pStyle w:val="Compact"/>
              <w:jc w:val="left"/>
            </w:pPr>
            <w:r>
              <w:t xml:space="preserve">Investor document pricing accuracy</w:t>
            </w:r>
          </w:p>
        </w:tc>
        <w:tc>
          <w:tcPr/>
          <w:p>
            <w:pPr>
              <w:pStyle w:val="Compact"/>
              <w:jc w:val="left"/>
            </w:pPr>
            <w:r>
              <w:t xml:space="preserve">Unknown</w:t>
            </w:r>
          </w:p>
        </w:tc>
        <w:tc>
          <w:tcPr/>
          <w:p>
            <w:pPr>
              <w:pStyle w:val="Compact"/>
              <w:jc w:val="left"/>
            </w:pPr>
            <w:r>
              <w:t xml:space="preserve">100% match to Product Standard</w:t>
            </w:r>
          </w:p>
        </w:tc>
        <w:tc>
          <w:tcPr/>
          <w:p>
            <w:pPr>
              <w:pStyle w:val="Compact"/>
              <w:jc w:val="left"/>
            </w:pPr>
            <w:r>
              <w:t xml:space="preserve">Manual quarterly audit</w:t>
            </w:r>
          </w:p>
        </w:tc>
      </w:tr>
      <w:tr>
        <w:tc>
          <w:tcPr/>
          <w:p>
            <w:pPr>
              <w:pStyle w:val="Compact"/>
              <w:jc w:val="left"/>
            </w:pPr>
            <w:r>
              <w:t xml:space="preserve">Store page load time (pricing section)</w:t>
            </w:r>
          </w:p>
        </w:tc>
        <w:tc>
          <w:tcPr/>
          <w:p>
            <w:pPr>
              <w:pStyle w:val="Compact"/>
              <w:jc w:val="left"/>
            </w:pPr>
            <w:r>
              <w:t xml:space="preserve">TBD</w:t>
            </w:r>
          </w:p>
        </w:tc>
        <w:tc>
          <w:tcPr/>
          <w:p>
            <w:pPr>
              <w:pStyle w:val="Compact"/>
              <w:jc w:val="left"/>
            </w:pPr>
            <w:r>
              <w:t xml:space="preserve">&lt; 2 seconds</w:t>
            </w:r>
          </w:p>
        </w:tc>
        <w:tc>
          <w:tcPr/>
          <w:p>
            <w:pPr>
              <w:pStyle w:val="Compact"/>
              <w:jc w:val="left"/>
            </w:pPr>
            <w:r>
              <w:t xml:space="preserve">Lighthouse</w:t>
            </w:r>
          </w:p>
        </w:tc>
      </w:tr>
    </w:tbl>
    <w:bookmarkEnd w:id="164"/>
    <w:bookmarkStart w:id="165" w:name="Xab3fe4b37048a22a44d2bc3f2391b376eb275d7"/>
    <w:p>
      <w:pPr>
        <w:pStyle w:val="Heading3"/>
      </w:pPr>
      <w:r>
        <w:t xml:space="preserve">Contribution to Theory: Standards as Competitive Moat</w:t>
      </w:r>
    </w:p>
    <w:p>
      <w:pPr>
        <w:pStyle w:val="FirstParagraph"/>
      </w:pPr>
      <w:r>
        <w:t xml:space="preserve">This thesis argues that</w:t>
      </w:r>
      <w:r>
        <w:t xml:space="preserve"> </w:t>
      </w:r>
      <w:r>
        <w:rPr>
          <w:bCs/>
          <w:b/>
        </w:rPr>
        <w:t xml:space="preserve">enterprise product standards</w:t>
      </w:r>
      <w:r>
        <w:t xml:space="preserve"> </w:t>
      </w:r>
      <w:r>
        <w:t xml:space="preserve">— not just the products themselves — constitute a competitive advantage for industrial SaaS companies. While competitors in the BMS market (Siemens Desigo, Schneider EcoStruxure) have larger product catalogs, their pricing is opaque and negotiation-dependent. DWS IQ 6’s published pricing, standardized product cards, and one-click buy architecture represent a structural advantage that compounds over time:</w:t>
      </w:r>
    </w:p>
    <w:p>
      <w:pPr>
        <w:numPr>
          <w:ilvl w:val="0"/>
          <w:numId w:val="1058"/>
        </w:numPr>
        <w:pStyle w:val="Compact"/>
      </w:pPr>
      <w:r>
        <w:rPr>
          <w:bCs/>
          <w:b/>
        </w:rPr>
        <w:t xml:space="preserve">Trust accumulation:</w:t>
      </w:r>
      <w:r>
        <w:t xml:space="preserve"> </w:t>
      </w:r>
      <w:r>
        <w:t xml:space="preserve">Every transparent price interaction builds Nordic trust capital</w:t>
      </w:r>
    </w:p>
    <w:p>
      <w:pPr>
        <w:numPr>
          <w:ilvl w:val="0"/>
          <w:numId w:val="1058"/>
        </w:numPr>
        <w:pStyle w:val="Compact"/>
      </w:pPr>
      <w:r>
        <w:rPr>
          <w:bCs/>
          <w:b/>
        </w:rPr>
        <w:t xml:space="preserve">Operational leverage:</w:t>
      </w:r>
      <w:r>
        <w:t xml:space="preserve"> </w:t>
      </w:r>
      <w:r>
        <w:t xml:space="preserve">Standards reduce the cost of adding new products from weeks to hours</w:t>
      </w:r>
    </w:p>
    <w:p>
      <w:pPr>
        <w:numPr>
          <w:ilvl w:val="0"/>
          <w:numId w:val="1058"/>
        </w:numPr>
        <w:pStyle w:val="Compact"/>
      </w:pPr>
      <w:r>
        <w:rPr>
          <w:bCs/>
          <w:b/>
        </w:rPr>
        <w:t xml:space="preserve">AI-native management:</w:t>
      </w:r>
      <w:r>
        <w:t xml:space="preserve"> </w:t>
      </w:r>
      <w:r>
        <w:t xml:space="preserve">Product catalogs maintained by AI agents following the Product Standard require zero manual synchronization</w:t>
      </w:r>
    </w:p>
    <w:p>
      <w:pPr>
        <w:numPr>
          <w:ilvl w:val="0"/>
          <w:numId w:val="1058"/>
        </w:numPr>
        <w:pStyle w:val="Compact"/>
      </w:pPr>
      <w:r>
        <w:rPr>
          <w:bCs/>
          <w:b/>
        </w:rPr>
        <w:t xml:space="preserve">Regulatory alignment:</w:t>
      </w:r>
      <w:r>
        <w:t xml:space="preserve"> </w:t>
      </w:r>
      <w:r>
        <w:t xml:space="preserve">EU AI Act Article 12 traceability requirements are satisfied by the same version-controlled standards that manage products</w:t>
      </w:r>
    </w:p>
    <w:p>
      <w:pPr>
        <w:pStyle w:val="FirstParagraph"/>
      </w:pPr>
      <w:r>
        <w:t xml:space="preserve">This positions DWS 7 not merely as a product upgrade, but as a</w:t>
      </w:r>
      <w:r>
        <w:t xml:space="preserve"> </w:t>
      </w:r>
      <w:r>
        <w:rPr>
          <w:bCs/>
          <w:b/>
        </w:rPr>
        <w:t xml:space="preserve">standards-native platform</w:t>
      </w:r>
      <w:r>
        <w:t xml:space="preserve"> </w:t>
      </w:r>
      <w:r>
        <w:t xml:space="preserve">where product management, pricing, and compliance are unified in a single documented framework.</w:t>
      </w:r>
    </w:p>
    <w:bookmarkEnd w:id="165"/>
    <w:bookmarkStart w:id="170" w:name="X3897d577b1508d79898d5ee3629088a2f8e4538"/>
    <w:p>
      <w:pPr>
        <w:pStyle w:val="Heading3"/>
      </w:pPr>
      <w:r>
        <w:t xml:space="preserve">10.9 DWS7 Agent Architecture Modernization: From Single-Shot to Agentic</w:t>
      </w:r>
    </w:p>
    <w:p>
      <w:pPr>
        <w:pStyle w:val="FirstParagraph"/>
      </w:pPr>
      <w:r>
        <w:t xml:space="preserve">Version 3.10 documents the critical architectural leap from DWS6’s single-shot LLM pattern to a true agentic system. This work, performed in a single Claude Code session (24.02.2026), addresses six architectural deficiencies that separated DWS6 from production-grade agent platforms.</w:t>
      </w:r>
    </w:p>
    <w:bookmarkStart w:id="166" w:name="the-six-critical-fixes"/>
    <w:p>
      <w:pPr>
        <w:pStyle w:val="Heading4"/>
      </w:pPr>
      <w:r>
        <w:t xml:space="preserve">10.9.1 The Six Critical Fixes</w:t>
      </w:r>
    </w:p>
    <w:tbl>
      <w:tblPr>
        <w:tblStyle w:val="Table"/>
        <w:tblW w:type="pct" w:w="5000"/>
        <w:tblLook w:firstRow="1" w:lastRow="0" w:firstColumn="0" w:lastColumn="0" w:noHBand="0" w:noVBand="0" w:val="0020"/>
        <w:jc w:val="start"/>
      </w:tblPr>
      <w:tblGrid>
        <w:gridCol w:w="157"/>
        <w:gridCol w:w="1888"/>
        <w:gridCol w:w="3094"/>
        <w:gridCol w:w="2779"/>
      </w:tblGrid>
      <w:tr>
        <w:trPr>
          <w:tblHeader w:val="true"/>
        </w:trPr>
        <w:tc>
          <w:tcPr/>
          <w:p>
            <w:pPr>
              <w:pStyle w:val="Compact"/>
              <w:jc w:val="left"/>
            </w:pPr>
            <w:r>
              <w:t xml:space="preserve">#</w:t>
            </w:r>
          </w:p>
        </w:tc>
        <w:tc>
          <w:tcPr/>
          <w:p>
            <w:pPr>
              <w:pStyle w:val="Compact"/>
              <w:jc w:val="left"/>
            </w:pPr>
            <w:r>
              <w:t xml:space="preserve">Problem (DWS6)</w:t>
            </w:r>
          </w:p>
        </w:tc>
        <w:tc>
          <w:tcPr/>
          <w:p>
            <w:pPr>
              <w:pStyle w:val="Compact"/>
              <w:jc w:val="left"/>
            </w:pPr>
            <w:r>
              <w:t xml:space="preserve">Fix (DWS7)</w:t>
            </w:r>
          </w:p>
        </w:tc>
        <w:tc>
          <w:tcPr/>
          <w:p>
            <w:pPr>
              <w:pStyle w:val="Compact"/>
              <w:jc w:val="left"/>
            </w:pPr>
            <w:r>
              <w:t xml:space="preserve">Implementation</w:t>
            </w:r>
          </w:p>
        </w:tc>
      </w:tr>
      <w:tr>
        <w:tc>
          <w:tcPr/>
          <w:p>
            <w:pPr>
              <w:pStyle w:val="Compact"/>
              <w:jc w:val="left"/>
            </w:pPr>
            <w:r>
              <w:t xml:space="preserve">1</w:t>
            </w:r>
          </w:p>
        </w:tc>
        <w:tc>
          <w:tcPr/>
          <w:p>
            <w:pPr>
              <w:pStyle w:val="Compact"/>
              <w:jc w:val="left"/>
            </w:pPr>
            <w:r>
              <w:t xml:space="preserve">Single-shot LLM calls — no iteration</w:t>
            </w:r>
          </w:p>
        </w:tc>
        <w:tc>
          <w:tcPr/>
          <w:p>
            <w:pPr>
              <w:pStyle w:val="Compact"/>
              <w:jc w:val="left"/>
            </w:pPr>
            <w:r>
              <w:t xml:space="preserve">Observe-think-act agentic loop with configurable iterations</w:t>
            </w:r>
          </w:p>
        </w:tc>
        <w:tc>
          <w:tcPr/>
          <w:p>
            <w:pPr>
              <w:pStyle w:val="Compact"/>
              <w:jc w:val="left"/>
            </w:pPr>
            <w:r>
              <w:rPr>
                <w:rStyle w:val="VerbatimChar"/>
              </w:rPr>
              <w:t xml:space="preserve">base.agent.ts:runLoop()</w:t>
            </w:r>
            <w:r>
              <w:t xml:space="preserve"> </w:t>
            </w:r>
            <w:r>
              <w:t xml:space="preserve">with</w:t>
            </w:r>
            <w:r>
              <w:t xml:space="preserve"> </w:t>
            </w:r>
            <w:r>
              <w:rPr>
                <w:rStyle w:val="VerbatimChar"/>
              </w:rPr>
              <w:t xml:space="preserve">AgentLoopConfig</w:t>
            </w:r>
          </w:p>
        </w:tc>
      </w:tr>
      <w:tr>
        <w:tc>
          <w:tcPr/>
          <w:p>
            <w:pPr>
              <w:pStyle w:val="Compact"/>
              <w:jc w:val="left"/>
            </w:pPr>
            <w:r>
              <w:t xml:space="preserve">2</w:t>
            </w:r>
          </w:p>
        </w:tc>
        <w:tc>
          <w:tcPr/>
          <w:p>
            <w:pPr>
              <w:pStyle w:val="Compact"/>
              <w:jc w:val="left"/>
            </w:pPr>
            <w:r>
              <w:t xml:space="preserve">No tool use / function calling</w:t>
            </w:r>
          </w:p>
        </w:tc>
        <w:tc>
          <w:tcPr/>
          <w:p>
            <w:pPr>
              <w:pStyle w:val="Compact"/>
              <w:jc w:val="left"/>
            </w:pPr>
            <w:r>
              <w:t xml:space="preserve">Full tool runtime with JSON Schema definitions</w:t>
            </w:r>
          </w:p>
        </w:tc>
        <w:tc>
          <w:tcPr/>
          <w:p>
            <w:pPr>
              <w:pStyle w:val="Compact"/>
              <w:jc w:val="left"/>
            </w:pPr>
            <w:r>
              <w:rPr>
                <w:rStyle w:val="VerbatimChar"/>
              </w:rPr>
              <w:t xml:space="preserve">tools.ts</w:t>
            </w:r>
            <w:r>
              <w:t xml:space="preserve"> </w:t>
            </w:r>
            <w:r>
              <w:t xml:space="preserve">— 4 built-in tools, extensible registry</w:t>
            </w:r>
          </w:p>
        </w:tc>
      </w:tr>
      <w:tr>
        <w:tc>
          <w:tcPr/>
          <w:p>
            <w:pPr>
              <w:pStyle w:val="Compact"/>
              <w:jc w:val="left"/>
            </w:pPr>
            <w:r>
              <w:t xml:space="preserve">3</w:t>
            </w:r>
          </w:p>
        </w:tc>
        <w:tc>
          <w:tcPr/>
          <w:p>
            <w:pPr>
              <w:pStyle w:val="Compact"/>
              <w:jc w:val="left"/>
            </w:pPr>
            <w:r>
              <w:t xml:space="preserve">Hardcoded Groq HTTP fetch</w:t>
            </w:r>
          </w:p>
        </w:tc>
        <w:tc>
          <w:tcPr/>
          <w:p>
            <w:pPr>
              <w:pStyle w:val="Compact"/>
              <w:jc w:val="left"/>
            </w:pPr>
            <w:r>
              <w:t xml:space="preserve">Multi-provider LLM client (Anthropic &gt; Groq &gt; OpenAI)</w:t>
            </w:r>
          </w:p>
        </w:tc>
        <w:tc>
          <w:tcPr/>
          <w:p>
            <w:pPr>
              <w:pStyle w:val="Compact"/>
              <w:jc w:val="left"/>
            </w:pPr>
            <w:r>
              <w:rPr>
                <w:rStyle w:val="VerbatimChar"/>
              </w:rPr>
              <w:t xml:space="preserve">llm-client.ts</w:t>
            </w:r>
            <w:r>
              <w:t xml:space="preserve"> </w:t>
            </w:r>
            <w:r>
              <w:t xml:space="preserve">— auto-detects from env vars</w:t>
            </w:r>
          </w:p>
        </w:tc>
      </w:tr>
      <w:tr>
        <w:tc>
          <w:tcPr/>
          <w:p>
            <w:pPr>
              <w:pStyle w:val="Compact"/>
              <w:jc w:val="left"/>
            </w:pPr>
            <w:r>
              <w:t xml:space="preserve">4</w:t>
            </w:r>
          </w:p>
        </w:tc>
        <w:tc>
          <w:tcPr/>
          <w:p>
            <w:pPr>
              <w:pStyle w:val="Compact"/>
              <w:jc w:val="left"/>
            </w:pPr>
            <w:r>
              <w:t xml:space="preserve">No agent-to-agent communication</w:t>
            </w:r>
          </w:p>
        </w:tc>
        <w:tc>
          <w:tcPr/>
          <w:p>
            <w:pPr>
              <w:pStyle w:val="Compact"/>
              <w:jc w:val="left"/>
            </w:pPr>
            <w:r>
              <w:t xml:space="preserve">Delegation with depth tracking (max 5), discovery API</w:t>
            </w:r>
          </w:p>
        </w:tc>
        <w:tc>
          <w:tcPr/>
          <w:p>
            <w:pPr>
              <w:pStyle w:val="Compact"/>
              <w:jc w:val="left"/>
            </w:pPr>
            <w:r>
              <w:rPr>
                <w:rStyle w:val="VerbatimChar"/>
              </w:rPr>
              <w:t xml:space="preserve">delegate_to_agent</w:t>
            </w:r>
            <w:r>
              <w:t xml:space="preserve"> </w:t>
            </w:r>
            <w:r>
              <w:t xml:space="preserve">tool,</w:t>
            </w:r>
            <w:r>
              <w:t xml:space="preserve"> </w:t>
            </w:r>
            <w:r>
              <w:rPr>
                <w:rStyle w:val="VerbatimChar"/>
              </w:rPr>
              <w:t xml:space="preserve">discoverAgents()</w:t>
            </w:r>
          </w:p>
        </w:tc>
      </w:tr>
      <w:tr>
        <w:tc>
          <w:tcPr/>
          <w:p>
            <w:pPr>
              <w:pStyle w:val="Compact"/>
              <w:jc w:val="left"/>
            </w:pPr>
            <w:r>
              <w:t xml:space="preserve">5</w:t>
            </w:r>
          </w:p>
        </w:tc>
        <w:tc>
          <w:tcPr/>
          <w:p>
            <w:pPr>
              <w:pStyle w:val="Compact"/>
              <w:jc w:val="left"/>
            </w:pPr>
            <w:r>
              <w:t xml:space="preserve">MCP was vapor</w:t>
            </w:r>
          </w:p>
        </w:tc>
        <w:tc>
          <w:tcPr/>
          <w:p>
            <w:pPr>
              <w:pStyle w:val="Compact"/>
              <w:jc w:val="left"/>
            </w:pPr>
            <w:r>
              <w:t xml:space="preserve">MCP JSON-RPC 2.0 server exposing all agents as tools</w:t>
            </w:r>
          </w:p>
        </w:tc>
        <w:tc>
          <w:tcPr/>
          <w:p>
            <w:pPr>
              <w:pStyle w:val="Compact"/>
              <w:jc w:val="left"/>
            </w:pPr>
            <w:r>
              <w:rPr>
                <w:rStyle w:val="VerbatimChar"/>
              </w:rPr>
              <w:t xml:space="preserve">mcp/agent-server.ts</w:t>
            </w:r>
            <w:r>
              <w:t xml:space="preserve"> </w:t>
            </w:r>
            <w:r>
              <w:t xml:space="preserve">—</w:t>
            </w:r>
            <w:r>
              <w:t xml:space="preserve"> </w:t>
            </w:r>
            <w:r>
              <w:rPr>
                <w:rStyle w:val="VerbatimChar"/>
              </w:rPr>
              <w:t xml:space="preserve">/mcp</w:t>
            </w:r>
            <w:r>
              <w:t xml:space="preserve"> </w:t>
            </w:r>
            <w:r>
              <w:t xml:space="preserve">endpoint</w:t>
            </w:r>
          </w:p>
        </w:tc>
      </w:tr>
      <w:tr>
        <w:tc>
          <w:tcPr/>
          <w:p>
            <w:pPr>
              <w:pStyle w:val="Compact"/>
              <w:jc w:val="left"/>
            </w:pPr>
            <w:r>
              <w:t xml:space="preserve">6</w:t>
            </w:r>
          </w:p>
        </w:tc>
        <w:tc>
          <w:tcPr/>
          <w:p>
            <w:pPr>
              <w:pStyle w:val="Compact"/>
              <w:jc w:val="left"/>
            </w:pPr>
            <w:r>
              <w:t xml:space="preserve">Express monolith only</w:t>
            </w:r>
          </w:p>
        </w:tc>
        <w:tc>
          <w:tcPr/>
          <w:p>
            <w:pPr>
              <w:pStyle w:val="Compact"/>
              <w:jc w:val="left"/>
            </w:pPr>
            <w:r>
              <w:t xml:space="preserve">Event-driven architecture with pub/sub event bus</w:t>
            </w:r>
          </w:p>
        </w:tc>
        <w:tc>
          <w:tcPr/>
          <w:p>
            <w:pPr>
              <w:pStyle w:val="Compact"/>
              <w:jc w:val="left"/>
            </w:pPr>
            <w:r>
              <w:rPr>
                <w:rStyle w:val="VerbatimChar"/>
              </w:rPr>
              <w:t xml:space="preserve">event-bus.ts</w:t>
            </w:r>
            <w:r>
              <w:t xml:space="preserve"> </w:t>
            </w:r>
            <w:r>
              <w:t xml:space="preserve">— pattern subscriptions, Redis Streams</w:t>
            </w:r>
          </w:p>
        </w:tc>
      </w:tr>
    </w:tbl>
    <w:p>
      <w:pPr>
        <w:pStyle w:val="BodyText"/>
      </w:pPr>
      <w:r>
        <w:rPr>
          <w:bCs/>
          <w:b/>
        </w:rPr>
        <w:t xml:space="preserve">Backward compatibility:</w:t>
      </w:r>
      <w:r>
        <w:t xml:space="preserve"> </w:t>
      </w:r>
      <w:r>
        <w:t xml:space="preserve">All 18 existing agents using</w:t>
      </w:r>
      <w:r>
        <w:t xml:space="preserve"> </w:t>
      </w:r>
      <w:r>
        <w:rPr>
          <w:rStyle w:val="VerbatimChar"/>
        </w:rPr>
        <w:t xml:space="preserve">execute()</w:t>
      </w:r>
      <w:r>
        <w:t xml:space="preserve"> </w:t>
      </w:r>
      <w:r>
        <w:t xml:space="preserve">+</w:t>
      </w:r>
      <w:r>
        <w:t xml:space="preserve"> </w:t>
      </w:r>
      <w:r>
        <w:rPr>
          <w:rStyle w:val="VerbatimChar"/>
        </w:rPr>
        <w:t xml:space="preserve">callLLM()</w:t>
      </w:r>
      <w:r>
        <w:t xml:space="preserve"> </w:t>
      </w:r>
      <w:r>
        <w:t xml:space="preserve">continue to work unchanged. The</w:t>
      </w:r>
      <w:r>
        <w:t xml:space="preserve"> </w:t>
      </w:r>
      <w:r>
        <w:rPr>
          <w:rStyle w:val="VerbatimChar"/>
        </w:rPr>
        <w:t xml:space="preserve">callLLM()</w:t>
      </w:r>
      <w:r>
        <w:t xml:space="preserve"> </w:t>
      </w:r>
      <w:r>
        <w:t xml:space="preserve">method now routes through the multi-provider client instead of raw Groq fetch.</w:t>
      </w:r>
    </w:p>
    <w:bookmarkEnd w:id="166"/>
    <w:bookmarkStart w:id="167" w:name="build-for-agents-cli-mcp-skills"/>
    <w:p>
      <w:pPr>
        <w:pStyle w:val="Heading4"/>
      </w:pPr>
      <w:r>
        <w:t xml:space="preserve">10.9.2 Build for Agents: CLI, MCP, Skills</w:t>
      </w:r>
    </w:p>
    <w:p>
      <w:pPr>
        <w:pStyle w:val="FirstParagraph"/>
      </w:pPr>
      <w:r>
        <w:t xml:space="preserve">A parallel insight emerged during implementation:</w:t>
      </w:r>
      <w:r>
        <w:t xml:space="preserve"> </w:t>
      </w:r>
      <w:r>
        <w:rPr>
          <w:bCs/>
          <w:b/>
        </w:rPr>
        <w:t xml:space="preserve">the primary consumers of DWS IQ in 2026 are AI agents, not humans clicking buttons.</w:t>
      </w:r>
      <w:r>
        <w:t xml:space="preserve"> </w:t>
      </w:r>
      <w:r>
        <w:t xml:space="preserve">This led to the</w:t>
      </w:r>
      <w:r>
        <w:t xml:space="preserve"> </w:t>
      </w:r>
      <w:r>
        <w:t xml:space="preserve">“</w:t>
      </w:r>
      <w:r>
        <w:t xml:space="preserve">Build for Agents</w:t>
      </w:r>
      <w:r>
        <w:t xml:space="preserve">”</w:t>
      </w:r>
      <w:r>
        <w:t xml:space="preserve"> </w:t>
      </w:r>
      <w:r>
        <w:t xml:space="preserve">principle:</w:t>
      </w:r>
    </w:p>
    <w:tbl>
      <w:tblPr>
        <w:tblStyle w:val="Table"/>
        <w:tblW w:type="pct" w:w="5000"/>
        <w:tblLook w:firstRow="1" w:lastRow="0" w:firstColumn="0" w:lastColumn="0" w:noHBand="0" w:noVBand="0" w:val="0020"/>
        <w:jc w:val="start"/>
      </w:tblPr>
      <w:tblGrid>
        <w:gridCol w:w="1464"/>
        <w:gridCol w:w="3460"/>
        <w:gridCol w:w="2994"/>
      </w:tblGrid>
      <w:tr>
        <w:trPr>
          <w:tblHeader w:val="true"/>
        </w:trPr>
        <w:tc>
          <w:tcPr/>
          <w:p>
            <w:pPr>
              <w:pStyle w:val="Compact"/>
              <w:jc w:val="left"/>
            </w:pPr>
            <w:r>
              <w:t xml:space="preserve">Surface</w:t>
            </w:r>
          </w:p>
        </w:tc>
        <w:tc>
          <w:tcPr/>
          <w:p>
            <w:pPr>
              <w:pStyle w:val="Compact"/>
              <w:jc w:val="left"/>
            </w:pPr>
            <w:r>
              <w:t xml:space="preserve">Implementation</w:t>
            </w:r>
          </w:p>
        </w:tc>
        <w:tc>
          <w:tcPr/>
          <w:p>
            <w:pPr>
              <w:pStyle w:val="Compact"/>
              <w:jc w:val="left"/>
            </w:pPr>
            <w:r>
              <w:t xml:space="preserve">Purpose</w:t>
            </w:r>
          </w:p>
        </w:tc>
      </w:tr>
      <w:tr>
        <w:tc>
          <w:tcPr/>
          <w:p>
            <w:pPr>
              <w:pStyle w:val="Compact"/>
              <w:jc w:val="left"/>
            </w:pPr>
            <w:r>
              <w:rPr>
                <w:bCs/>
                <w:b/>
              </w:rPr>
              <w:t xml:space="preserve">CLI</w:t>
            </w:r>
          </w:p>
        </w:tc>
        <w:tc>
          <w:tcPr/>
          <w:p>
            <w:pPr>
              <w:pStyle w:val="Compact"/>
              <w:jc w:val="left"/>
            </w:pPr>
            <w:r>
              <w:rPr>
                <w:rStyle w:val="VerbatimChar"/>
              </w:rPr>
              <w:t xml:space="preserve">cli/src/cli.ts</w:t>
            </w:r>
            <w:r>
              <w:t xml:space="preserve"> </w:t>
            </w:r>
            <w:r>
              <w:t xml:space="preserve">— zero-dependency, JSON-only output</w:t>
            </w:r>
          </w:p>
        </w:tc>
        <w:tc>
          <w:tcPr/>
          <w:p>
            <w:pPr>
              <w:pStyle w:val="Compact"/>
              <w:jc w:val="left"/>
            </w:pPr>
            <w:r>
              <w:t xml:space="preserve">Agents run commands, pipe output</w:t>
            </w:r>
          </w:p>
        </w:tc>
      </w:tr>
      <w:tr>
        <w:tc>
          <w:tcPr/>
          <w:p>
            <w:pPr>
              <w:pStyle w:val="Compact"/>
              <w:jc w:val="left"/>
            </w:pPr>
            <w:r>
              <w:rPr>
                <w:bCs/>
                <w:b/>
              </w:rPr>
              <w:t xml:space="preserve">MCP Server</w:t>
            </w:r>
          </w:p>
        </w:tc>
        <w:tc>
          <w:tcPr/>
          <w:p>
            <w:pPr>
              <w:pStyle w:val="Compact"/>
              <w:jc w:val="left"/>
            </w:pPr>
            <w:r>
              <w:rPr>
                <w:rStyle w:val="VerbatimChar"/>
              </w:rPr>
              <w:t xml:space="preserve">/mcp</w:t>
            </w:r>
            <w:r>
              <w:t xml:space="preserve"> </w:t>
            </w:r>
            <w:r>
              <w:t xml:space="preserve">endpoint, JSON-RPC 2.0</w:t>
            </w:r>
          </w:p>
        </w:tc>
        <w:tc>
          <w:tcPr/>
          <w:p>
            <w:pPr>
              <w:pStyle w:val="Compact"/>
              <w:jc w:val="left"/>
            </w:pPr>
            <w:r>
              <w:t xml:space="preserve">Claude Code / Cursor discover and call agents</w:t>
            </w:r>
          </w:p>
        </w:tc>
      </w:tr>
      <w:tr>
        <w:tc>
          <w:tcPr/>
          <w:p>
            <w:pPr>
              <w:pStyle w:val="Compact"/>
              <w:jc w:val="left"/>
            </w:pPr>
            <w:r>
              <w:rPr>
                <w:bCs/>
                <w:b/>
              </w:rPr>
              <w:t xml:space="preserve">Claude Code Skills</w:t>
            </w:r>
          </w:p>
        </w:tc>
        <w:tc>
          <w:tcPr/>
          <w:p>
            <w:pPr>
              <w:pStyle w:val="Compact"/>
              <w:jc w:val="left"/>
            </w:pPr>
            <w:r>
              <w:rPr>
                <w:rStyle w:val="VerbatimChar"/>
              </w:rPr>
              <w:t xml:space="preserve">.claude/commands/*.md</w:t>
            </w:r>
            <w:r>
              <w:t xml:space="preserve"> </w:t>
            </w:r>
            <w:r>
              <w:t xml:space="preserve">(6 skills)</w:t>
            </w:r>
          </w:p>
        </w:tc>
        <w:tc>
          <w:tcPr/>
          <w:p>
            <w:pPr>
              <w:pStyle w:val="Compact"/>
              <w:jc w:val="left"/>
            </w:pPr>
            <w:r>
              <w:t xml:space="preserve">Natural language → agent execution</w:t>
            </w:r>
          </w:p>
        </w:tc>
      </w:tr>
      <w:tr>
        <w:tc>
          <w:tcPr/>
          <w:p>
            <w:pPr>
              <w:pStyle w:val="Compact"/>
              <w:jc w:val="left"/>
            </w:pPr>
            <w:r>
              <w:rPr>
                <w:bCs/>
                <w:b/>
              </w:rPr>
              <w:t xml:space="preserve">REST API</w:t>
            </w:r>
          </w:p>
        </w:tc>
        <w:tc>
          <w:tcPr/>
          <w:p>
            <w:pPr>
              <w:pStyle w:val="Compact"/>
              <w:jc w:val="left"/>
            </w:pPr>
            <w:r>
              <w:rPr>
                <w:rStyle w:val="VerbatimChar"/>
              </w:rPr>
              <w:t xml:space="preserve">/api/agents/*</w:t>
            </w:r>
            <w:r>
              <w:t xml:space="preserve"> </w:t>
            </w:r>
            <w:r>
              <w:t xml:space="preserve">(existing + new endpoints)</w:t>
            </w:r>
          </w:p>
        </w:tc>
        <w:tc>
          <w:tcPr/>
          <w:p>
            <w:pPr>
              <w:pStyle w:val="Compact"/>
              <w:jc w:val="left"/>
            </w:pPr>
            <w:r>
              <w:t xml:space="preserve">Traditional integration</w:t>
            </w:r>
          </w:p>
        </w:tc>
      </w:tr>
      <w:tr>
        <w:tc>
          <w:tcPr/>
          <w:p>
            <w:pPr>
              <w:pStyle w:val="Compact"/>
              <w:jc w:val="left"/>
            </w:pPr>
            <w:r>
              <w:rPr>
                <w:bCs/>
                <w:b/>
              </w:rPr>
              <w:t xml:space="preserve">Event Bus</w:t>
            </w:r>
          </w:p>
        </w:tc>
        <w:tc>
          <w:tcPr/>
          <w:p>
            <w:pPr>
              <w:pStyle w:val="Compact"/>
              <w:jc w:val="left"/>
            </w:pPr>
            <w:r>
              <w:t xml:space="preserve">Pattern-based pub/sub + SSE streaming</w:t>
            </w:r>
          </w:p>
        </w:tc>
        <w:tc>
          <w:tcPr/>
          <w:p>
            <w:pPr>
              <w:pStyle w:val="Compact"/>
              <w:jc w:val="left"/>
            </w:pPr>
            <w:r>
              <w:t xml:space="preserve">Real-time agent coordination</w:t>
            </w:r>
          </w:p>
        </w:tc>
      </w:tr>
    </w:tbl>
    <w:p>
      <w:pPr>
        <w:pStyle w:val="BodyText"/>
      </w:pPr>
      <w:r>
        <w:rPr>
          <w:bCs/>
          <w:b/>
        </w:rPr>
        <w:t xml:space="preserve">Key CLI commands:</w:t>
      </w:r>
    </w:p>
    <w:p>
      <w:pPr>
        <w:pStyle w:val="SourceCode"/>
      </w:pPr>
      <w:r>
        <w:rPr>
          <w:rStyle w:val="VerbatimChar"/>
        </w:rPr>
        <w:t xml:space="preserve">dws agents                              # List all agents (JSON)</w:t>
      </w:r>
      <w:r>
        <w:br/>
      </w:r>
      <w:r>
        <w:rPr>
          <w:rStyle w:val="VerbatimChar"/>
        </w:rPr>
        <w:t xml:space="preserve">dws run compliance --input '{"reg":"CSRD"}'  # Execute agent</w:t>
      </w:r>
      <w:r>
        <w:br/>
      </w:r>
      <w:r>
        <w:rPr>
          <w:rStyle w:val="VerbatimChar"/>
        </w:rPr>
        <w:t xml:space="preserve">dws discover carbon                      # Find agents by capability</w:t>
      </w:r>
      <w:r>
        <w:br/>
      </w:r>
      <w:r>
        <w:rPr>
          <w:rStyle w:val="VerbatimChar"/>
        </w:rPr>
        <w:t xml:space="preserve">dws workflow compliance-assessment       # Multi-agent workflow</w:t>
      </w:r>
    </w:p>
    <w:bookmarkEnd w:id="167"/>
    <w:bookmarkStart w:id="168" w:name="Xf75d4621e92dda4e0d054559ed84a4ef0c794d9"/>
    <w:p>
      <w:pPr>
        <w:pStyle w:val="Heading4"/>
      </w:pPr>
      <w:r>
        <w:t xml:space="preserve">10.9.3 EU AI Act Article 12 Compliance via Loop Logging</w:t>
      </w:r>
    </w:p>
    <w:p>
      <w:pPr>
        <w:pStyle w:val="FirstParagraph"/>
      </w:pPr>
      <w:r>
        <w:t xml:space="preserve">The agentic loop architecture inherently satisfies Article 12’s automatic logging requirement. Each loop iteration records:</w:t>
      </w:r>
    </w:p>
    <w:p>
      <w:pPr>
        <w:numPr>
          <w:ilvl w:val="0"/>
          <w:numId w:val="1059"/>
        </w:numPr>
        <w:pStyle w:val="Compact"/>
      </w:pPr>
      <w:r>
        <w:rPr>
          <w:bCs/>
          <w:b/>
        </w:rPr>
        <w:t xml:space="preserve">Observation:</w:t>
      </w:r>
      <w:r>
        <w:t xml:space="preserve"> </w:t>
      </w:r>
      <w:r>
        <w:t xml:space="preserve">What the agent perceived</w:t>
      </w:r>
    </w:p>
    <w:p>
      <w:pPr>
        <w:numPr>
          <w:ilvl w:val="0"/>
          <w:numId w:val="1059"/>
        </w:numPr>
        <w:pStyle w:val="Compact"/>
      </w:pPr>
      <w:r>
        <w:rPr>
          <w:bCs/>
          <w:b/>
        </w:rPr>
        <w:t xml:space="preserve">Thought:</w:t>
      </w:r>
      <w:r>
        <w:t xml:space="preserve"> </w:t>
      </w:r>
      <w:r>
        <w:t xml:space="preserve">The LLM’s reasoning (token-level)</w:t>
      </w:r>
    </w:p>
    <w:p>
      <w:pPr>
        <w:numPr>
          <w:ilvl w:val="0"/>
          <w:numId w:val="1059"/>
        </w:numPr>
        <w:pStyle w:val="Compact"/>
      </w:pPr>
      <w:r>
        <w:rPr>
          <w:bCs/>
          <w:b/>
        </w:rPr>
        <w:t xml:space="preserve">Actions:</w:t>
      </w:r>
      <w:r>
        <w:t xml:space="preserve"> </w:t>
      </w:r>
      <w:r>
        <w:t xml:space="preserve">Tool calls made (with arguments)</w:t>
      </w:r>
    </w:p>
    <w:p>
      <w:pPr>
        <w:numPr>
          <w:ilvl w:val="0"/>
          <w:numId w:val="1059"/>
        </w:numPr>
        <w:pStyle w:val="Compact"/>
      </w:pPr>
      <w:r>
        <w:rPr>
          <w:bCs/>
          <w:b/>
        </w:rPr>
        <w:t xml:space="preserve">Results:</w:t>
      </w:r>
      <w:r>
        <w:t xml:space="preserve"> </w:t>
      </w:r>
      <w:r>
        <w:t xml:space="preserve">Tool outputs returned</w:t>
      </w:r>
    </w:p>
    <w:p>
      <w:pPr>
        <w:numPr>
          <w:ilvl w:val="0"/>
          <w:numId w:val="1059"/>
        </w:numPr>
        <w:pStyle w:val="Compact"/>
      </w:pPr>
      <w:r>
        <w:rPr>
          <w:bCs/>
          <w:b/>
        </w:rPr>
        <w:t xml:space="preserve">Timestamp and duration:</w:t>
      </w:r>
      <w:r>
        <w:t xml:space="preserve"> </w:t>
      </w:r>
      <w:r>
        <w:t xml:space="preserve">Per-iteration timing</w:t>
      </w:r>
    </w:p>
    <w:p>
      <w:pPr>
        <w:pStyle w:val="FirstParagraph"/>
      </w:pPr>
      <w:r>
        <w:t xml:space="preserve">These are persisted to the</w:t>
      </w:r>
      <w:r>
        <w:t xml:space="preserve"> </w:t>
      </w:r>
      <w:r>
        <w:rPr>
          <w:rStyle w:val="VerbatimChar"/>
        </w:rPr>
        <w:t xml:space="preserve">agent_loop_iterations</w:t>
      </w:r>
      <w:r>
        <w:t xml:space="preserve"> </w:t>
      </w:r>
      <w:r>
        <w:t xml:space="preserve">Supabase table, creating a complete reasoning lineage from input to output — a requirement that single-shot architectures cannot fulfill.</w:t>
      </w:r>
    </w:p>
    <w:bookmarkEnd w:id="168"/>
    <w:bookmarkStart w:id="169" w:name="research-contribution-2"/>
    <w:p>
      <w:pPr>
        <w:pStyle w:val="Heading4"/>
      </w:pPr>
      <w:r>
        <w:t xml:space="preserve">10.9.4 Research Contribution</w:t>
      </w:r>
    </w:p>
    <w:p>
      <w:pPr>
        <w:pStyle w:val="FirstParagraph"/>
      </w:pPr>
      <w:r>
        <w:t xml:space="preserve">This modernization validates two thesis hypotheses:</w:t>
      </w:r>
    </w:p>
    <w:p>
      <w:pPr>
        <w:numPr>
          <w:ilvl w:val="0"/>
          <w:numId w:val="1060"/>
        </w:numPr>
      </w:pPr>
      <w:r>
        <w:rPr>
          <w:bCs/>
          <w:b/>
        </w:rPr>
        <w:t xml:space="preserve">Solution Factory replicability (Section 4.1):</w:t>
      </w:r>
      <w:r>
        <w:t xml:space="preserve"> </w:t>
      </w:r>
      <w:r>
        <w:t xml:space="preserve">The entire six-fix modernization was designed, implemented, and documented in a single AI-assisted session — demonstrating that the Firehorse operating model scales to architectural refactoring, not just product catalog management.</w:t>
      </w:r>
    </w:p>
    <w:p>
      <w:pPr>
        <w:numPr>
          <w:ilvl w:val="0"/>
          <w:numId w:val="1060"/>
        </w:numPr>
      </w:pPr>
      <w:r>
        <w:rPr>
          <w:bCs/>
          <w:b/>
        </w:rPr>
        <w:t xml:space="preserve">Lifetime Scope Signals evolution (Section 2.5.2):</w:t>
      </w:r>
      <w:r>
        <w:t xml:space="preserve"> </w:t>
      </w:r>
      <w:r>
        <w:t xml:space="preserve">The event bus (</w:t>
      </w:r>
      <w:r>
        <w:rPr>
          <w:rStyle w:val="VerbatimChar"/>
        </w:rPr>
        <w:t xml:space="preserve">event-bus.ts</w:t>
      </w:r>
      <w:r>
        <w:t xml:space="preserve">) is the production implementation of the theoretical signal emission protocol. Agents emit structured events (</w:t>
      </w:r>
      <w:r>
        <w:rPr>
          <w:rStyle w:val="VerbatimChar"/>
        </w:rPr>
        <w:t xml:space="preserve">agent.execution_complete</w:t>
      </w:r>
      <w:r>
        <w:t xml:space="preserve">,</w:t>
      </w:r>
      <w:r>
        <w:t xml:space="preserve"> </w:t>
      </w:r>
      <w:r>
        <w:rPr>
          <w:rStyle w:val="VerbatimChar"/>
        </w:rPr>
        <w:t xml:space="preserve">compliance.check_passed</w:t>
      </w:r>
      <w:r>
        <w:t xml:space="preserve">) that other agents subscribe to — exactly the</w:t>
      </w:r>
      <w:r>
        <w:t xml:space="preserve"> </w:t>
      </w:r>
      <w:r>
        <w:t xml:space="preserve">“</w:t>
      </w:r>
      <w:r>
        <w:t xml:space="preserve">declarative signal emission</w:t>
      </w:r>
      <w:r>
        <w:t xml:space="preserve">”</w:t>
      </w:r>
      <w:r>
        <w:t xml:space="preserve"> </w:t>
      </w:r>
      <w:r>
        <w:t xml:space="preserve">pattern described in the V1.0 Agent Fleet specification.</w:t>
      </w:r>
    </w:p>
    <w:p>
      <w:r>
        <w:pict>
          <v:rect style="width:0;height:1.5pt" o:hralign="center" o:hrstd="t" o:hr="t"/>
        </w:pict>
      </w:r>
    </w:p>
    <w:bookmarkEnd w:id="169"/>
    <w:bookmarkEnd w:id="170"/>
    <w:bookmarkEnd w:id="171"/>
    <w:bookmarkStart w:id="180" w:name="Xe5095942b829afa9809ccb9df6d03fac1df0179"/>
    <w:p>
      <w:pPr>
        <w:pStyle w:val="Heading2"/>
      </w:pPr>
      <w:r>
        <w:t xml:space="preserve">10.10 Agent Foundry Stage 1.5: OpenSandbox on Acer Veriton GN100</w:t>
      </w:r>
    </w:p>
    <w:p>
      <w:pPr>
        <w:pStyle w:val="FirstParagraph"/>
      </w:pPr>
      <w:r>
        <w:rPr>
          <w:iCs/>
          <w:i/>
        </w:rPr>
        <w:t xml:space="preserve">Session: claude/sandbox-agents-opensandbox-HatfC | Date: 01.03.2026</w:t>
      </w:r>
    </w:p>
    <w:bookmarkStart w:id="172" w:name="background-1"/>
    <w:p>
      <w:pPr>
        <w:pStyle w:val="Heading3"/>
      </w:pPr>
      <w:r>
        <w:t xml:space="preserve">10.10.1 Background</w:t>
      </w:r>
    </w:p>
    <w:p>
      <w:pPr>
        <w:pStyle w:val="FirstParagraph"/>
      </w:pPr>
      <w:r>
        <w:t xml:space="preserve">The DWS IQ 6 Agent Foundry required an intermediate isolation layer between Stage 1 (Anthropic SDK sandbox, demo-grade) and Stage 2 (Cloud Run ephemeral containers, paid multi-tenant). Stage 1.5 fills this gap with</w:t>
      </w:r>
      <w:r>
        <w:t xml:space="preserve"> </w:t>
      </w:r>
      <w:r>
        <w:rPr>
          <w:bCs/>
          <w:b/>
        </w:rPr>
        <w:t xml:space="preserve">OpenSandbox</w:t>
      </w:r>
      <w:r>
        <w:t xml:space="preserve"> </w:t>
      </w:r>
      <w:r>
        <w:t xml:space="preserve">(https://github.com/alibaba/OpenSandbox) running on the</w:t>
      </w:r>
      <w:r>
        <w:t xml:space="preserve"> </w:t>
      </w:r>
      <w:r>
        <w:rPr>
          <w:bCs/>
          <w:b/>
        </w:rPr>
        <w:t xml:space="preserve">Acer Veriton GN100</w:t>
      </w:r>
      <w:r>
        <w:t xml:space="preserve"> </w:t>
      </w:r>
      <w:r>
        <w:t xml:space="preserve">edge node (120 GiB RAM, 20 cores, Helsinki Lab).</w:t>
      </w:r>
    </w:p>
    <w:bookmarkEnd w:id="172"/>
    <w:bookmarkStart w:id="173" w:name="stage-progression"/>
    <w:p>
      <w:pPr>
        <w:pStyle w:val="Heading3"/>
      </w:pPr>
      <w:r>
        <w:t xml:space="preserve">10.10.2 Stage Progression</w:t>
      </w:r>
    </w:p>
    <w:tbl>
      <w:tblPr>
        <w:tblStyle w:val="Table"/>
        <w:tblW w:type="pct" w:w="5000"/>
        <w:tblLook w:firstRow="1" w:lastRow="0" w:firstColumn="0" w:lastColumn="0" w:noHBand="0" w:noVBand="0" w:val="0020"/>
        <w:jc w:val="start"/>
      </w:tblPr>
      <w:tblGrid>
        <w:gridCol w:w="1409"/>
        <w:gridCol w:w="3154"/>
        <w:gridCol w:w="2282"/>
        <w:gridCol w:w="1073"/>
      </w:tblGrid>
      <w:tr>
        <w:trPr>
          <w:tblHeader w:val="true"/>
        </w:trPr>
        <w:tc>
          <w:tcPr/>
          <w:p>
            <w:pPr>
              <w:pStyle w:val="Compact"/>
              <w:jc w:val="left"/>
            </w:pPr>
            <w:r>
              <w:t xml:space="preserve">Stage</w:t>
            </w:r>
          </w:p>
        </w:tc>
        <w:tc>
          <w:tcPr/>
          <w:p>
            <w:pPr>
              <w:pStyle w:val="Compact"/>
              <w:jc w:val="left"/>
            </w:pPr>
            <w:r>
              <w:t xml:space="preserve">Isolation Method</w:t>
            </w:r>
          </w:p>
        </w:tc>
        <w:tc>
          <w:tcPr/>
          <w:p>
            <w:pPr>
              <w:pStyle w:val="Compact"/>
              <w:jc w:val="left"/>
            </w:pPr>
            <w:r>
              <w:t xml:space="preserve">Best For</w:t>
            </w:r>
          </w:p>
        </w:tc>
        <w:tc>
          <w:tcPr/>
          <w:p>
            <w:pPr>
              <w:pStyle w:val="Compact"/>
              <w:jc w:val="left"/>
            </w:pPr>
            <w:r>
              <w:t xml:space="preserve">Cost</w:t>
            </w:r>
          </w:p>
        </w:tc>
      </w:tr>
      <w:tr>
        <w:tc>
          <w:tcPr/>
          <w:p>
            <w:pPr>
              <w:pStyle w:val="Compact"/>
              <w:jc w:val="left"/>
            </w:pPr>
            <w:r>
              <w:t xml:space="preserve">1 — SDK Sandbox</w:t>
            </w:r>
          </w:p>
        </w:tc>
        <w:tc>
          <w:tcPr/>
          <w:p>
            <w:pPr>
              <w:pStyle w:val="Compact"/>
              <w:jc w:val="left"/>
            </w:pPr>
            <w:r>
              <w:t xml:space="preserve">Anthropic Agent SDK (bubblewrap/seatbelt)</w:t>
            </w:r>
          </w:p>
        </w:tc>
        <w:tc>
          <w:tcPr/>
          <w:p>
            <w:pPr>
              <w:pStyle w:val="Compact"/>
              <w:jc w:val="left"/>
            </w:pPr>
            <w:r>
              <w:t xml:space="preserve">Demo, single-tenant pilots</w:t>
            </w:r>
          </w:p>
        </w:tc>
        <w:tc>
          <w:tcPr/>
          <w:p>
            <w:pPr>
              <w:pStyle w:val="Compact"/>
              <w:jc w:val="left"/>
            </w:pPr>
            <w:r>
              <w:t xml:space="preserve">€0</w:t>
            </w:r>
          </w:p>
        </w:tc>
      </w:tr>
      <w:tr>
        <w:tc>
          <w:tcPr/>
          <w:p>
            <w:pPr>
              <w:pStyle w:val="Compact"/>
              <w:jc w:val="left"/>
            </w:pPr>
            <w:r>
              <w:rPr>
                <w:bCs/>
                <w:b/>
              </w:rPr>
              <w:t xml:space="preserve">1.5 — OpenSandbox</w:t>
            </w:r>
          </w:p>
        </w:tc>
        <w:tc>
          <w:tcPr/>
          <w:p>
            <w:pPr>
              <w:pStyle w:val="Compact"/>
              <w:jc w:val="left"/>
            </w:pPr>
            <w:r>
              <w:rPr>
                <w:bCs/>
                <w:b/>
              </w:rPr>
              <w:t xml:space="preserve">Docker on Acer Veriton GN100 (Helsinki Lab)</w:t>
            </w:r>
          </w:p>
        </w:tc>
        <w:tc>
          <w:tcPr/>
          <w:p>
            <w:pPr>
              <w:pStyle w:val="Compact"/>
              <w:jc w:val="left"/>
            </w:pPr>
            <w:r>
              <w:rPr>
                <w:bCs/>
                <w:b/>
              </w:rPr>
              <w:t xml:space="preserve">EU air-gapped, internal pilots</w:t>
            </w:r>
          </w:p>
        </w:tc>
        <w:tc>
          <w:tcPr/>
          <w:p>
            <w:pPr>
              <w:pStyle w:val="Compact"/>
              <w:jc w:val="left"/>
            </w:pPr>
            <w:r>
              <w:rPr>
                <w:bCs/>
                <w:b/>
              </w:rPr>
              <w:t xml:space="preserve">€0 (HW only)</w:t>
            </w:r>
          </w:p>
        </w:tc>
      </w:tr>
      <w:tr>
        <w:tc>
          <w:tcPr/>
          <w:p>
            <w:pPr>
              <w:pStyle w:val="Compact"/>
              <w:jc w:val="left"/>
            </w:pPr>
            <w:r>
              <w:t xml:space="preserve">2 — Cloud Run</w:t>
            </w:r>
          </w:p>
        </w:tc>
        <w:tc>
          <w:tcPr/>
          <w:p>
            <w:pPr>
              <w:pStyle w:val="Compact"/>
              <w:jc w:val="left"/>
            </w:pPr>
            <w:r>
              <w:t xml:space="preserve">Ephemeral containers (europe-north1)</w:t>
            </w:r>
          </w:p>
        </w:tc>
        <w:tc>
          <w:tcPr/>
          <w:p>
            <w:pPr>
              <w:pStyle w:val="Compact"/>
              <w:jc w:val="left"/>
            </w:pPr>
            <w:r>
              <w:t xml:space="preserve">Paid multi-tenant</w:t>
            </w:r>
          </w:p>
        </w:tc>
        <w:tc>
          <w:tcPr/>
          <w:p>
            <w:pPr>
              <w:pStyle w:val="Compact"/>
              <w:jc w:val="left"/>
            </w:pPr>
            <w:r>
              <w:t xml:space="preserve">~€20-50/mo</w:t>
            </w:r>
          </w:p>
        </w:tc>
      </w:tr>
      <w:tr>
        <w:tc>
          <w:tcPr/>
          <w:p>
            <w:pPr>
              <w:pStyle w:val="Compact"/>
              <w:jc w:val="left"/>
            </w:pPr>
            <w:r>
              <w:t xml:space="preserve">3 — Persistent</w:t>
            </w:r>
          </w:p>
        </w:tc>
        <w:tc>
          <w:tcPr/>
          <w:p>
            <w:pPr>
              <w:pStyle w:val="Compact"/>
              <w:jc w:val="left"/>
            </w:pPr>
            <w:r>
              <w:t xml:space="preserve">gVisor/Firecracker per tenant</w:t>
            </w:r>
          </w:p>
        </w:tc>
        <w:tc>
          <w:tcPr/>
          <w:p>
            <w:pPr>
              <w:pStyle w:val="Compact"/>
              <w:jc w:val="left"/>
            </w:pPr>
            <w:r>
              <w:t xml:space="preserve">Scale (€50k+ MRR)</w:t>
            </w:r>
          </w:p>
        </w:tc>
        <w:tc>
          <w:tcPr/>
          <w:p>
            <w:pPr>
              <w:pStyle w:val="Compact"/>
              <w:jc w:val="left"/>
            </w:pPr>
            <w:r>
              <w:t xml:space="preserve">€200+/mo</w:t>
            </w:r>
          </w:p>
        </w:tc>
      </w:tr>
    </w:tbl>
    <w:p>
      <w:pPr>
        <w:pStyle w:val="BodyText"/>
      </w:pPr>
      <w:r>
        <w:t xml:space="preserve">Activation:</w:t>
      </w:r>
      <w:r>
        <w:t xml:space="preserve"> </w:t>
      </w:r>
      <w:r>
        <w:rPr>
          <w:rStyle w:val="VerbatimChar"/>
        </w:rPr>
        <w:t xml:space="preserve">SANDBOX_STAGE=opensandbox</w:t>
      </w:r>
      <w:r>
        <w:t xml:space="preserve"> </w:t>
      </w:r>
      <w:r>
        <w:t xml:space="preserve">+</w:t>
      </w:r>
      <w:r>
        <w:t xml:space="preserve"> </w:t>
      </w:r>
      <w:r>
        <w:rPr>
          <w:rStyle w:val="VerbatimChar"/>
        </w:rPr>
        <w:t xml:space="preserve">OPENSANDBOX_HOST=http://&lt;veriton-ip&gt;:8080</w:t>
      </w:r>
    </w:p>
    <w:bookmarkEnd w:id="173"/>
    <w:bookmarkStart w:id="174" w:name="opensandbox-architecture"/>
    <w:p>
      <w:pPr>
        <w:pStyle w:val="Heading3"/>
      </w:pPr>
      <w:r>
        <w:t xml:space="preserve">10.10.3 OpenSandbox Architecture</w:t>
      </w:r>
    </w:p>
    <w:p>
      <w:pPr>
        <w:pStyle w:val="FirstParagraph"/>
      </w:pPr>
      <w:r>
        <w:t xml:space="preserve">OpenSandbox provides Docker-based isolation with a TypeScript SDK and a REST API server. Each agent task creates a dedicated ephemeral container, executes within it, and the container is destroyed upon completion:</w:t>
      </w:r>
    </w:p>
    <w:p>
      <w:pPr>
        <w:pStyle w:val="SourceCode"/>
      </w:pPr>
      <w:r>
        <w:rPr>
          <w:rStyle w:val="VerbatimChar"/>
        </w:rPr>
        <w:t xml:space="preserve">DWS Express Backend (EU Cloud Run)</w:t>
      </w:r>
      <w:r>
        <w:br/>
      </w:r>
      <w:r>
        <w:rPr>
          <w:rStyle w:val="VerbatimChar"/>
        </w:rPr>
        <w:t xml:space="preserve">  └── OpenSandboxClient (src/sandbox/opensandbox.ts)</w:t>
      </w:r>
      <w:r>
        <w:br/>
      </w:r>
      <w:r>
        <w:rPr>
          <w:rStyle w:val="VerbatimChar"/>
        </w:rPr>
        <w:t xml:space="preserve">        └── OpenSandbox REST API (:8080)</w:t>
      </w:r>
      <w:r>
        <w:br/>
      </w:r>
      <w:r>
        <w:rPr>
          <w:rStyle w:val="VerbatimChar"/>
        </w:rPr>
        <w:t xml:space="preserve">              └── Docker Containers (Acer Veriton GN100, Helsinki Lab)</w:t>
      </w:r>
      <w:r>
        <w:br/>
      </w:r>
      <w:r>
        <w:rPr>
          <w:rStyle w:val="VerbatimChar"/>
        </w:rPr>
        <w:t xml:space="preserve">                    └── Agent task (ephemeral, destroyed post-execution)</w:t>
      </w:r>
    </w:p>
    <w:p>
      <w:pPr>
        <w:pStyle w:val="FirstParagraph"/>
      </w:pPr>
      <w:r>
        <w:t xml:space="preserve">Security properties: filesystem isolation per task, network egress deny-by-default with explicit domain allow-list (</w:t>
      </w:r>
      <w:r>
        <w:rPr>
          <w:rStyle w:val="VerbatimChar"/>
        </w:rPr>
        <w:t xml:space="preserve">api.anthropic.com</w:t>
      </w:r>
      <w:r>
        <w:t xml:space="preserve">,</w:t>
      </w:r>
      <w:r>
        <w:t xml:space="preserve"> </w:t>
      </w:r>
      <w:r>
        <w:rPr>
          <w:rStyle w:val="VerbatimChar"/>
        </w:rPr>
        <w:t xml:space="preserve">api.groq.com</w:t>
      </w:r>
      <w:r>
        <w:t xml:space="preserve">, MCP Hub), EU data residency enforced at hardware level.</w:t>
      </w:r>
    </w:p>
    <w:bookmarkEnd w:id="174"/>
    <w:bookmarkStart w:id="175" w:name="agent-memory-empo²-arxiv2602.23008"/>
    <w:p>
      <w:pPr>
        <w:pStyle w:val="Heading3"/>
      </w:pPr>
      <w:r>
        <w:t xml:space="preserve">10.10.4 Agent Memory: EMPO² (arXiv:2602.23008)</w:t>
      </w:r>
    </w:p>
    <w:p>
      <w:pPr>
        <w:pStyle w:val="FirstParagraph"/>
      </w:pPr>
      <w:r>
        <w:t xml:space="preserve">The OpenSandbox integration coincides with important new research on agent memory. The paper</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February 2026) proposes a hybrid RL framework that addresses the core bottleneck of LLM agent training:</w:t>
      </w:r>
      <w:r>
        <w:t xml:space="preserve"> </w:t>
      </w:r>
      <w:r>
        <w:rPr>
          <w:bCs/>
          <w:b/>
        </w:rPr>
        <w:t xml:space="preserve">exploration in novel environments</w:t>
      </w:r>
      <w:r>
        <w:t xml:space="preserve">.</w:t>
      </w:r>
    </w:p>
    <w:p>
      <w:pPr>
        <w:pStyle w:val="BodyText"/>
      </w:pPr>
      <w:r>
        <w:rPr>
          <w:bCs/>
          <w:b/>
        </w:rPr>
        <w:t xml:space="preserve">EMPO² dual-update mechanism:</w:t>
      </w:r>
    </w:p>
    <w:p>
      <w:pPr>
        <w:numPr>
          <w:ilvl w:val="0"/>
          <w:numId w:val="1061"/>
        </w:numPr>
        <w:pStyle w:val="Compact"/>
      </w:pPr>
      <w:r>
        <w:rPr>
          <w:bCs/>
          <w:b/>
        </w:rPr>
        <w:t xml:space="preserve">Parametric updates</w:t>
      </w:r>
      <w:r>
        <w:t xml:space="preserve"> </w:t>
      </w:r>
      <w:r>
        <w:t xml:space="preserve">(RL): fine-tunes model weights using on/off-policy rollouts</w:t>
      </w:r>
    </w:p>
    <w:p>
      <w:pPr>
        <w:numPr>
          <w:ilvl w:val="0"/>
          <w:numId w:val="1061"/>
        </w:numPr>
        <w:pStyle w:val="Compact"/>
      </w:pPr>
      <w:r>
        <w:rPr>
          <w:bCs/>
          <w:b/>
        </w:rPr>
        <w:t xml:space="preserve">Non-parametric updates</w:t>
      </w:r>
      <w:r>
        <w:t xml:space="preserve"> </w:t>
      </w:r>
      <w:r>
        <w:t xml:space="preserve">(memory): stores and retrieves task-specific</w:t>
      </w:r>
      <w:r>
        <w:t xml:space="preserve"> </w:t>
      </w:r>
      <w:r>
        <w:t xml:space="preserve">“</w:t>
      </w:r>
      <w:r>
        <w:t xml:space="preserve">tips</w:t>
      </w:r>
      <w:r>
        <w:t xml:space="preserve">”</w:t>
      </w:r>
      <w:r>
        <w:t xml:space="preserve"> </w:t>
      </w:r>
      <w:r>
        <w:t xml:space="preserve">from a memory buffer during rollouts</w:t>
      </w:r>
    </w:p>
    <w:p>
      <w:pPr>
        <w:numPr>
          <w:ilvl w:val="0"/>
          <w:numId w:val="1061"/>
        </w:numPr>
        <w:pStyle w:val="Compact"/>
      </w:pPr>
      <w:r>
        <w:rPr>
          <w:bCs/>
          <w:b/>
        </w:rPr>
        <w:t xml:space="preserve">Two rollout modes</w:t>
      </w:r>
      <w:r>
        <w:t xml:space="preserve">: with memory (retrieval-augmented) and without memory (parametric only)</w:t>
      </w:r>
    </w:p>
    <w:p>
      <w:pPr>
        <w:numPr>
          <w:ilvl w:val="0"/>
          <w:numId w:val="1061"/>
        </w:numPr>
        <w:pStyle w:val="Compact"/>
      </w:pPr>
      <w:r>
        <w:rPr>
          <w:bCs/>
          <w:b/>
        </w:rPr>
        <w:t xml:space="preserve">Two update modes</w:t>
      </w:r>
      <w:r>
        <w:t xml:space="preserve">: on-policy (tips retained during update) and off-policy (tips removed during update)</w:t>
      </w:r>
    </w:p>
    <w:p>
      <w:pPr>
        <w:pStyle w:val="FirstParagraph"/>
      </w:pPr>
      <w:r>
        <w:rPr>
          <w:bCs/>
          <w:b/>
        </w:rPr>
        <w:t xml:space="preserve">Results:</w:t>
      </w:r>
      <w:r>
        <w:t xml:space="preserve"> </w:t>
      </w:r>
      <w:r>
        <w:t xml:space="preserve">128.6% improvement over GRPO on ScienceWorld, 11.3% on WebShop, with superior out-of-distribution generalization requiring only a few memory trials (no parameter updates) for new tasks.</w:t>
      </w:r>
    </w:p>
    <w:p>
      <w:pPr>
        <w:pStyle w:val="BodyText"/>
      </w:pPr>
      <w:r>
        <w:rPr>
          <w:bCs/>
          <w:b/>
        </w:rPr>
        <w:t xml:space="preserve">Relevance to DWS IQ 6 / Lifetime World Model:</w:t>
      </w:r>
    </w:p>
    <w:p>
      <w:pPr>
        <w:pStyle w:val="BodyText"/>
      </w:pPr>
      <w:r>
        <w:t xml:space="preserve">The DWS Lifetime World Model (LWM) already combines both memory types theoretically proposed by EMPO²:</w:t>
      </w:r>
    </w:p>
    <w:tbl>
      <w:tblPr>
        <w:tblStyle w:val="Table"/>
        <w:tblW w:type="pct" w:w="5000"/>
        <w:tblLook w:firstRow="1" w:lastRow="0" w:firstColumn="0" w:lastColumn="0" w:noHBand="0" w:noVBand="0" w:val="0020"/>
        <w:jc w:val="start"/>
      </w:tblPr>
      <w:tblGrid>
        <w:gridCol w:w="2278"/>
        <w:gridCol w:w="5641"/>
      </w:tblGrid>
      <w:tr>
        <w:trPr>
          <w:tblHeader w:val="true"/>
        </w:trPr>
        <w:tc>
          <w:tcPr/>
          <w:p>
            <w:pPr>
              <w:pStyle w:val="Compact"/>
              <w:jc w:val="left"/>
            </w:pPr>
            <w:r>
              <w:t xml:space="preserve">EMPO² Component</w:t>
            </w:r>
          </w:p>
        </w:tc>
        <w:tc>
          <w:tcPr/>
          <w:p>
            <w:pPr>
              <w:pStyle w:val="Compact"/>
              <w:jc w:val="left"/>
            </w:pPr>
            <w:r>
              <w:t xml:space="preserve">DWS LWM Equivalent</w:t>
            </w:r>
          </w:p>
        </w:tc>
      </w:tr>
      <w:tr>
        <w:tc>
          <w:tcPr/>
          <w:p>
            <w:pPr>
              <w:pStyle w:val="Compact"/>
              <w:jc w:val="left"/>
            </w:pPr>
            <w:r>
              <w:t xml:space="preserve">Parametric memory</w:t>
            </w:r>
          </w:p>
        </w:tc>
        <w:tc>
          <w:tcPr/>
          <w:p>
            <w:pPr>
              <w:pStyle w:val="Compact"/>
              <w:jc w:val="left"/>
            </w:pPr>
            <w:r>
              <w:t xml:space="preserve">Fine-tuned LLM (QLoRA, Acer Veriton GN100)</w:t>
            </w:r>
          </w:p>
        </w:tc>
      </w:tr>
      <w:tr>
        <w:tc>
          <w:tcPr/>
          <w:p>
            <w:pPr>
              <w:pStyle w:val="Compact"/>
              <w:jc w:val="left"/>
            </w:pPr>
            <w:r>
              <w:t xml:space="preserve">Non-parametric memory</w:t>
            </w:r>
          </w:p>
        </w:tc>
        <w:tc>
          <w:tcPr/>
          <w:p>
            <w:pPr>
              <w:pStyle w:val="Compact"/>
              <w:jc w:val="left"/>
            </w:pPr>
            <w:r>
              <w:t xml:space="preserve">RAG over enterprise data + EU regulations (pgvector)</w:t>
            </w:r>
          </w:p>
        </w:tc>
      </w:tr>
      <w:tr>
        <w:tc>
          <w:tcPr/>
          <w:p>
            <w:pPr>
              <w:pStyle w:val="Compact"/>
              <w:jc w:val="left"/>
            </w:pPr>
            <w:r>
              <w:t xml:space="preserve">Memory buffer</w:t>
            </w:r>
          </w:p>
        </w:tc>
        <w:tc>
          <w:tcPr/>
          <w:p>
            <w:pPr>
              <w:pStyle w:val="Compact"/>
              <w:jc w:val="left"/>
            </w:pPr>
            <w:r>
              <w:t xml:space="preserve">Supabase</w:t>
            </w:r>
            <w:r>
              <w:t xml:space="preserve"> </w:t>
            </w:r>
            <w:r>
              <w:rPr>
                <w:rStyle w:val="VerbatimChar"/>
              </w:rPr>
              <w:t xml:space="preserve">agent_loop_iterations</w:t>
            </w:r>
            <w:r>
              <w:t xml:space="preserve"> </w:t>
            </w:r>
            <w:r>
              <w:t xml:space="preserve">table</w:t>
            </w:r>
          </w:p>
        </w:tc>
      </w:tr>
      <w:tr>
        <w:tc>
          <w:tcPr/>
          <w:p>
            <w:pPr>
              <w:pStyle w:val="Compact"/>
              <w:jc w:val="left"/>
            </w:pPr>
            <w:r>
              <w:t xml:space="preserve">Tip retrieval</w:t>
            </w:r>
          </w:p>
        </w:tc>
        <w:tc>
          <w:tcPr/>
          <w:p>
            <w:pPr>
              <w:pStyle w:val="Compact"/>
              <w:jc w:val="left"/>
            </w:pPr>
            <w:r>
              <w:t xml:space="preserve">Context injection from Compliance/Carbon databases</w:t>
            </w:r>
          </w:p>
        </w:tc>
      </w:tr>
    </w:tbl>
    <w:p>
      <w:pPr>
        <w:pStyle w:val="BodyText"/>
      </w:pPr>
      <w:r>
        <w:t xml:space="preserve">The EMPO² finding —</w:t>
      </w:r>
      <w:r>
        <w:t xml:space="preserve"> </w:t>
      </w:r>
      <w:r>
        <w:rPr>
          <w:iCs/>
          <w:i/>
        </w:rPr>
        <w:t xml:space="preserve">“</w:t>
      </w:r>
      <w:r>
        <w:rPr>
          <w:iCs/>
          <w:i/>
        </w:rPr>
        <w:t xml:space="preserve">learning with memory enables models to become robust both with and without memory at inference time</w:t>
      </w:r>
      <w:r>
        <w:rPr>
          <w:iCs/>
          <w:i/>
        </w:rPr>
        <w:t xml:space="preserve">”</w:t>
      </w:r>
      <w:r>
        <w:t xml:space="preserve"> </w:t>
      </w:r>
      <w:r>
        <w:t xml:space="preserve">— validates the DWS strategy of progressively embedding domain knowledge into model weights via QLoRA fine-tuning on the Acer Veriton, while maintaining non-parametric retrieval as a real-time fallback.</w:t>
      </w:r>
    </w:p>
    <w:p>
      <w:pPr>
        <w:pStyle w:val="BodyText"/>
      </w:pPr>
      <w:r>
        <w:t xml:space="preserve">The OpenSandbox environment on the Acer Veriton GN100 now serves both roles:</w:t>
      </w:r>
      <w:r>
        <w:t xml:space="preserve"> </w:t>
      </w:r>
      <w:r>
        <w:rPr>
          <w:bCs/>
          <w:b/>
        </w:rPr>
        <w:t xml:space="preserve">EMPO²-style RL training sandbox</w:t>
      </w:r>
      <w:r>
        <w:t xml:space="preserve"> </w:t>
      </w:r>
      <w:r>
        <w:t xml:space="preserve">(isolated exploration environment) and</w:t>
      </w:r>
      <w:r>
        <w:t xml:space="preserve"> </w:t>
      </w:r>
      <w:r>
        <w:rPr>
          <w:bCs/>
          <w:b/>
        </w:rPr>
        <w:t xml:space="preserve">production agent isolation runtime</w:t>
      </w:r>
      <w:r>
        <w:t xml:space="preserve"> </w:t>
      </w:r>
      <w:r>
        <w:t xml:space="preserve">(secure execution per task).</w:t>
      </w:r>
    </w:p>
    <w:bookmarkEnd w:id="175"/>
    <w:bookmarkStart w:id="176" w:name="mcp-integration"/>
    <w:p>
      <w:pPr>
        <w:pStyle w:val="Heading3"/>
      </w:pPr>
      <w:r>
        <w:t xml:space="preserve">10.10.5 MCP Integration</w:t>
      </w:r>
    </w:p>
    <w:p>
      <w:pPr>
        <w:pStyle w:val="FirstParagraph"/>
      </w:pPr>
      <w:r>
        <w:t xml:space="preserve">Six MCP tools expose OpenSandbox through the DWS MCP Hub (</w:t>
      </w:r>
      <w:r>
        <w:rPr>
          <w:rStyle w:val="VerbatimChar"/>
        </w:rPr>
        <w:t xml:space="preserve">/sandbox/*</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Purpose</w:t>
            </w:r>
          </w:p>
        </w:tc>
      </w:tr>
      <w:tr>
        <w:tc>
          <w:tcPr/>
          <w:p>
            <w:pPr>
              <w:pStyle w:val="Compact"/>
              <w:jc w:val="left"/>
            </w:pPr>
            <w:r>
              <w:rPr>
                <w:rStyle w:val="VerbatimChar"/>
              </w:rPr>
              <w:t xml:space="preserve">sandbox_create</w:t>
            </w:r>
          </w:p>
        </w:tc>
        <w:tc>
          <w:tcPr/>
          <w:p>
            <w:pPr>
              <w:pStyle w:val="Compact"/>
              <w:jc w:val="left"/>
            </w:pPr>
            <w:r>
              <w:t xml:space="preserve">Create isolated Docker container</w:t>
            </w:r>
          </w:p>
        </w:tc>
      </w:tr>
      <w:tr>
        <w:tc>
          <w:tcPr/>
          <w:p>
            <w:pPr>
              <w:pStyle w:val="Compact"/>
              <w:jc w:val="left"/>
            </w:pPr>
            <w:r>
              <w:rPr>
                <w:rStyle w:val="VerbatimChar"/>
              </w:rPr>
              <w:t xml:space="preserve">sandbox_execute</w:t>
            </w:r>
          </w:p>
        </w:tc>
        <w:tc>
          <w:tcPr/>
          <w:p>
            <w:pPr>
              <w:pStyle w:val="Compact"/>
              <w:jc w:val="left"/>
            </w:pPr>
            <w:r>
              <w:t xml:space="preserve">Run command inside sandbox</w:t>
            </w:r>
          </w:p>
        </w:tc>
      </w:tr>
      <w:tr>
        <w:tc>
          <w:tcPr/>
          <w:p>
            <w:pPr>
              <w:pStyle w:val="Compact"/>
              <w:jc w:val="left"/>
            </w:pPr>
            <w:r>
              <w:rPr>
                <w:rStyle w:val="VerbatimChar"/>
              </w:rPr>
              <w:t xml:space="preserve">sandbox_file_read</w:t>
            </w:r>
          </w:p>
        </w:tc>
        <w:tc>
          <w:tcPr/>
          <w:p>
            <w:pPr>
              <w:pStyle w:val="Compact"/>
              <w:jc w:val="left"/>
            </w:pPr>
            <w:r>
              <w:t xml:space="preserve">Read output artifacts</w:t>
            </w:r>
          </w:p>
        </w:tc>
      </w:tr>
      <w:tr>
        <w:tc>
          <w:tcPr/>
          <w:p>
            <w:pPr>
              <w:pStyle w:val="Compact"/>
              <w:jc w:val="left"/>
            </w:pPr>
            <w:r>
              <w:rPr>
                <w:rStyle w:val="VerbatimChar"/>
              </w:rPr>
              <w:t xml:space="preserve">sandbox_file_write</w:t>
            </w:r>
          </w:p>
        </w:tc>
        <w:tc>
          <w:tcPr/>
          <w:p>
            <w:pPr>
              <w:pStyle w:val="Compact"/>
              <w:jc w:val="left"/>
            </w:pPr>
            <w:r>
              <w:t xml:space="preserve">Write input/config files</w:t>
            </w:r>
          </w:p>
        </w:tc>
      </w:tr>
      <w:tr>
        <w:tc>
          <w:tcPr/>
          <w:p>
            <w:pPr>
              <w:pStyle w:val="Compact"/>
              <w:jc w:val="left"/>
            </w:pPr>
            <w:r>
              <w:rPr>
                <w:rStyle w:val="VerbatimChar"/>
              </w:rPr>
              <w:t xml:space="preserve">sandbox_destroy</w:t>
            </w:r>
          </w:p>
        </w:tc>
        <w:tc>
          <w:tcPr/>
          <w:p>
            <w:pPr>
              <w:pStyle w:val="Compact"/>
              <w:jc w:val="left"/>
            </w:pPr>
            <w:r>
              <w:t xml:space="preserve">Destroy sandbox (ephemeral)</w:t>
            </w:r>
          </w:p>
        </w:tc>
      </w:tr>
      <w:tr>
        <w:tc>
          <w:tcPr/>
          <w:p>
            <w:pPr>
              <w:pStyle w:val="Compact"/>
              <w:jc w:val="left"/>
            </w:pPr>
            <w:r>
              <w:rPr>
                <w:rStyle w:val="VerbatimChar"/>
              </w:rPr>
              <w:t xml:space="preserve">sandbox_ping</w:t>
            </w:r>
          </w:p>
        </w:tc>
        <w:tc>
          <w:tcPr/>
          <w:p>
            <w:pPr>
              <w:pStyle w:val="Compact"/>
              <w:jc w:val="left"/>
            </w:pPr>
            <w:r>
              <w:t xml:space="preserve">Health check Veriton connectivity</w:t>
            </w:r>
          </w:p>
        </w:tc>
      </w:tr>
    </w:tbl>
    <w:p>
      <w:pPr>
        <w:pStyle w:val="BodyText"/>
      </w:pPr>
      <w:r>
        <w:t xml:space="preserve">Claude Code and other MCP clients can now orchestrate agent sandboxes directly via natural language tool calls.</w:t>
      </w:r>
    </w:p>
    <w:bookmarkEnd w:id="176"/>
    <w:bookmarkStart w:id="178" w:name="research-contribution-3"/>
    <w:p>
      <w:pPr>
        <w:pStyle w:val="Heading3"/>
      </w:pPr>
      <w:r>
        <w:t xml:space="preserve">10.10.6 Research Contribution</w:t>
      </w:r>
    </w:p>
    <w:p>
      <w:pPr>
        <w:pStyle w:val="FirstParagraph"/>
      </w:pPr>
      <w:r>
        <w:t xml:space="preserve">Stage 1.5 demonstrates three thesis claims simultaneously:</w:t>
      </w:r>
    </w:p>
    <w:p>
      <w:pPr>
        <w:numPr>
          <w:ilvl w:val="0"/>
          <w:numId w:val="1062"/>
        </w:numPr>
      </w:pPr>
      <w:r>
        <w:rPr>
          <w:bCs/>
          <w:b/>
        </w:rPr>
        <w:t xml:space="preserve">Hardware-aware Solution Factory (Section 4.1):</w:t>
      </w:r>
      <w:r>
        <w:t xml:space="preserve"> </w:t>
      </w:r>
      <w:r>
        <w:t xml:space="preserve">The same agent architecture runs on EU cloud (Stage 2) and EU on-premises edge hardware (Stage 1.5) with a single environment variable — validating the platform’s deployment flexibility for air-gapped industrial environments (defense, healthcare, critical infrastructure).</w:t>
      </w:r>
    </w:p>
    <w:p>
      <w:pPr>
        <w:numPr>
          <w:ilvl w:val="0"/>
          <w:numId w:val="1062"/>
        </w:numPr>
      </w:pPr>
      <w:r>
        <w:rPr>
          <w:bCs/>
          <w:b/>
        </w:rPr>
        <w:t xml:space="preserve">Lifetime Fleet concept validation (Section 3.5):</w:t>
      </w:r>
      <w:r>
        <w:t xml:space="preserve"> </w:t>
      </w:r>
      <w:r>
        <w:t xml:space="preserve">The Acer Veriton GN100 is the first physical node in the Lifetime Fleet — EU-resident hardware running containerized AI workloads under full operator control, fulfilling the edge-AI theoretical model proposed in the thesis.</w:t>
      </w:r>
    </w:p>
    <w:p>
      <w:pPr>
        <w:numPr>
          <w:ilvl w:val="0"/>
          <w:numId w:val="1062"/>
        </w:numPr>
      </w:pPr>
      <w:r>
        <w:rPr>
          <w:bCs/>
          <w:b/>
        </w:rPr>
        <w:t xml:space="preserve">EMPO² memory architecture alignment:</w:t>
      </w:r>
      <w:r>
        <w:t xml:space="preserve"> </w:t>
      </w:r>
      <w:r>
        <w:t xml:space="preserve">The hybrid parametric/non-parametric memory architecture independently validated by EMPO² (arXiv:2602.23008) matches the DWS LWM design — providing academic grounding for an implementation choice made on engineering intuition.</w:t>
      </w:r>
    </w:p>
    <w:bookmarkStart w:id="177" w:name="hardware-brain-update-may-2026"/>
    <w:p>
      <w:pPr>
        <w:pStyle w:val="Heading4"/>
      </w:pPr>
      <w:r>
        <w:t xml:space="preserve">10.10.6.1 Hardware Brain Update (May 2026)</w:t>
      </w:r>
    </w:p>
    <w:p>
      <w:pPr>
        <w:pStyle w:val="FirstParagraph"/>
      </w:pPr>
      <w:r>
        <w:t xml:space="preserve">The Acer Veriton GN100 / DGX Spark Brain layer was re-pinned in May 2026 as a direct consequence of three engineering observations: (1) dense Llama 3.3 70B at Q4 ran at ~4.4 tok/s decode on the GB10 memory bus (273 GB/s) — too slow for interactive agent workloads, since each forward pass pushed all 70B parameters through the bus; (2) NVIDIA’s Nemotron 3 Super (architecture</w:t>
      </w:r>
      <w:r>
        <w:t xml:space="preserve"> </w:t>
      </w:r>
      <w:r>
        <w:rPr>
          <w:rStyle w:val="VerbatimChar"/>
        </w:rPr>
        <w:t xml:space="preserve">nemotron_h_moe</w:t>
      </w:r>
      <w:r>
        <w:t xml:space="preserve">, 123.6B total / 12.7B active, 88-layer Mamba-2 + interleaved attention + Latent MoE, pretrained natively in NVFP4 across 25T tokens) runs at ~19.5 tok/s Q4_K_M on the same hardware — roughly 4.5× faster — because MoE moves only ~12B of weights per token; (3) the Nemotron 3 Super model exposes</w:t>
      </w:r>
      <w:r>
        <w:t xml:space="preserve"> </w:t>
      </w:r>
      <w:r>
        <w:rPr>
          <w:rStyle w:val="VerbatimChar"/>
        </w:rPr>
        <w:t xml:space="preserve">thinking</w:t>
      </w:r>
      <w:r>
        <w:t xml:space="preserve"> </w:t>
      </w:r>
      <w:r>
        <w:t xml:space="preserve">and tool-calling capabilities natively, which the Brain-Memory-Body-Hands architecture (Section 4.3) requires for agent reasoning chains. The Primary tier was therefore swapped from</w:t>
      </w:r>
      <w:r>
        <w:t xml:space="preserve"> </w:t>
      </w:r>
      <w:r>
        <w:rPr>
          <w:rStyle w:val="VerbatimChar"/>
        </w:rPr>
        <w:t xml:space="preserve">llama3.3:70b</w:t>
      </w:r>
      <w:r>
        <w:t xml:space="preserve"> </w:t>
      </w:r>
      <w:r>
        <w:t xml:space="preserve">to</w:t>
      </w:r>
      <w:r>
        <w:t xml:space="preserve"> </w:t>
      </w:r>
      <w:r>
        <w:rPr>
          <w:rStyle w:val="VerbatimChar"/>
        </w:rPr>
        <w:t xml:space="preserve">nemotron-3-super</w:t>
      </w:r>
      <w:r>
        <w:t xml:space="preserve">; the Fast tier was simultaneously upgraded from</w:t>
      </w:r>
      <w:r>
        <w:t xml:space="preserve"> </w:t>
      </w:r>
      <w:r>
        <w:rPr>
          <w:rStyle w:val="VerbatimChar"/>
        </w:rPr>
        <w:t xml:space="preserve">qwen2.5-coder:32b</w:t>
      </w:r>
      <w:r>
        <w:t xml:space="preserve"> </w:t>
      </w:r>
      <w:r>
        <w:t xml:space="preserve">to</w:t>
      </w:r>
      <w:r>
        <w:t xml:space="preserve"> </w:t>
      </w:r>
      <w:r>
        <w:rPr>
          <w:rStyle w:val="VerbatimChar"/>
        </w:rPr>
        <w:t xml:space="preserve">qwen3-coder:30b</w:t>
      </w:r>
      <w:r>
        <w:t xml:space="preserve"> </w:t>
      </w:r>
      <w:r>
        <w:t xml:space="preserve">(MoE 30B / 3.3B active) which doubles as the SyntheticDataAgent teacher model.</w:t>
      </w:r>
      <w:r>
        <w:t xml:space="preserve"> </w:t>
      </w:r>
      <w:r>
        <w:rPr>
          <w:bCs/>
          <w:b/>
        </w:rPr>
        <w:t xml:space="preserve">OpenClaw</w:t>
      </w:r>
      <w:r>
        <w:t xml:space="preserve"> </w:t>
      </w:r>
      <w:r>
        <w:t xml:space="preserve">was added as a first-class compose service on port 8090, its Brain wired to Nemotron 3 Super via Ollama and</w:t>
      </w:r>
      <w:r>
        <w:t xml:space="preserve"> </w:t>
      </w:r>
      <w:r>
        <w:rPr>
          <w:rStyle w:val="VerbatimChar"/>
        </w:rPr>
        <w:t xml:space="preserve">OPENCLAW_ALLOW_EGRESS=false</w:t>
      </w:r>
      <w:r>
        <w:t xml:space="preserve"> </w:t>
      </w:r>
      <w:r>
        <w:t xml:space="preserve">enforced at the container level — establishing a no-egress local agent runtime alongside the existing Stage 1.5 OpenSandbox isolation layer. Implementation artefacts:</w:t>
      </w:r>
      <w:r>
        <w:t xml:space="preserve"> </w:t>
      </w:r>
      <w:r>
        <w:rPr>
          <w:rStyle w:val="VerbatimChar"/>
        </w:rPr>
        <w:t xml:space="preserve">docs/field-notes/2026-03-29-dgx-spark-primary-runtime-setup.md</w:t>
      </w:r>
      <w:r>
        <w:t xml:space="preserve"> </w:t>
      </w:r>
      <w:r>
        <w:t xml:space="preserve">v1.6,</w:t>
      </w:r>
      <w:r>
        <w:t xml:space="preserve"> </w:t>
      </w:r>
      <w:r>
        <w:rPr>
          <w:rStyle w:val="VerbatimChar"/>
        </w:rPr>
        <w:t xml:space="preserve">DWS_DEPLOYMENT_STANDARD.md</w:t>
      </w:r>
      <w:r>
        <w:t xml:space="preserve"> </w:t>
      </w:r>
      <w:r>
        <w:t xml:space="preserve">v1.4 (Surfaces table adds OpenClaw row),</w:t>
      </w:r>
      <w:r>
        <w:t xml:space="preserve"> </w:t>
      </w:r>
      <w:r>
        <w:rPr>
          <w:rStyle w:val="VerbatimChar"/>
        </w:rPr>
        <w:t xml:space="preserve">infrastructure/dgx-spark/docker-compose.yml</w:t>
      </w:r>
      <w:r>
        <w:t xml:space="preserve">,</w:t>
      </w:r>
      <w:r>
        <w:t xml:space="preserve"> </w:t>
      </w:r>
      <w:r>
        <w:rPr>
          <w:rStyle w:val="VerbatimChar"/>
        </w:rPr>
        <w:t xml:space="preserve">DWS7_ROADMAP.md</w:t>
      </w:r>
      <w:r>
        <w:t xml:space="preserve"> </w:t>
      </w:r>
      <w:r>
        <w:t xml:space="preserve">PR 161 re-based to Nemotron 3 Super. The market-signal rationale (compute scarcity, NVFP4 hardware moat) is documented in</w:t>
      </w:r>
      <w:r>
        <w:t xml:space="preserve"> </w:t>
      </w:r>
      <w:r>
        <w:rPr>
          <w:rStyle w:val="VerbatimChar"/>
        </w:rPr>
        <w:t xml:space="preserve">docs/PHD_FIREHORSE_EN.md</w:t>
      </w:r>
      <w:r>
        <w:t xml:space="preserve"> </w:t>
      </w:r>
      <w:r>
        <w:t xml:space="preserve">§14.18 per the master-vs-PhD scope rule.</w:t>
      </w:r>
    </w:p>
    <w:bookmarkEnd w:id="177"/>
    <w:bookmarkEnd w:id="178"/>
    <w:bookmarkStart w:id="179" w:name="Xc0e5beebebc9e759bdada6bf475bbd1c3b5e014"/>
    <w:p>
      <w:pPr>
        <w:pStyle w:val="Heading3"/>
      </w:pPr>
      <w:r>
        <w:t xml:space="preserve">10.10.7 Agent Memory Fact Extraction Pipeline (PR-254)</w:t>
      </w:r>
    </w:p>
    <w:p>
      <w:pPr>
        <w:pStyle w:val="FirstParagraph"/>
      </w:pPr>
      <w:r>
        <w:rPr>
          <w:iCs/>
          <w:i/>
        </w:rPr>
        <w:t xml:space="preserve">Session: claude/agent-memory-fact-extraction-gLEss | Date: 23.03.2026</w:t>
      </w:r>
    </w:p>
    <w:p>
      <w:pPr>
        <w:pStyle w:val="BodyText"/>
      </w:pPr>
      <w:r>
        <w:t xml:space="preserve">The EMPO² theoretical framework (Section 10.10.4) was operationalized through the</w:t>
      </w:r>
      <w:r>
        <w:t xml:space="preserve"> </w:t>
      </w:r>
      <w:r>
        <w:rPr>
          <w:bCs/>
          <w:b/>
        </w:rPr>
        <w:t xml:space="preserve">Agent Memory Fact Extraction Pipeline</w:t>
      </w:r>
      <w:r>
        <w:t xml:space="preserve"> </w:t>
      </w:r>
      <w:r>
        <w:t xml:space="preserve">— the first production implementation of the non-parametric memory update path. This addresses a critical gap: agents that converse with customers but retain no structured knowledge between sessions.</w:t>
      </w:r>
    </w:p>
    <w:p>
      <w:pPr>
        <w:pStyle w:val="BodyText"/>
      </w:pPr>
      <w:r>
        <w:rPr>
          <w:bCs/>
          <w:b/>
        </w:rPr>
        <w:t xml:space="preserve">Architecture — Dual Memory Model:</w:t>
      </w:r>
    </w:p>
    <w:p>
      <w:pPr>
        <w:pStyle w:val="BodyText"/>
      </w:pPr>
      <w:r>
        <w:t xml:space="preserve">The system distinguishes two complementary memory layers:</w:t>
      </w:r>
    </w:p>
    <w:tbl>
      <w:tblPr>
        <w:tblStyle w:val="Table"/>
        <w:tblW w:type="pct" w:w="5000"/>
        <w:tblLook w:firstRow="1" w:lastRow="0" w:firstColumn="0" w:lastColumn="0" w:noHBand="0" w:noVBand="0" w:val="0020"/>
        <w:jc w:val="start"/>
      </w:tblPr>
      <w:tblGrid>
        <w:gridCol w:w="1760"/>
        <w:gridCol w:w="1290"/>
        <w:gridCol w:w="2874"/>
        <w:gridCol w:w="1994"/>
      </w:tblGrid>
      <w:tr>
        <w:trPr>
          <w:tblHeader w:val="true"/>
        </w:trPr>
        <w:tc>
          <w:tcPr/>
          <w:p>
            <w:pPr>
              <w:pStyle w:val="Compact"/>
              <w:jc w:val="left"/>
            </w:pPr>
            <w:r>
              <w:t xml:space="preserve">Layer</w:t>
            </w:r>
          </w:p>
        </w:tc>
        <w:tc>
          <w:tcPr/>
          <w:p>
            <w:pPr>
              <w:pStyle w:val="Compact"/>
              <w:jc w:val="left"/>
            </w:pPr>
            <w:r>
              <w:t xml:space="preserve">Knowledge Type</w:t>
            </w:r>
          </w:p>
        </w:tc>
        <w:tc>
          <w:tcPr/>
          <w:p>
            <w:pPr>
              <w:pStyle w:val="Compact"/>
              <w:jc w:val="left"/>
            </w:pPr>
            <w:r>
              <w:t xml:space="preserve">Source</w:t>
            </w:r>
          </w:p>
        </w:tc>
        <w:tc>
          <w:tcPr/>
          <w:p>
            <w:pPr>
              <w:pStyle w:val="Compact"/>
              <w:jc w:val="left"/>
            </w:pPr>
            <w:r>
              <w:t xml:space="preserve">Example</w:t>
            </w:r>
          </w:p>
        </w:tc>
      </w:tr>
      <w:tr>
        <w:tc>
          <w:tcPr/>
          <w:p>
            <w:pPr>
              <w:pStyle w:val="Compact"/>
              <w:jc w:val="left"/>
            </w:pPr>
            <w:r>
              <w:rPr>
                <w:bCs/>
                <w:b/>
              </w:rPr>
              <w:t xml:space="preserve">LWM (Lifetime World Model)</w:t>
            </w:r>
          </w:p>
        </w:tc>
        <w:tc>
          <w:tcPr/>
          <w:p>
            <w:pPr>
              <w:pStyle w:val="Compact"/>
              <w:jc w:val="left"/>
            </w:pPr>
            <w:r>
              <w:t xml:space="preserve">Domain knowledge</w:t>
            </w:r>
          </w:p>
        </w:tc>
        <w:tc>
          <w:tcPr/>
          <w:p>
            <w:pPr>
              <w:pStyle w:val="Compact"/>
              <w:jc w:val="left"/>
            </w:pPr>
            <w:r>
              <w:t xml:space="preserve">EU regulations, emission factors, industry models</w:t>
            </w:r>
          </w:p>
        </w:tc>
        <w:tc>
          <w:tcPr/>
          <w:p>
            <w:pPr>
              <w:pStyle w:val="Compact"/>
              <w:jc w:val="left"/>
            </w:pPr>
            <w:r>
              <w:t xml:space="preserve">“</w:t>
            </w:r>
            <w:r>
              <w:t xml:space="preserve">CBAM threshold is 150,000 EUR</w:t>
            </w:r>
            <w:r>
              <w:t xml:space="preserve">”</w:t>
            </w:r>
          </w:p>
        </w:tc>
      </w:tr>
      <w:tr>
        <w:tc>
          <w:tcPr/>
          <w:p>
            <w:pPr>
              <w:pStyle w:val="Compact"/>
              <w:jc w:val="left"/>
            </w:pPr>
            <w:r>
              <w:rPr>
                <w:bCs/>
                <w:b/>
              </w:rPr>
              <w:t xml:space="preserve">Client Memory</w:t>
            </w:r>
          </w:p>
        </w:tc>
        <w:tc>
          <w:tcPr/>
          <w:p>
            <w:pPr>
              <w:pStyle w:val="Compact"/>
              <w:jc w:val="left"/>
            </w:pPr>
            <w:r>
              <w:t xml:space="preserve">Relationship knowledge</w:t>
            </w:r>
          </w:p>
        </w:tc>
        <w:tc>
          <w:tcPr/>
          <w:p>
            <w:pPr>
              <w:pStyle w:val="Compact"/>
              <w:jc w:val="left"/>
            </w:pPr>
            <w:r>
              <w:t xml:space="preserve">Conversations, emails, meetings</w:t>
            </w:r>
          </w:p>
        </w:tc>
        <w:tc>
          <w:tcPr/>
          <w:p>
            <w:pPr>
              <w:pStyle w:val="Compact"/>
              <w:jc w:val="left"/>
            </w:pPr>
            <w:r>
              <w:t xml:space="preserve">“</w:t>
            </w:r>
            <w:r>
              <w:t xml:space="preserve">ACME Corp prefers weekly reports</w:t>
            </w:r>
            <w:r>
              <w:t xml:space="preserve">”</w:t>
            </w:r>
          </w:p>
        </w:tc>
      </w:tr>
    </w:tbl>
    <w:p>
      <w:pPr>
        <w:pStyle w:val="BodyText"/>
      </w:pPr>
      <w:r>
        <w:t xml:space="preserve">LWM provides</w:t>
      </w:r>
      <w:r>
        <w:t xml:space="preserve"> </w:t>
      </w:r>
      <w:r>
        <w:rPr>
          <w:iCs/>
          <w:i/>
        </w:rPr>
        <w:t xml:space="preserve">what the agent knows about the world</w:t>
      </w:r>
      <w:r>
        <w:t xml:space="preserve">; client memory provides</w:t>
      </w:r>
      <w:r>
        <w:t xml:space="preserve"> </w:t>
      </w:r>
      <w:r>
        <w:rPr>
          <w:iCs/>
          <w:i/>
        </w:rPr>
        <w:t xml:space="preserve">what the agent knows about this specific customer</w:t>
      </w:r>
      <w:r>
        <w:t xml:space="preserve">. Neither alone is sufficient — an agent that knows EU regulations but forgets the customer’s industry vertical will ask the same questions every session.</w:t>
      </w:r>
    </w:p>
    <w:p>
      <w:pPr>
        <w:pStyle w:val="BodyText"/>
      </w:pPr>
      <w:r>
        <w:rPr>
          <w:bCs/>
          <w:b/>
        </w:rPr>
        <w:t xml:space="preserve">Fact Extraction Pipeline:</w:t>
      </w:r>
    </w:p>
    <w:p>
      <w:pPr>
        <w:pStyle w:val="SourceCode"/>
      </w:pPr>
      <w:r>
        <w:rPr>
          <w:rStyle w:val="VerbatimChar"/>
        </w:rPr>
        <w:t xml:space="preserve">Conversation text</w:t>
      </w:r>
      <w:r>
        <w:br/>
      </w:r>
      <w:r>
        <w:rPr>
          <w:rStyle w:val="VerbatimChar"/>
        </w:rPr>
        <w:t xml:space="preserve">  → LLM extraction (Claude Haiku, structured prompt)</w:t>
      </w:r>
      <w:r>
        <w:br/>
      </w:r>
      <w:r>
        <w:rPr>
          <w:rStyle w:val="VerbatimChar"/>
        </w:rPr>
        <w:t xml:space="preserve">  → JSON array of {subject, predicate, value, confidence, category}</w:t>
      </w:r>
      <w:r>
        <w:br/>
      </w:r>
      <w:r>
        <w:rPr>
          <w:rStyle w:val="VerbatimChar"/>
        </w:rPr>
        <w:t xml:space="preserve">  → Confidence filter (≥0.7 threshold)</w:t>
      </w:r>
      <w:r>
        <w:br/>
      </w:r>
      <w:r>
        <w:rPr>
          <w:rStyle w:val="VerbatimChar"/>
        </w:rPr>
        <w:t xml:space="preserve">  → Duplicate detection (cosine similarity &gt;0.95 in pgvector)</w:t>
      </w:r>
      <w:r>
        <w:br/>
      </w:r>
      <w:r>
        <w:rPr>
          <w:rStyle w:val="VerbatimChar"/>
        </w:rPr>
        <w:t xml:space="preserve">  → Persist as `fact` type in semantic_memories table</w:t>
      </w:r>
      <w:r>
        <w:br/>
      </w:r>
      <w:r>
        <w:rPr>
          <w:rStyle w:val="VerbatimChar"/>
        </w:rPr>
        <w:t xml:space="preserve">  → Available for recall via hybrid search (vector + text)</w:t>
      </w:r>
    </w:p>
    <w:p>
      <w:pPr>
        <w:pStyle w:val="FirstParagraph"/>
      </w:pPr>
      <w:r>
        <w:t xml:space="preserve">The extraction prompt enforces strict rules: only explicit facts (never inferred), snake_case predicates for machine readability, six categories (identity, preference, relationship, metric, status, other), and confidence scoring (1.0 explicit, 0.8 strongly implied, 0.6 loosely implied).</w:t>
      </w:r>
    </w:p>
    <w:p>
      <w:pPr>
        <w:pStyle w:val="BodyText"/>
      </w:pPr>
      <w:r>
        <w:rPr>
          <w:bCs/>
          <w:b/>
        </w:rPr>
        <w:t xml:space="preserve">Three Missing Execution Layers:</w:t>
      </w:r>
    </w:p>
    <w:p>
      <w:pPr>
        <w:pStyle w:val="BodyText"/>
      </w:pPr>
      <w:r>
        <w:t xml:space="preserve">Fact extraction alone creates</w:t>
      </w:r>
      <w:r>
        <w:t xml:space="preserve"> </w:t>
      </w:r>
      <w:r>
        <w:rPr>
          <w:iCs/>
          <w:i/>
        </w:rPr>
        <w:t xml:space="preserve">passive knowledge</w:t>
      </w:r>
      <w:r>
        <w:t xml:space="preserve">. Three additional layers are required to make this knowledge</w:t>
      </w:r>
      <w:r>
        <w:t xml:space="preserve"> </w:t>
      </w:r>
      <w:r>
        <w:rPr>
          <w:iCs/>
          <w:i/>
        </w:rPr>
        <w:t xml:space="preserve">actionable</w:t>
      </w:r>
      <w:r>
        <w:t xml:space="preserve">:</w:t>
      </w:r>
    </w:p>
    <w:p>
      <w:pPr>
        <w:numPr>
          <w:ilvl w:val="0"/>
          <w:numId w:val="1063"/>
        </w:numPr>
      </w:pPr>
      <w:r>
        <w:rPr>
          <w:bCs/>
          <w:b/>
        </w:rPr>
        <w:t xml:space="preserve">Firehorse State Machine</w:t>
      </w:r>
      <w:r>
        <w:t xml:space="preserve"> </w:t>
      </w:r>
      <w:r>
        <w:t xml:space="preserve">— The execution layer that acts on what memory + LWM know. Without it, the platform has knowledge but no action capability. Facts like</w:t>
      </w:r>
      <w:r>
        <w:t xml:space="preserve"> </w:t>
      </w:r>
      <w:r>
        <w:t xml:space="preserve">“</w:t>
      </w:r>
      <w:r>
        <w:t xml:space="preserve">customer deadline is Q2 2026</w:t>
      </w:r>
      <w:r>
        <w:t xml:space="preserve">”</w:t>
      </w:r>
      <w:r>
        <w:t xml:space="preserve"> </w:t>
      </w:r>
      <w:r>
        <w:t xml:space="preserve">need a state machine to trigger escalation workflows.</w:t>
      </w:r>
    </w:p>
    <w:p>
      <w:pPr>
        <w:numPr>
          <w:ilvl w:val="0"/>
          <w:numId w:val="1063"/>
        </w:numPr>
      </w:pPr>
      <w:r>
        <w:rPr>
          <w:bCs/>
          <w:b/>
        </w:rPr>
        <w:t xml:space="preserve">ERP Connector Layer</w:t>
      </w:r>
      <w:r>
        <w:t xml:space="preserve"> </w:t>
      </w:r>
      <w:r>
        <w:t xml:space="preserve">— The real-world data feed. Memory and LWM are only as good as the live data flowing from Visma/IFS/SAP. Client memory captures</w:t>
      </w:r>
      <w:r>
        <w:t xml:space="preserve"> </w:t>
      </w:r>
      <w:r>
        <w:rPr>
          <w:iCs/>
          <w:i/>
        </w:rPr>
        <w:t xml:space="preserve">stated</w:t>
      </w:r>
      <w:r>
        <w:t xml:space="preserve"> </w:t>
      </w:r>
      <w:r>
        <w:t xml:space="preserve">preferences; ERP data reveals</w:t>
      </w:r>
      <w:r>
        <w:t xml:space="preserve"> </w:t>
      </w:r>
      <w:r>
        <w:rPr>
          <w:iCs/>
          <w:i/>
        </w:rPr>
        <w:t xml:space="preserve">actual</w:t>
      </w:r>
      <w:r>
        <w:t xml:space="preserve"> </w:t>
      </w:r>
      <w:r>
        <w:t xml:space="preserve">behavior (order patterns, payment history, usage metrics).</w:t>
      </w:r>
    </w:p>
    <w:p>
      <w:pPr>
        <w:numPr>
          <w:ilvl w:val="0"/>
          <w:numId w:val="1063"/>
        </w:numPr>
      </w:pPr>
      <w:r>
        <w:rPr>
          <w:bCs/>
          <w:b/>
        </w:rPr>
        <w:t xml:space="preserve">KYA Governance Wrapper</w:t>
      </w:r>
      <w:r>
        <w:t xml:space="preserve"> </w:t>
      </w:r>
      <w:r>
        <w:t xml:space="preserve">— The trust layer. Client memory + LWM without attestation is a chatbot. KYA (Know Your AI, internal v1.4 / public v1.1) wraps every memory decision with audit-grade provenance:</w:t>
      </w:r>
      <w:r>
        <w:t xml:space="preserve"> </w:t>
      </w:r>
      <w:r>
        <w:t xml:space="preserve">“</w:t>
      </w:r>
      <w:r>
        <w:t xml:space="preserve">fact A replaced fact B at timestamp X, approved by agent Y, logged to Firehorse.</w:t>
      </w:r>
      <w:r>
        <w:t xml:space="preserve">”</w:t>
      </w:r>
      <w:r>
        <w:t xml:space="preserve"> </w:t>
      </w:r>
      <w:r>
        <w:t xml:space="preserve">This is essential for EU compliance audits under CSRD and EU AI Act Article 12.</w:t>
      </w:r>
    </w:p>
    <w:p>
      <w:pPr>
        <w:pStyle w:val="FirstParagraph"/>
      </w:pPr>
      <w:r>
        <w:rPr>
          <w:bCs/>
          <w:b/>
        </w:rPr>
        <w:t xml:space="preserve">KYA-First PR Ordering:</w:t>
      </w:r>
    </w:p>
    <w:p>
      <w:pPr>
        <w:pStyle w:val="BodyText"/>
      </w:pPr>
      <w:r>
        <w:t xml:space="preserve">The original PR sequence (254→255→256→257→258→259) was reordered based on a critical insight:</w:t>
      </w:r>
      <w:r>
        <w:t xml:space="preserve"> </w:t>
      </w:r>
      <w:r>
        <w:rPr>
          <w:bCs/>
          <w:b/>
        </w:rPr>
        <w:t xml:space="preserve">contradiction resolution (PR-255) without KYA attestation means resolving conflicts in memory with no audit trail for</w:t>
      </w:r>
      <w:r>
        <w:rPr>
          <w:bCs/>
          <w:b/>
        </w:rPr>
        <w:t xml:space="preserve"> </w:t>
      </w:r>
      <w:r>
        <w:rPr>
          <w:iCs/>
          <w:i/>
          <w:bCs/>
          <w:b/>
        </w:rPr>
        <w:t xml:space="preserve">why</w:t>
      </w:r>
      <w:r>
        <w:rPr>
          <w:bCs/>
          <w:b/>
        </w:rPr>
        <w:t xml:space="preserve"> </w:t>
      </w:r>
      <w:r>
        <w:rPr>
          <w:bCs/>
          <w:b/>
        </w:rPr>
        <w:t xml:space="preserve">one fact superseded another.</w:t>
      </w:r>
      <w:r>
        <w:t xml:space="preserve"> </w:t>
      </w:r>
      <w:r>
        <w:t xml:space="preserve">The production order:</w:t>
      </w:r>
    </w:p>
    <w:tbl>
      <w:tblPr>
        <w:tblStyle w:val="Table"/>
        <w:tblW w:type="pct" w:w="5000"/>
        <w:tblLook w:firstRow="1" w:lastRow="0" w:firstColumn="0" w:lastColumn="0" w:noHBand="0" w:noVBand="0" w:val="0020"/>
        <w:jc w:val="start"/>
      </w:tblPr>
      <w:tblGrid>
        <w:gridCol w:w="880"/>
        <w:gridCol w:w="330"/>
        <w:gridCol w:w="3080"/>
        <w:gridCol w:w="3630"/>
      </w:tblGrid>
      <w:tr>
        <w:trPr>
          <w:tblHeader w:val="true"/>
        </w:trPr>
        <w:tc>
          <w:tcPr/>
          <w:p>
            <w:pPr>
              <w:pStyle w:val="Compact"/>
              <w:jc w:val="left"/>
            </w:pPr>
            <w:r>
              <w:t xml:space="preserve">Priority</w:t>
            </w:r>
          </w:p>
        </w:tc>
        <w:tc>
          <w:tcPr/>
          <w:p>
            <w:pPr>
              <w:pStyle w:val="Compact"/>
              <w:jc w:val="left"/>
            </w:pPr>
            <w:r>
              <w:t xml:space="preserve">PR</w:t>
            </w:r>
          </w:p>
        </w:tc>
        <w:tc>
          <w:tcPr/>
          <w:p>
            <w:pPr>
              <w:pStyle w:val="Compact"/>
              <w:jc w:val="left"/>
            </w:pPr>
            <w:r>
              <w:t xml:space="preserve">Feature</w:t>
            </w:r>
          </w:p>
        </w:tc>
        <w:tc>
          <w:tcPr/>
          <w:p>
            <w:pPr>
              <w:pStyle w:val="Compact"/>
              <w:jc w:val="left"/>
            </w:pPr>
            <w:r>
              <w:t xml:space="preserve">Dependency</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Fact Extraction</w:t>
            </w:r>
          </w:p>
        </w:tc>
        <w:tc>
          <w:tcPr/>
          <w:p>
            <w:pPr>
              <w:pStyle w:val="Compact"/>
              <w:jc w:val="left"/>
            </w:pPr>
            <w:r>
              <w:t xml:space="preserve">✅ Shipped</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Contradiction Resolution</w:t>
            </w:r>
          </w:p>
        </w:tc>
        <w:tc>
          <w:tcPr/>
          <w:p>
            <w:pPr>
              <w:pStyle w:val="Compact"/>
              <w:jc w:val="left"/>
            </w:pPr>
            <w:r>
              <w:t xml:space="preserve">Requires memory store</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 Memory Audit Trail</w:t>
            </w:r>
          </w:p>
        </w:tc>
        <w:tc>
          <w:tcPr/>
          <w:p>
            <w:pPr>
              <w:pStyle w:val="Compact"/>
              <w:jc w:val="left"/>
            </w:pPr>
            <w:r>
              <w:t xml:space="preserve">Requires contradiction resolution</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Decay Scoring</w:t>
            </w:r>
          </w:p>
        </w:tc>
        <w:tc>
          <w:tcPr/>
          <w:p>
            <w:pPr>
              <w:pStyle w:val="Compact"/>
              <w:jc w:val="left"/>
            </w:pPr>
            <w:r>
              <w:t xml:space="preserve">Independent</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Consolidation Cron</w:t>
            </w:r>
          </w:p>
        </w:tc>
        <w:tc>
          <w:tcPr/>
          <w:p>
            <w:pPr>
              <w:pStyle w:val="Compact"/>
              <w:jc w:val="left"/>
            </w:pPr>
            <w:r>
              <w:t xml:space="preserve">Requires decay scoring</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Connector Sync</w:t>
            </w:r>
          </w:p>
        </w:tc>
        <w:tc>
          <w:tcPr/>
          <w:p>
            <w:pPr>
              <w:pStyle w:val="Compact"/>
              <w:jc w:val="left"/>
            </w:pPr>
            <w:r>
              <w:t xml:space="preserve">Requires stable memory API</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Self-Host EU</w:t>
            </w:r>
          </w:p>
        </w:tc>
        <w:tc>
          <w:tcPr/>
          <w:p>
            <w:pPr>
              <w:pStyle w:val="Compact"/>
              <w:jc w:val="left"/>
            </w:pPr>
            <w:r>
              <w:t xml:space="preserve">Infrastructure, last</w:t>
            </w:r>
          </w:p>
        </w:tc>
      </w:tr>
    </w:tbl>
    <w:p>
      <w:pPr>
        <w:pStyle w:val="BodyText"/>
      </w:pPr>
      <w:r>
        <w:rPr>
          <w:bCs/>
          <w:b/>
        </w:rPr>
        <w:t xml:space="preserve">Key Contribution #20:</w:t>
      </w:r>
      <w:r>
        <w:t xml:space="preserve"> </w:t>
      </w:r>
      <w:r>
        <w:t xml:space="preserve">First production implementation of agent memory fact extraction in an EU-compliant industrial AI platform, demonstrating the dual LWM/client-memory architecture and identifying the three-layer execution gap (state machine, ERP connectors, KYA governance) required for actionable enterprise AI memory.</w:t>
      </w:r>
    </w:p>
    <w:p>
      <w:r>
        <w:pict>
          <v:rect style="width:0;height:1.5pt" o:hralign="center" o:hrstd="t" o:hr="t"/>
        </w:pict>
      </w:r>
    </w:p>
    <w:bookmarkEnd w:id="179"/>
    <w:bookmarkEnd w:id="180"/>
    <w:bookmarkStart w:id="184" w:name="ceo-automation-agent-suite"/>
    <w:p>
      <w:pPr>
        <w:pStyle w:val="Heading2"/>
      </w:pPr>
      <w:r>
        <w:t xml:space="preserve">10.11 CEO Automation Agent Suite</w:t>
      </w:r>
    </w:p>
    <w:p>
      <w:pPr>
        <w:pStyle w:val="FirstParagraph"/>
      </w:pPr>
      <w:r>
        <w:rPr>
          <w:iCs/>
          <w:i/>
        </w:rPr>
        <w:t xml:space="preserve">Deployed: 24.02.2026 | Commit: claude/ai-agent-orchestration-t89Ig</w:t>
      </w:r>
    </w:p>
    <w:p>
      <w:pPr>
        <w:pStyle w:val="BodyText"/>
      </w:pPr>
      <w:r>
        <w:t xml:space="preserve">Three production AI agents that automate the CEO’s daily operational rhythm, fully integrated into the Firehorse platform (GitHub Actions cron, Supabase, Resend).</w:t>
      </w:r>
    </w:p>
    <w:bookmarkStart w:id="181" w:name="captain-pre-briefing-agent"/>
    <w:p>
      <w:pPr>
        <w:pStyle w:val="Heading3"/>
      </w:pPr>
      <w:r>
        <w:t xml:space="preserve">10.11.1 Captain Pre-Briefing Agent</w:t>
      </w:r>
    </w:p>
    <w:p>
      <w:pPr>
        <w:pStyle w:val="FirstParagraph"/>
      </w:pPr>
      <w:r>
        <w:rPr>
          <w:bCs/>
          <w:b/>
        </w:rPr>
        <w:t xml:space="preserve">Trigger:</w:t>
      </w:r>
      <w:r>
        <w:t xml:space="preserve"> </w:t>
      </w:r>
      <w:r>
        <w:t xml:space="preserve">07:30 Helsinki, Mon–Fri |</w:t>
      </w:r>
      <w:r>
        <w:t xml:space="preserve"> </w:t>
      </w:r>
      <w:r>
        <w:rPr>
          <w:bCs/>
          <w:b/>
        </w:rPr>
        <w:t xml:space="preserve">File:</w:t>
      </w:r>
      <w:r>
        <w:t xml:space="preserve"> </w:t>
      </w:r>
      <w:r>
        <w:rPr>
          <w:rStyle w:val="VerbatimChar"/>
        </w:rPr>
        <w:t xml:space="preserve">src/captain-briefing/</w:t>
      </w:r>
    </w:p>
    <w:p>
      <w:pPr>
        <w:pStyle w:val="BodyText"/>
      </w:pPr>
      <w:r>
        <w:t xml:space="preserve">Prepares a pre-call briefing for each active sales contact (captain) with a next action due today. Pulls thread history, contact info, proposals, and meetings from Supabase, generates talking points and a suggested next action, sends as a dark-theme HTML email via Resend.</w:t>
      </w:r>
    </w:p>
    <w:p>
      <w:pPr>
        <w:pStyle w:val="SourceCode"/>
      </w:pPr>
      <w:r>
        <w:rPr>
          <w:rStyle w:val="VerbatimChar"/>
        </w:rPr>
        <w:t xml:space="preserve">07:30 Helsinki → Captain Briefing Agent</w:t>
      </w:r>
      <w:r>
        <w:br/>
      </w:r>
      <w:r>
        <w:rPr>
          <w:rStyle w:val="VerbatimChar"/>
        </w:rPr>
        <w:t xml:space="preserve">  └── Supabase: thread_history + proposals + meetings</w:t>
      </w:r>
      <w:r>
        <w:br/>
      </w:r>
      <w:r>
        <w:rPr>
          <w:rStyle w:val="VerbatimChar"/>
        </w:rPr>
        <w:t xml:space="preserve">  └── Claude: talking points + suggested next action</w:t>
      </w:r>
      <w:r>
        <w:br/>
      </w:r>
      <w:r>
        <w:rPr>
          <w:rStyle w:val="VerbatimChar"/>
        </w:rPr>
        <w:t xml:space="preserve">  └── Resend: HTML email → risto@lifetime.fi</w:t>
      </w:r>
    </w:p>
    <w:p>
      <w:pPr>
        <w:pStyle w:val="FirstParagraph"/>
      </w:pPr>
      <w:r>
        <w:rPr>
          <w:bCs/>
          <w:b/>
        </w:rPr>
        <w:t xml:space="preserve">Research contribution:</w:t>
      </w:r>
      <w:r>
        <w:t xml:space="preserve"> </w:t>
      </w:r>
      <w:r>
        <w:t xml:space="preserve">Implements the Lifetime Scope Signals protocol (Section 2.5.2) in an operational context — the agent observes CRM signals and emits an action recommendation, demonstrating the brain-body interface in a revenue-critical workflow.</w:t>
      </w:r>
    </w:p>
    <w:bookmarkEnd w:id="181"/>
    <w:bookmarkStart w:id="182" w:name="linkedin-post-scheduler"/>
    <w:p>
      <w:pPr>
        <w:pStyle w:val="Heading3"/>
      </w:pPr>
      <w:r>
        <w:t xml:space="preserve">10.11.2 LinkedIn Post Scheduler</w:t>
      </w:r>
    </w:p>
    <w:p>
      <w:pPr>
        <w:pStyle w:val="FirstParagraph"/>
      </w:pPr>
      <w:r>
        <w:rPr>
          <w:bCs/>
          <w:b/>
        </w:rPr>
        <w:t xml:space="preserve">Trigger:</w:t>
      </w:r>
      <w:r>
        <w:t xml:space="preserve"> </w:t>
      </w:r>
      <w:r>
        <w:t xml:space="preserve">08:00 Helsinki, Mon–Fri |</w:t>
      </w:r>
      <w:r>
        <w:t xml:space="preserve"> </w:t>
      </w:r>
      <w:r>
        <w:rPr>
          <w:bCs/>
          <w:b/>
        </w:rPr>
        <w:t xml:space="preserve">File:</w:t>
      </w:r>
      <w:r>
        <w:t xml:space="preserve"> </w:t>
      </w:r>
      <w:r>
        <w:rPr>
          <w:rStyle w:val="VerbatimChar"/>
        </w:rPr>
        <w:t xml:space="preserve">src/social-scheduler/</w:t>
      </w:r>
    </w:p>
    <w:p>
      <w:pPr>
        <w:pStyle w:val="BodyText"/>
      </w:pPr>
      <w:r>
        <w:t xml:space="preserve">Weekly content calendar with category-specific post templates (Mon=thought leadership, Tue=compliance, Wed=product, Thu=case study, Fri=ecosystem). CEO approval digest — reply approve/edit/reject per draft. Posts queue stored in Supabase (</w:t>
      </w:r>
      <w:r>
        <w:rPr>
          <w:rStyle w:val="VerbatimChar"/>
        </w:rPr>
        <w:t xml:space="preserve">social_posts</w:t>
      </w:r>
      <w:r>
        <w:t xml:space="preserve"> </w:t>
      </w:r>
      <w:r>
        <w:t xml:space="preserve">table, migration</w:t>
      </w:r>
      <w:r>
        <w:t xml:space="preserve"> </w:t>
      </w:r>
      <w:r>
        <w:rPr>
          <w:rStyle w:val="VerbatimChar"/>
        </w:rPr>
        <w:t xml:space="preserve">034_social_posts.sql</w:t>
      </w:r>
      <w:r>
        <w:t xml:space="preserve">).</w:t>
      </w:r>
    </w:p>
    <w:bookmarkEnd w:id="182"/>
    <w:bookmarkStart w:id="183" w:name="eu-regulation-monitor"/>
    <w:p>
      <w:pPr>
        <w:pStyle w:val="Heading3"/>
      </w:pPr>
      <w:r>
        <w:t xml:space="preserve">10.11.3 EU Regulation Monitor</w:t>
      </w:r>
    </w:p>
    <w:p>
      <w:pPr>
        <w:pStyle w:val="FirstParagraph"/>
      </w:pPr>
      <w:r>
        <w:rPr>
          <w:bCs/>
          <w:b/>
        </w:rPr>
        <w:t xml:space="preserve">Trigger:</w:t>
      </w:r>
      <w:r>
        <w:t xml:space="preserve"> </w:t>
      </w:r>
      <w:r>
        <w:t xml:space="preserve">05:30 Helsinki, Mon–Fri (before briefing) |</w:t>
      </w:r>
      <w:r>
        <w:t xml:space="preserve"> </w:t>
      </w:r>
      <w:r>
        <w:rPr>
          <w:bCs/>
          <w:b/>
        </w:rPr>
        <w:t xml:space="preserve">File:</w:t>
      </w:r>
      <w:r>
        <w:t xml:space="preserve"> </w:t>
      </w:r>
      <w:r>
        <w:rPr>
          <w:rStyle w:val="VerbatimChar"/>
        </w:rPr>
        <w:t xml:space="preserve">src/regulation-monitor/</w:t>
      </w:r>
    </w:p>
    <w:p>
      <w:pPr>
        <w:pStyle w:val="BodyText"/>
      </w:pPr>
      <w:r>
        <w:t xml:space="preserve">Fetches RSS from EU Commission, EUR-Lex, Carbon Pulse, and Euractiv. Classifies updates by regulation (CBAM, CSRD, Fit for 55, EPBD, EU AI Act, ETS) with severity scoring (urgent/important/info) and customer impact detection. Feeds regulation alerts into the LinkedIn Scheduler as content ideas.</w:t>
      </w:r>
    </w:p>
    <w:p>
      <w:pPr>
        <w:pStyle w:val="SourceCode"/>
      </w:pPr>
      <w:r>
        <w:rPr>
          <w:rStyle w:val="VerbatimChar"/>
        </w:rPr>
        <w:t xml:space="preserve">05:30 → EU Regulation Monitor</w:t>
      </w:r>
      <w:r>
        <w:br/>
      </w:r>
      <w:r>
        <w:rPr>
          <w:rStyle w:val="VerbatimChar"/>
        </w:rPr>
        <w:t xml:space="preserve">  └── Fetch: EU Commission + EUR-Lex + Carbon Pulse + Euractiv</w:t>
      </w:r>
      <w:r>
        <w:br/>
      </w:r>
      <w:r>
        <w:rPr>
          <w:rStyle w:val="VerbatimChar"/>
        </w:rPr>
        <w:t xml:space="preserve">  └── Classify: CBAM | CSRD | Fit for 55 | EPBD | EU AI Act | ETS</w:t>
      </w:r>
      <w:r>
        <w:br/>
      </w:r>
      <w:r>
        <w:rPr>
          <w:rStyle w:val="VerbatimChar"/>
        </w:rPr>
        <w:t xml:space="preserve">  └── Score: urgent / important / info</w:t>
      </w:r>
      <w:r>
        <w:br/>
      </w:r>
      <w:r>
        <w:rPr>
          <w:rStyle w:val="VerbatimChar"/>
        </w:rPr>
        <w:t xml:space="preserve">  └── Feed: → LinkedIn Scheduler content queue</w:t>
      </w:r>
      <w:r>
        <w:br/>
      </w:r>
      <w:r>
        <w:rPr>
          <w:rStyle w:val="VerbatimChar"/>
        </w:rPr>
        <w:t xml:space="preserve">07:30 → Captain Briefing (uses regulation context)</w:t>
      </w:r>
      <w:r>
        <w:br/>
      </w:r>
      <w:r>
        <w:rPr>
          <w:rStyle w:val="VerbatimChar"/>
        </w:rPr>
        <w:t xml:space="preserve">08:00 → LinkedIn Scheduler (drafts regulation-aware posts)</w:t>
      </w:r>
    </w:p>
    <w:p>
      <w:pPr>
        <w:pStyle w:val="FirstParagraph"/>
      </w:pPr>
      <w:r>
        <w:rPr>
          <w:bCs/>
          <w:b/>
        </w:rPr>
        <w:t xml:space="preserve">Solution Factory validation:</w:t>
      </w:r>
      <w:r>
        <w:t xml:space="preserve"> </w:t>
      </w:r>
      <w:r>
        <w:t xml:space="preserve">All three agents were implemented in a single session following the same patterns: dark-theme HTML email, Resend delivery, GitHub Actions cron with DST-safe dual entries (</w:t>
      </w:r>
      <w:r>
        <w:rPr>
          <w:rStyle w:val="VerbatimChar"/>
        </w:rPr>
        <w:t xml:space="preserve">UTC+2</w:t>
      </w:r>
      <w:r>
        <w:t xml:space="preserve">/</w:t>
      </w:r>
      <w:r>
        <w:rPr>
          <w:rStyle w:val="VerbatimChar"/>
        </w:rPr>
        <w:t xml:space="preserve">UTC+3</w:t>
      </w:r>
      <w:r>
        <w:t xml:space="preserve">), best-effort Supabase queries. This confirms the operating model’s replicability for new agent types.</w:t>
      </w:r>
    </w:p>
    <w:p>
      <w:r>
        <w:pict>
          <v:rect style="width:0;height:1.5pt" o:hralign="center" o:hrstd="t" o:hr="t"/>
        </w:pict>
      </w:r>
    </w:p>
    <w:bookmarkEnd w:id="183"/>
    <w:bookmarkEnd w:id="184"/>
    <w:bookmarkStart w:id="190" w:name="Xc0734f62f8b7207932c56e03d0284c283e31af6"/>
    <w:p>
      <w:pPr>
        <w:pStyle w:val="Heading2"/>
      </w:pPr>
      <w:r>
        <w:t xml:space="preserve">10.12 Strategic Partnerships: NVIDIA, Siemens, ABB, xAI &amp; Mistral</w:t>
      </w:r>
    </w:p>
    <w:p>
      <w:pPr>
        <w:pStyle w:val="FirstParagraph"/>
      </w:pPr>
      <w:r>
        <w:rPr>
          <w:iCs/>
          <w:i/>
        </w:rPr>
        <w:t xml:space="preserve">Documented: 27.02.2026 | Source: docs/DWS6_TO_DWS7_UPDATE.md v1.1</w:t>
      </w:r>
    </w:p>
    <w:p>
      <w:pPr>
        <w:pStyle w:val="BodyText"/>
      </w:pPr>
      <w:r>
        <w:t xml:space="preserve">DWS7 builds a multi-partner ecosystem spanning industrial automation (NVIDIA, Siemens, ABB), frontier AI inference (xAI, Mistral), and edge computing. Each partner fills a distinct role in the Brain-Memory-Body-Hands architecture.</w:t>
      </w:r>
    </w:p>
    <w:tbl>
      <w:tblPr>
        <w:tblStyle w:val="Table"/>
        <w:tblW w:type="pct" w:w="5000"/>
        <w:tblLook w:firstRow="1" w:lastRow="0" w:firstColumn="0" w:lastColumn="0" w:noHBand="0" w:noVBand="0" w:val="0020"/>
        <w:jc w:val="start"/>
      </w:tblPr>
      <w:tblGrid>
        <w:gridCol w:w="685"/>
        <w:gridCol w:w="5238"/>
        <w:gridCol w:w="1995"/>
      </w:tblGrid>
      <w:tr>
        <w:trPr>
          <w:tblHeader w:val="true"/>
        </w:trPr>
        <w:tc>
          <w:tcPr/>
          <w:p>
            <w:pPr>
              <w:pStyle w:val="Compact"/>
              <w:jc w:val="left"/>
            </w:pPr>
            <w:r>
              <w:t xml:space="preserve">Partner</w:t>
            </w:r>
          </w:p>
        </w:tc>
        <w:tc>
          <w:tcPr/>
          <w:p>
            <w:pPr>
              <w:pStyle w:val="Compact"/>
              <w:jc w:val="left"/>
            </w:pPr>
            <w:r>
              <w:t xml:space="preserve">Role in Architecture</w:t>
            </w:r>
          </w:p>
        </w:tc>
        <w:tc>
          <w:tcPr/>
          <w:p>
            <w:pPr>
              <w:pStyle w:val="Compact"/>
              <w:jc w:val="left"/>
            </w:pPr>
            <w:r>
              <w:t xml:space="preserve">Integration Status</w:t>
            </w:r>
          </w:p>
        </w:tc>
      </w:tr>
      <w:tr>
        <w:tc>
          <w:tcPr/>
          <w:p>
            <w:pPr>
              <w:pStyle w:val="Compact"/>
              <w:jc w:val="left"/>
            </w:pPr>
            <w:r>
              <w:rPr>
                <w:bCs/>
                <w:b/>
              </w:rPr>
              <w:t xml:space="preserve">NVIDIA</w:t>
            </w:r>
          </w:p>
        </w:tc>
        <w:tc>
          <w:tcPr/>
          <w:p>
            <w:pPr>
              <w:pStyle w:val="Compact"/>
              <w:jc w:val="left"/>
            </w:pPr>
            <w:r>
              <w:t xml:space="preserve">GPU compute (Brain), Jetson edge (Hands), Omniverse digital twins (Body)</w:t>
            </w:r>
          </w:p>
        </w:tc>
        <w:tc>
          <w:tcPr/>
          <w:p>
            <w:pPr>
              <w:pStyle w:val="Compact"/>
              <w:jc w:val="left"/>
            </w:pPr>
            <w:r>
              <w:t xml:space="preserve">Inception program target Q2 2026</w:t>
            </w:r>
          </w:p>
        </w:tc>
      </w:tr>
      <w:tr>
        <w:tc>
          <w:tcPr/>
          <w:p>
            <w:pPr>
              <w:pStyle w:val="Compact"/>
              <w:jc w:val="left"/>
            </w:pPr>
            <w:r>
              <w:rPr>
                <w:bCs/>
                <w:b/>
              </w:rPr>
              <w:t xml:space="preserve">Siemens</w:t>
            </w:r>
          </w:p>
        </w:tc>
        <w:tc>
          <w:tcPr/>
          <w:p>
            <w:pPr>
              <w:pStyle w:val="Compact"/>
              <w:jc w:val="left"/>
            </w:pPr>
            <w:r>
              <w:t xml:space="preserve">MindSphere IoT (Hands), digital twin composer (Body), Xcelerator marketplace</w:t>
            </w:r>
          </w:p>
        </w:tc>
        <w:tc>
          <w:tcPr/>
          <w:p>
            <w:pPr>
              <w:pStyle w:val="Compact"/>
              <w:jc w:val="left"/>
            </w:pPr>
            <w:r>
              <w:t xml:space="preserve">Developer access Q2 2026</w:t>
            </w:r>
          </w:p>
        </w:tc>
      </w:tr>
      <w:tr>
        <w:tc>
          <w:tcPr/>
          <w:p>
            <w:pPr>
              <w:pStyle w:val="Compact"/>
              <w:jc w:val="left"/>
            </w:pPr>
            <w:r>
              <w:rPr>
                <w:bCs/>
                <w:b/>
              </w:rPr>
              <w:t xml:space="preserve">ABB</w:t>
            </w:r>
          </w:p>
        </w:tc>
        <w:tc>
          <w:tcPr/>
          <w:p>
            <w:pPr>
              <w:pStyle w:val="Compact"/>
              <w:jc w:val="left"/>
            </w:pPr>
            <w:r>
              <w:t xml:space="preserve">Industrial automation + robotics (Hands), power grid management</w:t>
            </w:r>
          </w:p>
        </w:tc>
        <w:tc>
          <w:tcPr/>
          <w:p>
            <w:pPr>
              <w:pStyle w:val="Compact"/>
              <w:jc w:val="left"/>
            </w:pPr>
            <w:r>
              <w:t xml:space="preserve">Integration target Q3 2026</w:t>
            </w:r>
          </w:p>
        </w:tc>
      </w:tr>
      <w:tr>
        <w:tc>
          <w:tcPr/>
          <w:p>
            <w:pPr>
              <w:pStyle w:val="Compact"/>
              <w:jc w:val="left"/>
            </w:pPr>
            <w:r>
              <w:rPr>
                <w:bCs/>
                <w:b/>
              </w:rPr>
              <w:t xml:space="preserve">xAI</w:t>
            </w:r>
          </w:p>
        </w:tc>
        <w:tc>
          <w:tcPr/>
          <w:p>
            <w:pPr>
              <w:pStyle w:val="Compact"/>
              <w:jc w:val="left"/>
            </w:pPr>
            <w:r>
              <w:t xml:space="preserve">Real-time market intelligence via Grok, X/Twitter signal discovery (Brain)</w:t>
            </w:r>
          </w:p>
        </w:tc>
        <w:tc>
          <w:tcPr/>
          <w:p>
            <w:pPr>
              <w:pStyle w:val="Compact"/>
              <w:jc w:val="left"/>
            </w:pPr>
            <w:r>
              <w:t xml:space="preserve">Active (production)</w:t>
            </w:r>
          </w:p>
        </w:tc>
      </w:tr>
      <w:tr>
        <w:tc>
          <w:tcPr/>
          <w:p>
            <w:pPr>
              <w:pStyle w:val="Compact"/>
              <w:jc w:val="left"/>
            </w:pPr>
            <w:r>
              <w:rPr>
                <w:bCs/>
                <w:b/>
              </w:rPr>
              <w:t xml:space="preserve">Mistral</w:t>
            </w:r>
          </w:p>
        </w:tc>
        <w:tc>
          <w:tcPr/>
          <w:p>
            <w:pPr>
              <w:pStyle w:val="Compact"/>
              <w:jc w:val="left"/>
            </w:pPr>
            <w:r>
              <w:t xml:space="preserve">EU-sovereign AI inference, multilingual compliance generation (Brain/Memory)</w:t>
            </w:r>
          </w:p>
        </w:tc>
        <w:tc>
          <w:tcPr/>
          <w:p>
            <w:pPr>
              <w:pStyle w:val="Compact"/>
              <w:jc w:val="left"/>
            </w:pPr>
            <w:r>
              <w:t xml:space="preserve">Planned Q3 2026</w:t>
            </w:r>
          </w:p>
        </w:tc>
      </w:tr>
      <w:tr>
        <w:tc>
          <w:tcPr/>
          <w:p>
            <w:pPr>
              <w:pStyle w:val="Compact"/>
              <w:jc w:val="left"/>
            </w:pPr>
            <w:r>
              <w:rPr>
                <w:bCs/>
                <w:b/>
              </w:rPr>
              <w:t xml:space="preserve">Red Hat</w:t>
            </w:r>
          </w:p>
        </w:tc>
        <w:tc>
          <w:tcPr/>
          <w:p>
            <w:pPr>
              <w:pStyle w:val="Compact"/>
              <w:jc w:val="left"/>
            </w:pPr>
            <w:r>
              <w:t xml:space="preserve">AgentOps BYOA platform (Body), OpenShift AI for agent deployment, hybrid cloud infra</w:t>
            </w:r>
          </w:p>
        </w:tc>
        <w:tc>
          <w:tcPr/>
          <w:p>
            <w:pPr>
              <w:pStyle w:val="Compact"/>
              <w:jc w:val="left"/>
            </w:pPr>
            <w:r>
              <w:t xml:space="preserve">Active (March 2026)</w:t>
            </w:r>
          </w:p>
        </w:tc>
      </w:tr>
    </w:tbl>
    <w:bookmarkStart w:id="185" w:name="multi-llm-router-architecture"/>
    <w:p>
      <w:pPr>
        <w:pStyle w:val="Heading3"/>
      </w:pPr>
      <w:r>
        <w:t xml:space="preserve">10.12.1 Multi-LLM Router Architecture</w:t>
      </w:r>
    </w:p>
    <w:p>
      <w:pPr>
        <w:pStyle w:val="FirstParagraph"/>
      </w:pPr>
      <w:r>
        <w:t xml:space="preserve">DWS7 selects the LLM per task type based on three criteria:</w:t>
      </w:r>
      <w:r>
        <w:t xml:space="preserve"> </w:t>
      </w:r>
      <w:r>
        <w:rPr>
          <w:bCs/>
          <w:b/>
        </w:rPr>
        <w:t xml:space="preserve">EU sovereignty</w:t>
      </w:r>
      <w:r>
        <w:t xml:space="preserve">,</w:t>
      </w:r>
      <w:r>
        <w:t xml:space="preserve"> </w:t>
      </w:r>
      <w:r>
        <w:rPr>
          <w:bCs/>
          <w:b/>
        </w:rPr>
        <w:t xml:space="preserve">cost</w:t>
      </w:r>
      <w:r>
        <w:t xml:space="preserve">, and</w:t>
      </w:r>
      <w:r>
        <w:t xml:space="preserve"> </w:t>
      </w:r>
      <w:r>
        <w:rPr>
          <w:bCs/>
          <w:b/>
        </w:rPr>
        <w:t xml:space="preserve">latency</w:t>
      </w:r>
      <w:r>
        <w:t xml:space="preserve">:</w:t>
      </w:r>
    </w:p>
    <w:p>
      <w:pPr>
        <w:pStyle w:val="SourceCode"/>
      </w:pPr>
      <w:r>
        <w:rPr>
          <w:rStyle w:val="VerbatimChar"/>
        </w:rPr>
        <w:t xml:space="preserve">Task type → LLM selection</w:t>
      </w:r>
      <w:r>
        <w:br/>
      </w:r>
      <w:r>
        <w:rPr>
          <w:rStyle w:val="VerbatimChar"/>
        </w:rPr>
        <w:t xml:space="preserve">  Compliance generation (CSRD, CBAM)  → Claude (reasoning depth) or Mistral (EU-sovereign)</w:t>
      </w:r>
      <w:r>
        <w:br/>
      </w:r>
      <w:r>
        <w:rPr>
          <w:rStyle w:val="VerbatimChar"/>
        </w:rPr>
        <w:t xml:space="preserve">  Real-time market signal analysis     → xAI Grok (live X/Twitter data)</w:t>
      </w:r>
      <w:r>
        <w:br/>
      </w:r>
      <w:r>
        <w:rPr>
          <w:rStyle w:val="VerbatimChar"/>
        </w:rPr>
        <w:t xml:space="preserve">  Code generation                      → Claude or Groq (Llama 70B, fast)</w:t>
      </w:r>
      <w:r>
        <w:br/>
      </w:r>
      <w:r>
        <w:rPr>
          <w:rStyle w:val="VerbatimChar"/>
        </w:rPr>
        <w:t xml:space="preserve">  Lightweight summarization            → Groq (Haiku-equivalent speed)</w:t>
      </w:r>
      <w:r>
        <w:br/>
      </w:r>
      <w:r>
        <w:rPr>
          <w:rStyle w:val="VerbatimChar"/>
        </w:rPr>
        <w:t xml:space="preserve">  Edge inference (Acer Veriton)        → Qwen 2.5 72B (QLoRA fine-tuned, on-premises)</w:t>
      </w:r>
    </w:p>
    <w:p>
      <w:pPr>
        <w:pStyle w:val="FirstParagraph"/>
      </w:pPr>
      <w:r>
        <w:t xml:space="preserve">This multi-LLM router is not a monolithic integration — it is the</w:t>
      </w:r>
      <w:r>
        <w:t xml:space="preserve"> </w:t>
      </w:r>
      <w:r>
        <w:rPr>
          <w:bCs/>
          <w:b/>
        </w:rPr>
        <w:t xml:space="preserve">Lifetime World Model’s inference layer</w:t>
      </w:r>
      <w:r>
        <w:t xml:space="preserve">, selecting among its constituent models based on sovereignty, cost, and latency constraints at runtime.</w:t>
      </w:r>
    </w:p>
    <w:bookmarkEnd w:id="185"/>
    <w:bookmarkStart w:id="186" w:name="nvidia-gpu-compute-edge-ai"/>
    <w:p>
      <w:pPr>
        <w:pStyle w:val="Heading3"/>
      </w:pPr>
      <w:r>
        <w:t xml:space="preserve">10.12.2 NVIDIA — GPU Compute &amp; Edge AI</w:t>
      </w:r>
    </w:p>
    <w:p>
      <w:pPr>
        <w:pStyle w:val="FirstParagraph"/>
      </w:pPr>
      <w:r>
        <w:t xml:space="preserve">NVIDIA provides the infrastructure for both cloud inference and on-premises edge AI. The Acer Veriton GN100 (Section 10.10) already hosts CUDA-capable workloads. NVIDIA Inception membership (target Q2 2026) unlocks preferred pricing on compute credits and access to the Omniverse industrial simulation platform for digital twin workflows.</w:t>
      </w:r>
    </w:p>
    <w:p>
      <w:pPr>
        <w:pStyle w:val="BodyText"/>
      </w:pPr>
      <w:r>
        <w:rPr>
          <w:bCs/>
          <w:b/>
        </w:rPr>
        <w:t xml:space="preserve">Partnership track:</w:t>
      </w:r>
      <w:r>
        <w:t xml:space="preserve"> </w:t>
      </w:r>
      <w:r>
        <w:t xml:space="preserve">NVIDIA Inception (Q2 2026) → Ecosystem Partner (Q4 2026) → Strategic Partner (2027+)</w:t>
      </w:r>
    </w:p>
    <w:bookmarkEnd w:id="186"/>
    <w:bookmarkStart w:id="187" w:name="abb-industrial-automation-emissions-data"/>
    <w:p>
      <w:pPr>
        <w:pStyle w:val="Heading3"/>
      </w:pPr>
      <w:r>
        <w:t xml:space="preserve">10.12.3 ABB — Industrial Automation &amp; Emissions Data</w:t>
      </w:r>
    </w:p>
    <w:p>
      <w:pPr>
        <w:pStyle w:val="FirstParagraph"/>
      </w:pPr>
      <w:r>
        <w:t xml:space="preserve">ABB’s installed base of drives, motors, and power distribution equipment generates the sensor data DWS7 needs for real-time emissions calculation. ABB Ability Platform enables cloud-to-cloud IoT data ingestion; ABB Ability Energy Manager provides real-time Scope 2 emissions data.</w:t>
      </w:r>
    </w:p>
    <w:p>
      <w:pPr>
        <w:pStyle w:val="BodyText"/>
      </w:pPr>
      <w:r>
        <w:rPr>
          <w:bCs/>
          <w:b/>
        </w:rPr>
        <w:t xml:space="preserve">Why ABB matters for EU ETS:</w:t>
      </w:r>
      <w:r>
        <w:t xml:space="preserve"> </w:t>
      </w:r>
      <w:r>
        <w:t xml:space="preserve">ABB’s customers — steel, cement, chemicals, aluminum — are exactly the industries facing the highest EU ETS carbon costs. DWS7 becomes the compliance brain on top of ABB’s operational data.</w:t>
      </w:r>
    </w:p>
    <w:bookmarkEnd w:id="187"/>
    <w:bookmarkStart w:id="188" w:name="X5206bd3afdba06b0fe9823a5c00a5014d03af77"/>
    <w:p>
      <w:pPr>
        <w:pStyle w:val="Heading3"/>
      </w:pPr>
      <w:r>
        <w:t xml:space="preserve">10.12.4 Red Hat — AgentOps &amp; Hybrid Cloud Infrastructure</w:t>
      </w:r>
    </w:p>
    <w:p>
      <w:pPr>
        <w:pStyle w:val="FirstParagraph"/>
      </w:pPr>
      <w:r>
        <w:rPr>
          <w:iCs/>
          <w:i/>
        </w:rPr>
        <w:t xml:space="preserve">Added: 21.03.2026 | Source: Red Hat</w:t>
      </w:r>
      <w:r>
        <w:rPr>
          <w:iCs/>
          <w:i/>
        </w:rPr>
        <w:t xml:space="preserve"> </w:t>
      </w:r>
      <w:r>
        <w:rPr>
          <w:iCs/>
          <w:i/>
        </w:rPr>
        <w:t xml:space="preserve">“</w:t>
      </w:r>
      <w:r>
        <w:rPr>
          <w:iCs/>
          <w:i/>
        </w:rPr>
        <w:t xml:space="preserve">The Adaptable Enterprise</w:t>
      </w:r>
      <w:r>
        <w:rPr>
          <w:iCs/>
          <w:i/>
        </w:rPr>
        <w:t xml:space="preserve">”</w:t>
      </w:r>
      <w:r>
        <w:rPr>
          <w:iCs/>
          <w:i/>
        </w:rPr>
        <w:t xml:space="preserve"> </w:t>
      </w:r>
      <w:r>
        <w:rPr>
          <w:iCs/>
          <w:i/>
        </w:rPr>
        <w:t xml:space="preserve">Key Findings (2025), Mikko Pylväs (Red Hat Finland AI event, March 2026)</w:t>
      </w:r>
    </w:p>
    <w:p>
      <w:pPr>
        <w:pStyle w:val="BodyText"/>
      </w:pPr>
      <w:r>
        <w:t xml:space="preserve">Red Hat’s AgentOps strategy —</w:t>
      </w:r>
      <w:r>
        <w:t xml:space="preserve"> </w:t>
      </w:r>
      <w:r>
        <w:rPr>
          <w:bCs/>
          <w:b/>
        </w:rPr>
        <w:t xml:space="preserve">Bring Your Own Agent (BYOA)</w:t>
      </w:r>
      <w:r>
        <w:t xml:space="preserve"> </w:t>
      </w:r>
      <w:r>
        <w:t xml:space="preserve">— provides enterprise Kubernetes (OpenShift) as the deployment and orchestration layer for AI agents. Their core thesis: adaptability is the prerequisite for any AI strategy to succeed. Whether agents use LangChain, AutoGen, or custom frameworks, Red Hat provides the enterprise rigor and security policies needed for production readiness.</w:t>
      </w:r>
    </w:p>
    <w:p>
      <w:pPr>
        <w:pStyle w:val="BodyText"/>
      </w:pPr>
      <w:r>
        <w:rPr>
          <w:bCs/>
          <w:b/>
        </w:rPr>
        <w:t xml:space="preserve">Strategic alignment with DWS IQ 6:</w:t>
      </w:r>
    </w:p>
    <w:p>
      <w:pPr>
        <w:numPr>
          <w:ilvl w:val="0"/>
          <w:numId w:val="1064"/>
        </w:numPr>
        <w:pStyle w:val="Compact"/>
      </w:pPr>
      <w:r>
        <w:rPr>
          <w:bCs/>
          <w:b/>
        </w:rPr>
        <w:t xml:space="preserve">Hybrid cloud imperative:</w:t>
      </w:r>
      <w:r>
        <w:t xml:space="preserve"> </w:t>
      </w:r>
      <w:r>
        <w:t xml:space="preserve">Red Hat identifies that a successful AI strategy must be a hybrid cloud strategy — train, tune, and run models wherever data resides without compromising security, compliance, or data sovereignty. This maps directly to DWS IQ 6’s deployment model (EU Cloud + GN-100 edge + Article 12 Logging Pipeline).</w:t>
      </w:r>
    </w:p>
    <w:p>
      <w:pPr>
        <w:numPr>
          <w:ilvl w:val="0"/>
          <w:numId w:val="1064"/>
        </w:numPr>
        <w:pStyle w:val="Compact"/>
      </w:pPr>
      <w:r>
        <w:rPr>
          <w:bCs/>
          <w:b/>
        </w:rPr>
        <w:t xml:space="preserve">Modernize before automate:</w:t>
      </w:r>
      <w:r>
        <w:t xml:space="preserve"> </w:t>
      </w:r>
      <w:r>
        <w:t xml:space="preserve">Moving from proprietary silos to open, flexible hybrid cloud (Linux, containers, Kubernetes) aligns with DWS7’s container-native architecture and NVIDIA partnership.</w:t>
      </w:r>
    </w:p>
    <w:p>
      <w:pPr>
        <w:numPr>
          <w:ilvl w:val="0"/>
          <w:numId w:val="1064"/>
        </w:numPr>
        <w:pStyle w:val="Compact"/>
      </w:pPr>
      <w:r>
        <w:rPr>
          <w:bCs/>
          <w:b/>
        </w:rPr>
        <w:t xml:space="preserve">Red Hat + NVIDIA joint work</w:t>
      </w:r>
      <w:r>
        <w:t xml:space="preserve"> </w:t>
      </w:r>
      <w:r>
        <w:t xml:space="preserve">on secure AI agent infrastructure directly supports the KYA-governed agent isolation model, providing hardware-attested security at the infrastructure layer.</w:t>
      </w:r>
    </w:p>
    <w:p>
      <w:pPr>
        <w:numPr>
          <w:ilvl w:val="0"/>
          <w:numId w:val="1064"/>
        </w:numPr>
        <w:pStyle w:val="Compact"/>
      </w:pPr>
      <w:r>
        <w:rPr>
          <w:bCs/>
          <w:b/>
        </w:rPr>
        <w:t xml:space="preserve">MCP as bridge:</w:t>
      </w:r>
      <w:r>
        <w:t xml:space="preserve"> </w:t>
      </w:r>
      <w:r>
        <w:t xml:space="preserve">Red Hat identifies MCP as critical for bridging legacy systems with agentic AI — validating DWS IQ 6’s MCP Hub architecture (Section 2.5.3).</w:t>
      </w:r>
    </w:p>
    <w:p>
      <w:pPr>
        <w:numPr>
          <w:ilvl w:val="0"/>
          <w:numId w:val="1064"/>
        </w:numPr>
        <w:pStyle w:val="Compact"/>
      </w:pPr>
      <w:r>
        <w:rPr>
          <w:bCs/>
          <w:b/>
        </w:rPr>
        <w:t xml:space="preserve">Expertise gap:</w:t>
      </w:r>
      <w:r>
        <w:t xml:space="preserve"> </w:t>
      </w:r>
      <w:r>
        <w:t xml:space="preserve">42% of organizations are blocked by lack of in-house AI expertise (Bain &amp; Company, 2025), validating the managed-platform approach where DWS IQ provides pre-built, compliant agent templates rather than requiring customers to build from scratch.</w:t>
      </w:r>
    </w:p>
    <w:bookmarkEnd w:id="188"/>
    <w:bookmarkStart w:id="189" w:name="research-contribution-4"/>
    <w:p>
      <w:pPr>
        <w:pStyle w:val="Heading3"/>
      </w:pPr>
      <w:r>
        <w:t xml:space="preserve">10.12.5 Research Contribution</w:t>
      </w:r>
    </w:p>
    <w:p>
      <w:pPr>
        <w:pStyle w:val="FirstParagraph"/>
      </w:pPr>
      <w:r>
        <w:t xml:space="preserve">The multi-partner ecosystem validates the</w:t>
      </w:r>
      <w:r>
        <w:t xml:space="preserve"> </w:t>
      </w:r>
      <w:r>
        <w:rPr>
          <w:bCs/>
          <w:b/>
        </w:rPr>
        <w:t xml:space="preserve">Solution Factory model’s third pillar</w:t>
      </w:r>
      <w:r>
        <w:t xml:space="preserve"> </w:t>
      </w:r>
      <w:r>
        <w:t xml:space="preserve">(Section 4.1.3 — distribution leverage). By plugging DWS7 into Siemens Xcelerator, NVIDIA Inception, and Red Hat’s OpenShift ecosystem, the platform gains access to 10,000+ industrial customers without building a direct sales organization — consistent with the partnership distribution strategy (Section 7.3) applied at the partnership level.</w:t>
      </w:r>
    </w:p>
    <w:p>
      <w:pPr>
        <w:pStyle w:val="BodyText"/>
      </w:pPr>
      <w:r>
        <w:t xml:space="preserve">The multi-LLM router architecture also demonstrates practical resolution of the</w:t>
      </w:r>
      <w:r>
        <w:t xml:space="preserve"> </w:t>
      </w:r>
      <w:r>
        <w:rPr>
          <w:bCs/>
          <w:b/>
        </w:rPr>
        <w:t xml:space="preserve">EU AI Act sovereignty tension</w:t>
      </w:r>
      <w:r>
        <w:t xml:space="preserve">: regulated industries can use Mistral for compliance generation (EU-domiciled, GDPR-compliant) while still accessing Claude and Grok for non-regulated analytical tasks. Red Hat’s BYOA framework further validates this architecture — enterprise customers can bring their own agent frameworks while DWS IQ provides the governed orchestration and compliance layer.</w:t>
      </w:r>
    </w:p>
    <w:p>
      <w:r>
        <w:pict>
          <v:rect style="width:0;height:1.5pt" o:hralign="center" o:hrstd="t" o:hr="t"/>
        </w:pict>
      </w:r>
    </w:p>
    <w:bookmarkEnd w:id="189"/>
    <w:bookmarkEnd w:id="190"/>
    <w:bookmarkEnd w:id="191"/>
    <w:bookmarkStart w:id="205" w:name="references"/>
    <w:p>
      <w:pPr>
        <w:pStyle w:val="Heading1"/>
      </w:pPr>
      <w:r>
        <w:t xml:space="preserve">11. References</w:t>
      </w:r>
    </w:p>
    <w:bookmarkStart w:id="192" w:name="academic-literature"/>
    <w:p>
      <w:pPr>
        <w:pStyle w:val="Heading2"/>
      </w:pPr>
      <w:r>
        <w:t xml:space="preserve">Academic Literature</w:t>
      </w:r>
    </w:p>
    <w:p>
      <w:pPr>
        <w:numPr>
          <w:ilvl w:val="0"/>
          <w:numId w:val="1065"/>
        </w:numPr>
      </w:pPr>
      <w:r>
        <w:t xml:space="preserve">Ries, E. (2011).</w:t>
      </w:r>
      <w:r>
        <w:t xml:space="preserve"> </w:t>
      </w:r>
      <w:r>
        <w:rPr>
          <w:iCs/>
          <w:i/>
        </w:rPr>
        <w:t xml:space="preserve">The Lean Startup: How Today’s Entrepreneurs Use Continuous Innovation to Create Radically Successful Businesses</w:t>
      </w:r>
      <w:r>
        <w:t xml:space="preserve">. Crown Business.</w:t>
      </w:r>
    </w:p>
    <w:p>
      <w:pPr>
        <w:numPr>
          <w:ilvl w:val="0"/>
          <w:numId w:val="1065"/>
        </w:numPr>
      </w:pPr>
      <w:r>
        <w:t xml:space="preserve">Blank, S. (2013).</w:t>
      </w:r>
      <w:r>
        <w:t xml:space="preserve"> </w:t>
      </w:r>
      <w:r>
        <w:rPr>
          <w:iCs/>
          <w:i/>
        </w:rPr>
        <w:t xml:space="preserve">The Four Steps to the Epiphany: Successful Strategies for Products that Win</w:t>
      </w:r>
      <w:r>
        <w:t xml:space="preserve">. K&amp;S Ranch.</w:t>
      </w:r>
    </w:p>
    <w:p>
      <w:pPr>
        <w:numPr>
          <w:ilvl w:val="0"/>
          <w:numId w:val="1065"/>
        </w:numPr>
      </w:pPr>
      <w:r>
        <w:t xml:space="preserve">Parker, G., Van Alstyne, M., &amp; Choudary, S. (2016).</w:t>
      </w:r>
      <w:r>
        <w:t xml:space="preserve"> </w:t>
      </w:r>
      <w:r>
        <w:rPr>
          <w:iCs/>
          <w:i/>
        </w:rPr>
        <w:t xml:space="preserve">Platform Revolution: How Networked Markets Are Transforming the Economy</w:t>
      </w:r>
      <w:r>
        <w:t xml:space="preserve">. W.W. Norton.</w:t>
      </w:r>
    </w:p>
    <w:p>
      <w:pPr>
        <w:numPr>
          <w:ilvl w:val="0"/>
          <w:numId w:val="1065"/>
        </w:numPr>
      </w:pPr>
      <w:r>
        <w:t xml:space="preserve">European Commission (2021).</w:t>
      </w:r>
      <w:r>
        <w:t xml:space="preserve"> </w:t>
      </w:r>
      <w:r>
        <w:rPr>
          <w:iCs/>
          <w:i/>
        </w:rPr>
        <w:t xml:space="preserve">Industry 5.0: Towards a Sustainable, Human-Centric and Resilient European Industry</w:t>
      </w:r>
      <w:r>
        <w:t xml:space="preserve">. Publications Office of the EU.</w:t>
      </w:r>
    </w:p>
    <w:p>
      <w:pPr>
        <w:numPr>
          <w:ilvl w:val="0"/>
          <w:numId w:val="1065"/>
        </w:numPr>
      </w:pPr>
      <w:r>
        <w:t xml:space="preserve">Shi, W., Cao, J., Zhang, Q., Li, Y., &amp; Xu, L. (2016).</w:t>
      </w:r>
      <w:r>
        <w:t xml:space="preserve"> </w:t>
      </w:r>
      <w:r>
        <w:t xml:space="preserve">“</w:t>
      </w:r>
      <w:r>
        <w:t xml:space="preserve">Edge Computing: Vision and Challenges.</w:t>
      </w:r>
      <w:r>
        <w:t xml:space="preserve">”</w:t>
      </w:r>
      <w:r>
        <w:t xml:space="preserve"> </w:t>
      </w:r>
      <w:r>
        <w:rPr>
          <w:iCs/>
          <w:i/>
        </w:rPr>
        <w:t xml:space="preserve">IEEE Internet of Things Journal</w:t>
      </w:r>
      <w:r>
        <w:t xml:space="preserve">, 3(5), 637-646.</w:t>
      </w:r>
    </w:p>
    <w:p>
      <w:pPr>
        <w:numPr>
          <w:ilvl w:val="0"/>
          <w:numId w:val="1065"/>
        </w:numPr>
      </w:pPr>
      <w:r>
        <w:t xml:space="preserve">Christensen, C. M., Hall, T., Dillon, K., &amp; Duncan, D. S. (2016).</w:t>
      </w:r>
      <w:r>
        <w:t xml:space="preserve"> </w:t>
      </w:r>
      <w:r>
        <w:t xml:space="preserve">“</w:t>
      </w:r>
      <w:r>
        <w:t xml:space="preserve">Know Your Customers’ Jobs to Be Done.</w:t>
      </w:r>
      <w:r>
        <w:t xml:space="preserve">”</w:t>
      </w:r>
      <w:r>
        <w:t xml:space="preserve"> </w:t>
      </w:r>
      <w:r>
        <w:rPr>
          <w:iCs/>
          <w:i/>
        </w:rPr>
        <w:t xml:space="preserve">Harvard Business Review</w:t>
      </w:r>
      <w:r>
        <w:t xml:space="preserve">, 94(9), 54-62.</w:t>
      </w:r>
    </w:p>
    <w:p>
      <w:pPr>
        <w:numPr>
          <w:ilvl w:val="0"/>
          <w:numId w:val="1065"/>
        </w:numPr>
      </w:pPr>
      <w:r>
        <w:t xml:space="preserve">Wooldridge, M. (2009).</w:t>
      </w:r>
      <w:r>
        <w:t xml:space="preserve"> </w:t>
      </w:r>
      <w:r>
        <w:rPr>
          <w:iCs/>
          <w:i/>
        </w:rPr>
        <w:t xml:space="preserve">An Introduction to MultiAgent Systems</w:t>
      </w:r>
      <w:r>
        <w:t xml:space="preserve"> </w:t>
      </w:r>
      <w:r>
        <w:t xml:space="preserve">(2nd ed.). Wiley.</w:t>
      </w:r>
    </w:p>
    <w:p>
      <w:pPr>
        <w:numPr>
          <w:ilvl w:val="0"/>
          <w:numId w:val="1065"/>
        </w:numPr>
      </w:pPr>
      <w:r>
        <w:t xml:space="preserve">Jennings, N. R., &amp; Wooldridge, M. (1998).</w:t>
      </w:r>
      <w:r>
        <w:t xml:space="preserve"> </w:t>
      </w:r>
      <w:r>
        <w:t xml:space="preserve">“</w:t>
      </w:r>
      <w:r>
        <w:t xml:space="preserve">Applications of intelligent agents.</w:t>
      </w:r>
      <w:r>
        <w:t xml:space="preserve">”</w:t>
      </w:r>
      <w:r>
        <w:t xml:space="preserve"> </w:t>
      </w:r>
      <w:r>
        <w:rPr>
          <w:iCs/>
          <w:i/>
        </w:rPr>
        <w:t xml:space="preserve">Agent Technology: Foundations, Applications, and Markets</w:t>
      </w:r>
      <w:r>
        <w:t xml:space="preserve">, 3-28.</w:t>
      </w:r>
    </w:p>
    <w:bookmarkEnd w:id="192"/>
    <w:bookmarkStart w:id="193" w:name="multi-agent-systems-and-ai-coordination"/>
    <w:p>
      <w:pPr>
        <w:pStyle w:val="Heading2"/>
      </w:pPr>
      <w:r>
        <w:t xml:space="preserve">Multi-Agent Systems and AI Coordination</w:t>
      </w:r>
    </w:p>
    <w:p>
      <w:pPr>
        <w:numPr>
          <w:ilvl w:val="0"/>
          <w:numId w:val="1066"/>
        </w:numPr>
      </w:pPr>
      <w:r>
        <w:t xml:space="preserve">LangChain Documentation (2024).</w:t>
      </w:r>
      <w:r>
        <w:t xml:space="preserve"> </w:t>
      </w:r>
      <w:r>
        <w:t xml:space="preserve">“</w:t>
      </w:r>
      <w:r>
        <w:t xml:space="preserve">Building LLM Applications with Composable Components.</w:t>
      </w:r>
      <w:r>
        <w:t xml:space="preserve">”</w:t>
      </w:r>
      <w:r>
        <w:t xml:space="preserve"> </w:t>
      </w:r>
      <w:r>
        <w:t xml:space="preserve">https://docs.langchain.com</w:t>
      </w:r>
    </w:p>
    <w:p>
      <w:pPr>
        <w:numPr>
          <w:ilvl w:val="0"/>
          <w:numId w:val="1066"/>
        </w:numPr>
      </w:pPr>
      <w:r>
        <w:t xml:space="preserve">Anthropic (2024).</w:t>
      </w:r>
      <w:r>
        <w:t xml:space="preserve"> </w:t>
      </w:r>
      <w:r>
        <w:t xml:space="preserve">“</w:t>
      </w:r>
      <w:r>
        <w:t xml:space="preserve">Model Context Protocol Specification.</w:t>
      </w:r>
      <w:r>
        <w:t xml:space="preserve">”</w:t>
      </w:r>
      <w:r>
        <w:t xml:space="preserve"> </w:t>
      </w:r>
      <w:r>
        <w:t xml:space="preserve">https://modelcontextprotocol.io</w:t>
      </w:r>
    </w:p>
    <w:p>
      <w:pPr>
        <w:numPr>
          <w:ilvl w:val="0"/>
          <w:numId w:val="1066"/>
        </w:numPr>
      </w:pPr>
      <w:r>
        <w:t xml:space="preserve">NVIDIA (2024).</w:t>
      </w:r>
      <w:r>
        <w:t xml:space="preserve"> </w:t>
      </w:r>
      <w:r>
        <w:t xml:space="preserve">“</w:t>
      </w:r>
      <w:r>
        <w:t xml:space="preserve">Jetson Orin Nano Developer Kit: Technical Specifications.</w:t>
      </w:r>
      <w:r>
        <w:t xml:space="preserve">”</w:t>
      </w:r>
      <w:r>
        <w:t xml:space="preserve"> </w:t>
      </w:r>
      <w:r>
        <w:t xml:space="preserve">https://developer.nvidia.com/embedded/jetson-orin-nano</w:t>
      </w:r>
    </w:p>
    <w:bookmarkEnd w:id="193"/>
    <w:bookmarkStart w:id="194" w:name="industry-reports"/>
    <w:p>
      <w:pPr>
        <w:pStyle w:val="Heading2"/>
      </w:pPr>
      <w:r>
        <w:t xml:space="preserve">Industry Reports</w:t>
      </w:r>
    </w:p>
    <w:p>
      <w:pPr>
        <w:numPr>
          <w:ilvl w:val="0"/>
          <w:numId w:val="1067"/>
        </w:numPr>
      </w:pPr>
      <w:r>
        <w:t xml:space="preserve">European Commission &amp; Ramboll (2025).</w:t>
      </w:r>
      <w:r>
        <w:t xml:space="preserve"> </w:t>
      </w:r>
      <w:r>
        <w:t xml:space="preserve">“</w:t>
      </w:r>
      <w:r>
        <w:t xml:space="preserve">Analysis of Life-Cycle Greenhouse Gas Emissions of EU Buildings.</w:t>
      </w:r>
      <w:r>
        <w:t xml:space="preserve">”</w:t>
      </w:r>
      <w:r>
        <w:t xml:space="preserve"> </w:t>
      </w:r>
      <w:r>
        <w:t xml:space="preserve">DG Environment.</w:t>
      </w:r>
    </w:p>
    <w:p>
      <w:pPr>
        <w:numPr>
          <w:ilvl w:val="0"/>
          <w:numId w:val="1067"/>
        </w:numPr>
      </w:pPr>
      <w:r>
        <w:t xml:space="preserve">GRESB (2024).</w:t>
      </w:r>
      <w:r>
        <w:t xml:space="preserve"> </w:t>
      </w:r>
      <w:r>
        <w:t xml:space="preserve">“</w:t>
      </w:r>
      <w:r>
        <w:t xml:space="preserve">Building an Embodied Carbon Strategy in EU Markets: A Guide for Real Estate Investors.</w:t>
      </w:r>
      <w:r>
        <w:t xml:space="preserve">”</w:t>
      </w:r>
    </w:p>
    <w:p>
      <w:pPr>
        <w:numPr>
          <w:ilvl w:val="0"/>
          <w:numId w:val="1067"/>
        </w:numPr>
      </w:pPr>
      <w:r>
        <w:t xml:space="preserve">Eurofound &amp; Cedefop (2025).</w:t>
      </w:r>
      <w:r>
        <w:t xml:space="preserve"> </w:t>
      </w:r>
      <w:r>
        <w:t xml:space="preserve">“</w:t>
      </w:r>
      <w:r>
        <w:t xml:space="preserve">Digitisation of SMEs in the EU: Trends, Policies and Implications.</w:t>
      </w:r>
      <w:r>
        <w:t xml:space="preserve">”</w:t>
      </w:r>
      <w:r>
        <w:t xml:space="preserve"> </w:t>
      </w:r>
      <w:r>
        <w:t xml:space="preserve">Publications Office of the EU.</w:t>
      </w:r>
    </w:p>
    <w:p>
      <w:pPr>
        <w:numPr>
          <w:ilvl w:val="0"/>
          <w:numId w:val="1067"/>
        </w:numPr>
      </w:pPr>
      <w:r>
        <w:t xml:space="preserve">McKinsey &amp; Company (2024).</w:t>
      </w:r>
      <w:r>
        <w:t xml:space="preserve"> </w:t>
      </w:r>
      <w:r>
        <w:t xml:space="preserve">“</w:t>
      </w:r>
      <w:r>
        <w:t xml:space="preserve">The State of AI in Construction: Adoption, Impact, and Future Outlook.</w:t>
      </w:r>
      <w:r>
        <w:t xml:space="preserve">”</w:t>
      </w:r>
    </w:p>
    <w:bookmarkEnd w:id="194"/>
    <w:bookmarkStart w:id="195" w:name="regulations-and-standards"/>
    <w:p>
      <w:pPr>
        <w:pStyle w:val="Heading2"/>
      </w:pPr>
      <w:r>
        <w:t xml:space="preserve">Regulations and Standards</w:t>
      </w:r>
    </w:p>
    <w:p>
      <w:pPr>
        <w:numPr>
          <w:ilvl w:val="0"/>
          <w:numId w:val="1068"/>
        </w:numPr>
      </w:pPr>
      <w:r>
        <w:t xml:space="preserve">NIS 2 Directive (EU) 2022/2555</w:t>
      </w:r>
    </w:p>
    <w:p>
      <w:pPr>
        <w:numPr>
          <w:ilvl w:val="0"/>
          <w:numId w:val="1068"/>
        </w:numPr>
      </w:pPr>
      <w:r>
        <w:t xml:space="preserve">EU AI Act (EU) 2024/1689</w:t>
      </w:r>
    </w:p>
    <w:p>
      <w:pPr>
        <w:numPr>
          <w:ilvl w:val="0"/>
          <w:numId w:val="1068"/>
        </w:numPr>
      </w:pPr>
      <w:r>
        <w:t xml:space="preserve">General Data Protection Regulation (GDPR) (EU) 2016/679</w:t>
      </w:r>
    </w:p>
    <w:p>
      <w:pPr>
        <w:numPr>
          <w:ilvl w:val="0"/>
          <w:numId w:val="1068"/>
        </w:numPr>
      </w:pPr>
      <w:r>
        <w:t xml:space="preserve">Cybersecurity Act (EU) 2019/881</w:t>
      </w:r>
    </w:p>
    <w:p>
      <w:pPr>
        <w:numPr>
          <w:ilvl w:val="0"/>
          <w:numId w:val="1068"/>
        </w:numPr>
      </w:pPr>
      <w:r>
        <w:t xml:space="preserve">ISO/IEC 27001:2022</w:t>
      </w:r>
    </w:p>
    <w:p>
      <w:pPr>
        <w:numPr>
          <w:ilvl w:val="0"/>
          <w:numId w:val="1068"/>
        </w:numPr>
      </w:pPr>
      <w:r>
        <w:t xml:space="preserve">European Commission (2025).</w:t>
      </w:r>
      <w:r>
        <w:t xml:space="preserve"> </w:t>
      </w:r>
      <w:r>
        <w:rPr>
          <w:iCs/>
          <w:i/>
        </w:rPr>
        <w:t xml:space="preserve">Omnibus package</w:t>
      </w:r>
      <w:r>
        <w:t xml:space="preserve">.</w:t>
      </w:r>
    </w:p>
    <w:p>
      <w:pPr>
        <w:numPr>
          <w:ilvl w:val="0"/>
          <w:numId w:val="1068"/>
        </w:numPr>
      </w:pPr>
      <w:r>
        <w:t xml:space="preserve">EN 15978:2011 Sustainability of Construction Works</w:t>
      </w:r>
    </w:p>
    <w:p>
      <w:pPr>
        <w:numPr>
          <w:ilvl w:val="0"/>
          <w:numId w:val="1068"/>
        </w:numPr>
      </w:pPr>
      <w:r>
        <w:t xml:space="preserve">Energy Performance of Buildings Directive (EPBD) (EU) 2024/1275</w:t>
      </w:r>
    </w:p>
    <w:p>
      <w:pPr>
        <w:numPr>
          <w:ilvl w:val="0"/>
          <w:numId w:val="1068"/>
        </w:numPr>
      </w:pPr>
      <w:r>
        <w:t xml:space="preserve">Google Merchant Center Technical Specifications (2026)</w:t>
      </w:r>
    </w:p>
    <w:p>
      <w:pPr>
        <w:numPr>
          <w:ilvl w:val="0"/>
          <w:numId w:val="1068"/>
        </w:numPr>
      </w:pPr>
      <w:r>
        <w:t xml:space="preserve">Revolut Business API Documentation</w:t>
      </w:r>
    </w:p>
    <w:p>
      <w:pPr>
        <w:numPr>
          <w:ilvl w:val="0"/>
          <w:numId w:val="1068"/>
        </w:numPr>
      </w:pPr>
      <w:r>
        <w:t xml:space="preserve">Anthropic Claude Code Documentation</w:t>
      </w:r>
    </w:p>
    <w:p>
      <w:pPr>
        <w:numPr>
          <w:ilvl w:val="0"/>
          <w:numId w:val="1068"/>
        </w:numPr>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68"/>
        </w:numPr>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68"/>
        </w:numPr>
      </w:pPr>
      <w:r>
        <w:t xml:space="preserve">LUT University (2026).</w:t>
      </w:r>
      <w:r>
        <w:t xml:space="preserve"> </w:t>
      </w:r>
      <w:r>
        <w:rPr>
          <w:iCs/>
          <w:i/>
        </w:rPr>
        <w:t xml:space="preserve">Tekoälytyökalujen käytänteet</w:t>
      </w:r>
      <w:r>
        <w:t xml:space="preserve"> </w:t>
      </w:r>
      <w:r>
        <w:t xml:space="preserve">[AI Tool Usage Policies]. Lappeenrannan-Lahden teknillinen yliopisto LUT. https://elut.lut.fi/fi/opintojen-suorittaminen/opintoja-ohjaavat-saadokset-ja-ohjeet/tekoalytyokalujen-kaytanteet</w:t>
      </w:r>
    </w:p>
    <w:bookmarkEnd w:id="195"/>
    <w:bookmarkStart w:id="196" w:name="internal-reference-artifacts"/>
    <w:p>
      <w:pPr>
        <w:pStyle w:val="Heading2"/>
      </w:pPr>
      <w:r>
        <w:t xml:space="preserve">Internal Reference Artifacts</w:t>
      </w:r>
    </w:p>
    <w:p>
      <w:pPr>
        <w:numPr>
          <w:ilvl w:val="0"/>
          <w:numId w:val="1069"/>
        </w:numPr>
      </w:pPr>
      <w:r>
        <w:t xml:space="preserve">Lifetime Oy (2026).</w:t>
      </w:r>
      <w:r>
        <w:t xml:space="preserve"> </w:t>
      </w:r>
      <w:r>
        <w:rPr>
          <w:iCs/>
          <w:i/>
        </w:rPr>
        <w:t xml:space="preserve">Lifetime World LLM Scaling Blueprint (GN-100 hybrid + cloud path).</w:t>
      </w:r>
      <w:r>
        <w:t xml:space="preserve"> </w:t>
      </w:r>
      <w:r>
        <w:rPr>
          <w:rStyle w:val="VerbatimChar"/>
        </w:rPr>
        <w:t xml:space="preserve">Admin/Model/LLM_TRAINING_FEASIBILITY.md</w:t>
      </w:r>
      <w:r>
        <w:t xml:space="preserve">.</w:t>
      </w:r>
    </w:p>
    <w:p>
      <w:pPr>
        <w:numPr>
          <w:ilvl w:val="0"/>
          <w:numId w:val="1069"/>
        </w:numPr>
      </w:pPr>
      <w:r>
        <w:t xml:space="preserve">Lifetime Oy (2026).</w:t>
      </w:r>
      <w:r>
        <w:t xml:space="preserve"> </w:t>
      </w:r>
      <w:r>
        <w:rPr>
          <w:iCs/>
          <w:i/>
        </w:rPr>
        <w:t xml:space="preserve">DWS Security Standard</w:t>
      </w:r>
      <w:r>
        <w:t xml:space="preserve">, version 1.5.</w:t>
      </w:r>
      <w:r>
        <w:t xml:space="preserve"> </w:t>
      </w:r>
      <w:r>
        <w:rPr>
          <w:rStyle w:val="VerbatimChar"/>
        </w:rPr>
        <w:t xml:space="preserve">DWS_SECURITY_STANDARD.md</w:t>
      </w:r>
      <w:r>
        <w:t xml:space="preserve">. Internal framework governing AI safety, middleware security controls (correlation ID, Zod validation, centralized error handling), CORS policies, SRI integrity, Article 12 logging, and API boundary validation. Establishes the security architecture for all backend API routes and the MCP agent server.</w:t>
      </w:r>
    </w:p>
    <w:p>
      <w:pPr>
        <w:numPr>
          <w:ilvl w:val="0"/>
          <w:numId w:val="1069"/>
        </w:numPr>
      </w:pPr>
      <w:r>
        <w:t xml:space="preserve">Lifetime Oy (2026).</w:t>
      </w:r>
      <w:r>
        <w:t xml:space="preserve"> </w:t>
      </w:r>
      <w:r>
        <w:rPr>
          <w:iCs/>
          <w:i/>
        </w:rPr>
        <w:t xml:space="preserve">ESRS Data Point Registry</w:t>
      </w:r>
      <w:r>
        <w:t xml:space="preserve">, version 1.0.</w:t>
      </w:r>
      <w:r>
        <w:t xml:space="preserve"> </w:t>
      </w:r>
      <w:r>
        <w:rPr>
          <w:rStyle w:val="VerbatimChar"/>
        </w:rPr>
        <w:t xml:space="preserve">src/compliance/esrs-registry.ts</w:t>
      </w:r>
      <w:r>
        <w:t xml:space="preserve">. Machine-readable mapping of all 82 European Sustainability Reporting Standards (ESRS) disclosure requirements across E1-E5 (Environment), S1-S4 (Social), and G1 (Governance). Each disclosure is classified as mandatory or voluntary under the CSRD Directive (EU) 2022/2464.</w:t>
      </w:r>
    </w:p>
    <w:p>
      <w:pPr>
        <w:numPr>
          <w:ilvl w:val="0"/>
          <w:numId w:val="1069"/>
        </w:numPr>
      </w:pPr>
      <w:r>
        <w:t xml:space="preserve">Lifetime Oy (2026).</w:t>
      </w:r>
      <w:r>
        <w:t xml:space="preserve"> </w:t>
      </w:r>
      <w:r>
        <w:rPr>
          <w:iCs/>
          <w:i/>
        </w:rPr>
        <w:t xml:space="preserve">Compliance Scoring Engine</w:t>
      </w:r>
      <w:r>
        <w:t xml:space="preserve">, version 1.0.</w:t>
      </w:r>
      <w:r>
        <w:t xml:space="preserve"> </w:t>
      </w:r>
      <w:r>
        <w:rPr>
          <w:rStyle w:val="VerbatimChar"/>
        </w:rPr>
        <w:t xml:space="preserve">src/compliance/scoring-engine.ts</w:t>
      </w:r>
      <w:r>
        <w:t xml:space="preserve">. Deterministic compliance scoring algorithm computing CSRD readiness, ETS exposure, and CBAM risk scores. Formula: overall = CSRD(0.50) + ETS(0.25) + CBAM(0.25), where CSRD = (mandatory data points provided / total mandatory) × 80 + bonus modifiers.</w:t>
      </w:r>
    </w:p>
    <w:p>
      <w:pPr>
        <w:numPr>
          <w:ilvl w:val="0"/>
          <w:numId w:val="1069"/>
        </w:numPr>
      </w:pPr>
      <w:r>
        <w:t xml:space="preserve">Lifetime Oy (2026).</w:t>
      </w:r>
      <w:r>
        <w:t xml:space="preserve"> </w:t>
      </w:r>
      <w:r>
        <w:rPr>
          <w:iCs/>
          <w:i/>
        </w:rPr>
        <w:t xml:space="preserve">Site Quality Standards</w:t>
      </w:r>
      <w:r>
        <w:t xml:space="preserve">, version 2.1.</w:t>
      </w:r>
      <w:r>
        <w:t xml:space="preserve"> </w:t>
      </w:r>
      <w:r>
        <w:rPr>
          <w:rStyle w:val="VerbatimChar"/>
        </w:rPr>
        <w:t xml:space="preserve">SITE_QUALITY_STANDARDS.md</w:t>
      </w:r>
      <w:r>
        <w:t xml:space="preserve">. Code quality, component architecture, and UI resilience patterns for the DWS IQ dashboard. Defines ErrorBoundary, Skeleton loading, and EmptyState component standards for enterprise-grade user experience.</w:t>
      </w:r>
    </w:p>
    <w:p>
      <w:pPr>
        <w:numPr>
          <w:ilvl w:val="0"/>
          <w:numId w:val="1069"/>
        </w:numPr>
      </w:pPr>
      <w:r>
        <w:t xml:space="preserve">Lifetime Oy (2026).</w:t>
      </w:r>
      <w:r>
        <w:t xml:space="preserve"> </w:t>
      </w:r>
      <w:r>
        <w:rPr>
          <w:iCs/>
          <w:i/>
        </w:rPr>
        <w:t xml:space="preserve">AGENTS.md</w:t>
      </w:r>
      <w:r>
        <w:t xml:space="preserve">, version 2.2.</w:t>
      </w:r>
      <w:r>
        <w:t xml:space="preserve"> </w:t>
      </w:r>
      <w:r>
        <w:rPr>
          <w:rStyle w:val="VerbatimChar"/>
        </w:rPr>
        <w:t xml:space="preserve">AGENTS.md</w:t>
      </w:r>
      <w:r>
        <w:t xml:space="preserve">. Agent inventory and operational guidance following the agents.md open specification. Documents 15 AI agents, the compliance scoring engine architecture, middleware stack ordering, and the</w:t>
      </w:r>
      <w:r>
        <w:t xml:space="preserve"> </w:t>
      </w:r>
      <w:r>
        <w:t xml:space="preserve">“</w:t>
      </w:r>
      <w:r>
        <w:t xml:space="preserve">Build for Agents</w:t>
      </w:r>
      <w:r>
        <w:t xml:space="preserve">”</w:t>
      </w:r>
      <w:r>
        <w:t xml:space="preserve"> </w:t>
      </w:r>
      <w:r>
        <w:t xml:space="preserve">product rule requiring CLI + MCP + Skills interfaces.</w:t>
      </w:r>
    </w:p>
    <w:p>
      <w:pPr>
        <w:numPr>
          <w:ilvl w:val="0"/>
          <w:numId w:val="1069"/>
        </w:numPr>
      </w:pPr>
      <w:r>
        <w:t xml:space="preserve">Lifetime Oy (2026).</w:t>
      </w:r>
      <w:r>
        <w:t xml:space="preserve"> </w:t>
      </w:r>
      <w:r>
        <w:rPr>
          <w:iCs/>
          <w:i/>
        </w:rPr>
        <w:t xml:space="preserve">DWS IQ Platform Admin Manual</w:t>
      </w:r>
      <w:r>
        <w:t xml:space="preserve">, version 2.7.</w:t>
      </w:r>
      <w:r>
        <w:t xml:space="preserve"> </w:t>
      </w:r>
      <w:r>
        <w:rPr>
          <w:rStyle w:val="VerbatimChar"/>
        </w:rPr>
        <w:t xml:space="preserve">Admin/ADMIN_MANUAL.md</w:t>
      </w:r>
      <w:r>
        <w:t xml:space="preserve">. Operational procedures for health check monitoring, compliance scoring engine operations, and dashboard resilience troubleshooting. Includes the Claude Code Project Engineering Structure and Multi-Agent Orchestration sections.</w:t>
      </w:r>
    </w:p>
    <w:p>
      <w:pPr>
        <w:numPr>
          <w:ilvl w:val="0"/>
          <w:numId w:val="1069"/>
        </w:numPr>
      </w:pPr>
      <w:r>
        <w:t xml:space="preserve">Lifetime Oy (2026).</w:t>
      </w:r>
      <w:r>
        <w:t xml:space="preserve"> </w:t>
      </w:r>
      <w:r>
        <w:rPr>
          <w:iCs/>
          <w:i/>
        </w:rPr>
        <w:t xml:space="preserve">Enterprise Security &amp; Compliance</w:t>
      </w:r>
      <w:r>
        <w:t xml:space="preserve">, version 1.8.</w:t>
      </w:r>
      <w:r>
        <w:t xml:space="preserve"> </w:t>
      </w:r>
      <w:r>
        <w:rPr>
          <w:rStyle w:val="VerbatimChar"/>
        </w:rPr>
        <w:t xml:space="preserve">Admin/SECURITY_COMPLIANCE.md</w:t>
      </w:r>
      <w:r>
        <w:t xml:space="preserve">. Security controls for CISOs and procurement teams. Documents agent runtime security, dashboard resilience controls, backend middleware security controls, and compliance engine data protection with RLS policies.</w:t>
      </w:r>
    </w:p>
    <w:p>
      <w:r>
        <w:pict>
          <v:rect style="width:0;height:1.5pt" o:hralign="center" o:hrstd="t" o:hr="t"/>
        </w:pict>
      </w:r>
    </w:p>
    <w:bookmarkEnd w:id="196"/>
    <w:bookmarkStart w:id="204" w:name="Xb8f6749dfdefac9785887388fc5337f89fe9da9"/>
    <w:p>
      <w:pPr>
        <w:pStyle w:val="Heading2"/>
      </w:pPr>
      <w:r>
        <w:t xml:space="preserve">10.13 Claude Code Engineering Structure: AI Workflow as First-Class Engineering</w:t>
      </w:r>
    </w:p>
    <w:bookmarkStart w:id="197" w:name="motivation"/>
    <w:p>
      <w:pPr>
        <w:pStyle w:val="Heading3"/>
      </w:pPr>
      <w:r>
        <w:t xml:space="preserve">10.13.1 Motivation</w:t>
      </w:r>
    </w:p>
    <w:p>
      <w:pPr>
        <w:pStyle w:val="FirstParagraph"/>
      </w:pPr>
      <w:r>
        <w:t xml:space="preserve">As Claude Code adoption scales beyond individual experiments, a decisive architectural split emerges: projects treating AI workflows as temporary chat interactions diverge sharply from those engineering them as first-class software components. The DWS6 repository embodies the latter approach, and this section documents the principles that make it work at enterprise scale.</w:t>
      </w:r>
    </w:p>
    <w:p>
      <w:pPr>
        <w:pStyle w:val="BodyText"/>
      </w:pPr>
      <w:r>
        <w:t xml:space="preserve">The core insight — validated by emerging Claude Code community practice in 2026 — is that</w:t>
      </w:r>
      <w:r>
        <w:t xml:space="preserve"> </w:t>
      </w:r>
      <w:r>
        <w:rPr>
          <w:bCs/>
          <w:b/>
        </w:rPr>
        <w:t xml:space="preserve">the same separation of concerns used in software engineering applies equally to AI workflow design</w:t>
      </w:r>
      <w:r>
        <w:t xml:space="preserve">. A prompt is not a product; a skill is.</w:t>
      </w:r>
    </w:p>
    <w:bookmarkEnd w:id="197"/>
    <w:bookmarkStart w:id="198" w:name="claude.md-as-project-memory"/>
    <w:p>
      <w:pPr>
        <w:pStyle w:val="Heading3"/>
      </w:pPr>
      <w:r>
        <w:t xml:space="preserve">10.13.2 CLAUDE.md as Project Memory</w:t>
      </w:r>
    </w:p>
    <w:p>
      <w:pPr>
        <w:pStyle w:val="FirstParagraph"/>
      </w:pPr>
      <w:r>
        <w:t xml:space="preserve">Traditional AI usage repeats context in every prompt, creating two compounding costs: token waste and behavioral drift. The DWS6 solution is</w:t>
      </w:r>
      <w:r>
        <w:t xml:space="preserve"> </w:t>
      </w:r>
      <w:r>
        <w:rPr>
          <w:rStyle w:val="VerbatimChar"/>
        </w:rPr>
        <w:t xml:space="preserve">CLAUDE.md</w:t>
      </w:r>
      <w:r>
        <w:t xml:space="preserve"> </w:t>
      </w:r>
      <w:r>
        <w:t xml:space="preserve">— a living specification file serving as shared institutional memory across all AI sessions and tools.</w:t>
      </w:r>
    </w:p>
    <w:p>
      <w:pPr>
        <w:pStyle w:val="BodyText"/>
      </w:pPr>
      <w:r>
        <w:t xml:space="preserve">The DWS6</w:t>
      </w:r>
      <w:r>
        <w:t xml:space="preserve"> </w:t>
      </w:r>
      <w:r>
        <w:rPr>
          <w:rStyle w:val="VerbatimChar"/>
        </w:rPr>
        <w:t xml:space="preserve">CLAUDE.md</w:t>
      </w:r>
      <w:r>
        <w:t xml:space="preserve"> </w:t>
      </w:r>
      <w:r>
        <w:t xml:space="preserve">(2,000+ lines as of v3.17) centralizes:</w:t>
      </w:r>
    </w:p>
    <w:tbl>
      <w:tblPr>
        <w:tblStyle w:val="Table"/>
        <w:tblW w:type="pct" w:w="5000"/>
        <w:tblLook w:firstRow="1" w:lastRow="0" w:firstColumn="0" w:lastColumn="0" w:noHBand="0" w:noVBand="0" w:val="0020"/>
        <w:jc w:val="start"/>
      </w:tblPr>
      <w:tblGrid>
        <w:gridCol w:w="1535"/>
        <w:gridCol w:w="6384"/>
      </w:tblGrid>
      <w:tr>
        <w:trPr>
          <w:tblHeader w:val="true"/>
        </w:trPr>
        <w:tc>
          <w:tcPr/>
          <w:p>
            <w:pPr>
              <w:pStyle w:val="Compact"/>
              <w:jc w:val="left"/>
            </w:pPr>
            <w:r>
              <w:t xml:space="preserve">Category</w:t>
            </w:r>
          </w:p>
        </w:tc>
        <w:tc>
          <w:tcPr/>
          <w:p>
            <w:pPr>
              <w:pStyle w:val="Compact"/>
              <w:jc w:val="left"/>
            </w:pPr>
            <w:r>
              <w:t xml:space="preserve">Content</w:t>
            </w:r>
          </w:p>
        </w:tc>
      </w:tr>
      <w:tr>
        <w:tc>
          <w:tcPr/>
          <w:p>
            <w:pPr>
              <w:pStyle w:val="Compact"/>
              <w:jc w:val="left"/>
            </w:pPr>
            <w:r>
              <w:rPr>
                <w:bCs/>
                <w:b/>
              </w:rPr>
              <w:t xml:space="preserve">Standards</w:t>
            </w:r>
          </w:p>
        </w:tc>
        <w:tc>
          <w:tcPr/>
          <w:p>
            <w:pPr>
              <w:pStyle w:val="Compact"/>
              <w:jc w:val="left"/>
            </w:pPr>
            <w:r>
              <w:t xml:space="preserve">Brand, Document, Security, Market Research, Gamma UI</w:t>
            </w:r>
          </w:p>
        </w:tc>
      </w:tr>
      <w:tr>
        <w:tc>
          <w:tcPr/>
          <w:p>
            <w:pPr>
              <w:pStyle w:val="Compact"/>
              <w:jc w:val="left"/>
            </w:pPr>
            <w:r>
              <w:rPr>
                <w:bCs/>
                <w:b/>
              </w:rPr>
              <w:t xml:space="preserve">Architecture</w:t>
            </w:r>
          </w:p>
        </w:tc>
        <w:tc>
          <w:tcPr/>
          <w:p>
            <w:pPr>
              <w:pStyle w:val="Compact"/>
              <w:jc w:val="left"/>
            </w:pPr>
            <w:r>
              <w:t xml:space="preserve">Brain-Memory-Body-Hands, dual folder structure, store update rules</w:t>
            </w:r>
          </w:p>
        </w:tc>
      </w:tr>
      <w:tr>
        <w:tc>
          <w:tcPr/>
          <w:p>
            <w:pPr>
              <w:pStyle w:val="Compact"/>
              <w:jc w:val="left"/>
            </w:pPr>
            <w:r>
              <w:rPr>
                <w:bCs/>
                <w:b/>
              </w:rPr>
              <w:t xml:space="preserve">Constraints</w:t>
            </w:r>
          </w:p>
        </w:tc>
        <w:tc>
          <w:tcPr/>
          <w:p>
            <w:pPr>
              <w:pStyle w:val="Compact"/>
              <w:jc w:val="left"/>
            </w:pPr>
            <w:r>
              <w:t xml:space="preserve">File handling (git mv, never delete), public site publishing rules, email rules</w:t>
            </w:r>
          </w:p>
        </w:tc>
      </w:tr>
      <w:tr>
        <w:tc>
          <w:tcPr/>
          <w:p>
            <w:pPr>
              <w:pStyle w:val="Compact"/>
              <w:jc w:val="left"/>
            </w:pPr>
            <w:r>
              <w:rPr>
                <w:bCs/>
                <w:b/>
              </w:rPr>
              <w:t xml:space="preserve">Non-negotiables</w:t>
            </w:r>
          </w:p>
        </w:tc>
        <w:tc>
          <w:tcPr/>
          <w:p>
            <w:pPr>
              <w:pStyle w:val="Compact"/>
              <w:jc w:val="left"/>
            </w:pPr>
            <w:r>
              <w:t xml:space="preserve">EU data residency, GDPR, Article 12 logging, security coding rules</w:t>
            </w:r>
          </w:p>
        </w:tc>
      </w:tr>
      <w:tr>
        <w:tc>
          <w:tcPr/>
          <w:p>
            <w:pPr>
              <w:pStyle w:val="Compact"/>
              <w:jc w:val="left"/>
            </w:pPr>
            <w:r>
              <w:rPr>
                <w:bCs/>
                <w:b/>
              </w:rPr>
              <w:t xml:space="preserve">Guardrails</w:t>
            </w:r>
          </w:p>
        </w:tc>
        <w:tc>
          <w:tcPr/>
          <w:p>
            <w:pPr>
              <w:pStyle w:val="Compact"/>
              <w:jc w:val="left"/>
            </w:pPr>
            <w:r>
              <w:t xml:space="preserve">execFile vs exec, CORS policy, SRI hash enforcement</w:t>
            </w:r>
          </w:p>
        </w:tc>
      </w:tr>
    </w:tbl>
    <w:p>
      <w:pPr>
        <w:pStyle w:val="BodyText"/>
      </w:pPr>
      <w:r>
        <w:t xml:space="preserve">Measured impact: every new Claude Code session inherits 18 months of architectural decisions with zero human repetition. The VERSION AND AGENT HISTORY block in each document extends this to individual files — every document carries its own modification lineage visible to both humans and agents.</w:t>
      </w:r>
    </w:p>
    <w:bookmarkEnd w:id="198"/>
    <w:bookmarkStart w:id="199" w:name="skills-as-reusable-workflow-components"/>
    <w:p>
      <w:pPr>
        <w:pStyle w:val="Heading3"/>
      </w:pPr>
      <w:r>
        <w:t xml:space="preserve">10.13.3 Skills as Reusable Workflow Components</w:t>
      </w:r>
    </w:p>
    <w:p>
      <w:pPr>
        <w:pStyle w:val="FirstParagraph"/>
      </w:pPr>
      <w:r>
        <w:t xml:space="preserve">The shift from ad-hoc prompting to reusable skills represents a fundamental upgrade:</w:t>
      </w:r>
      <w:r>
        <w:t xml:space="preserve"> </w:t>
      </w:r>
      <w:r>
        <w:rPr>
          <w:bCs/>
          <w:b/>
        </w:rPr>
        <w:t xml:space="preserve">from chat interaction to system design</w:t>
      </w:r>
      <w:r>
        <w:t xml:space="preserve">. Skills are composable, versionable workflow components — not one-off prompts.</w:t>
      </w:r>
    </w:p>
    <w:p>
      <w:pPr>
        <w:pStyle w:val="BodyText"/>
      </w:pPr>
      <w:r>
        <w:t xml:space="preserve">By March 2026, DWS6 implements 21 production skills across four categories in</w:t>
      </w:r>
      <w:r>
        <w:t xml:space="preserve"> </w:t>
      </w:r>
      <w:r>
        <w:rPr>
          <w:rStyle w:val="VerbatimChar"/>
        </w:rPr>
        <w:t xml:space="preserve">.claude/commands/</w:t>
      </w:r>
      <w:r>
        <w:t xml:space="preserve"> </w:t>
      </w:r>
      <w:r>
        <w:t xml:space="preserve">and</w:t>
      </w:r>
      <w:r>
        <w:t xml:space="preserve"> </w:t>
      </w:r>
      <w:r>
        <w:rPr>
          <w:rStyle w:val="VerbatimChar"/>
        </w:rPr>
        <w:t xml:space="preserve">skills/</w:t>
      </w:r>
      <w:r>
        <w:t xml:space="preserve">:</w:t>
      </w:r>
    </w:p>
    <w:p>
      <w:pPr>
        <w:pStyle w:val="BodyText"/>
      </w:pPr>
      <w:r>
        <w:rPr>
          <w:bCs/>
          <w:b/>
        </w:rPr>
        <w:t xml:space="preserve">Slash Commands (17 skills):</w:t>
      </w:r>
    </w:p>
    <w:tbl>
      <w:tblPr>
        <w:tblStyle w:val="Table"/>
        <w:tblW w:type="pct" w:w="5000"/>
        <w:tblLook w:firstRow="1" w:lastRow="0" w:firstColumn="0" w:lastColumn="0" w:noHBand="0" w:noVBand="0" w:val="0020"/>
        <w:jc w:val="start"/>
      </w:tblPr>
      <w:tblGrid>
        <w:gridCol w:w="848"/>
        <w:gridCol w:w="4469"/>
        <w:gridCol w:w="2602"/>
      </w:tblGrid>
      <w:tr>
        <w:trPr>
          <w:tblHeader w:val="true"/>
        </w:trPr>
        <w:tc>
          <w:tcPr/>
          <w:p>
            <w:pPr>
              <w:pStyle w:val="Compact"/>
              <w:jc w:val="left"/>
            </w:pPr>
            <w:r>
              <w:t xml:space="preserve">Category</w:t>
            </w:r>
          </w:p>
        </w:tc>
        <w:tc>
          <w:tcPr/>
          <w:p>
            <w:pPr>
              <w:pStyle w:val="Compact"/>
              <w:jc w:val="left"/>
            </w:pPr>
            <w:r>
              <w:t xml:space="preserve">Skills</w:t>
            </w:r>
          </w:p>
        </w:tc>
        <w:tc>
          <w:tcPr/>
          <w:p>
            <w:pPr>
              <w:pStyle w:val="Compact"/>
              <w:jc w:val="left"/>
            </w:pPr>
            <w:r>
              <w:t xml:space="preserve">Domain</w:t>
            </w:r>
          </w:p>
        </w:tc>
      </w:tr>
      <w:tr>
        <w:tc>
          <w:tcPr/>
          <w:p>
            <w:pPr>
              <w:pStyle w:val="Compact"/>
              <w:jc w:val="left"/>
            </w:pPr>
            <w:r>
              <w:t xml:space="preserve">gstack workflow</w:t>
            </w:r>
          </w:p>
        </w:tc>
        <w:tc>
          <w:tcPr/>
          <w:p>
            <w:pPr>
              <w:pStyle w:val="Compact"/>
              <w:jc w:val="left"/>
            </w:pPr>
            <w:r>
              <w:rPr>
                <w:rStyle w:val="VerbatimChar"/>
              </w:rPr>
              <w:t xml:space="preserve">/plan-ceo-review</w:t>
            </w:r>
            <w:r>
              <w:t xml:space="preserve">,</w:t>
            </w:r>
            <w:r>
              <w:t xml:space="preserve"> </w:t>
            </w:r>
            <w:r>
              <w:rPr>
                <w:rStyle w:val="VerbatimChar"/>
              </w:rPr>
              <w:t xml:space="preserve">/plan-eng-review</w:t>
            </w:r>
            <w:r>
              <w:t xml:space="preserve">,</w:t>
            </w:r>
            <w:r>
              <w:t xml:space="preserve"> </w:t>
            </w:r>
            <w:r>
              <w:rPr>
                <w:rStyle w:val="VerbatimChar"/>
              </w:rPr>
              <w:t xml:space="preserve">/review</w:t>
            </w:r>
            <w:r>
              <w:t xml:space="preserve">,</w:t>
            </w:r>
            <w:r>
              <w:t xml:space="preserve"> </w:t>
            </w:r>
            <w:r>
              <w:rPr>
                <w:rStyle w:val="VerbatimChar"/>
              </w:rPr>
              <w:t xml:space="preserve">/ship</w:t>
            </w:r>
            <w:r>
              <w:t xml:space="preserve">,</w:t>
            </w:r>
            <w:r>
              <w:t xml:space="preserve"> </w:t>
            </w:r>
            <w:r>
              <w:rPr>
                <w:rStyle w:val="VerbatimChar"/>
              </w:rPr>
              <w:t xml:space="preserve">/browse</w:t>
            </w:r>
            <w:r>
              <w:t xml:space="preserve">,</w:t>
            </w:r>
            <w:r>
              <w:t xml:space="preserve"> </w:t>
            </w:r>
            <w:r>
              <w:rPr>
                <w:rStyle w:val="VerbatimChar"/>
              </w:rPr>
              <w:t xml:space="preserve">/retro</w:t>
            </w:r>
          </w:p>
        </w:tc>
        <w:tc>
          <w:tcPr/>
          <w:p>
            <w:pPr>
              <w:pStyle w:val="Compact"/>
              <w:jc w:val="left"/>
            </w:pPr>
            <w:r>
              <w:t xml:space="preserve">Development lifecycle (Garry Tan methodology)</w:t>
            </w:r>
          </w:p>
        </w:tc>
      </w:tr>
      <w:tr>
        <w:tc>
          <w:tcPr/>
          <w:p>
            <w:pPr>
              <w:pStyle w:val="Compact"/>
              <w:jc w:val="left"/>
            </w:pPr>
            <w:r>
              <w:t xml:space="preserve">EU compliance</w:t>
            </w:r>
          </w:p>
        </w:tc>
        <w:tc>
          <w:tcPr/>
          <w:p>
            <w:pPr>
              <w:pStyle w:val="Compact"/>
              <w:jc w:val="left"/>
            </w:pPr>
            <w:r>
              <w:rPr>
                <w:rStyle w:val="VerbatimChar"/>
              </w:rPr>
              <w:t xml:space="preserve">/compliance-check</w:t>
            </w:r>
            <w:r>
              <w:t xml:space="preserve">,</w:t>
            </w:r>
            <w:r>
              <w:t xml:space="preserve"> </w:t>
            </w:r>
            <w:r>
              <w:rPr>
                <w:rStyle w:val="VerbatimChar"/>
              </w:rPr>
              <w:t xml:space="preserve">/carbon-analysis</w:t>
            </w:r>
            <w:r>
              <w:t xml:space="preserve">,</w:t>
            </w:r>
            <w:r>
              <w:t xml:space="preserve"> </w:t>
            </w:r>
            <w:r>
              <w:rPr>
                <w:rStyle w:val="VerbatimChar"/>
              </w:rPr>
              <w:t xml:space="preserve">/sovereignty-assess</w:t>
            </w:r>
            <w:r>
              <w:t xml:space="preserve">,</w:t>
            </w:r>
            <w:r>
              <w:t xml:space="preserve"> </w:t>
            </w:r>
            <w:r>
              <w:rPr>
                <w:rStyle w:val="VerbatimChar"/>
              </w:rPr>
              <w:t xml:space="preserve">/site-safety</w:t>
            </w:r>
          </w:p>
        </w:tc>
        <w:tc>
          <w:tcPr/>
          <w:p>
            <w:pPr>
              <w:pStyle w:val="Compact"/>
              <w:jc w:val="left"/>
            </w:pPr>
            <w:r>
              <w:t xml:space="preserve">ETS, CBAM, CSRD, EN 15978, EN 13001, CLOUD Act</w:t>
            </w:r>
          </w:p>
        </w:tc>
      </w:tr>
      <w:tr>
        <w:tc>
          <w:tcPr/>
          <w:p>
            <w:pPr>
              <w:pStyle w:val="Compact"/>
              <w:jc w:val="left"/>
            </w:pPr>
            <w:r>
              <w:t xml:space="preserve">Agent control</w:t>
            </w:r>
          </w:p>
        </w:tc>
        <w:tc>
          <w:tcPr/>
          <w:p>
            <w:pPr>
              <w:pStyle w:val="Compact"/>
              <w:jc w:val="left"/>
            </w:pPr>
            <w:r>
              <w:rPr>
                <w:rStyle w:val="VerbatimChar"/>
              </w:rPr>
              <w:t xml:space="preserve">/discover-agents</w:t>
            </w:r>
            <w:r>
              <w:t xml:space="preserve">,</w:t>
            </w:r>
            <w:r>
              <w:t xml:space="preserve"> </w:t>
            </w:r>
            <w:r>
              <w:rPr>
                <w:rStyle w:val="VerbatimChar"/>
              </w:rPr>
              <w:t xml:space="preserve">/agent-run</w:t>
            </w:r>
            <w:r>
              <w:t xml:space="preserve">,</w:t>
            </w:r>
            <w:r>
              <w:t xml:space="preserve"> </w:t>
            </w:r>
            <w:r>
              <w:rPr>
                <w:rStyle w:val="VerbatimChar"/>
              </w:rPr>
              <w:t xml:space="preserve">/workflow</w:t>
            </w:r>
          </w:p>
        </w:tc>
        <w:tc>
          <w:tcPr/>
          <w:p>
            <w:pPr>
              <w:pStyle w:val="Compact"/>
              <w:jc w:val="left"/>
            </w:pPr>
            <w:r>
              <w:t xml:space="preserve">Multi-agent orchestration (14+ agents)</w:t>
            </w:r>
          </w:p>
        </w:tc>
      </w:tr>
      <w:tr>
        <w:tc>
          <w:tcPr/>
          <w:p>
            <w:pPr>
              <w:pStyle w:val="Compact"/>
              <w:jc w:val="left"/>
            </w:pPr>
            <w:r>
              <w:t xml:space="preserve">Operations</w:t>
            </w:r>
          </w:p>
        </w:tc>
        <w:tc>
          <w:tcPr/>
          <w:p>
            <w:pPr>
              <w:pStyle w:val="Compact"/>
              <w:jc w:val="left"/>
            </w:pPr>
            <w:r>
              <w:rPr>
                <w:rStyle w:val="VerbatimChar"/>
              </w:rPr>
              <w:t xml:space="preserve">/flow-status</w:t>
            </w:r>
            <w:r>
              <w:t xml:space="preserve">,</w:t>
            </w:r>
            <w:r>
              <w:t xml:space="preserve"> </w:t>
            </w:r>
            <w:r>
              <w:rPr>
                <w:rStyle w:val="VerbatimChar"/>
              </w:rPr>
              <w:t xml:space="preserve">/email</w:t>
            </w:r>
            <w:r>
              <w:t xml:space="preserve">,</w:t>
            </w:r>
            <w:r>
              <w:t xml:space="preserve"> </w:t>
            </w:r>
            <w:r>
              <w:rPr>
                <w:rStyle w:val="VerbatimChar"/>
              </w:rPr>
              <w:t xml:space="preserve">/remote-control</w:t>
            </w:r>
          </w:p>
        </w:tc>
        <w:tc>
          <w:tcPr/>
          <w:p>
            <w:pPr>
              <w:pStyle w:val="Compact"/>
              <w:jc w:val="left"/>
            </w:pPr>
            <w:r>
              <w:t xml:space="preserve">Git state, SES email, edge device control</w:t>
            </w:r>
          </w:p>
        </w:tc>
      </w:tr>
      <w:tr>
        <w:tc>
          <w:tcPr/>
          <w:p>
            <w:pPr>
              <w:pStyle w:val="Compact"/>
              <w:jc w:val="left"/>
            </w:pPr>
            <w:r>
              <w:t xml:space="preserve">Code quality</w:t>
            </w:r>
          </w:p>
        </w:tc>
        <w:tc>
          <w:tcPr/>
          <w:p>
            <w:pPr>
              <w:pStyle w:val="Compact"/>
              <w:jc w:val="left"/>
            </w:pPr>
            <w:r>
              <w:rPr>
                <w:rStyle w:val="VerbatimChar"/>
              </w:rPr>
              <w:t xml:space="preserve">/simplify</w:t>
            </w:r>
            <w:r>
              <w:t xml:space="preserve">,</w:t>
            </w:r>
            <w:r>
              <w:t xml:space="preserve"> </w:t>
            </w:r>
            <w:r>
              <w:rPr>
                <w:rStyle w:val="VerbatimChar"/>
              </w:rPr>
              <w:t xml:space="preserve">/designer</w:t>
            </w:r>
          </w:p>
        </w:tc>
        <w:tc>
          <w:tcPr/>
          <w:p>
            <w:pPr>
              <w:pStyle w:val="Compact"/>
              <w:jc w:val="left"/>
            </w:pPr>
            <w:r>
              <w:t xml:space="preserve">Code review, Figma-to-code bridge</w:t>
            </w:r>
          </w:p>
        </w:tc>
      </w:tr>
    </w:tbl>
    <w:p>
      <w:pPr>
        <w:pStyle w:val="BodyText"/>
      </w:pPr>
      <w:r>
        <w:rPr>
          <w:bCs/>
          <w:b/>
        </w:rPr>
        <w:t xml:space="preserve">Discipline Skills (4 hard gates in</w:t>
      </w:r>
      <w:r>
        <w:rPr>
          <w:bCs/>
          <w:b/>
        </w:rPr>
        <w:t xml:space="preserve"> </w:t>
      </w:r>
      <w:r>
        <w:rPr>
          <w:rStyle w:val="VerbatimChar"/>
          <w:bCs/>
          <w:b/>
        </w:rPr>
        <w:t xml:space="preserve">skills/*/SKILL.md</w:t>
      </w:r>
      <w:r>
        <w:rPr>
          <w:bCs/>
          <w:b/>
        </w:rPr>
        <w:t xml:space="preserve">):</w:t>
      </w:r>
    </w:p>
    <w:tbl>
      <w:tblPr>
        <w:tblStyle w:val="Table"/>
        <w:tblW w:type="pct" w:w="5000"/>
        <w:tblLook w:firstRow="1" w:lastRow="0" w:firstColumn="0" w:lastColumn="0" w:noHBand="0" w:noVBand="0" w:val="0020"/>
        <w:jc w:val="start"/>
      </w:tblPr>
      <w:tblGrid>
        <w:gridCol w:w="1355"/>
        <w:gridCol w:w="4709"/>
        <w:gridCol w:w="1855"/>
      </w:tblGrid>
      <w:tr>
        <w:trPr>
          <w:tblHeader w:val="true"/>
        </w:trPr>
        <w:tc>
          <w:tcPr/>
          <w:p>
            <w:pPr>
              <w:pStyle w:val="Compact"/>
              <w:jc w:val="left"/>
            </w:pPr>
            <w:r>
              <w:t xml:space="preserve">Skill</w:t>
            </w:r>
          </w:p>
        </w:tc>
        <w:tc>
          <w:tcPr/>
          <w:p>
            <w:pPr>
              <w:pStyle w:val="Compact"/>
              <w:jc w:val="left"/>
            </w:pPr>
            <w:r>
              <w:t xml:space="preserve">Gate Behavior</w:t>
            </w:r>
          </w:p>
        </w:tc>
        <w:tc>
          <w:tcPr/>
          <w:p>
            <w:pPr>
              <w:pStyle w:val="Compact"/>
              <w:jc w:val="left"/>
            </w:pPr>
            <w:r>
              <w:t xml:space="preserve">Enforcement</w:t>
            </w:r>
          </w:p>
        </w:tc>
      </w:tr>
      <w:tr>
        <w:tc>
          <w:tcPr/>
          <w:p>
            <w:pPr>
              <w:pStyle w:val="Compact"/>
              <w:jc w:val="left"/>
            </w:pPr>
            <w:r>
              <w:rPr>
                <w:rStyle w:val="VerbatimChar"/>
              </w:rPr>
              <w:t xml:space="preserve">verification-gate</w:t>
            </w:r>
          </w:p>
        </w:tc>
        <w:tc>
          <w:tcPr/>
          <w:p>
            <w:pPr>
              <w:pStyle w:val="Compact"/>
              <w:jc w:val="left"/>
            </w:pPr>
            <w:r>
              <w:t xml:space="preserve">Blocks completion claims without fresh test evidence</w:t>
            </w:r>
          </w:p>
        </w:tc>
        <w:tc>
          <w:tcPr/>
          <w:p>
            <w:pPr>
              <w:pStyle w:val="Compact"/>
              <w:jc w:val="left"/>
            </w:pPr>
            <w:r>
              <w:t xml:space="preserve">Exit code 2 (BLOCK)</w:t>
            </w:r>
          </w:p>
        </w:tc>
      </w:tr>
      <w:tr>
        <w:tc>
          <w:tcPr/>
          <w:p>
            <w:pPr>
              <w:pStyle w:val="Compact"/>
              <w:jc w:val="left"/>
            </w:pPr>
            <w:r>
              <w:rPr>
                <w:rStyle w:val="VerbatimChar"/>
              </w:rPr>
              <w:t xml:space="preserve">design-first</w:t>
            </w:r>
          </w:p>
        </w:tc>
        <w:tc>
          <w:tcPr/>
          <w:p>
            <w:pPr>
              <w:pStyle w:val="Compact"/>
              <w:jc w:val="left"/>
            </w:pPr>
            <w:r>
              <w:t xml:space="preserve">Blocks implementation of 3+ file changes without approved design</w:t>
            </w:r>
          </w:p>
        </w:tc>
        <w:tc>
          <w:tcPr/>
          <w:p>
            <w:pPr>
              <w:pStyle w:val="Compact"/>
              <w:jc w:val="left"/>
            </w:pPr>
            <w:r>
              <w:t xml:space="preserve">Exit code 2 (BLOCK)</w:t>
            </w:r>
          </w:p>
        </w:tc>
      </w:tr>
      <w:tr>
        <w:tc>
          <w:tcPr/>
          <w:p>
            <w:pPr>
              <w:pStyle w:val="Compact"/>
              <w:jc w:val="left"/>
            </w:pPr>
            <w:r>
              <w:rPr>
                <w:rStyle w:val="VerbatimChar"/>
              </w:rPr>
              <w:t xml:space="preserve">dual-folder-sync</w:t>
            </w:r>
          </w:p>
        </w:tc>
        <w:tc>
          <w:tcPr/>
          <w:p>
            <w:pPr>
              <w:pStyle w:val="Compact"/>
              <w:jc w:val="left"/>
            </w:pPr>
            <w:r>
              <w:t xml:space="preserve">Blocks commits that change root folders without landing-pages sync</w:t>
            </w:r>
          </w:p>
        </w:tc>
        <w:tc>
          <w:tcPr/>
          <w:p>
            <w:pPr>
              <w:pStyle w:val="Compact"/>
              <w:jc w:val="left"/>
            </w:pPr>
            <w:r>
              <w:t xml:space="preserve">Exit code 2 (BLOCK)</w:t>
            </w:r>
          </w:p>
        </w:tc>
      </w:tr>
      <w:tr>
        <w:tc>
          <w:tcPr/>
          <w:p>
            <w:pPr>
              <w:pStyle w:val="Compact"/>
              <w:jc w:val="left"/>
            </w:pPr>
            <w:r>
              <w:rPr>
                <w:rStyle w:val="VerbatimChar"/>
              </w:rPr>
              <w:t xml:space="preserve">last30days</w:t>
            </w:r>
          </w:p>
        </w:tc>
        <w:tc>
          <w:tcPr/>
          <w:p>
            <w:pPr>
              <w:pStyle w:val="Compact"/>
              <w:jc w:val="left"/>
            </w:pPr>
            <w:r>
              <w:t xml:space="preserve">Research agent for Reddit/X/Web content from last 30 days</w:t>
            </w:r>
          </w:p>
        </w:tc>
        <w:tc>
          <w:tcPr/>
          <w:p>
            <w:pPr>
              <w:pStyle w:val="Compact"/>
              <w:jc w:val="left"/>
            </w:pPr>
            <w:r>
              <w:t xml:space="preserve">Agent-style (non-blocking)</w:t>
            </w:r>
          </w:p>
        </w:tc>
      </w:tr>
    </w:tbl>
    <w:p>
      <w:pPr>
        <w:pStyle w:val="BodyText"/>
      </w:pPr>
      <w:r>
        <w:rPr>
          <w:bCs/>
          <w:b/>
        </w:rPr>
        <w:t xml:space="preserve">Subagents (4 specialized agents in</w:t>
      </w:r>
      <w:r>
        <w:rPr>
          <w:bCs/>
          <w:b/>
        </w:rPr>
        <w:t xml:space="preserve"> </w:t>
      </w:r>
      <w:r>
        <w:rPr>
          <w:rStyle w:val="VerbatimChar"/>
          <w:bCs/>
          <w:b/>
        </w:rPr>
        <w:t xml:space="preserve">.claude/agents/</w:t>
      </w:r>
      <w:r>
        <w:rPr>
          <w:bCs/>
          <w:b/>
        </w:rPr>
        <w:t xml:space="preserve">):</w:t>
      </w:r>
    </w:p>
    <w:tbl>
      <w:tblPr>
        <w:tblStyle w:val="Table"/>
        <w:tblW w:type="pct" w:w="5000"/>
        <w:tblLook w:firstRow="1" w:lastRow="0" w:firstColumn="0" w:lastColumn="0" w:noHBand="0" w:noVBand="0" w:val="0020"/>
        <w:jc w:val="start"/>
      </w:tblPr>
      <w:tblGrid>
        <w:gridCol w:w="1243"/>
        <w:gridCol w:w="3861"/>
        <w:gridCol w:w="2814"/>
      </w:tblGrid>
      <w:tr>
        <w:trPr>
          <w:tblHeader w:val="true"/>
        </w:trPr>
        <w:tc>
          <w:tcPr/>
          <w:p>
            <w:pPr>
              <w:pStyle w:val="Compact"/>
              <w:jc w:val="left"/>
            </w:pPr>
            <w:r>
              <w:t xml:space="preserve">Agent</w:t>
            </w:r>
          </w:p>
        </w:tc>
        <w:tc>
          <w:tcPr/>
          <w:p>
            <w:pPr>
              <w:pStyle w:val="Compact"/>
              <w:jc w:val="left"/>
            </w:pPr>
            <w:r>
              <w:t xml:space="preserve">Role</w:t>
            </w:r>
          </w:p>
        </w:tc>
        <w:tc>
          <w:tcPr/>
          <w:p>
            <w:pPr>
              <w:pStyle w:val="Compact"/>
              <w:jc w:val="left"/>
            </w:pPr>
            <w:r>
              <w:t xml:space="preserve">Isolation Property</w:t>
            </w:r>
          </w:p>
        </w:tc>
      </w:tr>
      <w:tr>
        <w:tc>
          <w:tcPr/>
          <w:p>
            <w:pPr>
              <w:pStyle w:val="Compact"/>
              <w:jc w:val="left"/>
            </w:pPr>
            <w:r>
              <w:rPr>
                <w:rStyle w:val="VerbatimChar"/>
              </w:rPr>
              <w:t xml:space="preserve">mcp-expert</w:t>
            </w:r>
          </w:p>
        </w:tc>
        <w:tc>
          <w:tcPr/>
          <w:p>
            <w:pPr>
              <w:pStyle w:val="Compact"/>
              <w:jc w:val="left"/>
            </w:pPr>
            <w:r>
              <w:t xml:space="preserve">MCP server configuration specialist</w:t>
            </w:r>
          </w:p>
        </w:tc>
        <w:tc>
          <w:tcPr/>
          <w:p>
            <w:pPr>
              <w:pStyle w:val="Compact"/>
              <w:jc w:val="left"/>
            </w:pPr>
            <w:r>
              <w:t xml:space="preserve">Protects main context from protocol details</w:t>
            </w:r>
          </w:p>
        </w:tc>
      </w:tr>
      <w:tr>
        <w:tc>
          <w:tcPr/>
          <w:p>
            <w:pPr>
              <w:pStyle w:val="Compact"/>
              <w:jc w:val="left"/>
            </w:pPr>
            <w:r>
              <w:rPr>
                <w:rStyle w:val="VerbatimChar"/>
              </w:rPr>
              <w:t xml:space="preserve">code-reviewer</w:t>
            </w:r>
          </w:p>
        </w:tc>
        <w:tc>
          <w:tcPr/>
          <w:p>
            <w:pPr>
              <w:pStyle w:val="Compact"/>
              <w:jc w:val="left"/>
            </w:pPr>
            <w:r>
              <w:t xml:space="preserve">Staff Engineer bug finder (logic, security, data integrity)</w:t>
            </w:r>
          </w:p>
        </w:tc>
        <w:tc>
          <w:tcPr/>
          <w:p>
            <w:pPr>
              <w:pStyle w:val="Compact"/>
              <w:jc w:val="left"/>
            </w:pPr>
            <w:r>
              <w:t xml:space="preserve">Reviews without executing changes</w:t>
            </w:r>
          </w:p>
        </w:tc>
      </w:tr>
      <w:tr>
        <w:tc>
          <w:tcPr/>
          <w:p>
            <w:pPr>
              <w:pStyle w:val="Compact"/>
              <w:jc w:val="left"/>
            </w:pPr>
            <w:r>
              <w:rPr>
                <w:rStyle w:val="VerbatimChar"/>
              </w:rPr>
              <w:t xml:space="preserve">security-reviewer</w:t>
            </w:r>
          </w:p>
        </w:tc>
        <w:tc>
          <w:tcPr/>
          <w:p>
            <w:pPr>
              <w:pStyle w:val="Compact"/>
              <w:jc w:val="left"/>
            </w:pPr>
            <w:r>
              <w:t xml:space="preserve">OWASP Top 10 + DWS Security Standard auditor</w:t>
            </w:r>
          </w:p>
        </w:tc>
        <w:tc>
          <w:tcPr/>
          <w:p>
            <w:pPr>
              <w:pStyle w:val="Compact"/>
              <w:jc w:val="left"/>
            </w:pPr>
            <w:r>
              <w:t xml:space="preserve">Scans without modifying code</w:t>
            </w:r>
          </w:p>
        </w:tc>
      </w:tr>
      <w:tr>
        <w:tc>
          <w:tcPr/>
          <w:p>
            <w:pPr>
              <w:pStyle w:val="Compact"/>
              <w:jc w:val="left"/>
            </w:pPr>
            <w:r>
              <w:rPr>
                <w:rStyle w:val="VerbatimChar"/>
              </w:rPr>
              <w:t xml:space="preserve">architect</w:t>
            </w:r>
          </w:p>
        </w:tc>
        <w:tc>
          <w:tcPr/>
          <w:p>
            <w:pPr>
              <w:pStyle w:val="Compact"/>
              <w:jc w:val="left"/>
            </w:pPr>
            <w:r>
              <w:t xml:space="preserve">Minimal design planner, anti-overengineering enforcer</w:t>
            </w:r>
          </w:p>
        </w:tc>
        <w:tc>
          <w:tcPr/>
          <w:p>
            <w:pPr>
              <w:pStyle w:val="Compact"/>
              <w:jc w:val="left"/>
            </w:pPr>
            <w:r>
              <w:t xml:space="preserve">Returns structured plan only</w:t>
            </w:r>
          </w:p>
        </w:tc>
      </w:tr>
    </w:tbl>
    <w:p>
      <w:pPr>
        <w:pStyle w:val="BodyText"/>
      </w:pPr>
      <w:r>
        <w:t xml:space="preserve">Each skill encapsulates input validation, agent execution, and structured output formatting. The discipline skills represent a novel contribution:</w:t>
      </w:r>
      <w:r>
        <w:t xml:space="preserve"> </w:t>
      </w:r>
      <w:r>
        <w:rPr>
          <w:bCs/>
          <w:b/>
        </w:rPr>
        <w:t xml:space="preserve">blocking gates</w:t>
      </w:r>
      <w:r>
        <w:t xml:space="preserve"> </w:t>
      </w:r>
      <w:r>
        <w:t xml:space="preserve">that enforce process discipline structurally rather than behaviorally. Unlike advisory linters, these gates cannot be bypassed — they intercept tool calls via hook exit code 2 (BLOCK) and prevent the action from executing. This directly implements the</w:t>
      </w:r>
      <w:r>
        <w:t xml:space="preserve"> </w:t>
      </w:r>
      <w:r>
        <w:rPr>
          <w:bCs/>
          <w:b/>
        </w:rPr>
        <w:t xml:space="preserve">Build for Agents</w:t>
      </w:r>
      <w:r>
        <w:t xml:space="preserve"> </w:t>
      </w:r>
      <w:r>
        <w:t xml:space="preserve">principle: if a capability cannot be invoked as</w:t>
      </w:r>
      <w:r>
        <w:t xml:space="preserve"> </w:t>
      </w:r>
      <w:r>
        <w:rPr>
          <w:rStyle w:val="VerbatimChar"/>
        </w:rPr>
        <w:t xml:space="preserve">dws &lt;command&gt;</w:t>
      </w:r>
      <w:r>
        <w:t xml:space="preserve">, it is not shipped.</w:t>
      </w:r>
    </w:p>
    <w:bookmarkEnd w:id="199"/>
    <w:bookmarkStart w:id="200" w:name="hooks-for-automated-workflow-validation"/>
    <w:p>
      <w:pPr>
        <w:pStyle w:val="Heading3"/>
      </w:pPr>
      <w:r>
        <w:t xml:space="preserve">10.13.4 Hooks for Automated Workflow Validation</w:t>
      </w:r>
    </w:p>
    <w:p>
      <w:pPr>
        <w:pStyle w:val="FirstParagraph"/>
      </w:pPr>
      <w:r>
        <w:t xml:space="preserve">Hooks are the enforcement layer of AI workflow engineering — and the most underutilized pattern in current practice. Where skills define reusable capabilities, hooks enforce quality constraints automatically and non-negotiably.</w:t>
      </w:r>
    </w:p>
    <w:p>
      <w:pPr>
        <w:pStyle w:val="BodyText"/>
      </w:pPr>
      <w:r>
        <w:t xml:space="preserve">DWS6 implements hooks at two levels:</w:t>
      </w:r>
    </w:p>
    <w:p>
      <w:pPr>
        <w:pStyle w:val="BodyText"/>
      </w:pPr>
      <w:r>
        <w:rPr>
          <w:bCs/>
          <w:b/>
        </w:rPr>
        <w:t xml:space="preserve">Claude Code hooks</w:t>
      </w:r>
      <w:r>
        <w:t xml:space="preserve"> </w:t>
      </w:r>
      <w:r>
        <w:t xml:space="preserve">(</w:t>
      </w:r>
      <w:r>
        <w:rPr>
          <w:rStyle w:val="VerbatimChar"/>
        </w:rPr>
        <w:t xml:space="preserve">.claude/hooks/</w:t>
      </w:r>
      <w:r>
        <w:t xml:space="preserve">):</w:t>
      </w:r>
    </w:p>
    <w:p>
      <w:pPr>
        <w:numPr>
          <w:ilvl w:val="0"/>
          <w:numId w:val="1070"/>
        </w:numPr>
        <w:pStyle w:val="Compact"/>
      </w:pPr>
      <w:r>
        <w:t xml:space="preserve">Tool output transformation — normalize agent JSON responses to consistent schema</w:t>
      </w:r>
    </w:p>
    <w:p>
      <w:pPr>
        <w:numPr>
          <w:ilvl w:val="0"/>
          <w:numId w:val="1070"/>
        </w:numPr>
        <w:pStyle w:val="Compact"/>
      </w:pPr>
      <w:r>
        <w:t xml:space="preserve">Structured output verification — ensure all CLI commands produce valid JSON</w:t>
      </w:r>
    </w:p>
    <w:p>
      <w:pPr>
        <w:numPr>
          <w:ilvl w:val="0"/>
          <w:numId w:val="1070"/>
        </w:numPr>
        <w:pStyle w:val="Compact"/>
      </w:pPr>
      <w:r>
        <w:t xml:space="preserve">Session start validation — verify environment readiness before agent work begins</w:t>
      </w:r>
    </w:p>
    <w:p>
      <w:pPr>
        <w:pStyle w:val="FirstParagraph"/>
      </w:pPr>
      <w:r>
        <w:rPr>
          <w:bCs/>
          <w:b/>
        </w:rPr>
        <w:t xml:space="preserve">Git hooks</w:t>
      </w:r>
      <w:r>
        <w:t xml:space="preserve"> </w:t>
      </w:r>
      <w:r>
        <w:t xml:space="preserve">(</w:t>
      </w:r>
      <w:r>
        <w:rPr>
          <w:rStyle w:val="VerbatimChar"/>
        </w:rPr>
        <w:t xml:space="preserve">.githooks/</w:t>
      </w:r>
      <w:r>
        <w:t xml:space="preserve">):</w:t>
      </w:r>
    </w:p>
    <w:p>
      <w:pPr>
        <w:numPr>
          <w:ilvl w:val="0"/>
          <w:numId w:val="1071"/>
        </w:numPr>
        <w:pStyle w:val="Compact"/>
      </w:pPr>
      <w:r>
        <w:t xml:space="preserve">Branch name enforcement —</w:t>
      </w:r>
      <w:r>
        <w:t xml:space="preserve"> </w:t>
      </w:r>
      <w:r>
        <w:rPr>
          <w:rStyle w:val="VerbatimChar"/>
        </w:rPr>
        <w:t xml:space="preserve">claude/&lt;feature&gt;-&lt;id&gt;</w:t>
      </w:r>
      <w:r>
        <w:t xml:space="preserve"> </w:t>
      </w:r>
      <w:r>
        <w:t xml:space="preserve">naming convention before commit</w:t>
      </w:r>
    </w:p>
    <w:p>
      <w:pPr>
        <w:numPr>
          <w:ilvl w:val="0"/>
          <w:numId w:val="1071"/>
        </w:numPr>
        <w:pStyle w:val="Compact"/>
      </w:pPr>
      <w:r>
        <w:t xml:space="preserve">Pre-commit security checks — detect hardcoded secrets, unsafe exec() patterns</w:t>
      </w:r>
    </w:p>
    <w:p>
      <w:pPr>
        <w:pStyle w:val="FirstParagraph"/>
      </w:pPr>
      <w:r>
        <w:t xml:space="preserve">The critical property of hooks is</w:t>
      </w:r>
      <w:r>
        <w:t xml:space="preserve"> </w:t>
      </w:r>
      <w:r>
        <w:rPr>
          <w:bCs/>
          <w:b/>
        </w:rPr>
        <w:t xml:space="preserve">non-negotiability</w:t>
      </w:r>
      <w:r>
        <w:t xml:space="preserve">: unlike CLAUDE.md guidance (which an agent may follow imperfectly), hooks intercept tool calls and either transform or block them. This is essential for production AI workflows where manual review is not scalable and quality guarantees must be structural, not behavioral.</w:t>
      </w:r>
    </w:p>
    <w:bookmarkEnd w:id="200"/>
    <w:bookmarkStart w:id="201" w:name="subagents-and-parallel-execution"/>
    <w:p>
      <w:pPr>
        <w:pStyle w:val="Heading3"/>
      </w:pPr>
      <w:r>
        <w:t xml:space="preserve">10.13.5 Subagents and Parallel Execution</w:t>
      </w:r>
    </w:p>
    <w:p>
      <w:pPr>
        <w:pStyle w:val="FirstParagraph"/>
      </w:pPr>
      <w:r>
        <w:t xml:space="preserve">The DWS6 architecture employs specialized subagents for distinct task classes, extending the multi-agent orchestration principle from Firehorse production workflows into the development workflow itself:</w:t>
      </w:r>
    </w:p>
    <w:tbl>
      <w:tblPr>
        <w:tblStyle w:val="Table"/>
        <w:tblW w:type="pct" w:w="5000"/>
        <w:tblLook w:firstRow="1" w:lastRow="0" w:firstColumn="0" w:lastColumn="0" w:noHBand="0" w:noVBand="0" w:val="0020"/>
        <w:jc w:val="start"/>
      </w:tblPr>
      <w:tblGrid>
        <w:gridCol w:w="1406"/>
        <w:gridCol w:w="2886"/>
        <w:gridCol w:w="3626"/>
      </w:tblGrid>
      <w:tr>
        <w:trPr>
          <w:tblHeader w:val="true"/>
        </w:trPr>
        <w:tc>
          <w:tcPr/>
          <w:p>
            <w:pPr>
              <w:pStyle w:val="Compact"/>
              <w:jc w:val="left"/>
            </w:pPr>
            <w:r>
              <w:t xml:space="preserve">Subagent Type</w:t>
            </w:r>
          </w:p>
        </w:tc>
        <w:tc>
          <w:tcPr/>
          <w:p>
            <w:pPr>
              <w:pStyle w:val="Compact"/>
              <w:jc w:val="left"/>
            </w:pPr>
            <w:r>
              <w:t xml:space="preserve">Role</w:t>
            </w:r>
          </w:p>
        </w:tc>
        <w:tc>
          <w:tcPr/>
          <w:p>
            <w:pPr>
              <w:pStyle w:val="Compact"/>
              <w:jc w:val="left"/>
            </w:pPr>
            <w:r>
              <w:t xml:space="preserve">Isolation Property</w:t>
            </w:r>
          </w:p>
        </w:tc>
      </w:tr>
      <w:tr>
        <w:tc>
          <w:tcPr/>
          <w:p>
            <w:pPr>
              <w:pStyle w:val="Compact"/>
              <w:jc w:val="left"/>
            </w:pPr>
            <w:r>
              <w:rPr>
                <w:bCs/>
                <w:b/>
              </w:rPr>
              <w:t xml:space="preserve">Explore</w:t>
            </w:r>
          </w:p>
        </w:tc>
        <w:tc>
          <w:tcPr/>
          <w:p>
            <w:pPr>
              <w:pStyle w:val="Compact"/>
              <w:jc w:val="left"/>
            </w:pPr>
            <w:r>
              <w:t xml:space="preserve">Codebase search, file pattern matching</w:t>
            </w:r>
          </w:p>
        </w:tc>
        <w:tc>
          <w:tcPr/>
          <w:p>
            <w:pPr>
              <w:pStyle w:val="Compact"/>
              <w:jc w:val="left"/>
            </w:pPr>
            <w:r>
              <w:t xml:space="preserve">Protects main context from large result sets</w:t>
            </w:r>
          </w:p>
        </w:tc>
      </w:tr>
      <w:tr>
        <w:tc>
          <w:tcPr/>
          <w:p>
            <w:pPr>
              <w:pStyle w:val="Compact"/>
              <w:jc w:val="left"/>
            </w:pPr>
            <w:r>
              <w:rPr>
                <w:bCs/>
                <w:b/>
              </w:rPr>
              <w:t xml:space="preserve">Plan</w:t>
            </w:r>
          </w:p>
        </w:tc>
        <w:tc>
          <w:tcPr/>
          <w:p>
            <w:pPr>
              <w:pStyle w:val="Compact"/>
              <w:jc w:val="left"/>
            </w:pPr>
            <w:r>
              <w:t xml:space="preserve">Architecture design, trade-off analysis</w:t>
            </w:r>
          </w:p>
        </w:tc>
        <w:tc>
          <w:tcPr/>
          <w:p>
            <w:pPr>
              <w:pStyle w:val="Compact"/>
              <w:jc w:val="left"/>
            </w:pPr>
            <w:r>
              <w:t xml:space="preserve">Returns structured plan without executing changes</w:t>
            </w:r>
          </w:p>
        </w:tc>
      </w:tr>
      <w:tr>
        <w:tc>
          <w:tcPr/>
          <w:p>
            <w:pPr>
              <w:pStyle w:val="Compact"/>
              <w:jc w:val="left"/>
            </w:pPr>
            <w:r>
              <w:rPr>
                <w:bCs/>
                <w:b/>
              </w:rPr>
              <w:t xml:space="preserve">General-purpose</w:t>
            </w:r>
          </w:p>
        </w:tc>
        <w:tc>
          <w:tcPr/>
          <w:p>
            <w:pPr>
              <w:pStyle w:val="Compact"/>
              <w:jc w:val="left"/>
            </w:pPr>
            <w:r>
              <w:t xml:space="preserve">Multi-step research, document analysis</w:t>
            </w:r>
          </w:p>
        </w:tc>
        <w:tc>
          <w:tcPr/>
          <w:p>
            <w:pPr>
              <w:pStyle w:val="Compact"/>
              <w:jc w:val="left"/>
            </w:pPr>
            <w:r>
              <w:t xml:space="preserve">Full tool access for complex investigation</w:t>
            </w:r>
          </w:p>
        </w:tc>
      </w:tr>
      <w:tr>
        <w:tc>
          <w:tcPr/>
          <w:p>
            <w:pPr>
              <w:pStyle w:val="Compact"/>
              <w:jc w:val="left"/>
            </w:pPr>
            <w:r>
              <w:rPr>
                <w:bCs/>
                <w:b/>
              </w:rPr>
              <w:t xml:space="preserve">Background</w:t>
            </w:r>
          </w:p>
        </w:tc>
        <w:tc>
          <w:tcPr/>
          <w:p>
            <w:pPr>
              <w:pStyle w:val="Compact"/>
              <w:jc w:val="left"/>
            </w:pPr>
            <w:r>
              <w:t xml:space="preserve">Independent parallel tasks</w:t>
            </w:r>
          </w:p>
        </w:tc>
        <w:tc>
          <w:tcPr/>
          <w:p>
            <w:pPr>
              <w:pStyle w:val="Compact"/>
              <w:jc w:val="left"/>
            </w:pPr>
            <w:r>
              <w:t xml:space="preserve">Non-blocking; notifies on completion</w:t>
            </w:r>
          </w:p>
        </w:tc>
      </w:tr>
    </w:tbl>
    <w:p>
      <w:pPr>
        <w:pStyle w:val="BodyText"/>
      </w:pPr>
      <w:r>
        <w:t xml:space="preserve">The isolation property is critical at scale: subagents prevent context window exhaustion on large codebases while enabling parallel execution of independent tasks. The Firehorse production orchestration (Temporal.io + event bus, Section 10.7) extends this same pattern to customer-facing agent workflows.</w:t>
      </w:r>
    </w:p>
    <w:bookmarkEnd w:id="201"/>
    <w:bookmarkStart w:id="202" w:name="Xbd5283222cb8e2b9484c6525212db24f484ccdc"/>
    <w:p>
      <w:pPr>
        <w:pStyle w:val="Heading3"/>
      </w:pPr>
      <w:r>
        <w:t xml:space="preserve">10.13.6 Implications for the Solution Factory Model</w:t>
      </w:r>
    </w:p>
    <w:p>
      <w:pPr>
        <w:pStyle w:val="FirstParagraph"/>
      </w:pPr>
      <w:r>
        <w:t xml:space="preserve">This engineering structure validates and extends the Solution Factory model (Section 5) with a concrete implementation layer that maps directly to the Brain-Memory-Body-Hands architecture:</w:t>
      </w:r>
    </w:p>
    <w:tbl>
      <w:tblPr>
        <w:tblStyle w:val="Table"/>
        <w:tblW w:type="pct" w:w="5000"/>
        <w:tblLook w:firstRow="1" w:lastRow="0" w:firstColumn="0" w:lastColumn="0" w:noHBand="0" w:noVBand="0" w:val="0020"/>
        <w:jc w:val="start"/>
      </w:tblPr>
      <w:tblGrid>
        <w:gridCol w:w="2233"/>
        <w:gridCol w:w="3858"/>
        <w:gridCol w:w="1827"/>
      </w:tblGrid>
      <w:tr>
        <w:trPr>
          <w:tblHeader w:val="true"/>
        </w:trPr>
        <w:tc>
          <w:tcPr/>
          <w:p>
            <w:pPr>
              <w:pStyle w:val="Compact"/>
              <w:jc w:val="left"/>
            </w:pPr>
            <w:r>
              <w:t xml:space="preserve">Solution Factory Layer</w:t>
            </w:r>
          </w:p>
        </w:tc>
        <w:tc>
          <w:tcPr/>
          <w:p>
            <w:pPr>
              <w:pStyle w:val="Compact"/>
              <w:jc w:val="left"/>
            </w:pPr>
            <w:r>
              <w:t xml:space="preserve">Claude Code Implementation</w:t>
            </w:r>
          </w:p>
        </w:tc>
        <w:tc>
          <w:tcPr/>
          <w:p>
            <w:pPr>
              <w:pStyle w:val="Compact"/>
              <w:jc w:val="left"/>
            </w:pPr>
            <w:r>
              <w:t xml:space="preserve">Architecture Layer</w:t>
            </w:r>
          </w:p>
        </w:tc>
      </w:tr>
      <w:tr>
        <w:tc>
          <w:tcPr/>
          <w:p>
            <w:pPr>
              <w:pStyle w:val="Compact"/>
              <w:jc w:val="left"/>
            </w:pPr>
            <w:r>
              <w:t xml:space="preserve">Knowledge persistence</w:t>
            </w:r>
          </w:p>
        </w:tc>
        <w:tc>
          <w:tcPr/>
          <w:p>
            <w:pPr>
              <w:pStyle w:val="Compact"/>
              <w:jc w:val="left"/>
            </w:pPr>
            <w:r>
              <w:t xml:space="preserve">CLAUDE.md + VERSION AND AGENT HISTORY</w:t>
            </w:r>
          </w:p>
        </w:tc>
        <w:tc>
          <w:tcPr/>
          <w:p>
            <w:pPr>
              <w:pStyle w:val="Compact"/>
              <w:jc w:val="left"/>
            </w:pPr>
            <w:r>
              <w:t xml:space="preserve">Memory</w:t>
            </w:r>
          </w:p>
        </w:tc>
      </w:tr>
      <w:tr>
        <w:tc>
          <w:tcPr/>
          <w:p>
            <w:pPr>
              <w:pStyle w:val="Compact"/>
              <w:jc w:val="left"/>
            </w:pPr>
            <w:r>
              <w:t xml:space="preserve">Agent coordination</w:t>
            </w:r>
          </w:p>
        </w:tc>
        <w:tc>
          <w:tcPr/>
          <w:p>
            <w:pPr>
              <w:pStyle w:val="Compact"/>
              <w:jc w:val="left"/>
            </w:pPr>
            <w:r>
              <w:t xml:space="preserve">Subagents + shared CLAUDE.md context</w:t>
            </w:r>
          </w:p>
        </w:tc>
        <w:tc>
          <w:tcPr/>
          <w:p>
            <w:pPr>
              <w:pStyle w:val="Compact"/>
              <w:jc w:val="left"/>
            </w:pPr>
            <w:r>
              <w:t xml:space="preserve">Brain</w:t>
            </w:r>
          </w:p>
        </w:tc>
      </w:tr>
      <w:tr>
        <w:tc>
          <w:tcPr/>
          <w:p>
            <w:pPr>
              <w:pStyle w:val="Compact"/>
              <w:jc w:val="left"/>
            </w:pPr>
            <w:r>
              <w:t xml:space="preserve">Reusable capabilities</w:t>
            </w:r>
          </w:p>
        </w:tc>
        <w:tc>
          <w:tcPr/>
          <w:p>
            <w:pPr>
              <w:pStyle w:val="Compact"/>
              <w:jc w:val="left"/>
            </w:pPr>
            <w:r>
              <w:t xml:space="preserve">Skills (</w:t>
            </w:r>
            <w:r>
              <w:rPr>
                <w:rStyle w:val="VerbatimChar"/>
              </w:rPr>
              <w:t xml:space="preserve">.claude/commands/</w:t>
            </w:r>
            <w:r>
              <w:t xml:space="preserve">)</w:t>
            </w:r>
          </w:p>
        </w:tc>
        <w:tc>
          <w:tcPr/>
          <w:p>
            <w:pPr>
              <w:pStyle w:val="Compact"/>
              <w:jc w:val="left"/>
            </w:pPr>
            <w:r>
              <w:t xml:space="preserve">Body</w:t>
            </w:r>
          </w:p>
        </w:tc>
      </w:tr>
      <w:tr>
        <w:tc>
          <w:tcPr/>
          <w:p>
            <w:pPr>
              <w:pStyle w:val="Compact"/>
              <w:jc w:val="left"/>
            </w:pPr>
            <w:r>
              <w:t xml:space="preserve">Quality enforcement</w:t>
            </w:r>
          </w:p>
        </w:tc>
        <w:tc>
          <w:tcPr/>
          <w:p>
            <w:pPr>
              <w:pStyle w:val="Compact"/>
              <w:jc w:val="left"/>
            </w:pPr>
            <w:r>
              <w:t xml:space="preserve">Hooks (</w:t>
            </w:r>
            <w:r>
              <w:rPr>
                <w:rStyle w:val="VerbatimChar"/>
              </w:rPr>
              <w:t xml:space="preserve">.claude/hooks/</w:t>
            </w:r>
            <w:r>
              <w:t xml:space="preserve">,</w:t>
            </w:r>
            <w:r>
              <w:t xml:space="preserve"> </w:t>
            </w:r>
            <w:r>
              <w:rPr>
                <w:rStyle w:val="VerbatimChar"/>
              </w:rPr>
              <w:t xml:space="preserve">.githooks/</w:t>
            </w:r>
            <w:r>
              <w:t xml:space="preserve">)</w:t>
            </w:r>
          </w:p>
        </w:tc>
        <w:tc>
          <w:tcPr/>
          <w:p>
            <w:pPr>
              <w:pStyle w:val="Compact"/>
              <w:jc w:val="left"/>
            </w:pPr>
            <w:r>
              <w:t xml:space="preserve">Hands</w:t>
            </w:r>
          </w:p>
        </w:tc>
      </w:tr>
      <w:tr>
        <w:tc>
          <w:tcPr/>
          <w:p>
            <w:pPr>
              <w:pStyle w:val="Compact"/>
              <w:jc w:val="left"/>
            </w:pPr>
            <w:r>
              <w:t xml:space="preserve">Parallel execution</w:t>
            </w:r>
          </w:p>
        </w:tc>
        <w:tc>
          <w:tcPr/>
          <w:p>
            <w:pPr>
              <w:pStyle w:val="Compact"/>
              <w:jc w:val="left"/>
            </w:pPr>
            <w:r>
              <w:t xml:space="preserve">Background agents + Temporal.io</w:t>
            </w:r>
          </w:p>
        </w:tc>
        <w:tc>
          <w:tcPr/>
          <w:p>
            <w:pPr>
              <w:pStyle w:val="Compact"/>
              <w:jc w:val="left"/>
            </w:pPr>
            <w:r>
              <w:t xml:space="preserve">Brain</w:t>
            </w:r>
          </w:p>
        </w:tc>
      </w:tr>
    </w:tbl>
    <w:p>
      <w:pPr>
        <w:pStyle w:val="BodyText"/>
      </w:pPr>
      <w:r>
        <w:rPr>
          <w:bCs/>
          <w:b/>
        </w:rPr>
        <w:t xml:space="preserve">Key research finding:</w:t>
      </w:r>
      <w:r>
        <w:t xml:space="preserve"> </w:t>
      </w:r>
      <w:r>
        <w:t xml:space="preserve">treating AI workflows as first-class engineering components — with the same modularity, testability, and separation of concerns applied to production software — is the distinguishing factor between AI experiments and AI products. The DWS6 repository structure demonstrates this distinction at production scale: CLAUDE.md reduces behavioral drift to near-zero, skills eliminate repeated prompting, and hooks enforce quality without human intervention.</w:t>
      </w:r>
    </w:p>
    <w:p>
      <w:pPr>
        <w:pStyle w:val="BodyText"/>
      </w:pPr>
      <w:r>
        <w:t xml:space="preserve">This aligns with the broader principle documented throughout this thesis: the Firehorse Operations Model succeeds not because it uses AI, but because it engineers AI into a disciplined system.</w:t>
      </w:r>
    </w:p>
    <w:bookmarkEnd w:id="202"/>
    <w:bookmarkStart w:id="203" w:name="X637496a0b1d3fdab6b016b43381d52031e87a6a"/>
    <w:p>
      <w:pPr>
        <w:pStyle w:val="Heading3"/>
      </w:pPr>
      <w:r>
        <w:t xml:space="preserve">10.13.7 Competitive Analysis: Domain-Specific vs Generic AI Harness</w:t>
      </w:r>
    </w:p>
    <w:p>
      <w:pPr>
        <w:pStyle w:val="FirstParagraph"/>
      </w:pPr>
      <w:r>
        <w:t xml:space="preserve">A March 2026 benchmarking study compared the DWS6 harness architecture against</w:t>
      </w:r>
      <w:r>
        <w:t xml:space="preserve"> </w:t>
      </w:r>
      <w:r>
        <w:rPr>
          <w:bCs/>
          <w:b/>
        </w:rPr>
        <w:t xml:space="preserve">everything-claude-code (ECC)</w:t>
      </w:r>
      <w:r>
        <w:t xml:space="preserve"> </w:t>
      </w:r>
      <w:r>
        <w:t xml:space="preserve">— a 120,000-star MIT-licensed framework providing 136 skills, 30 subagents, 60 slash commands, 34 rule files, and 14 MCP server templates. The comparison reveals a fundamental architectural trade-off between genericity and domain specificity in AI workflow engineering.</w:t>
      </w:r>
    </w:p>
    <w:p>
      <w:pPr>
        <w:pStyle w:val="BodyText"/>
      </w:pPr>
      <w:r>
        <w:rPr>
          <w:bCs/>
          <w:b/>
        </w:rPr>
        <w:t xml:space="preserve">ECC Architecture (Generic):</w:t>
      </w:r>
      <w:r>
        <w:t xml:space="preserve"> </w:t>
      </w:r>
      <w:r>
        <w:t xml:space="preserve">ECC answers the question:</w:t>
      </w:r>
      <w:r>
        <w:t xml:space="preserve"> </w:t>
      </w:r>
      <w:r>
        <w:t xml:space="preserve">“</w:t>
      </w:r>
      <w:r>
        <w:t xml:space="preserve">How do I use Claude Code effectively for any project?</w:t>
      </w:r>
      <w:r>
        <w:t xml:space="preserve">”</w:t>
      </w:r>
      <w:r>
        <w:t xml:space="preserve"> </w:t>
      </w:r>
      <w:r>
        <w:t xml:space="preserve">It provides language-specific agents (TypeScript, Python, Go, Java, Rust, C++, Swift, PHP), cross-IDE adapters (Cursor, VS Code, Codex, OpenCode), PM2-based lifecycle management, SQLite session persistence, and a 997-test validation suite. Installation is modular via profiles.</w:t>
      </w:r>
    </w:p>
    <w:p>
      <w:pPr>
        <w:pStyle w:val="BodyText"/>
      </w:pPr>
      <w:r>
        <w:rPr>
          <w:bCs/>
          <w:b/>
        </w:rPr>
        <w:t xml:space="preserve">DWS6 Architecture (Domain-Specific):</w:t>
      </w:r>
      <w:r>
        <w:t xml:space="preserve"> </w:t>
      </w:r>
      <w:r>
        <w:t xml:space="preserve">DWS6 answers a different question:</w:t>
      </w:r>
      <w:r>
        <w:t xml:space="preserve"> </w:t>
      </w:r>
      <w:r>
        <w:t xml:space="preserve">“</w:t>
      </w:r>
      <w:r>
        <w:t xml:space="preserve">How do I run enterprise industrial AI agents safely in the EU?</w:t>
      </w:r>
      <w:r>
        <w:t xml:space="preserve">”</w:t>
      </w:r>
      <w:r>
        <w:t xml:space="preserve"> </w:t>
      </w:r>
      <w:r>
        <w:t xml:space="preserve">The 21 skills encode regulated domain knowledge — EU ETS emission factors, CBAM import thresholds, CSRD disclosure requirements, EN 15978 lifecycle stages, EN 13001 crane safety standards — that no generic framework provides. This domain knowledge is the product’s moat.</w:t>
      </w:r>
    </w:p>
    <w:p>
      <w:pPr>
        <w:pStyle w:val="BodyText"/>
      </w:pPr>
      <w:r>
        <w:rPr>
          <w:bCs/>
          <w:b/>
        </w:rPr>
        <w:t xml:space="preserve">Six competitive differentiators identified:</w:t>
      </w:r>
    </w:p>
    <w:tbl>
      <w:tblPr>
        <w:tblStyle w:val="Table"/>
        <w:tblW w:type="pct" w:w="5000"/>
        <w:tblLook w:firstRow="1" w:lastRow="0" w:firstColumn="0" w:lastColumn="0" w:noHBand="0" w:noVBand="0" w:val="0020"/>
        <w:jc w:val="start"/>
      </w:tblPr>
      <w:tblGrid>
        <w:gridCol w:w="132"/>
        <w:gridCol w:w="3344"/>
        <w:gridCol w:w="1452"/>
        <w:gridCol w:w="2992"/>
      </w:tblGrid>
      <w:tr>
        <w:trPr>
          <w:tblHeader w:val="true"/>
        </w:trPr>
        <w:tc>
          <w:tcPr/>
          <w:p>
            <w:pPr>
              <w:pStyle w:val="Compact"/>
              <w:jc w:val="left"/>
            </w:pPr>
            <w:r>
              <w:t xml:space="preserve">#</w:t>
            </w:r>
          </w:p>
        </w:tc>
        <w:tc>
          <w:tcPr/>
          <w:p>
            <w:pPr>
              <w:pStyle w:val="Compact"/>
              <w:jc w:val="left"/>
            </w:pPr>
            <w:r>
              <w:t xml:space="preserve">DWS6 Advantage</w:t>
            </w:r>
          </w:p>
        </w:tc>
        <w:tc>
          <w:tcPr/>
          <w:p>
            <w:pPr>
              <w:pStyle w:val="Compact"/>
              <w:jc w:val="left"/>
            </w:pPr>
            <w:r>
              <w:t xml:space="preserve">ECC Equivalent</w:t>
            </w:r>
          </w:p>
        </w:tc>
        <w:tc>
          <w:tcPr/>
          <w:p>
            <w:pPr>
              <w:pStyle w:val="Compact"/>
              <w:jc w:val="left"/>
            </w:pPr>
            <w:r>
              <w:t xml:space="preserve">Research Significance</w:t>
            </w:r>
          </w:p>
        </w:tc>
      </w:tr>
      <w:tr>
        <w:tc>
          <w:tcPr/>
          <w:p>
            <w:pPr>
              <w:pStyle w:val="Compact"/>
              <w:jc w:val="left"/>
            </w:pPr>
            <w:r>
              <w:t xml:space="preserve">1</w:t>
            </w:r>
          </w:p>
        </w:tc>
        <w:tc>
          <w:tcPr/>
          <w:p>
            <w:pPr>
              <w:pStyle w:val="Compact"/>
              <w:jc w:val="left"/>
            </w:pPr>
            <w:r>
              <w:rPr>
                <w:bCs/>
                <w:b/>
              </w:rPr>
              <w:t xml:space="preserve">Domain-specific skills</w:t>
            </w:r>
            <w:r>
              <w:t xml:space="preserve"> </w:t>
            </w:r>
            <w:r>
              <w:t xml:space="preserve">encoding EU regulation</w:t>
            </w:r>
          </w:p>
        </w:tc>
        <w:tc>
          <w:tcPr/>
          <w:p>
            <w:pPr>
              <w:pStyle w:val="Compact"/>
              <w:jc w:val="left"/>
            </w:pPr>
            <w:r>
              <w:t xml:space="preserve">Generic language/framework skills</w:t>
            </w:r>
          </w:p>
        </w:tc>
        <w:tc>
          <w:tcPr/>
          <w:p>
            <w:pPr>
              <w:pStyle w:val="Compact"/>
              <w:jc w:val="left"/>
            </w:pPr>
            <w:r>
              <w:t xml:space="preserve">Domain knowledge as competitive moat — not replicable by skill inventory</w:t>
            </w:r>
          </w:p>
        </w:tc>
      </w:tr>
      <w:tr>
        <w:tc>
          <w:tcPr/>
          <w:p>
            <w:pPr>
              <w:pStyle w:val="Compact"/>
              <w:jc w:val="left"/>
            </w:pPr>
            <w:r>
              <w:t xml:space="preserve">2</w:t>
            </w:r>
          </w:p>
        </w:tc>
        <w:tc>
          <w:tcPr/>
          <w:p>
            <w:pPr>
              <w:pStyle w:val="Compact"/>
              <w:jc w:val="left"/>
            </w:pPr>
            <w:r>
              <w:rPr>
                <w:bCs/>
                <w:b/>
              </w:rPr>
              <w:t xml:space="preserve">Six-layer information architecture</w:t>
            </w:r>
            <w:r>
              <w:t xml:space="preserve"> </w:t>
            </w:r>
            <w:r>
              <w:t xml:space="preserve">(L0-L6) controlling context injection</w:t>
            </w:r>
          </w:p>
        </w:tc>
        <w:tc>
          <w:tcPr/>
          <w:p>
            <w:pPr>
              <w:pStyle w:val="Compact"/>
              <w:jc w:val="left"/>
            </w:pPr>
            <w:r>
              <w:t xml:space="preserve">Operates at L2-L3 only</w:t>
            </w:r>
          </w:p>
        </w:tc>
        <w:tc>
          <w:tcPr/>
          <w:p>
            <w:pPr>
              <w:pStyle w:val="Compact"/>
              <w:jc w:val="left"/>
            </w:pPr>
            <w:r>
              <w:t xml:space="preserve">Deeper control over agent behavior at every layer</w:t>
            </w:r>
          </w:p>
        </w:tc>
      </w:tr>
      <w:tr>
        <w:tc>
          <w:tcPr/>
          <w:p>
            <w:pPr>
              <w:pStyle w:val="Compact"/>
              <w:jc w:val="left"/>
            </w:pPr>
            <w:r>
              <w:t xml:space="preserve">3</w:t>
            </w:r>
          </w:p>
        </w:tc>
        <w:tc>
          <w:tcPr/>
          <w:p>
            <w:pPr>
              <w:pStyle w:val="Compact"/>
              <w:jc w:val="left"/>
            </w:pPr>
            <w:r>
              <w:rPr>
                <w:bCs/>
                <w:b/>
              </w:rPr>
              <w:t xml:space="preserve">Hard gates</w:t>
            </w:r>
            <w:r>
              <w:t xml:space="preserve"> </w:t>
            </w:r>
            <w:r>
              <w:t xml:space="preserve">(verification-gate, design-first, dual-folder-sync)</w:t>
            </w:r>
          </w:p>
        </w:tc>
        <w:tc>
          <w:tcPr/>
          <w:p>
            <w:pPr>
              <w:pStyle w:val="Compact"/>
              <w:jc w:val="left"/>
            </w:pPr>
            <w:r>
              <w:t xml:space="preserve">Advisory-only skills</w:t>
            </w:r>
          </w:p>
        </w:tc>
        <w:tc>
          <w:tcPr/>
          <w:p>
            <w:pPr>
              <w:pStyle w:val="Compact"/>
              <w:jc w:val="left"/>
            </w:pPr>
            <w:r>
              <w:t xml:space="preserve">Structural enforcement vs behavioral suggestion</w:t>
            </w:r>
          </w:p>
        </w:tc>
      </w:tr>
      <w:tr>
        <w:tc>
          <w:tcPr/>
          <w:p>
            <w:pPr>
              <w:pStyle w:val="Compact"/>
              <w:jc w:val="left"/>
            </w:pPr>
            <w:r>
              <w:t xml:space="preserve">4</w:t>
            </w:r>
          </w:p>
        </w:tc>
        <w:tc>
          <w:tcPr/>
          <w:p>
            <w:pPr>
              <w:pStyle w:val="Compact"/>
              <w:jc w:val="left"/>
            </w:pPr>
            <w:r>
              <w:rPr>
                <w:bCs/>
                <w:b/>
              </w:rPr>
              <w:t xml:space="preserve">Trust boundary zones</w:t>
            </w:r>
            <w:r>
              <w:t xml:space="preserve"> </w:t>
            </w:r>
            <w:r>
              <w:t xml:space="preserve">(GREEN/YELLOW/RED) with action classification</w:t>
            </w:r>
          </w:p>
        </w:tc>
        <w:tc>
          <w:tcPr/>
          <w:p>
            <w:pPr>
              <w:pStyle w:val="Compact"/>
              <w:jc w:val="left"/>
            </w:pPr>
            <w:r>
              <w:t xml:space="preserve">Secret scanning only</w:t>
            </w:r>
          </w:p>
        </w:tc>
        <w:tc>
          <w:tcPr/>
          <w:p>
            <w:pPr>
              <w:pStyle w:val="Compact"/>
              <w:jc w:val="left"/>
            </w:pPr>
            <w:r>
              <w:t xml:space="preserve">Risk-proportionate automation — not binary allow/deny</w:t>
            </w:r>
          </w:p>
        </w:tc>
      </w:tr>
      <w:tr>
        <w:tc>
          <w:tcPr/>
          <w:p>
            <w:pPr>
              <w:pStyle w:val="Compact"/>
              <w:jc w:val="left"/>
            </w:pPr>
            <w:r>
              <w:t xml:space="preserve">5</w:t>
            </w:r>
          </w:p>
        </w:tc>
        <w:tc>
          <w:tcPr/>
          <w:p>
            <w:pPr>
              <w:pStyle w:val="Compact"/>
              <w:jc w:val="left"/>
            </w:pPr>
            <w:r>
              <w:rPr>
                <w:bCs/>
                <w:b/>
              </w:rPr>
              <w:t xml:space="preserve">gstack workflow</w:t>
            </w:r>
            <w:r>
              <w:t xml:space="preserve"> </w:t>
            </w:r>
            <w:r>
              <w:t xml:space="preserve">with enforced role separation</w:t>
            </w:r>
          </w:p>
        </w:tc>
        <w:tc>
          <w:tcPr/>
          <w:p>
            <w:pPr>
              <w:pStyle w:val="Compact"/>
              <w:jc w:val="left"/>
            </w:pPr>
            <w:r>
              <w:t xml:space="preserve">Independent unorchestrated skills</w:t>
            </w:r>
          </w:p>
        </w:tc>
        <w:tc>
          <w:tcPr/>
          <w:p>
            <w:pPr>
              <w:pStyle w:val="Compact"/>
              <w:jc w:val="left"/>
            </w:pPr>
            <w:r>
              <w:t xml:space="preserve">Cognitive mode switching prevents tunnel vision</w:t>
            </w:r>
          </w:p>
        </w:tc>
      </w:tr>
      <w:tr>
        <w:tc>
          <w:tcPr/>
          <w:p>
            <w:pPr>
              <w:pStyle w:val="Compact"/>
              <w:jc w:val="left"/>
            </w:pPr>
            <w:r>
              <w:t xml:space="preserve">6</w:t>
            </w:r>
          </w:p>
        </w:tc>
        <w:tc>
          <w:tcPr/>
          <w:p>
            <w:pPr>
              <w:pStyle w:val="Compact"/>
              <w:jc w:val="left"/>
            </w:pPr>
            <w:r>
              <w:rPr>
                <w:bCs/>
                <w:b/>
              </w:rPr>
              <w:t xml:space="preserve">Agent-first product rule</w:t>
            </w:r>
            <w:r>
              <w:t xml:space="preserve"> </w:t>
            </w:r>
            <w:r>
              <w:t xml:space="preserve">(5-gate shipping checklist)</w:t>
            </w:r>
          </w:p>
        </w:tc>
        <w:tc>
          <w:tcPr/>
          <w:p>
            <w:pPr>
              <w:pStyle w:val="Compact"/>
              <w:jc w:val="left"/>
            </w:pPr>
            <w:r>
              <w:t xml:space="preserve">Developer convenience tools</w:t>
            </w:r>
          </w:p>
        </w:tc>
        <w:tc>
          <w:tcPr/>
          <w:p>
            <w:pPr>
              <w:pStyle w:val="Compact"/>
              <w:jc w:val="left"/>
            </w:pPr>
            <w:r>
              <w:t xml:space="preserve">Skills as product interfaces, not developer tooling</w:t>
            </w:r>
          </w:p>
        </w:tc>
      </w:tr>
    </w:tbl>
    <w:p>
      <w:pPr>
        <w:pStyle w:val="BodyText"/>
      </w:pPr>
      <w:r>
        <w:rPr>
          <w:bCs/>
          <w:b/>
        </w:rPr>
        <w:t xml:space="preserve">Key research finding:</w:t>
      </w:r>
      <w:r>
        <w:t xml:space="preserve"> </w:t>
      </w:r>
      <w:r>
        <w:t xml:space="preserve">The ECC framework optimizes for</w:t>
      </w:r>
      <w:r>
        <w:t xml:space="preserve"> </w:t>
      </w:r>
      <w:r>
        <w:rPr>
          <w:bCs/>
          <w:b/>
        </w:rPr>
        <w:t xml:space="preserve">breadth</w:t>
      </w:r>
      <w:r>
        <w:t xml:space="preserve"> </w:t>
      </w:r>
      <w:r>
        <w:t xml:space="preserve">(136 skills × multiple languages × multiple IDEs), while DWS6 optimizes for</w:t>
      </w:r>
      <w:r>
        <w:t xml:space="preserve"> </w:t>
      </w:r>
      <w:r>
        <w:rPr>
          <w:bCs/>
          <w:b/>
        </w:rPr>
        <w:t xml:space="preserve">depth</w:t>
      </w:r>
      <w:r>
        <w:t xml:space="preserve"> </w:t>
      </w:r>
      <w:r>
        <w:t xml:space="preserve">(21 skills × deep EU regulatory knowledge × structural enforcement). At the token budget level, breadth is counterproductive: loading 136 skills consumes context window capacity that domain-specific agents need for regulatory reasoning. The DWS6 design constraint of &lt;150 words per discipline skill is not a limitation — it is a token budget optimization that enables deeper domain reasoning within the same context window.</w:t>
      </w:r>
    </w:p>
    <w:p>
      <w:pPr>
        <w:pStyle w:val="BodyText"/>
      </w:pPr>
      <w:r>
        <w:t xml:space="preserve">This validates the harness engineering thesis (Section 10.16): the difference between AI experiments and AI products is not the model or the number of skills — it is the engineering discipline applied to how knowledge is structured, enforced, and composed. A 21-skill domain-specific harness outperforms a 136-skill generic harness when the domain requires regulatory precision, because depth of knowledge matters more than breadth of capability.</w:t>
      </w:r>
    </w:p>
    <w:p>
      <w:r>
        <w:pict>
          <v:rect style="width:0;height:1.5pt" o:hralign="center" o:hrstd="t" o:hr="t"/>
        </w:pict>
      </w:r>
    </w:p>
    <w:bookmarkEnd w:id="203"/>
    <w:bookmarkEnd w:id="204"/>
    <w:bookmarkEnd w:id="205"/>
    <w:bookmarkStart w:id="372" w:name="appendices"/>
    <w:p>
      <w:pPr>
        <w:pStyle w:val="Heading1"/>
      </w:pPr>
      <w:r>
        <w:t xml:space="preserve">12. Appendices</w:t>
      </w:r>
    </w:p>
    <w:bookmarkStart w:id="206" w:name="appendix-a-solution-factory-canvas"/>
    <w:p>
      <w:pPr>
        <w:pStyle w:val="Heading2"/>
      </w:pPr>
      <w:r>
        <w:t xml:space="preserve">Appendix A: Solution Factory Canvas</w:t>
      </w:r>
    </w:p>
    <w:p>
      <w:pPr>
        <w:pStyle w:val="SourceCode"/>
      </w:pPr>
      <w:r>
        <w:rPr>
          <w:rStyle w:val="VerbatimChar"/>
        </w:rPr>
        <w:t xml:space="preserve">+-------------------------------------------------------------------------+</w:t>
      </w:r>
      <w:r>
        <w:br/>
      </w:r>
      <w:r>
        <w:rPr>
          <w:rStyle w:val="VerbatimChar"/>
        </w:rPr>
        <w:t xml:space="preserve">|                     FIREHORSE SOLUTION FACTORY CANVAS                    |</w:t>
      </w:r>
      <w:r>
        <w:br/>
      </w:r>
      <w:r>
        <w:rPr>
          <w:rStyle w:val="VerbatimChar"/>
        </w:rPr>
        <w:t xml:space="preserve">+-------------------------------------------------------------------------+</w:t>
      </w:r>
      <w:r>
        <w:br/>
      </w:r>
      <w:r>
        <w:rPr>
          <w:rStyle w:val="VerbatimChar"/>
        </w:rPr>
        <w:t xml:space="preserve">|                                                                          |</w:t>
      </w:r>
      <w:r>
        <w:br/>
      </w:r>
      <w:r>
        <w:rPr>
          <w:rStyle w:val="VerbatimChar"/>
        </w:rPr>
        <w:t xml:space="preserve">|  PROBLEM                          |  SOLUTION                           |</w:t>
      </w:r>
      <w:r>
        <w:br/>
      </w:r>
      <w:r>
        <w:rPr>
          <w:rStyle w:val="VerbatimChar"/>
        </w:rPr>
        <w:t xml:space="preserve">|  * EU compliance deadlines        |  * Phased AI deployment             |</w:t>
      </w:r>
      <w:r>
        <w:br/>
      </w:r>
      <w:r>
        <w:rPr>
          <w:rStyle w:val="VerbatimChar"/>
        </w:rPr>
        <w:t xml:space="preserve">|  * High SaaS costs                |  * AI-assisted development          |</w:t>
      </w:r>
      <w:r>
        <w:br/>
      </w:r>
      <w:r>
        <w:rPr>
          <w:rStyle w:val="VerbatimChar"/>
        </w:rPr>
        <w:t xml:space="preserve">|    (EUR 1,400+)                   |  * Edge AI (&lt;100ms)                 |</w:t>
      </w:r>
      <w:r>
        <w:br/>
      </w:r>
      <w:r>
        <w:rPr>
          <w:rStyle w:val="VerbatimChar"/>
        </w:rPr>
        <w:t xml:space="preserve">|  * Cloud-only latency             |  * EUR 0-350/month pricing          |</w:t>
      </w:r>
      <w:r>
        <w:br/>
      </w:r>
      <w:r>
        <w:rPr>
          <w:rStyle w:val="VerbatimChar"/>
        </w:rPr>
        <w:t xml:space="preserve">|  * No SME-accessible options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KEY METRICS                      |  UNFAIR ADVANTAGE                   |</w:t>
      </w:r>
      <w:r>
        <w:br/>
      </w:r>
      <w:r>
        <w:rPr>
          <w:rStyle w:val="VerbatimChar"/>
        </w:rPr>
        <w:t xml:space="preserve">|  * Payback: &lt;=2 months            |  * Lifetime Scope Signals           |</w:t>
      </w:r>
      <w:r>
        <w:br/>
      </w:r>
      <w:r>
        <w:rPr>
          <w:rStyle w:val="VerbatimChar"/>
        </w:rPr>
        <w:t xml:space="preserve">|  * Cost: 82% cheaper              |  * AgentFoundry templates           |</w:t>
      </w:r>
      <w:r>
        <w:br/>
      </w:r>
      <w:r>
        <w:rPr>
          <w:rStyle w:val="VerbatimChar"/>
        </w:rPr>
        <w:t xml:space="preserve">|  * Velocity: +62%                 |  * EU compliance native             |</w:t>
      </w:r>
      <w:r>
        <w:br/>
      </w:r>
      <w:r>
        <w:rPr>
          <w:rStyle w:val="VerbatimChar"/>
        </w:rPr>
        <w:t xml:space="preserve">|  * Retention: 100%                |  * 8 vertical coverage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CUSTOMER SEGMENTS                |  CHANNELS                           |</w:t>
      </w:r>
      <w:r>
        <w:br/>
      </w:r>
      <w:r>
        <w:rPr>
          <w:rStyle w:val="VerbatimChar"/>
        </w:rPr>
        <w:t xml:space="preserve">|  * Construction SMEs              |  * dws6.com (direct)                |</w:t>
      </w:r>
      <w:r>
        <w:br/>
      </w:r>
      <w:r>
        <w:rPr>
          <w:rStyle w:val="VerbatimChar"/>
        </w:rPr>
        <w:t xml:space="preserve">|  * Logistics companies            |  * Partner network                  |</w:t>
      </w:r>
      <w:r>
        <w:br/>
      </w:r>
      <w:r>
        <w:rPr>
          <w:rStyle w:val="VerbatimChar"/>
        </w:rPr>
        <w:t xml:space="preserve">|  * Manufacturing                  |  * LinkedIn (B2B)                   |</w:t>
      </w:r>
      <w:r>
        <w:br/>
      </w:r>
      <w:r>
        <w:rPr>
          <w:rStyle w:val="VerbatimChar"/>
        </w:rPr>
        <w:t xml:space="preserve">|  * 5 additional verticals         |  * GitHub (developer trust)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COST STRUCTURE                   |  REVENUE STREAMS                    |</w:t>
      </w:r>
      <w:r>
        <w:br/>
      </w:r>
      <w:r>
        <w:rPr>
          <w:rStyle w:val="VerbatimChar"/>
        </w:rPr>
        <w:t xml:space="preserve">|  * EUR 0-350/month infrastructure |  * SaaS subscriptions               |</w:t>
      </w:r>
      <w:r>
        <w:br/>
      </w:r>
      <w:r>
        <w:rPr>
          <w:rStyle w:val="VerbatimChar"/>
        </w:rPr>
        <w:t xml:space="preserve">|  * Cursor Pro + Claude Code Max   |  * Edge hardware margin             |</w:t>
      </w:r>
      <w:r>
        <w:br/>
      </w:r>
      <w:r>
        <w:rPr>
          <w:rStyle w:val="VerbatimChar"/>
        </w:rPr>
        <w:t xml:space="preserve">|  * Single developer (bootstrap)   |  * Professional services            |</w:t>
      </w:r>
      <w:r>
        <w:br/>
      </w:r>
      <w:r>
        <w:rPr>
          <w:rStyle w:val="VerbatimChar"/>
        </w:rPr>
        <w:t xml:space="preserve">|  * No marketing spend (organic)   |  * Solution Factory licensing       |</w:t>
      </w:r>
      <w:r>
        <w:br/>
      </w:r>
      <w:r>
        <w:rPr>
          <w:rStyle w:val="VerbatimChar"/>
        </w:rPr>
        <w:t xml:space="preserve">|                                   |                                     |</w:t>
      </w:r>
      <w:r>
        <w:br/>
      </w:r>
      <w:r>
        <w:rPr>
          <w:rStyle w:val="VerbatimChar"/>
        </w:rPr>
        <w:t xml:space="preserve">+-------------------------------------------------------------------------+</w:t>
      </w:r>
    </w:p>
    <w:bookmarkEnd w:id="206"/>
    <w:bookmarkStart w:id="207" w:name="appendix-b-product-catalog-summary"/>
    <w:p>
      <w:pPr>
        <w:pStyle w:val="Heading2"/>
      </w:pPr>
      <w:r>
        <w:t xml:space="preserve">Appendix B: Product Catalog Summary</w:t>
      </w:r>
    </w:p>
    <w:tbl>
      <w:tblPr>
        <w:tblStyle w:val="Table"/>
        <w:tblW w:type="pct" w:w="5000"/>
        <w:tblLook w:firstRow="1" w:lastRow="0" w:firstColumn="0" w:lastColumn="0" w:noHBand="0" w:noVBand="0" w:val="0020"/>
        <w:jc w:val="start"/>
      </w:tblPr>
      <w:tblGrid>
        <w:gridCol w:w="2329"/>
        <w:gridCol w:w="2911"/>
        <w:gridCol w:w="1747"/>
        <w:gridCol w:w="931"/>
      </w:tblGrid>
      <w:tr>
        <w:trPr>
          <w:tblHeader w:val="true"/>
        </w:trPr>
        <w:tc>
          <w:tcPr/>
          <w:p>
            <w:pPr>
              <w:pStyle w:val="Compact"/>
              <w:jc w:val="left"/>
            </w:pPr>
            <w:r>
              <w:t xml:space="preserve">ID</w:t>
            </w:r>
          </w:p>
        </w:tc>
        <w:tc>
          <w:tcPr/>
          <w:p>
            <w:pPr>
              <w:pStyle w:val="Compact"/>
              <w:jc w:val="left"/>
            </w:pPr>
            <w:r>
              <w:t xml:space="preserve">Product</w:t>
            </w:r>
          </w:p>
        </w:tc>
        <w:tc>
          <w:tcPr/>
          <w:p>
            <w:pPr>
              <w:pStyle w:val="Compact"/>
              <w:jc w:val="left"/>
            </w:pPr>
            <w:r>
              <w:t xml:space="preserve">Price</w:t>
            </w:r>
          </w:p>
        </w:tc>
        <w:tc>
          <w:tcPr/>
          <w:p>
            <w:pPr>
              <w:pStyle w:val="Compact"/>
              <w:jc w:val="left"/>
            </w:pPr>
            <w:r>
              <w:t xml:space="preserve">Type</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EUR 4,999</w:t>
            </w:r>
          </w:p>
        </w:tc>
        <w:tc>
          <w:tcPr/>
          <w:p>
            <w:pPr>
              <w:pStyle w:val="Compact"/>
              <w:jc w:val="left"/>
            </w:pPr>
            <w:r>
              <w:t xml:space="preserve">Platform</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EUR 6,995</w:t>
            </w:r>
          </w:p>
        </w:tc>
        <w:tc>
          <w:tcPr/>
          <w:p>
            <w:pPr>
              <w:pStyle w:val="Compact"/>
              <w:jc w:val="left"/>
            </w:pPr>
            <w:r>
              <w:t xml:space="preserve">Platform</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EUR 4,950</w:t>
            </w:r>
          </w:p>
        </w:tc>
        <w:tc>
          <w:tcPr/>
          <w:p>
            <w:pPr>
              <w:pStyle w:val="Compact"/>
              <w:jc w:val="left"/>
            </w:pPr>
            <w:r>
              <w:t xml:space="preserve">Software</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EUR 1,999</w:t>
            </w:r>
          </w:p>
        </w:tc>
        <w:tc>
          <w:tcPr/>
          <w:p>
            <w:pPr>
              <w:pStyle w:val="Compact"/>
              <w:jc w:val="left"/>
            </w:pPr>
            <w:r>
              <w:t xml:space="preserve">Software</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EUR 2,999</w:t>
            </w:r>
          </w:p>
        </w:tc>
        <w:tc>
          <w:tcPr/>
          <w:p>
            <w:pPr>
              <w:pStyle w:val="Compact"/>
              <w:jc w:val="left"/>
            </w:pPr>
            <w:r>
              <w:t xml:space="preserve">Software</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EUR 499</w:t>
            </w:r>
          </w:p>
        </w:tc>
        <w:tc>
          <w:tcPr/>
          <w:p>
            <w:pPr>
              <w:pStyle w:val="Compact"/>
              <w:jc w:val="left"/>
            </w:pPr>
            <w:r>
              <w:t xml:space="preserve">Software</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EUR 6,500</w:t>
            </w:r>
          </w:p>
        </w:tc>
        <w:tc>
          <w:tcPr/>
          <w:p>
            <w:pPr>
              <w:pStyle w:val="Compact"/>
              <w:jc w:val="left"/>
            </w:pPr>
            <w:r>
              <w:t xml:space="preserve">Bundle</w:t>
            </w:r>
          </w:p>
        </w:tc>
      </w:tr>
      <w:tr>
        <w:tc>
          <w:tcPr/>
          <w:p>
            <w:pPr>
              <w:pStyle w:val="Compact"/>
              <w:jc w:val="left"/>
            </w:pPr>
            <w:r>
              <w:t xml:space="preserve">consulting-hourly</w:t>
            </w:r>
          </w:p>
        </w:tc>
        <w:tc>
          <w:tcPr/>
          <w:p>
            <w:pPr>
              <w:pStyle w:val="Compact"/>
              <w:jc w:val="left"/>
            </w:pPr>
            <w:r>
              <w:t xml:space="preserve">Consulting hourly rate</w:t>
            </w:r>
          </w:p>
        </w:tc>
        <w:tc>
          <w:tcPr/>
          <w:p>
            <w:pPr>
              <w:pStyle w:val="Compact"/>
              <w:jc w:val="left"/>
            </w:pPr>
            <w:r>
              <w:t xml:space="preserve">EUR 98/h</w:t>
            </w:r>
          </w:p>
        </w:tc>
        <w:tc>
          <w:tcPr/>
          <w:p>
            <w:pPr>
              <w:pStyle w:val="Compact"/>
              <w:jc w:val="left"/>
            </w:pPr>
            <w:r>
              <w:t xml:space="preserve">Service</w:t>
            </w:r>
          </w:p>
        </w:tc>
      </w:tr>
      <w:tr>
        <w:tc>
          <w:tcPr/>
          <w:p>
            <w:pPr>
              <w:pStyle w:val="Compact"/>
              <w:jc w:val="left"/>
            </w:pPr>
            <w:r>
              <w:t xml:space="preserve">consulting-fit55</w:t>
            </w:r>
          </w:p>
        </w:tc>
        <w:tc>
          <w:tcPr/>
          <w:p>
            <w:pPr>
              <w:pStyle w:val="Compact"/>
              <w:jc w:val="left"/>
            </w:pPr>
            <w:r>
              <w:t xml:space="preserve">Fit55 expert advisory</w:t>
            </w:r>
          </w:p>
        </w:tc>
        <w:tc>
          <w:tcPr/>
          <w:p>
            <w:pPr>
              <w:pStyle w:val="Compact"/>
              <w:jc w:val="left"/>
            </w:pPr>
            <w:r>
              <w:t xml:space="preserve">EUR 3,000/month</w:t>
            </w:r>
          </w:p>
        </w:tc>
        <w:tc>
          <w:tcPr/>
          <w:p>
            <w:pPr>
              <w:pStyle w:val="Compact"/>
              <w:jc w:val="left"/>
            </w:pPr>
            <w:r>
              <w:t xml:space="preserve">Service</w:t>
            </w:r>
          </w:p>
        </w:tc>
      </w:tr>
      <w:tr>
        <w:tc>
          <w:tcPr/>
          <w:p>
            <w:pPr>
              <w:pStyle w:val="Compact"/>
              <w:jc w:val="left"/>
            </w:pPr>
            <w:r>
              <w:t xml:space="preserve">secure-email-proton</w:t>
            </w:r>
          </w:p>
        </w:tc>
        <w:tc>
          <w:tcPr/>
          <w:p>
            <w:pPr>
              <w:pStyle w:val="Compact"/>
              <w:jc w:val="left"/>
            </w:pPr>
            <w:r>
              <w:t xml:space="preserve">Protonmail implementation</w:t>
            </w:r>
          </w:p>
        </w:tc>
        <w:tc>
          <w:tcPr/>
          <w:p>
            <w:pPr>
              <w:pStyle w:val="Compact"/>
              <w:jc w:val="left"/>
            </w:pPr>
            <w:r>
              <w:t xml:space="preserve">EUR 499</w:t>
            </w:r>
          </w:p>
        </w:tc>
        <w:tc>
          <w:tcPr/>
          <w:p>
            <w:pPr>
              <w:pStyle w:val="Compact"/>
              <w:jc w:val="left"/>
            </w:pPr>
            <w:r>
              <w:t xml:space="preserve">Service</w:t>
            </w:r>
          </w:p>
        </w:tc>
      </w:tr>
      <w:tr>
        <w:tc>
          <w:tcPr/>
          <w:p>
            <w:pPr>
              <w:pStyle w:val="Compact"/>
              <w:jc w:val="left"/>
            </w:pPr>
            <w:r>
              <w:t xml:space="preserve">ai-koulutus-3d</w:t>
            </w:r>
          </w:p>
        </w:tc>
        <w:tc>
          <w:tcPr/>
          <w:p>
            <w:pPr>
              <w:pStyle w:val="Compact"/>
              <w:jc w:val="left"/>
            </w:pPr>
            <w:r>
              <w:t xml:space="preserve">AI Training 3 days</w:t>
            </w:r>
          </w:p>
        </w:tc>
        <w:tc>
          <w:tcPr/>
          <w:p>
            <w:pPr>
              <w:pStyle w:val="Compact"/>
              <w:jc w:val="left"/>
            </w:pPr>
            <w:r>
              <w:t xml:space="preserve">EUR 6,250</w:t>
            </w:r>
          </w:p>
        </w:tc>
        <w:tc>
          <w:tcPr/>
          <w:p>
            <w:pPr>
              <w:pStyle w:val="Compact"/>
              <w:jc w:val="left"/>
            </w:pPr>
            <w:r>
              <w:t xml:space="preserve">Training</w:t>
            </w:r>
          </w:p>
        </w:tc>
      </w:tr>
    </w:tbl>
    <w:bookmarkEnd w:id="207"/>
    <w:bookmarkStart w:id="208" w:name="X7002632e99d82ed2e4d65b16818534ba5d08a94"/>
    <w:p>
      <w:pPr>
        <w:pStyle w:val="Heading2"/>
      </w:pPr>
      <w:r>
        <w:t xml:space="preserve">Appendix C: Lifetime Scope Signals Protocol Schema</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"Lifetime Scope Signals v1.0"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"launch_date"</w:t>
      </w:r>
      <w:r>
        <w:rPr>
          <w:rStyle w:val="FunctionTok"/>
        </w:rPr>
        <w:t xml:space="preserve">:</w:t>
      </w:r>
      <w:r>
        <w:rPr>
          <w:rStyle w:val="NormalTok"/>
        </w:rPr>
        <w:t xml:space="preserve"> </w:t>
      </w:r>
      <w:r>
        <w:rPr>
          <w:rStyle w:val="StringTok"/>
        </w:rPr>
        <w:t xml:space="preserve">"2026-02-23"</w:t>
      </w:r>
      <w:r>
        <w:rPr>
          <w:rStyle w:val="FunctionTok"/>
        </w:rPr>
        <w:t xml:space="preserve">,</w:t>
      </w:r>
      <w:r>
        <w:br/>
      </w:r>
      <w:r>
        <w:rPr>
          <w:rStyle w:val="NormalTok"/>
        </w:rPr>
        <w:t xml:space="preserve">  </w:t>
      </w:r>
      <w:r>
        <w:rPr>
          <w:rStyle w:val="DataTypeTok"/>
        </w:rPr>
        <w:t xml:space="preserve">"signal_format"</w:t>
      </w:r>
      <w:r>
        <w:rPr>
          <w:rStyle w:val="FunctionTok"/>
        </w:rPr>
        <w:t xml:space="preserve">:</w:t>
      </w:r>
      <w:r>
        <w:rPr>
          <w:rStyle w:val="NormalTok"/>
        </w:rPr>
        <w:t xml:space="preserve"> </w:t>
      </w:r>
      <w:r>
        <w:rPr>
          <w:rStyle w:val="StringTok"/>
        </w:rPr>
        <w:t xml:space="preserve">"[AGENT-XX]:SIGNAL_TYPE:MILESTONE:TIMESTAMP"</w:t>
      </w:r>
      <w:r>
        <w:rPr>
          <w:rStyle w:val="FunctionTok"/>
        </w:rPr>
        <w:t xml:space="preserve">,</w:t>
      </w:r>
      <w:r>
        <w:br/>
      </w:r>
      <w:r>
        <w:rPr>
          <w:rStyle w:val="NormalTok"/>
        </w:rPr>
        <w:t xml:space="preserve">  </w:t>
      </w:r>
      <w:r>
        <w:rPr>
          <w:rStyle w:val="DataTypeTok"/>
        </w:rPr>
        <w:t xml:space="preserve">"signal_types"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"READY"</w:t>
      </w:r>
      <w:r>
        <w:rPr>
          <w:rStyle w:val="FunctionTok"/>
        </w:rPr>
        <w:t xml:space="preserve">:</w:t>
      </w:r>
      <w:r>
        <w:rPr>
          <w:rStyle w:val="NormalTok"/>
        </w:rPr>
        <w:t xml:space="preserve"> </w:t>
      </w:r>
      <w:r>
        <w:rPr>
          <w:rStyle w:val="StringTok"/>
        </w:rPr>
        <w:t xml:space="preserve">"Milestone achieved, unblocks downstream agents"</w:t>
      </w:r>
      <w:r>
        <w:rPr>
          <w:rStyle w:val="FunctionTok"/>
        </w:rPr>
        <w:t xml:space="preserve">,</w:t>
      </w:r>
      <w:r>
        <w:br/>
      </w:r>
      <w:r>
        <w:rPr>
          <w:rStyle w:val="NormalTok"/>
        </w:rPr>
        <w:t xml:space="preserve">    </w:t>
      </w:r>
      <w:r>
        <w:rPr>
          <w:rStyle w:val="DataTypeTok"/>
        </w:rPr>
        <w:t xml:space="preserve">"COMPLETE"</w:t>
      </w:r>
      <w:r>
        <w:rPr>
          <w:rStyle w:val="FunctionTok"/>
        </w:rPr>
        <w:t xml:space="preserve">:</w:t>
      </w:r>
      <w:r>
        <w:rPr>
          <w:rStyle w:val="NormalTok"/>
        </w:rPr>
        <w:t xml:space="preserve"> </w:t>
      </w:r>
      <w:r>
        <w:rPr>
          <w:rStyle w:val="StringTok"/>
        </w:rPr>
        <w:t xml:space="preserve">"All agent work finished"</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"Agent encountered an error"</w:t>
      </w:r>
      <w:r>
        <w:rPr>
          <w:rStyle w:val="FunctionTok"/>
        </w:rPr>
        <w:t xml:space="preserve">,</w:t>
      </w:r>
      <w:r>
        <w:br/>
      </w:r>
      <w:r>
        <w:rPr>
          <w:rStyle w:val="NormalTok"/>
        </w:rPr>
        <w:t xml:space="preserve">    </w:t>
      </w:r>
      <w:r>
        <w:rPr>
          <w:rStyle w:val="DataTypeTok"/>
        </w:rPr>
        <w:t xml:space="preserve">"BLOCKED"</w:t>
      </w:r>
      <w:r>
        <w:rPr>
          <w:rStyle w:val="FunctionTok"/>
        </w:rPr>
        <w:t xml:space="preserve">:</w:t>
      </w:r>
      <w:r>
        <w:rPr>
          <w:rStyle w:val="NormalTok"/>
        </w:rPr>
        <w:t xml:space="preserve"> </w:t>
      </w:r>
      <w:r>
        <w:rPr>
          <w:rStyle w:val="StringTok"/>
        </w:rPr>
        <w:t xml:space="preserve">"Waiting for external dependency"</w:t>
      </w:r>
      <w:r>
        <w:br/>
      </w:r>
      <w:r>
        <w:rPr>
          <w:rStyle w:val="NormalTok"/>
        </w:rPr>
        <w:t xml:space="preserve">  </w:t>
      </w:r>
      <w:r>
        <w:rPr>
          <w:rStyle w:val="FunctionTok"/>
        </w:rPr>
        <w:t xml:space="preserve">}</w:t>
      </w:r>
      <w:r>
        <w:br/>
      </w:r>
      <w:r>
        <w:rPr>
          <w:rStyle w:val="FunctionTok"/>
        </w:rPr>
        <w:t xml:space="preserve">}</w:t>
      </w:r>
    </w:p>
    <w:bookmarkEnd w:id="208"/>
    <w:bookmarkStart w:id="213" w:name="Xcb9df346946d60fb9ff26730b3c0e0b0e4140cc"/>
    <w:p>
      <w:pPr>
        <w:pStyle w:val="Heading2"/>
      </w:pPr>
      <w:r>
        <w:t xml:space="preserve">Appendix D: AI Agent Behavioral Guidelines (Karpathy Principles)</w:t>
      </w:r>
    </w:p>
    <w:bookmarkStart w:id="209" w:name="d.1-background"/>
    <w:p>
      <w:pPr>
        <w:pStyle w:val="Heading3"/>
      </w:pPr>
      <w:r>
        <w:t xml:space="preserve">D.1 Background</w:t>
      </w:r>
    </w:p>
    <w:p>
      <w:pPr>
        <w:pStyle w:val="FirstParagraph"/>
      </w:pPr>
      <w:r>
        <w:t xml:space="preserve">The DWS6 project adopted AI coding agent behavioral guidelines based on</w:t>
      </w:r>
      <w:r>
        <w:t xml:space="preserve"> </w:t>
      </w:r>
      <w:r>
        <w:rPr>
          <w:bCs/>
          <w:b/>
        </w:rPr>
        <w:t xml:space="preserve">Andrej Karpathy’s viral AI coding guidelines</w:t>
      </w:r>
      <w:r>
        <w:t xml:space="preserve">. These guidelines are documented in the repository’s</w:t>
      </w:r>
      <w:r>
        <w:t xml:space="preserve"> </w:t>
      </w:r>
      <w:r>
        <w:rPr>
          <w:rStyle w:val="VerbatimChar"/>
        </w:rPr>
        <w:t xml:space="preserve">CLAUDE.md</w:t>
      </w:r>
      <w:r>
        <w:t xml:space="preserve"> </w:t>
      </w:r>
      <w:r>
        <w:t xml:space="preserve">file and ensure consistent, high-quality AI-human collaboration in agent-based coding workflows.</w:t>
      </w:r>
    </w:p>
    <w:bookmarkEnd w:id="209"/>
    <w:bookmarkStart w:id="210" w:name="d.2-core-philosophy"/>
    <w:p>
      <w:pPr>
        <w:pStyle w:val="Heading3"/>
      </w:pPr>
      <w:r>
        <w:t xml:space="preserve">D.2 Core Philosophy</w:t>
      </w:r>
    </w:p>
    <w:p>
      <w:pPr>
        <w:pStyle w:val="SourceCode"/>
      </w:pPr>
      <w:r>
        <w:rPr>
          <w:rStyle w:val="VerbatimChar"/>
        </w:rPr>
        <w:t xml:space="preserve">"You are the hands; the human is the architect.</w:t>
      </w:r>
      <w:r>
        <w:br/>
      </w:r>
      <w:r>
        <w:rPr>
          <w:rStyle w:val="VerbatimChar"/>
        </w:rPr>
        <w:t xml:space="preserve">Move fast, but never faster than the human can verify.</w:t>
      </w:r>
      <w:r>
        <w:br/>
      </w:r>
      <w:r>
        <w:rPr>
          <w:rStyle w:val="VerbatimChar"/>
        </w:rPr>
        <w:t xml:space="preserve">Your code will be watched -- write accordingly."</w:t>
      </w:r>
    </w:p>
    <w:bookmarkEnd w:id="210"/>
    <w:bookmarkStart w:id="211" w:name="d.3-critical-behavioral-patterns"/>
    <w:p>
      <w:pPr>
        <w:pStyle w:val="Heading3"/>
      </w:pPr>
      <w:r>
        <w:t xml:space="preserve">D.3 Critical Behavioral Patterns</w:t>
      </w:r>
    </w:p>
    <w:tbl>
      <w:tblPr>
        <w:tblStyle w:val="Table"/>
        <w:tblW w:type="pct" w:w="5000"/>
        <w:tblLook w:firstRow="1" w:lastRow="0" w:firstColumn="0" w:lastColumn="0" w:noHBand="0" w:noVBand="0" w:val="0020"/>
        <w:jc w:val="start"/>
      </w:tblPr>
      <w:tblGrid>
        <w:gridCol w:w="198"/>
        <w:gridCol w:w="1848"/>
        <w:gridCol w:w="3300"/>
        <w:gridCol w:w="2574"/>
      </w:tblGrid>
      <w:tr>
        <w:trPr>
          <w:tblHeader w:val="true"/>
        </w:trPr>
        <w:tc>
          <w:tcPr/>
          <w:p>
            <w:pPr>
              <w:pStyle w:val="Compact"/>
              <w:jc w:val="left"/>
            </w:pPr>
            <w:r>
              <w:t xml:space="preserve">#</w:t>
            </w:r>
          </w:p>
        </w:tc>
        <w:tc>
          <w:tcPr/>
          <w:p>
            <w:pPr>
              <w:pStyle w:val="Compact"/>
              <w:jc w:val="left"/>
            </w:pPr>
            <w:r>
              <w:t xml:space="preserve">Behavior</w:t>
            </w:r>
          </w:p>
        </w:tc>
        <w:tc>
          <w:tcPr/>
          <w:p>
            <w:pPr>
              <w:pStyle w:val="Compact"/>
              <w:jc w:val="left"/>
            </w:pPr>
            <w:r>
              <w:t xml:space="preserve">Description</w:t>
            </w:r>
          </w:p>
        </w:tc>
        <w:tc>
          <w:tcPr/>
          <w:p>
            <w:pPr>
              <w:pStyle w:val="Compact"/>
              <w:jc w:val="left"/>
            </w:pPr>
            <w:r>
              <w:t xml:space="preserve">EU AI Act Alignment</w:t>
            </w:r>
          </w:p>
        </w:tc>
      </w:tr>
      <w:tr>
        <w:tc>
          <w:tcPr/>
          <w:p>
            <w:pPr>
              <w:pStyle w:val="Compact"/>
              <w:jc w:val="left"/>
            </w:pPr>
            <w:r>
              <w:t xml:space="preserve">1</w:t>
            </w:r>
          </w:p>
        </w:tc>
        <w:tc>
          <w:tcPr/>
          <w:p>
            <w:pPr>
              <w:pStyle w:val="Compact"/>
              <w:jc w:val="left"/>
            </w:pPr>
            <w:r>
              <w:rPr>
                <w:bCs/>
                <w:b/>
              </w:rPr>
              <w:t xml:space="preserve">Assumption surfacing</w:t>
            </w:r>
          </w:p>
        </w:tc>
        <w:tc>
          <w:tcPr/>
          <w:p>
            <w:pPr>
              <w:pStyle w:val="Compact"/>
              <w:jc w:val="left"/>
            </w:pPr>
            <w:r>
              <w:t xml:space="preserve">State assumptions explicitly before implementation</w:t>
            </w:r>
          </w:p>
        </w:tc>
        <w:tc>
          <w:tcPr/>
          <w:p>
            <w:pPr>
              <w:pStyle w:val="Compact"/>
              <w:jc w:val="left"/>
            </w:pPr>
            <w:r>
              <w:t xml:space="preserve">Supports reasoning lineage (Article 12)</w:t>
            </w:r>
          </w:p>
        </w:tc>
      </w:tr>
      <w:tr>
        <w:tc>
          <w:tcPr/>
          <w:p>
            <w:pPr>
              <w:pStyle w:val="Compact"/>
              <w:jc w:val="left"/>
            </w:pPr>
            <w:r>
              <w:t xml:space="preserve">2</w:t>
            </w:r>
          </w:p>
        </w:tc>
        <w:tc>
          <w:tcPr/>
          <w:p>
            <w:pPr>
              <w:pStyle w:val="Compact"/>
              <w:jc w:val="left"/>
            </w:pPr>
            <w:r>
              <w:rPr>
                <w:bCs/>
                <w:b/>
              </w:rPr>
              <w:t xml:space="preserve">Confusion management</w:t>
            </w:r>
          </w:p>
        </w:tc>
        <w:tc>
          <w:tcPr/>
          <w:p>
            <w:pPr>
              <w:pStyle w:val="Compact"/>
              <w:jc w:val="left"/>
            </w:pPr>
            <w:r>
              <w:t xml:space="preserve">STOP when confused; ask clarifying questions</w:t>
            </w:r>
          </w:p>
        </w:tc>
        <w:tc>
          <w:tcPr/>
          <w:p>
            <w:pPr>
              <w:pStyle w:val="Compact"/>
              <w:jc w:val="left"/>
            </w:pPr>
            <w:r>
              <w:t xml:space="preserve">Prevents autonomous errors</w:t>
            </w:r>
          </w:p>
        </w:tc>
      </w:tr>
      <w:tr>
        <w:tc>
          <w:tcPr/>
          <w:p>
            <w:pPr>
              <w:pStyle w:val="Compact"/>
              <w:jc w:val="left"/>
            </w:pPr>
            <w:r>
              <w:t xml:space="preserve">3</w:t>
            </w:r>
          </w:p>
        </w:tc>
        <w:tc>
          <w:tcPr/>
          <w:p>
            <w:pPr>
              <w:pStyle w:val="Compact"/>
              <w:jc w:val="left"/>
            </w:pPr>
            <w:r>
              <w:rPr>
                <w:bCs/>
                <w:b/>
              </w:rPr>
              <w:t xml:space="preserve">Push back when warranted</w:t>
            </w:r>
          </w:p>
        </w:tc>
        <w:tc>
          <w:tcPr/>
          <w:p>
            <w:pPr>
              <w:pStyle w:val="Compact"/>
              <w:jc w:val="left"/>
            </w:pPr>
            <w:r>
              <w:t xml:space="preserve">Point out issues directly</w:t>
            </w:r>
          </w:p>
        </w:tc>
        <w:tc>
          <w:tcPr/>
          <w:p>
            <w:pPr>
              <w:pStyle w:val="Compact"/>
              <w:jc w:val="left"/>
            </w:pPr>
            <w:r>
              <w:t xml:space="preserve">Ensures human oversight</w:t>
            </w:r>
          </w:p>
        </w:tc>
      </w:tr>
      <w:tr>
        <w:tc>
          <w:tcPr/>
          <w:p>
            <w:pPr>
              <w:pStyle w:val="Compact"/>
              <w:jc w:val="left"/>
            </w:pPr>
            <w:r>
              <w:t xml:space="preserve">4</w:t>
            </w:r>
          </w:p>
        </w:tc>
        <w:tc>
          <w:tcPr/>
          <w:p>
            <w:pPr>
              <w:pStyle w:val="Compact"/>
              <w:jc w:val="left"/>
            </w:pPr>
            <w:r>
              <w:rPr>
                <w:bCs/>
                <w:b/>
              </w:rPr>
              <w:t xml:space="preserve">Simplicity enforcement</w:t>
            </w:r>
          </w:p>
        </w:tc>
        <w:tc>
          <w:tcPr/>
          <w:p>
            <w:pPr>
              <w:pStyle w:val="Compact"/>
              <w:jc w:val="left"/>
            </w:pPr>
            <w:r>
              <w:t xml:space="preserve">Actively resist overcomplication</w:t>
            </w:r>
          </w:p>
        </w:tc>
        <w:tc>
          <w:tcPr/>
          <w:p>
            <w:pPr>
              <w:pStyle w:val="Compact"/>
              <w:jc w:val="left"/>
            </w:pPr>
            <w:r>
              <w:t xml:space="preserve">Maintainability</w:t>
            </w:r>
          </w:p>
        </w:tc>
      </w:tr>
      <w:tr>
        <w:tc>
          <w:tcPr/>
          <w:p>
            <w:pPr>
              <w:pStyle w:val="Compact"/>
              <w:jc w:val="left"/>
            </w:pPr>
            <w:r>
              <w:t xml:space="preserve">5</w:t>
            </w:r>
          </w:p>
        </w:tc>
        <w:tc>
          <w:tcPr/>
          <w:p>
            <w:pPr>
              <w:pStyle w:val="Compact"/>
              <w:jc w:val="left"/>
            </w:pPr>
            <w:r>
              <w:rPr>
                <w:bCs/>
                <w:b/>
              </w:rPr>
              <w:t xml:space="preserve">Scope discipline</w:t>
            </w:r>
          </w:p>
        </w:tc>
        <w:tc>
          <w:tcPr/>
          <w:p>
            <w:pPr>
              <w:pStyle w:val="Compact"/>
              <w:jc w:val="left"/>
            </w:pPr>
            <w:r>
              <w:t xml:space="preserve">Touch only what is asked</w:t>
            </w:r>
          </w:p>
        </w:tc>
        <w:tc>
          <w:tcPr/>
          <w:p>
            <w:pPr>
              <w:pStyle w:val="Compact"/>
              <w:jc w:val="left"/>
            </w:pPr>
            <w:r>
              <w:t xml:space="preserve">Audit trail clarity</w:t>
            </w:r>
          </w:p>
        </w:tc>
      </w:tr>
      <w:tr>
        <w:tc>
          <w:tcPr/>
          <w:p>
            <w:pPr>
              <w:pStyle w:val="Compact"/>
              <w:jc w:val="left"/>
            </w:pPr>
            <w:r>
              <w:t xml:space="preserve">6</w:t>
            </w:r>
          </w:p>
        </w:tc>
        <w:tc>
          <w:tcPr/>
          <w:p>
            <w:pPr>
              <w:pStyle w:val="Compact"/>
              <w:jc w:val="left"/>
            </w:pPr>
            <w:r>
              <w:rPr>
                <w:bCs/>
                <w:b/>
              </w:rPr>
              <w:t xml:space="preserve">Dead code hygiene</w:t>
            </w:r>
          </w:p>
        </w:tc>
        <w:tc>
          <w:tcPr/>
          <w:p>
            <w:pPr>
              <w:pStyle w:val="Compact"/>
              <w:jc w:val="left"/>
            </w:pPr>
            <w:r>
              <w:t xml:space="preserve">Ask before removing unused code</w:t>
            </w:r>
          </w:p>
        </w:tc>
        <w:tc>
          <w:tcPr/>
          <w:p>
            <w:pPr>
              <w:pStyle w:val="Compact"/>
              <w:jc w:val="left"/>
            </w:pPr>
            <w:r>
              <w:t xml:space="preserve">Change documentation</w:t>
            </w:r>
          </w:p>
        </w:tc>
      </w:tr>
    </w:tbl>
    <w:bookmarkEnd w:id="211"/>
    <w:bookmarkStart w:id="212" w:name="d.4-implementation-outcomes"/>
    <w:p>
      <w:pPr>
        <w:pStyle w:val="Heading3"/>
      </w:pPr>
      <w:r>
        <w:t xml:space="preserve">D.4 Implementation Outcomes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Code review rejections</w:t>
            </w:r>
          </w:p>
        </w:tc>
        <w:tc>
          <w:tcPr/>
          <w:p>
            <w:pPr>
              <w:pStyle w:val="Compact"/>
              <w:jc w:val="left"/>
            </w:pPr>
            <w:r>
              <w:t xml:space="preserve">15%</w:t>
            </w:r>
          </w:p>
        </w:tc>
        <w:tc>
          <w:tcPr/>
          <w:p>
            <w:pPr>
              <w:pStyle w:val="Compact"/>
              <w:jc w:val="left"/>
            </w:pPr>
            <w:r>
              <w:t xml:space="preserve">3%</w:t>
            </w:r>
          </w:p>
        </w:tc>
        <w:tc>
          <w:tcPr/>
          <w:p>
            <w:pPr>
              <w:pStyle w:val="Compact"/>
              <w:jc w:val="left"/>
            </w:pPr>
            <w:r>
              <w:t xml:space="preserve">80% reduction</w:t>
            </w:r>
          </w:p>
        </w:tc>
      </w:tr>
      <w:tr>
        <w:tc>
          <w:tcPr/>
          <w:p>
            <w:pPr>
              <w:pStyle w:val="Compact"/>
              <w:jc w:val="left"/>
            </w:pPr>
            <w:r>
              <w:t xml:space="preserve">Unclear change rationale</w:t>
            </w:r>
          </w:p>
        </w:tc>
        <w:tc>
          <w:tcPr/>
          <w:p>
            <w:pPr>
              <w:pStyle w:val="Compact"/>
              <w:jc w:val="left"/>
            </w:pPr>
            <w:r>
              <w:t xml:space="preserve">25%</w:t>
            </w:r>
          </w:p>
        </w:tc>
        <w:tc>
          <w:tcPr/>
          <w:p>
            <w:pPr>
              <w:pStyle w:val="Compact"/>
              <w:jc w:val="left"/>
            </w:pPr>
            <w:r>
              <w:t xml:space="preserve">5%</w:t>
            </w:r>
          </w:p>
        </w:tc>
        <w:tc>
          <w:tcPr/>
          <w:p>
            <w:pPr>
              <w:pStyle w:val="Compact"/>
              <w:jc w:val="left"/>
            </w:pPr>
            <w:r>
              <w:t xml:space="preserve">80% reduction</w:t>
            </w:r>
          </w:p>
        </w:tc>
      </w:tr>
      <w:tr>
        <w:tc>
          <w:tcPr/>
          <w:p>
            <w:pPr>
              <w:pStyle w:val="Compact"/>
              <w:jc w:val="left"/>
            </w:pPr>
            <w:r>
              <w:t xml:space="preserve">Unauthorized scope changes</w:t>
            </w:r>
          </w:p>
        </w:tc>
        <w:tc>
          <w:tcPr/>
          <w:p>
            <w:pPr>
              <w:pStyle w:val="Compact"/>
              <w:jc w:val="left"/>
            </w:pPr>
            <w:r>
              <w:t xml:space="preserve">10%</w:t>
            </w:r>
          </w:p>
        </w:tc>
        <w:tc>
          <w:tcPr/>
          <w:p>
            <w:pPr>
              <w:pStyle w:val="Compact"/>
              <w:jc w:val="left"/>
            </w:pPr>
            <w:r>
              <w:t xml:space="preserve">&lt;1%</w:t>
            </w:r>
          </w:p>
        </w:tc>
        <w:tc>
          <w:tcPr/>
          <w:p>
            <w:pPr>
              <w:pStyle w:val="Compact"/>
              <w:jc w:val="left"/>
            </w:pPr>
            <w:r>
              <w:t xml:space="preserve">90% reduction</w:t>
            </w:r>
          </w:p>
        </w:tc>
      </w:tr>
      <w:tr>
        <w:tc>
          <w:tcPr/>
          <w:p>
            <w:pPr>
              <w:pStyle w:val="Compact"/>
              <w:jc w:val="left"/>
            </w:pPr>
            <w:r>
              <w:t xml:space="preserve">Documentation coverage</w:t>
            </w:r>
          </w:p>
        </w:tc>
        <w:tc>
          <w:tcPr/>
          <w:p>
            <w:pPr>
              <w:pStyle w:val="Compact"/>
              <w:jc w:val="left"/>
            </w:pPr>
            <w:r>
              <w:t xml:space="preserve">60%</w:t>
            </w:r>
          </w:p>
        </w:tc>
        <w:tc>
          <w:tcPr/>
          <w:p>
            <w:pPr>
              <w:pStyle w:val="Compact"/>
              <w:jc w:val="left"/>
            </w:pPr>
            <w:r>
              <w:t xml:space="preserve">95%</w:t>
            </w:r>
          </w:p>
        </w:tc>
        <w:tc>
          <w:tcPr/>
          <w:p>
            <w:pPr>
              <w:pStyle w:val="Compact"/>
              <w:jc w:val="left"/>
            </w:pPr>
            <w:r>
              <w:t xml:space="preserve">58% improvement</w:t>
            </w:r>
          </w:p>
        </w:tc>
      </w:tr>
    </w:tbl>
    <w:bookmarkEnd w:id="212"/>
    <w:bookmarkEnd w:id="213"/>
    <w:bookmarkStart w:id="216" w:name="X426344c2f10a3420b0bf0c81e39f821e695a313"/>
    <w:p>
      <w:pPr>
        <w:pStyle w:val="Heading2"/>
      </w:pPr>
      <w:r>
        <w:t xml:space="preserve">Appendix E: AI Model Training Infrastructure</w:t>
      </w:r>
    </w:p>
    <w:bookmarkStart w:id="214" w:name="X201736bd7a6d39b9c43700f25e58f856f339699"/>
    <w:p>
      <w:pPr>
        <w:pStyle w:val="Heading3"/>
      </w:pPr>
      <w:r>
        <w:t xml:space="preserve">Lifetime World Model (LWM) Training Pipeline</w:t>
      </w:r>
    </w:p>
    <w:p>
      <w:pPr>
        <w:pStyle w:val="FirstParagraph"/>
      </w:pPr>
      <w:r>
        <w:rPr>
          <w:bCs/>
          <w:b/>
        </w:rPr>
        <w:t xml:space="preserve">Hardware:</w:t>
      </w:r>
    </w:p>
    <w:p>
      <w:pPr>
        <w:numPr>
          <w:ilvl w:val="0"/>
          <w:numId w:val="1072"/>
        </w:numPr>
        <w:pStyle w:val="Compact"/>
      </w:pPr>
      <w:r>
        <w:rPr>
          <w:bCs/>
          <w:b/>
        </w:rPr>
        <w:t xml:space="preserve">Primary:</w:t>
      </w:r>
      <w:r>
        <w:t xml:space="preserve"> </w:t>
      </w:r>
      <w:r>
        <w:t xml:space="preserve">Acer Veriton GN-100 (dedicated, on-premises)</w:t>
      </w:r>
    </w:p>
    <w:p>
      <w:pPr>
        <w:numPr>
          <w:ilvl w:val="0"/>
          <w:numId w:val="1072"/>
        </w:numPr>
        <w:pStyle w:val="Compact"/>
      </w:pPr>
      <w:r>
        <w:rPr>
          <w:bCs/>
          <w:b/>
        </w:rPr>
        <w:t xml:space="preserve">Accelerator:</w:t>
      </w:r>
      <w:r>
        <w:t xml:space="preserve"> </w:t>
      </w:r>
      <w:r>
        <w:t xml:space="preserve">NVIDIA GB10 Grace Blackwell Superchip</w:t>
      </w:r>
    </w:p>
    <w:p>
      <w:pPr>
        <w:numPr>
          <w:ilvl w:val="0"/>
          <w:numId w:val="1072"/>
        </w:numPr>
        <w:pStyle w:val="Compact"/>
      </w:pPr>
      <w:r>
        <w:rPr>
          <w:bCs/>
          <w:b/>
        </w:rPr>
        <w:t xml:space="preserve">Compute:</w:t>
      </w:r>
      <w:r>
        <w:t xml:space="preserve"> </w:t>
      </w:r>
      <w:r>
        <w:t xml:space="preserve">1 PetaFLOP local inference</w:t>
      </w:r>
    </w:p>
    <w:p>
      <w:pPr>
        <w:numPr>
          <w:ilvl w:val="0"/>
          <w:numId w:val="1072"/>
        </w:numPr>
        <w:pStyle w:val="Compact"/>
      </w:pPr>
      <w:r>
        <w:rPr>
          <w:bCs/>
          <w:b/>
        </w:rPr>
        <w:t xml:space="preserve">Memory:</w:t>
      </w:r>
      <w:r>
        <w:t xml:space="preserve"> </w:t>
      </w:r>
      <w:r>
        <w:t xml:space="preserve">128GB unified memory</w:t>
      </w:r>
    </w:p>
    <w:p>
      <w:pPr>
        <w:pStyle w:val="FirstParagraph"/>
      </w:pPr>
      <w:r>
        <w:rPr>
          <w:bCs/>
          <w:b/>
        </w:rPr>
        <w:t xml:space="preserve">Training workflow:</w:t>
      </w:r>
    </w:p>
    <w:p>
      <w:pPr>
        <w:numPr>
          <w:ilvl w:val="0"/>
          <w:numId w:val="1073"/>
        </w:numPr>
        <w:pStyle w:val="Compact"/>
      </w:pPr>
      <w:r>
        <w:t xml:space="preserve">Curriculum design (Claude API)</w:t>
      </w:r>
    </w:p>
    <w:p>
      <w:pPr>
        <w:numPr>
          <w:ilvl w:val="0"/>
          <w:numId w:val="1073"/>
        </w:numPr>
        <w:pStyle w:val="Compact"/>
      </w:pPr>
      <w:r>
        <w:t xml:space="preserve">Synthetic data generation (Claude API, 2000+ examples per industry)</w:t>
      </w:r>
    </w:p>
    <w:p>
      <w:pPr>
        <w:numPr>
          <w:ilvl w:val="0"/>
          <w:numId w:val="1073"/>
        </w:numPr>
        <w:pStyle w:val="Compact"/>
      </w:pPr>
      <w:r>
        <w:t xml:space="preserve">Local fine-tuning (Acer Veriton GN-100, QLoRA, 16h per model)</w:t>
      </w:r>
    </w:p>
    <w:p>
      <w:pPr>
        <w:numPr>
          <w:ilvl w:val="0"/>
          <w:numId w:val="1073"/>
        </w:numPr>
        <w:pStyle w:val="Compact"/>
      </w:pPr>
      <w:r>
        <w:t xml:space="preserve">Evaluation &amp; deployment (Claude-as-judge, target &gt;7.0/10)</w:t>
      </w:r>
    </w:p>
    <w:p>
      <w:pPr>
        <w:pStyle w:val="FirstParagraph"/>
      </w:pPr>
      <w:r>
        <w:rPr>
          <w:bCs/>
          <w:b/>
        </w:rPr>
        <w:t xml:space="preserve">Cost:</w:t>
      </w:r>
      <w:r>
        <w:t xml:space="preserve"> </w:t>
      </w:r>
      <w:r>
        <w:t xml:space="preserve">EUR 80-125 per industry model (vs. EUR 15,000+ traditionally, 99% cost reduction)</w:t>
      </w:r>
    </w:p>
    <w:bookmarkEnd w:id="214"/>
    <w:bookmarkStart w:id="215" w:name="X6e33ad7af33a367c9272e0607eaaafb3b1f14c6"/>
    <w:p>
      <w:pPr>
        <w:pStyle w:val="Heading3"/>
      </w:pPr>
      <w:r>
        <w:t xml:space="preserve">LWM Training — Verified Hardware Reality (v3.88 amendment)</w:t>
      </w:r>
    </w:p>
    <w:p>
      <w:pPr>
        <w:pStyle w:val="FirstParagraph"/>
      </w:pPr>
      <w:r>
        <w:rPr>
          <w:iCs/>
          <w:i/>
        </w:rPr>
        <w:t xml:space="preserve">Implementation-evidence scope-correction to the pipeline above (per the §1.4 master-vs-PhD scope rule). The QLoRA per-industry fine-tuning described above — small models, ~16 h on the GN-100 — is feasible and remains the delivered path. This subsection makes explicit the boundary a July 2026 verification exposed; the text above is preserved unchanged (Rule 12).</w:t>
      </w:r>
    </w:p>
    <w:p>
      <w:pPr>
        <w:pStyle w:val="BodyText"/>
      </w:pPr>
      <w:r>
        <w:rPr>
          <w:bCs/>
          <w:b/>
        </w:rPr>
        <w:t xml:space="preserve">The GN-100 is an edge inference / development node, not a training cluster.</w:t>
      </w:r>
      <w:r>
        <w:t xml:space="preserve"> </w:t>
      </w:r>
      <w:r>
        <w:t xml:space="preserve">It fine-tunes (QLoRA) small models (~7–13B) and serves inference; it cannot pretrain the full ~55B Lifetime World Model. In training a 55B model needs optimiser states, gradients and activations at roughly 8–16× its inference footprint — hundreds of GB to TB with multi-GPU interconnect — against the GN-100’s 128 GB unified memory.</w:t>
      </w:r>
    </w:p>
    <w:p>
      <w:pPr>
        <w:pStyle w:val="BodyText"/>
      </w:pPr>
      <w:r>
        <w:rPr>
          <w:bCs/>
          <w:b/>
        </w:rPr>
        <w:t xml:space="preserve">On-prem</w:t>
      </w:r>
      <w:r>
        <w:rPr>
          <w:bCs/>
          <w:b/>
        </w:rPr>
        <w:t xml:space="preserve"> </w:t>
      </w:r>
      <w:r>
        <w:rPr>
          <w:bCs/>
          <w:b/>
        </w:rPr>
        <w:t xml:space="preserve">“</w:t>
      </w:r>
      <w:r>
        <w:rPr>
          <w:bCs/>
          <w:b/>
        </w:rPr>
        <w:t xml:space="preserve">Acer Node</w:t>
      </w:r>
      <w:r>
        <w:rPr>
          <w:bCs/>
          <w:b/>
        </w:rPr>
        <w:t xml:space="preserve">”</w:t>
      </w:r>
      <w:r>
        <w:rPr>
          <w:bCs/>
          <w:b/>
        </w:rPr>
        <w:t xml:space="preserve"> </w:t>
      </w:r>
      <w:r>
        <w:rPr>
          <w:bCs/>
          <w:b/>
        </w:rPr>
        <w:t xml:space="preserve">full training is Pending Hardware.</w:t>
      </w:r>
      <w:r>
        <w:t xml:space="preserve"> </w:t>
      </w:r>
      <w:r>
        <w:t xml:space="preserve">A repository verification (PR #1720, 24.07.2026) found no training-pipeline code, no go-live record, and that the separately-described training node (x86, 2× RTX 4090) does not exist in the repository; the only documented Acer device is the Veriton GN-100 (ARM64 / GB10 edge inference and development). The Enterprise Model Training path that presented on-prem training as delivered was retagged</w:t>
      </w:r>
      <w:r>
        <w:t xml:space="preserve"> </w:t>
      </w:r>
      <w:r>
        <w:t xml:space="preserve">“</w:t>
      </w:r>
      <w:r>
        <w:t xml:space="preserve">Pending Hardware, not yet verified live.</w:t>
      </w:r>
      <w:r>
        <w:t xml:space="preserve">”</w:t>
      </w:r>
      <w:r>
        <w:t xml:space="preserve"> </w:t>
      </w:r>
      <w:r>
        <w:rPr>
          <w:bCs/>
          <w:b/>
        </w:rPr>
        <w:t xml:space="preserve">Cloud (GCP A3 Mega) remains the available full-training route.</w:t>
      </w:r>
    </w:p>
    <w:p>
      <w:pPr>
        <w:pStyle w:val="BodyText"/>
      </w:pPr>
      <w:r>
        <w:rPr>
          <w:bCs/>
          <w:b/>
        </w:rPr>
        <w:t xml:space="preserve">Realistic pipeline:</w:t>
      </w:r>
      <w:r>
        <w:t xml:space="preserve"> </w:t>
      </w:r>
      <w:r>
        <w:t xml:space="preserve">cloud pretrain / fine-tune (GCP A3 Mega or rented H100/H200) → NVFP4 quantisation co-designed for Blackwell → deploy to the GN-100 for edge inference. Training and inference are distinct workloads on distinct hardware.</w:t>
      </w:r>
    </w:p>
    <w:p>
      <w:pPr>
        <w:pStyle w:val="BodyText"/>
      </w:pPr>
      <w:r>
        <w:rPr>
          <w:bCs/>
          <w:b/>
        </w:rPr>
        <w:t xml:space="preserve">Token-capital framing:</w:t>
      </w:r>
      <w:r>
        <w:t xml:space="preserve"> </w:t>
      </w:r>
      <w:r>
        <w:t xml:space="preserve">the defensible asset is not a from-scratch 55B but the learning loop — private evals, an RL environment, and adaptation on owned operational (fleet) data. Full 55B pretraining is cloud CAPEX that does not by itself produce a moat; the owned loop does.</w:t>
      </w:r>
    </w:p>
    <w:p>
      <w:pPr>
        <w:pStyle w:val="BodyText"/>
      </w:pPr>
      <w:r>
        <w:t xml:space="preserve">Companion lab note:</w:t>
      </w:r>
      <w:r>
        <w:t xml:space="preserve"> </w:t>
      </w:r>
      <w:r>
        <w:rPr>
          <w:rStyle w:val="VerbatimChar"/>
        </w:rPr>
        <w:t xml:space="preserve">docs/lab-notes/2026-07-26-lwm-training-hardware-reality.md</w:t>
      </w:r>
      <w:r>
        <w:t xml:space="preserve">.</w:t>
      </w:r>
    </w:p>
    <w:bookmarkEnd w:id="215"/>
    <w:bookmarkEnd w:id="216"/>
    <w:bookmarkStart w:id="217" w:name="appendix-f-v1.0-agent-fleet"/>
    <w:p>
      <w:pPr>
        <w:pStyle w:val="Heading2"/>
      </w:pPr>
      <w:r>
        <w:t xml:space="preserve">Appendix F: V1.0 Agent Fleet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Agent ID</w:t>
            </w:r>
          </w:p>
        </w:tc>
        <w:tc>
          <w:tcPr/>
          <w:p>
            <w:pPr>
              <w:pStyle w:val="Compact"/>
              <w:jc w:val="left"/>
            </w:pPr>
            <w:r>
              <w:t xml:space="preserve">Name</w:t>
            </w:r>
          </w:p>
        </w:tc>
        <w:tc>
          <w:tcPr/>
          <w:p>
            <w:pPr>
              <w:pStyle w:val="Compact"/>
              <w:jc w:val="left"/>
            </w:pPr>
            <w:r>
              <w:t xml:space="preserve">Phase</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In Progress</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High</w:t>
            </w:r>
          </w:p>
        </w:tc>
        <w:tc>
          <w:tcPr/>
          <w:p>
            <w:pPr>
              <w:pStyle w:val="Compact"/>
              <w:jc w:val="left"/>
            </w:pPr>
            <w:r>
              <w:t xml:space="preserve">Pending</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Low</w:t>
            </w:r>
          </w:p>
        </w:tc>
        <w:tc>
          <w:tcPr/>
          <w:p>
            <w:pPr>
              <w:pStyle w:val="Compact"/>
              <w:jc w:val="left"/>
            </w:pPr>
            <w:r>
              <w:t xml:space="preserve">Deferred</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In Progress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Medium</w:t>
            </w:r>
          </w:p>
        </w:tc>
        <w:tc>
          <w:tcPr/>
          <w:p>
            <w:pPr>
              <w:pStyle w:val="Compact"/>
              <w:jc w:val="left"/>
            </w:pPr>
            <w:r>
              <w:t xml:space="preserve">Pending</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High</w:t>
            </w:r>
          </w:p>
        </w:tc>
        <w:tc>
          <w:tcPr/>
          <w:p>
            <w:pPr>
              <w:pStyle w:val="Compact"/>
              <w:jc w:val="left"/>
            </w:pPr>
            <w:r>
              <w:t xml:space="preserve">Pending</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Low</w:t>
            </w:r>
          </w:p>
        </w:tc>
        <w:tc>
          <w:tcPr/>
          <w:p>
            <w:pPr>
              <w:pStyle w:val="Compact"/>
              <w:jc w:val="left"/>
            </w:pPr>
            <w:r>
              <w:t xml:space="preserve">In Progress</w:t>
            </w:r>
          </w:p>
        </w:tc>
      </w:tr>
    </w:tbl>
    <w:bookmarkEnd w:id="217"/>
    <w:bookmarkStart w:id="222" w:name="appendix-g-glossary"/>
    <w:p>
      <w:pPr>
        <w:pStyle w:val="Heading2"/>
      </w:pPr>
      <w:r>
        <w:t xml:space="preserve">Appendix G: Glossary</w:t>
      </w:r>
    </w:p>
    <w:bookmarkStart w:id="218" w:name="platform-and-business-concepts"/>
    <w:p>
      <w:pPr>
        <w:pStyle w:val="Heading3"/>
      </w:pPr>
      <w:r>
        <w:t xml:space="preserve">Platform and Business Concepts</w:t>
      </w:r>
    </w:p>
    <w:tbl>
      <w:tblPr>
        <w:tblStyle w:val="Table"/>
        <w:tblW w:type="pct" w:w="5000"/>
        <w:tblLook w:firstRow="1" w:lastRow="0" w:firstColumn="0" w:lastColumn="0" w:noHBand="0" w:noVBand="0" w:val="0020"/>
        <w:jc w:val="start"/>
      </w:tblPr>
      <w:tblGrid>
        <w:gridCol w:w="1525"/>
        <w:gridCol w:w="1290"/>
        <w:gridCol w:w="5104"/>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Multi-model, multi-tenant framework for deploying AI agents across industrial verticals</w:t>
            </w:r>
          </w:p>
        </w:tc>
      </w:tr>
      <w:tr>
        <w:tc>
          <w:tcPr/>
          <w:p>
            <w:pPr>
              <w:pStyle w:val="Compact"/>
              <w:jc w:val="left"/>
            </w:pPr>
            <w:r>
              <w:rPr>
                <w:bCs/>
                <w:b/>
              </w:rPr>
              <w:t xml:space="preserve">Edge AI</w:t>
            </w:r>
          </w:p>
        </w:tc>
        <w:tc>
          <w:tcPr/>
          <w:p>
            <w:pPr>
              <w:pStyle w:val="Compact"/>
              <w:jc w:val="left"/>
            </w:pPr>
            <w:r>
              <w:t xml:space="preserve">Reunatekoaly</w:t>
            </w:r>
          </w:p>
        </w:tc>
        <w:tc>
          <w:tcPr/>
          <w:p>
            <w:pPr>
              <w:pStyle w:val="Compact"/>
              <w:jc w:val="left"/>
            </w:pPr>
            <w:r>
              <w:t xml:space="preserve">AI processing on local devices instead of cloud servers</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 product suite (Reports, Automation, Omnichannel, CMS)</w:t>
            </w:r>
          </w:p>
        </w:tc>
      </w:tr>
      <w:tr>
        <w:tc>
          <w:tcPr/>
          <w:p>
            <w:pPr>
              <w:pStyle w:val="Compact"/>
              <w:jc w:val="left"/>
            </w:pPr>
            <w:r>
              <w:rPr>
                <w:bCs/>
                <w:b/>
              </w:rPr>
              <w:t xml:space="preserve">Fit for 55</w:t>
            </w:r>
          </w:p>
        </w:tc>
        <w:tc>
          <w:tcPr/>
          <w:p>
            <w:pPr>
              <w:pStyle w:val="Compact"/>
              <w:jc w:val="left"/>
            </w:pPr>
            <w:r>
              <w:t xml:space="preserve">Fit for 55</w:t>
            </w:r>
          </w:p>
        </w:tc>
        <w:tc>
          <w:tcPr/>
          <w:p>
            <w:pPr>
              <w:pStyle w:val="Compact"/>
              <w:jc w:val="left"/>
            </w:pPr>
            <w:r>
              <w:t xml:space="preserve">EU legislative package mandating 55% emissions reduction by 2030</w:t>
            </w:r>
          </w:p>
        </w:tc>
      </w:tr>
      <w:tr>
        <w:tc>
          <w:tcPr/>
          <w:p>
            <w:pPr>
              <w:pStyle w:val="Compact"/>
              <w:jc w:val="left"/>
            </w:pPr>
            <w:r>
              <w:rPr>
                <w:bCs/>
                <w:b/>
              </w:rPr>
              <w:t xml:space="preserve">Lifetime Scope Signals</w:t>
            </w:r>
          </w:p>
        </w:tc>
        <w:tc>
          <w:tcPr/>
          <w:p>
            <w:pPr>
              <w:pStyle w:val="Compact"/>
              <w:jc w:val="left"/>
            </w:pPr>
            <w:r>
              <w:t xml:space="preserve">Lifetime Scope Signals</w:t>
            </w:r>
          </w:p>
        </w:tc>
        <w:tc>
          <w:tcPr/>
          <w:p>
            <w:pPr>
              <w:pStyle w:val="Compact"/>
              <w:jc w:val="left"/>
            </w:pPr>
            <w:r>
              <w:t xml:space="preserve">Coordination protocol for multi-agent development via declarative signal emission</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coordination server for multi-agent orchestration</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Operating model for producing multiple industrial AI platforms from shared components</w:t>
            </w:r>
          </w:p>
        </w:tc>
      </w:tr>
    </w:tbl>
    <w:bookmarkEnd w:id="218"/>
    <w:bookmarkStart w:id="219" w:name="security-and-compliance"/>
    <w:p>
      <w:pPr>
        <w:pStyle w:val="Heading3"/>
      </w:pPr>
      <w:r>
        <w:t xml:space="preserve">Security and Compliance</w:t>
      </w:r>
    </w:p>
    <w:tbl>
      <w:tblPr>
        <w:tblStyle w:val="Table"/>
        <w:tblW w:type="pct" w:w="5000"/>
        <w:tblLook w:firstRow="1" w:lastRow="0" w:firstColumn="0" w:lastColumn="0" w:noHBand="0" w:noVBand="0" w:val="0020"/>
        <w:jc w:val="start"/>
      </w:tblPr>
      <w:tblGrid>
        <w:gridCol w:w="880"/>
        <w:gridCol w:w="2166"/>
        <w:gridCol w:w="4873"/>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EU AI Act</w:t>
            </w:r>
          </w:p>
        </w:tc>
        <w:tc>
          <w:tcPr/>
          <w:p>
            <w:pPr>
              <w:pStyle w:val="Compact"/>
              <w:jc w:val="left"/>
            </w:pPr>
            <w:r>
              <w:t xml:space="preserve">EU:n tekoalysaados</w:t>
            </w:r>
          </w:p>
        </w:tc>
        <w:tc>
          <w:tcPr/>
          <w:p>
            <w:pPr>
              <w:pStyle w:val="Compact"/>
              <w:jc w:val="left"/>
            </w:pPr>
            <w:r>
              <w:t xml:space="preserve">EU regulation for AI systems (August 2026 deadline)</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 data protection regulation</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 cybersecurity directive for critical infrastructure</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Row-Level Security - database-level access control per user/organization</w:t>
            </w:r>
          </w:p>
        </w:tc>
      </w:tr>
    </w:tbl>
    <w:bookmarkEnd w:id="219"/>
    <w:bookmarkStart w:id="220" w:name="data-architecture-and-analytics"/>
    <w:p>
      <w:pPr>
        <w:pStyle w:val="Heading3"/>
      </w:pPr>
      <w:r>
        <w:t xml:space="preserve">Data Architecture and Analytics</w:t>
      </w:r>
    </w:p>
    <w:tbl>
      <w:tblPr>
        <w:tblStyle w:val="Table"/>
        <w:tblW w:type="pct" w:w="5000"/>
        <w:tblLook w:firstRow="1" w:lastRow="0" w:firstColumn="0" w:lastColumn="0" w:noHBand="0" w:noVBand="0" w:val="0020"/>
        <w:jc w:val="start"/>
      </w:tblPr>
      <w:tblGrid>
        <w:gridCol w:w="960"/>
        <w:gridCol w:w="912"/>
        <w:gridCol w:w="6048"/>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Karpathy-inspired autonomous validation loop: hypothesize → modify → verify → keep/discard → repeat</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Database storage format organizing data by columns instead of rows, enabling 10-100× compression and faster analytical queries</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single database handles both OLTP and OLAP workloads</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TimescaleDB’s automatic hybrid row→columnar tiering engine with 90-98% compression</w:t>
            </w:r>
          </w:p>
        </w:tc>
      </w:tr>
      <w:tr>
        <w:tc>
          <w:tcPr/>
          <w:p>
            <w:pPr>
              <w:pStyle w:val="Compact"/>
              <w:jc w:val="left"/>
            </w:pPr>
            <w:r>
              <w:rPr>
                <w:bCs/>
                <w:b/>
              </w:rPr>
              <w:t xml:space="preserve">Hypertable</w:t>
            </w:r>
          </w:p>
        </w:tc>
        <w:tc>
          <w:tcPr/>
          <w:p>
            <w:pPr>
              <w:pStyle w:val="Compact"/>
              <w:jc w:val="left"/>
            </w:pPr>
            <w:r>
              <w:t xml:space="preserve">Hypertaulu</w:t>
            </w:r>
          </w:p>
        </w:tc>
        <w:tc>
          <w:tcPr/>
          <w:p>
            <w:pPr>
              <w:pStyle w:val="Compact"/>
              <w:jc w:val="left"/>
            </w:pPr>
            <w:r>
              <w:t xml:space="preserve">TimescaleDB time-partitioned table for time-series data with automatic chunk management</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 extension embedding DuckDB for 50-600× OLAP acceleration (edge-only in DWS)</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 extension for vector similarity search, used in RAG pipelines</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 extension for time-series data with compression and continuous aggregates</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Architecture pattern: Tier 1 (Aiven managed, TimescaleDB) + Tier 2 (self-managed edge, pg_duckdb)</w:t>
            </w:r>
          </w:p>
        </w:tc>
      </w:tr>
    </w:tbl>
    <w:bookmarkEnd w:id="220"/>
    <w:bookmarkStart w:id="221" w:name="research-methodology"/>
    <w:p>
      <w:pPr>
        <w:pStyle w:val="Heading3"/>
      </w:pPr>
      <w:r>
        <w:t xml:space="preserve">Research Methodology</w:t>
      </w:r>
    </w:p>
    <w:tbl>
      <w:tblPr>
        <w:tblStyle w:val="Table"/>
        <w:tblW w:type="pct" w:w="5000"/>
        <w:tblLook w:firstRow="1" w:lastRow="0" w:firstColumn="0" w:lastColumn="0" w:noHBand="0" w:noVBand="0" w:val="0020"/>
        <w:jc w:val="start"/>
      </w:tblPr>
      <w:tblGrid>
        <w:gridCol w:w="1071"/>
        <w:gridCol w:w="1304"/>
        <w:gridCol w:w="5544"/>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 policy requiring all production database extensions to be Aiven-compatible before adoption</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Internal standard governing data storage decisions, extension governance, and EU regulatory compliance</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dual-purpose standard for AI agent security (Shield) and optimization governance (Sword)</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 pattern: validate changes on small proxy (depth=12) before scaling to production (depth=24)</w:t>
            </w:r>
          </w:p>
        </w:tc>
      </w:tr>
    </w:tbl>
    <w:p>
      <w:r>
        <w:pict>
          <v:rect style="width:0;height:1.5pt" o:hralign="center" o:hrstd="t" o:hr="t"/>
        </w:pict>
      </w:r>
    </w:p>
    <w:bookmarkEnd w:id="221"/>
    <w:bookmarkEnd w:id="222"/>
    <w:bookmarkStart w:id="229" w:name="X913c5d6278562a2088bf833de44a465c3cc1013"/>
    <w:p>
      <w:pPr>
        <w:pStyle w:val="Heading2"/>
      </w:pPr>
      <w:r>
        <w:t xml:space="preserve">Appendix H: Automated PR Workflow (HIL Automation)</w:t>
      </w:r>
    </w:p>
    <w:bookmarkStart w:id="223" w:name="background-2"/>
    <w:p>
      <w:pPr>
        <w:pStyle w:val="Heading3"/>
      </w:pPr>
      <w:r>
        <w:t xml:space="preserve">Background</w:t>
      </w:r>
    </w:p>
    <w:p>
      <w:pPr>
        <w:pStyle w:val="FirstParagraph"/>
      </w:pPr>
      <w:r>
        <w:t xml:space="preserve">A key operational challenge for solo developers and small teams managing enterprise-grade codebases is maintaining code quality without a dedicated review team. The Firehorse model addresses this with a fully automated pull request review and merge workflow that replaces manual human-in-the-loop (HIL) code review with dual-model AI review.</w:t>
      </w:r>
    </w:p>
    <w:bookmarkEnd w:id="223"/>
    <w:bookmarkStart w:id="224" w:name="architecture"/>
    <w:p>
      <w:pPr>
        <w:pStyle w:val="Heading3"/>
      </w:pPr>
      <w:r>
        <w:t xml:space="preserve">Architecture</w:t>
      </w:r>
    </w:p>
    <w:p>
      <w:pPr>
        <w:pStyle w:val="SourceCode"/>
      </w:pPr>
      <w:r>
        <w:rPr>
          <w:rStyle w:val="VerbatimChar"/>
        </w:rPr>
        <w:t xml:space="preserve">Claude Code → PR → Claude sanity check → Gemini HIL review → @copilot fixes → CI → auto-merge</w:t>
      </w:r>
      <w:r>
        <w:br/>
      </w:r>
      <w:r>
        <w:rPr>
          <w:rStyle w:val="VerbatimChar"/>
        </w:rPr>
        <w:t xml:space="preserve">                                                ↑                    |</w:t>
      </w:r>
      <w:r>
        <w:br/>
      </w:r>
      <w:r>
        <w:rPr>
          <w:rStyle w:val="VerbatimChar"/>
        </w:rPr>
        <w:t xml:space="preserve">                                                └────────────────────┘  (fix loop)</w:t>
      </w:r>
    </w:p>
    <w:bookmarkEnd w:id="224"/>
    <w:bookmarkStart w:id="225" w:name="components"/>
    <w:p>
      <w:pPr>
        <w:pStyle w:val="Heading3"/>
      </w:pPr>
      <w:r>
        <w:t xml:space="preserve">Components</w:t>
      </w:r>
    </w:p>
    <w:tbl>
      <w:tblPr>
        <w:tblStyle w:val="Table"/>
        <w:tblW w:type="pct" w:w="5000"/>
        <w:tblLook w:firstRow="1" w:lastRow="0" w:firstColumn="0" w:lastColumn="0" w:noHBand="0" w:noVBand="0" w:val="0020"/>
        <w:jc w:val="start"/>
      </w:tblPr>
      <w:tblGrid>
        <w:gridCol w:w="1466"/>
        <w:gridCol w:w="4400"/>
        <w:gridCol w:w="2053"/>
      </w:tblGrid>
      <w:tr>
        <w:trPr>
          <w:tblHeader w:val="true"/>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Technology</w:t>
            </w:r>
          </w:p>
        </w:tc>
      </w:tr>
      <w:tr>
        <w:tc>
          <w:tcPr/>
          <w:p>
            <w:pPr>
              <w:pStyle w:val="Compact"/>
              <w:jc w:val="left"/>
            </w:pPr>
            <w:r>
              <w:t xml:space="preserve">Claude Code</w:t>
            </w:r>
          </w:p>
        </w:tc>
        <w:tc>
          <w:tcPr/>
          <w:p>
            <w:pPr>
              <w:pStyle w:val="Compact"/>
              <w:jc w:val="left"/>
            </w:pPr>
            <w:r>
              <w:t xml:space="preserve">Code generation, branch creation, PR opening</w:t>
            </w:r>
          </w:p>
        </w:tc>
        <w:tc>
          <w:tcPr/>
          <w:p>
            <w:pPr>
              <w:pStyle w:val="Compact"/>
              <w:jc w:val="left"/>
            </w:pPr>
            <w:r>
              <w:t xml:space="preserve">Anthropic Claude Opus/Sonnet</w:t>
            </w:r>
          </w:p>
        </w:tc>
      </w:tr>
      <w:tr>
        <w:tc>
          <w:tcPr/>
          <w:p>
            <w:pPr>
              <w:pStyle w:val="Compact"/>
              <w:jc w:val="left"/>
            </w:pPr>
            <w:r>
              <w:t xml:space="preserve">Claude (reviewer)</w:t>
            </w:r>
          </w:p>
        </w:tc>
        <w:tc>
          <w:tcPr/>
          <w:p>
            <w:pPr>
              <w:pStyle w:val="Compact"/>
              <w:jc w:val="left"/>
            </w:pPr>
            <w:r>
              <w:t xml:space="preserve">Quick sanity check: security, correctness, breaking changes</w:t>
            </w:r>
          </w:p>
        </w:tc>
        <w:tc>
          <w:tcPr/>
          <w:p>
            <w:pPr>
              <w:pStyle w:val="Compact"/>
              <w:jc w:val="left"/>
            </w:pPr>
            <w:r>
              <w:t xml:space="preserve">Claude Sonnet 4 API</w:t>
            </w:r>
          </w:p>
        </w:tc>
      </w:tr>
      <w:tr>
        <w:tc>
          <w:tcPr/>
          <w:p>
            <w:pPr>
              <w:pStyle w:val="Compact"/>
              <w:jc w:val="left"/>
            </w:pPr>
            <w:r>
              <w:t xml:space="preserve">Gemini (HIL gate)</w:t>
            </w:r>
          </w:p>
        </w:tc>
        <w:tc>
          <w:tcPr/>
          <w:p>
            <w:pPr>
              <w:pStyle w:val="Compact"/>
              <w:jc w:val="left"/>
            </w:pPr>
            <w:r>
              <w:t xml:space="preserve">Deep review: edge cases, tests, architecture, OWASP security</w:t>
            </w:r>
          </w:p>
        </w:tc>
        <w:tc>
          <w:tcPr/>
          <w:p>
            <w:pPr>
              <w:pStyle w:val="Compact"/>
              <w:jc w:val="left"/>
            </w:pPr>
            <w:r>
              <w:t xml:space="preserve">Gemini 2.0 Flash API</w:t>
            </w:r>
          </w:p>
        </w:tc>
      </w:tr>
      <w:tr>
        <w:tc>
          <w:tcPr/>
          <w:p>
            <w:pPr>
              <w:pStyle w:val="Compact"/>
              <w:jc w:val="left"/>
            </w:pPr>
            <w:r>
              <w:t xml:space="preserve">Copilot coding agent</w:t>
            </w:r>
          </w:p>
        </w:tc>
        <w:tc>
          <w:tcPr/>
          <w:p>
            <w:pPr>
              <w:pStyle w:val="Compact"/>
              <w:jc w:val="left"/>
            </w:pPr>
            <w:r>
              <w:t xml:space="preserve">Implements fix instructions from review comments</w:t>
            </w:r>
          </w:p>
        </w:tc>
        <w:tc>
          <w:tcPr/>
          <w:p>
            <w:pPr>
              <w:pStyle w:val="Compact"/>
              <w:jc w:val="left"/>
            </w:pPr>
            <w:r>
              <w:t xml:space="preserve">GitHub Copilot</w:t>
            </w:r>
          </w:p>
        </w:tc>
      </w:tr>
      <w:tr>
        <w:tc>
          <w:tcPr/>
          <w:p>
            <w:pPr>
              <w:pStyle w:val="Compact"/>
              <w:jc w:val="left"/>
            </w:pPr>
            <w:r>
              <w:t xml:space="preserve">PR Auto-Merge</w:t>
            </w:r>
          </w:p>
        </w:tc>
        <w:tc>
          <w:tcPr/>
          <w:p>
            <w:pPr>
              <w:pStyle w:val="Compact"/>
              <w:jc w:val="left"/>
            </w:pPr>
            <w:r>
              <w:t xml:space="preserve">Merges when all checks pass and AI approves</w:t>
            </w:r>
          </w:p>
        </w:tc>
        <w:tc>
          <w:tcPr/>
          <w:p>
            <w:pPr>
              <w:pStyle w:val="Compact"/>
              <w:jc w:val="left"/>
            </w:pPr>
            <w:r>
              <w:t xml:space="preserve">GitHub Actions + GraphQL</w:t>
            </w:r>
          </w:p>
        </w:tc>
      </w:tr>
    </w:tbl>
    <w:bookmarkEnd w:id="225"/>
    <w:bookmarkStart w:id="226" w:name="design-decisions"/>
    <w:p>
      <w:pPr>
        <w:pStyle w:val="Heading3"/>
      </w:pPr>
      <w:r>
        <w:t xml:space="preserve">Design Decisions</w:t>
      </w:r>
    </w:p>
    <w:p>
      <w:pPr>
        <w:numPr>
          <w:ilvl w:val="0"/>
          <w:numId w:val="1074"/>
        </w:numPr>
        <w:pStyle w:val="Compact"/>
      </w:pPr>
      <w:r>
        <w:rPr>
          <w:bCs/>
          <w:b/>
        </w:rPr>
        <w:t xml:space="preserve">Gemini defaults to REQUEST_CHANGES</w:t>
      </w:r>
      <w:r>
        <w:t xml:space="preserve"> </w:t>
      </w:r>
      <w:r>
        <w:t xml:space="preserve">— ensures every PR goes through at least one improvement cycle, even when the original implementation appears correct</w:t>
      </w:r>
    </w:p>
    <w:p>
      <w:pPr>
        <w:numPr>
          <w:ilvl w:val="0"/>
          <w:numId w:val="1074"/>
        </w:numPr>
        <w:pStyle w:val="Compact"/>
      </w:pPr>
      <w:r>
        <w:rPr>
          <w:bCs/>
          <w:b/>
        </w:rPr>
        <w:t xml:space="preserve">Dual-model review</w:t>
      </w:r>
      <w:r>
        <w:t xml:space="preserve"> </w:t>
      </w:r>
      <w:r>
        <w:t xml:space="preserve">— two different AI models catch different classes of issues (structural vs. security vs. convention)</w:t>
      </w:r>
    </w:p>
    <w:p>
      <w:pPr>
        <w:numPr>
          <w:ilvl w:val="0"/>
          <w:numId w:val="1074"/>
        </w:numPr>
        <w:pStyle w:val="Compact"/>
      </w:pPr>
      <w:r>
        <w:rPr>
          <w:bCs/>
          <w:b/>
        </w:rPr>
        <w:t xml:space="preserve">Automated fix loop</w:t>
      </w:r>
      <w:r>
        <w:t xml:space="preserve"> </w:t>
      </w:r>
      <w:r>
        <w:t xml:space="preserve">— structured fix instructions sent to</w:t>
      </w:r>
      <w:r>
        <w:t xml:space="preserve"> </w:t>
      </w:r>
      <w:r>
        <w:t xml:space="preserve">@copilot</w:t>
      </w:r>
      <w:r>
        <w:t xml:space="preserve">, which implements fixes and re-triggers review, reducing developer involvement to final skim (~5 min per PR)</w:t>
      </w:r>
    </w:p>
    <w:p>
      <w:pPr>
        <w:numPr>
          <w:ilvl w:val="0"/>
          <w:numId w:val="1074"/>
        </w:numPr>
        <w:pStyle w:val="Compact"/>
      </w:pPr>
      <w:r>
        <w:rPr>
          <w:bCs/>
          <w:b/>
        </w:rPr>
        <w:t xml:space="preserve">Human overrides</w:t>
      </w:r>
      <w:r>
        <w:t xml:space="preserve"> </w:t>
      </w:r>
      <w:r>
        <w:t xml:space="preserve">—</w:t>
      </w:r>
      <w:r>
        <w:t xml:space="preserve"> </w:t>
      </w:r>
      <w:r>
        <w:rPr>
          <w:rStyle w:val="VerbatimChar"/>
        </w:rPr>
        <w:t xml:space="preserve">do-not-merge</w:t>
      </w:r>
      <w:r>
        <w:t xml:space="preserve"> </w:t>
      </w:r>
      <w:r>
        <w:t xml:space="preserve">and</w:t>
      </w:r>
      <w:r>
        <w:t xml:space="preserve"> </w:t>
      </w:r>
      <w:r>
        <w:rPr>
          <w:rStyle w:val="VerbatimChar"/>
        </w:rPr>
        <w:t xml:space="preserve">needs-human-review</w:t>
      </w:r>
      <w:r>
        <w:t xml:space="preserve"> </w:t>
      </w:r>
      <w:r>
        <w:t xml:space="preserve">labels pause automation for manual review when needed</w:t>
      </w:r>
    </w:p>
    <w:bookmarkEnd w:id="226"/>
    <w:bookmarkStart w:id="227" w:name="relevance-to-thesis"/>
    <w:p>
      <w:pPr>
        <w:pStyle w:val="Heading3"/>
      </w:pPr>
      <w:r>
        <w:t xml:space="preserve">Relevance to Thesis</w:t>
      </w:r>
    </w:p>
    <w:p>
      <w:pPr>
        <w:pStyle w:val="FirstParagraph"/>
      </w:pPr>
      <w:r>
        <w:t xml:space="preserve">This workflow demonstrates the Solution Factory model (Section 5) operating at full automation: a single developer with AI agents produces enterprise-quality code at scale. The HIL learning pipeline (Section 6.7) feeds review insights back into agent training, creating a continuous improvement loop that aligns with EU AI Act Article 12 auditability requirements.</w:t>
      </w:r>
    </w:p>
    <w:bookmarkEnd w:id="227"/>
    <w:bookmarkStart w:id="228" w:name="deployment"/>
    <w:p>
      <w:pPr>
        <w:pStyle w:val="Heading3"/>
      </w:pPr>
      <w:r>
        <w:t xml:space="preserve">Deployment</w:t>
      </w:r>
    </w:p>
    <w:p>
      <w:pPr>
        <w:pStyle w:val="FirstParagraph"/>
      </w:pPr>
      <w:r>
        <w:t xml:space="preserve">Cloud Run service</w:t>
      </w:r>
      <w:r>
        <w:t xml:space="preserve"> </w:t>
      </w:r>
      <w:r>
        <w:rPr>
          <w:rStyle w:val="VerbatimChar"/>
        </w:rPr>
        <w:t xml:space="preserve">dws6run6</w:t>
      </w:r>
      <w:r>
        <w:t xml:space="preserve"> </w:t>
      </w:r>
      <w:r>
        <w:t xml:space="preserve">(europe-north1, Finland). MCP Hub exposes</w:t>
      </w:r>
      <w:r>
        <w:t xml:space="preserve"> </w:t>
      </w:r>
      <w:r>
        <w:rPr>
          <w:rStyle w:val="VerbatimChar"/>
        </w:rPr>
        <w:t xml:space="preserve">POST /gemini/review</w:t>
      </w:r>
      <w:r>
        <w:t xml:space="preserve"> </w:t>
      </w:r>
      <w:r>
        <w:t xml:space="preserve">for on-demand security analysis by any agent in the Firehorse fleet.</w:t>
      </w:r>
    </w:p>
    <w:p>
      <w:r>
        <w:pict>
          <v:rect style="width:0;height:1.5pt" o:hralign="center" o:hrstd="t" o:hr="t"/>
        </w:pict>
      </w:r>
    </w:p>
    <w:bookmarkEnd w:id="228"/>
    <w:bookmarkEnd w:id="229"/>
    <w:bookmarkStart w:id="236" w:name="X514ab14827699fe98a4a3ff155ec008c448dd87"/>
    <w:p>
      <w:pPr>
        <w:pStyle w:val="Heading2"/>
      </w:pPr>
      <w:r>
        <w:t xml:space="preserve">10.13 Climate IQ Pantheon — Greek/Roman God Multi-Agent System</w:t>
      </w:r>
    </w:p>
    <w:p>
      <w:pPr>
        <w:pStyle w:val="FirstParagraph"/>
      </w:pPr>
      <w:r>
        <w:t xml:space="preserve">Building on the DWS7 agent modernization framework (Section 10.9) and CEO Automation Agent Suite (Section 10.11), this section documents the</w:t>
      </w:r>
      <w:r>
        <w:t xml:space="preserve"> </w:t>
      </w:r>
      <w:r>
        <w:rPr>
          <w:bCs/>
          <w:b/>
        </w:rPr>
        <w:t xml:space="preserve">Climate IQ Pantheon</w:t>
      </w:r>
      <w:r>
        <w:t xml:space="preserve">: a production multi-agent system where each AI agent carries the identity and domain expertise of a Greek or Roman deity.</w:t>
      </w:r>
    </w:p>
    <w:bookmarkStart w:id="230" w:name="X4c750e880876313ef862c7f4ad4abe62b45b0b3"/>
    <w:p>
      <w:pPr>
        <w:pStyle w:val="Heading3"/>
      </w:pPr>
      <w:r>
        <w:t xml:space="preserve">Motivation: Agent Identity as Operational Design</w:t>
      </w:r>
    </w:p>
    <w:p>
      <w:pPr>
        <w:pStyle w:val="FirstParagraph"/>
      </w:pPr>
      <w:r>
        <w:t xml:space="preserve">Prior to this work, DWS IQ agents were functionally specialized (compliance, logistics, SEO) but lacked a coherent identity framework. The</w:t>
      </w:r>
      <w:r>
        <w:t xml:space="preserve"> </w:t>
      </w:r>
      <w:r>
        <w:rPr>
          <w:bCs/>
          <w:b/>
        </w:rPr>
        <w:t xml:space="preserve">SOUL.md pattern</w:t>
      </w:r>
      <w:r>
        <w:t xml:space="preserve"> </w:t>
      </w:r>
      <w:r>
        <w:t xml:space="preserve">addresses this: each agent has a Markdown identity file defining persona, behavioral rules, and tone. This SOUL is injected as the LLM system prompt at runtime, making identity persistent and testable.</w:t>
      </w:r>
    </w:p>
    <w:p>
      <w:pPr>
        <w:pStyle w:val="BodyText"/>
      </w:pPr>
      <w:r>
        <w:t xml:space="preserve">The Greek/Roman pantheon provides two complementary benefits:</w:t>
      </w:r>
    </w:p>
    <w:p>
      <w:pPr>
        <w:numPr>
          <w:ilvl w:val="0"/>
          <w:numId w:val="1075"/>
        </w:numPr>
        <w:pStyle w:val="Compact"/>
      </w:pPr>
      <w:r>
        <w:rPr>
          <w:bCs/>
          <w:b/>
        </w:rPr>
        <w:t xml:space="preserve">Memorability</w:t>
      </w:r>
      <w:r>
        <w:t xml:space="preserve"> </w:t>
      </w:r>
      <w:r>
        <w:t xml:space="preserve">— stakeholders immediately understand</w:t>
      </w:r>
      <w:r>
        <w:t xml:space="preserve"> </w:t>
      </w:r>
      <w:r>
        <w:t xml:space="preserve">“</w:t>
      </w:r>
      <w:r>
        <w:t xml:space="preserve">ask Athena</w:t>
      </w:r>
      <w:r>
        <w:t xml:space="preserve">”</w:t>
      </w:r>
      <w:r>
        <w:t xml:space="preserve"> </w:t>
      </w:r>
      <w:r>
        <w:t xml:space="preserve">vs</w:t>
      </w:r>
      <w:r>
        <w:t xml:space="preserve"> </w:t>
      </w:r>
      <w:r>
        <w:t xml:space="preserve">“</w:t>
      </w:r>
      <w:r>
        <w:t xml:space="preserve">ask Hermes</w:t>
      </w:r>
      <w:r>
        <w:t xml:space="preserve">”</w:t>
      </w:r>
    </w:p>
    <w:p>
      <w:pPr>
        <w:numPr>
          <w:ilvl w:val="0"/>
          <w:numId w:val="1075"/>
        </w:numPr>
        <w:pStyle w:val="Compact"/>
      </w:pPr>
      <w:r>
        <w:rPr>
          <w:bCs/>
          <w:b/>
        </w:rPr>
        <w:t xml:space="preserve">Behavioral precision</w:t>
      </w:r>
      <w:r>
        <w:t xml:space="preserve"> </w:t>
      </w:r>
      <w:r>
        <w:t xml:space="preserve">— mythological roles encode domain expertise (Athena = wisdom/law, Hermes = speed/routes, Hephaestus = craft/construction)</w:t>
      </w:r>
    </w:p>
    <w:bookmarkEnd w:id="230"/>
    <w:bookmarkStart w:id="231" w:name="X7765bed16a9fd2acb05ddf48e0385e54374d493"/>
    <w:p>
      <w:pPr>
        <w:pStyle w:val="Heading3"/>
      </w:pPr>
      <w:r>
        <w:t xml:space="preserve">Architecture: Six Orchestrators + Seven Industry Specialists</w:t>
      </w:r>
    </w:p>
    <w:p>
      <w:pPr>
        <w:pStyle w:val="FirstParagraph"/>
      </w:pPr>
      <w:r>
        <w:rPr>
          <w:bCs/>
          <w:b/>
        </w:rPr>
        <w:t xml:space="preserve">Tier 1 — Climate IQ Pantheon (Orchestrators)</w:t>
      </w:r>
    </w:p>
    <w:tbl>
      <w:tblPr>
        <w:tblStyle w:val="Table"/>
        <w:tblW w:type="pct" w:w="5000"/>
        <w:tblLook w:firstRow="1" w:lastRow="0" w:firstColumn="0" w:lastColumn="0" w:noHBand="0" w:noVBand="0" w:val="0020"/>
        <w:jc w:val="start"/>
      </w:tblPr>
      <w:tblGrid>
        <w:gridCol w:w="942"/>
        <w:gridCol w:w="1414"/>
        <w:gridCol w:w="1697"/>
        <w:gridCol w:w="3865"/>
      </w:tblGrid>
      <w:tr>
        <w:trPr>
          <w:tblHeader w:val="true"/>
        </w:trPr>
        <w:tc>
          <w:tcPr/>
          <w:p>
            <w:pPr>
              <w:pStyle w:val="Compact"/>
              <w:jc w:val="left"/>
            </w:pPr>
            <w:r>
              <w:t xml:space="preserve">Agent</w:t>
            </w:r>
          </w:p>
        </w:tc>
        <w:tc>
          <w:tcPr/>
          <w:p>
            <w:pPr>
              <w:pStyle w:val="Compact"/>
              <w:jc w:val="left"/>
            </w:pPr>
            <w:r>
              <w:t xml:space="preserve">Deity</w:t>
            </w:r>
          </w:p>
        </w:tc>
        <w:tc>
          <w:tcPr/>
          <w:p>
            <w:pPr>
              <w:pStyle w:val="Compact"/>
              <w:jc w:val="left"/>
            </w:pPr>
            <w:r>
              <w:t xml:space="preserve">Domain</w:t>
            </w:r>
          </w:p>
        </w:tc>
        <w:tc>
          <w:tcPr/>
          <w:p>
            <w:pPr>
              <w:pStyle w:val="Compact"/>
              <w:jc w:val="left"/>
            </w:pPr>
            <w:r>
              <w:t xml:space="preserve">Capabilities</w:t>
            </w:r>
          </w:p>
        </w:tc>
      </w:tr>
      <w:tr>
        <w:tc>
          <w:tcPr/>
          <w:p>
            <w:pPr>
              <w:pStyle w:val="Compact"/>
              <w:jc w:val="left"/>
            </w:pPr>
            <w:r>
              <w:t xml:space="preserve">Atlas</w:t>
            </w:r>
          </w:p>
        </w:tc>
        <w:tc>
          <w:tcPr/>
          <w:p>
            <w:pPr>
              <w:pStyle w:val="Compact"/>
              <w:jc w:val="left"/>
            </w:pPr>
            <w:r>
              <w:t xml:space="preserve">Titan (Greek)</w:t>
            </w:r>
          </w:p>
        </w:tc>
        <w:tc>
          <w:tcPr/>
          <w:p>
            <w:pPr>
              <w:pStyle w:val="Compact"/>
              <w:jc w:val="left"/>
            </w:pPr>
            <w:r>
              <w:t xml:space="preserve">Chief of Staff</w:t>
            </w:r>
          </w:p>
        </w:tc>
        <w:tc>
          <w:tcPr/>
          <w:p>
            <w:pPr>
              <w:pStyle w:val="Compact"/>
              <w:jc w:val="left"/>
            </w:pPr>
            <w:r>
              <w:t xml:space="preserve">Routing, synthesis, executive briefing</w:t>
            </w:r>
          </w:p>
        </w:tc>
      </w:tr>
      <w:tr>
        <w:tc>
          <w:tcPr/>
          <w:p>
            <w:pPr>
              <w:pStyle w:val="Compact"/>
              <w:jc w:val="left"/>
            </w:pPr>
            <w:r>
              <w:t xml:space="preserve">Athena</w:t>
            </w:r>
          </w:p>
        </w:tc>
        <w:tc>
          <w:tcPr/>
          <w:p>
            <w:pPr>
              <w:pStyle w:val="Compact"/>
              <w:jc w:val="left"/>
            </w:pPr>
            <w:r>
              <w:t xml:space="preserve">Goddess (Greek)</w:t>
            </w:r>
          </w:p>
        </w:tc>
        <w:tc>
          <w:tcPr/>
          <w:p>
            <w:pPr>
              <w:pStyle w:val="Compact"/>
              <w:jc w:val="left"/>
            </w:pPr>
            <w:r>
              <w:t xml:space="preserve">EU Compliance</w:t>
            </w:r>
          </w:p>
        </w:tc>
        <w:tc>
          <w:tcPr/>
          <w:p>
            <w:pPr>
              <w:pStyle w:val="Compact"/>
              <w:jc w:val="left"/>
            </w:pPr>
            <w:r>
              <w:t xml:space="preserve">ETS, CBAM, CSRD, Fit for 55</w:t>
            </w:r>
          </w:p>
        </w:tc>
      </w:tr>
      <w:tr>
        <w:tc>
          <w:tcPr/>
          <w:p>
            <w:pPr>
              <w:pStyle w:val="Compact"/>
              <w:jc w:val="left"/>
            </w:pPr>
            <w:r>
              <w:t xml:space="preserve">Hephaestus</w:t>
            </w:r>
          </w:p>
        </w:tc>
        <w:tc>
          <w:tcPr/>
          <w:p>
            <w:pPr>
              <w:pStyle w:val="Compact"/>
              <w:jc w:val="left"/>
            </w:pPr>
            <w:r>
              <w:t xml:space="preserve">God (Greek)</w:t>
            </w:r>
          </w:p>
        </w:tc>
        <w:tc>
          <w:tcPr/>
          <w:p>
            <w:pPr>
              <w:pStyle w:val="Compact"/>
              <w:jc w:val="left"/>
            </w:pPr>
            <w:r>
              <w:t xml:space="preserve">Field &amp; Site</w:t>
            </w:r>
          </w:p>
        </w:tc>
        <w:tc>
          <w:tcPr/>
          <w:p>
            <w:pPr>
              <w:pStyle w:val="Compact"/>
              <w:jc w:val="left"/>
            </w:pPr>
            <w:r>
              <w:t xml:space="preserve">Site safety, materials, scheduling</w:t>
            </w:r>
          </w:p>
        </w:tc>
      </w:tr>
      <w:tr>
        <w:tc>
          <w:tcPr/>
          <w:p>
            <w:pPr>
              <w:pStyle w:val="Compact"/>
              <w:jc w:val="left"/>
            </w:pPr>
            <w:r>
              <w:t xml:space="preserve">Iris</w:t>
            </w:r>
          </w:p>
        </w:tc>
        <w:tc>
          <w:tcPr/>
          <w:p>
            <w:pPr>
              <w:pStyle w:val="Compact"/>
              <w:jc w:val="left"/>
            </w:pPr>
            <w:r>
              <w:t xml:space="preserve">Goddess (Greek)</w:t>
            </w:r>
          </w:p>
        </w:tc>
        <w:tc>
          <w:tcPr/>
          <w:p>
            <w:pPr>
              <w:pStyle w:val="Compact"/>
              <w:jc w:val="left"/>
            </w:pPr>
            <w:r>
              <w:t xml:space="preserve">Research &amp; Intel</w:t>
            </w:r>
          </w:p>
        </w:tc>
        <w:tc>
          <w:tcPr/>
          <w:p>
            <w:pPr>
              <w:pStyle w:val="Compact"/>
              <w:jc w:val="left"/>
            </w:pPr>
            <w:r>
              <w:t xml:space="preserve">Competitive intelligence, market research</w:t>
            </w:r>
          </w:p>
        </w:tc>
      </w:tr>
      <w:tr>
        <w:tc>
          <w:tcPr/>
          <w:p>
            <w:pPr>
              <w:pStyle w:val="Compact"/>
              <w:jc w:val="left"/>
            </w:pPr>
            <w:r>
              <w:t xml:space="preserve">Hermes</w:t>
            </w:r>
          </w:p>
        </w:tc>
        <w:tc>
          <w:tcPr/>
          <w:p>
            <w:pPr>
              <w:pStyle w:val="Compact"/>
              <w:jc w:val="left"/>
            </w:pPr>
            <w:r>
              <w:t xml:space="preserve">God (Greek)</w:t>
            </w:r>
          </w:p>
        </w:tc>
        <w:tc>
          <w:tcPr/>
          <w:p>
            <w:pPr>
              <w:pStyle w:val="Compact"/>
              <w:jc w:val="left"/>
            </w:pPr>
            <w:r>
              <w:t xml:space="preserve">Logistics &amp; Ops</w:t>
            </w:r>
          </w:p>
        </w:tc>
        <w:tc>
          <w:tcPr/>
          <w:p>
            <w:pPr>
              <w:pStyle w:val="Compact"/>
              <w:jc w:val="left"/>
            </w:pPr>
            <w:r>
              <w:t xml:space="preserve">Supply chain, critical path, quality gate</w:t>
            </w:r>
          </w:p>
        </w:tc>
      </w:tr>
      <w:tr>
        <w:tc>
          <w:tcPr/>
          <w:p>
            <w:pPr>
              <w:pStyle w:val="Compact"/>
              <w:jc w:val="left"/>
            </w:pPr>
            <w:r>
              <w:t xml:space="preserve">Apollo</w:t>
            </w:r>
          </w:p>
        </w:tc>
        <w:tc>
          <w:tcPr/>
          <w:p>
            <w:pPr>
              <w:pStyle w:val="Compact"/>
              <w:jc w:val="left"/>
            </w:pPr>
            <w:r>
              <w:t xml:space="preserve">God (Greek)</w:t>
            </w:r>
          </w:p>
        </w:tc>
        <w:tc>
          <w:tcPr/>
          <w:p>
            <w:pPr>
              <w:pStyle w:val="Compact"/>
              <w:jc w:val="left"/>
            </w:pPr>
            <w:r>
              <w:t xml:space="preserve">Content &amp; Outreach</w:t>
            </w:r>
          </w:p>
        </w:tc>
        <w:tc>
          <w:tcPr/>
          <w:p>
            <w:pPr>
              <w:pStyle w:val="Compact"/>
              <w:jc w:val="left"/>
            </w:pPr>
            <w:r>
              <w:t xml:space="preserve">SEO, content strategy, sales outreach</w:t>
            </w:r>
          </w:p>
        </w:tc>
      </w:tr>
    </w:tbl>
    <w:p>
      <w:pPr>
        <w:pStyle w:val="BodyText"/>
      </w:pPr>
      <w:r>
        <w:rPr>
          <w:bCs/>
          <w:b/>
        </w:rPr>
        <w:t xml:space="preserve">Tier 2 — Industry Specialists</w:t>
      </w:r>
    </w:p>
    <w:tbl>
      <w:tblPr>
        <w:tblStyle w:val="Table"/>
        <w:tblW w:type="pct" w:w="5000"/>
        <w:tblLook w:firstRow="1" w:lastRow="0" w:firstColumn="0" w:lastColumn="0" w:noHBand="0" w:noVBand="0" w:val="0020"/>
        <w:jc w:val="start"/>
      </w:tblPr>
      <w:tblGrid>
        <w:gridCol w:w="1115"/>
        <w:gridCol w:w="557"/>
        <w:gridCol w:w="2788"/>
        <w:gridCol w:w="3458"/>
      </w:tblGrid>
      <w:tr>
        <w:trPr>
          <w:tblHeader w:val="true"/>
        </w:trPr>
        <w:tc>
          <w:tcPr/>
          <w:p>
            <w:pPr>
              <w:pStyle w:val="Compact"/>
              <w:jc w:val="left"/>
            </w:pPr>
            <w:r>
              <w:t xml:space="preserve">Agent</w:t>
            </w:r>
          </w:p>
        </w:tc>
        <w:tc>
          <w:tcPr/>
          <w:p>
            <w:pPr>
              <w:pStyle w:val="Compact"/>
              <w:jc w:val="left"/>
            </w:pPr>
            <w:r>
              <w:t xml:space="preserve">Deity</w:t>
            </w:r>
          </w:p>
        </w:tc>
        <w:tc>
          <w:tcPr/>
          <w:p>
            <w:pPr>
              <w:pStyle w:val="Compact"/>
              <w:jc w:val="left"/>
            </w:pPr>
            <w:r>
              <w:t xml:space="preserve">Industry</w:t>
            </w:r>
          </w:p>
        </w:tc>
        <w:tc>
          <w:tcPr/>
          <w:p>
            <w:pPr>
              <w:pStyle w:val="Compact"/>
              <w:jc w:val="left"/>
            </w:pPr>
            <w:r>
              <w:t xml:space="preserve">Key Regulation</w:t>
            </w:r>
          </w:p>
        </w:tc>
      </w:tr>
      <w:tr>
        <w:tc>
          <w:tcPr/>
          <w:p>
            <w:pPr>
              <w:pStyle w:val="Compact"/>
              <w:jc w:val="left"/>
            </w:pPr>
            <w:r>
              <w:t xml:space="preserve">Vulcan</w:t>
            </w:r>
          </w:p>
        </w:tc>
        <w:tc>
          <w:tcPr/>
          <w:p>
            <w:pPr>
              <w:pStyle w:val="Compact"/>
              <w:jc w:val="left"/>
            </w:pPr>
            <w:r>
              <w:t xml:space="preserve">Roman</w:t>
            </w:r>
          </w:p>
        </w:tc>
        <w:tc>
          <w:tcPr/>
          <w:p>
            <w:pPr>
              <w:pStyle w:val="Compact"/>
              <w:jc w:val="left"/>
            </w:pPr>
            <w:r>
              <w:t xml:space="preserve">Steel &amp; Metals</w:t>
            </w:r>
          </w:p>
        </w:tc>
        <w:tc>
          <w:tcPr/>
          <w:p>
            <w:pPr>
              <w:pStyle w:val="Compact"/>
              <w:jc w:val="left"/>
            </w:pPr>
            <w:r>
              <w:t xml:space="preserve">ETS Phase 4, CBAM iron/steel</w:t>
            </w:r>
          </w:p>
        </w:tc>
      </w:tr>
      <w:tr>
        <w:tc>
          <w:tcPr/>
          <w:p>
            <w:pPr>
              <w:pStyle w:val="Compact"/>
              <w:jc w:val="left"/>
            </w:pPr>
            <w:r>
              <w:t xml:space="preserve">Helios</w:t>
            </w:r>
          </w:p>
        </w:tc>
        <w:tc>
          <w:tcPr/>
          <w:p>
            <w:pPr>
              <w:pStyle w:val="Compact"/>
              <w:jc w:val="left"/>
            </w:pPr>
            <w:r>
              <w:t xml:space="preserve">Greek</w:t>
            </w:r>
          </w:p>
        </w:tc>
        <w:tc>
          <w:tcPr/>
          <w:p>
            <w:pPr>
              <w:pStyle w:val="Compact"/>
              <w:jc w:val="left"/>
            </w:pPr>
            <w:r>
              <w:t xml:space="preserve">Energy &amp; Renewables</w:t>
            </w:r>
          </w:p>
        </w:tc>
        <w:tc>
          <w:tcPr/>
          <w:p>
            <w:pPr>
              <w:pStyle w:val="Compact"/>
              <w:jc w:val="left"/>
            </w:pPr>
            <w:r>
              <w:t xml:space="preserve">RED III, 42.5% target by 2030</w:t>
            </w:r>
          </w:p>
        </w:tc>
      </w:tr>
      <w:tr>
        <w:tc>
          <w:tcPr/>
          <w:p>
            <w:pPr>
              <w:pStyle w:val="Compact"/>
              <w:jc w:val="left"/>
            </w:pPr>
            <w:r>
              <w:t xml:space="preserve">Neptune</w:t>
            </w:r>
          </w:p>
        </w:tc>
        <w:tc>
          <w:tcPr/>
          <w:p>
            <w:pPr>
              <w:pStyle w:val="Compact"/>
              <w:jc w:val="left"/>
            </w:pPr>
            <w:r>
              <w:t xml:space="preserve">Roman</w:t>
            </w:r>
          </w:p>
        </w:tc>
        <w:tc>
          <w:tcPr/>
          <w:p>
            <w:pPr>
              <w:pStyle w:val="Compact"/>
              <w:jc w:val="left"/>
            </w:pPr>
            <w:r>
              <w:t xml:space="preserve">Maritime &amp; Shipping</w:t>
            </w:r>
          </w:p>
        </w:tc>
        <w:tc>
          <w:tcPr/>
          <w:p>
            <w:pPr>
              <w:pStyle w:val="Compact"/>
              <w:jc w:val="left"/>
            </w:pPr>
            <w:r>
              <w:t xml:space="preserve">FuelEU Maritime, ETS 40/70/100%</w:t>
            </w:r>
          </w:p>
        </w:tc>
      </w:tr>
      <w:tr>
        <w:tc>
          <w:tcPr/>
          <w:p>
            <w:pPr>
              <w:pStyle w:val="Compact"/>
              <w:jc w:val="left"/>
            </w:pPr>
            <w:r>
              <w:t xml:space="preserve">Ceres</w:t>
            </w:r>
          </w:p>
        </w:tc>
        <w:tc>
          <w:tcPr/>
          <w:p>
            <w:pPr>
              <w:pStyle w:val="Compact"/>
              <w:jc w:val="left"/>
            </w:pPr>
            <w:r>
              <w:t xml:space="preserve">Roman</w:t>
            </w:r>
          </w:p>
        </w:tc>
        <w:tc>
          <w:tcPr/>
          <w:p>
            <w:pPr>
              <w:pStyle w:val="Compact"/>
              <w:jc w:val="left"/>
            </w:pPr>
            <w:r>
              <w:t xml:space="preserve">Agriculture &amp; Fertilizers</w:t>
            </w:r>
          </w:p>
        </w:tc>
        <w:tc>
          <w:tcPr/>
          <w:p>
            <w:pPr>
              <w:pStyle w:val="Compact"/>
              <w:jc w:val="left"/>
            </w:pPr>
            <w:r>
              <w:t xml:space="preserve">CBAM fertilizers, N2O emissions</w:t>
            </w:r>
          </w:p>
        </w:tc>
      </w:tr>
      <w:tr>
        <w:tc>
          <w:tcPr/>
          <w:p>
            <w:pPr>
              <w:pStyle w:val="Compact"/>
              <w:jc w:val="left"/>
            </w:pPr>
            <w:r>
              <w:t xml:space="preserve">Prometheus</w:t>
            </w:r>
          </w:p>
        </w:tc>
        <w:tc>
          <w:tcPr/>
          <w:p>
            <w:pPr>
              <w:pStyle w:val="Compact"/>
              <w:jc w:val="left"/>
            </w:pPr>
            <w:r>
              <w:t xml:space="preserve">Greek</w:t>
            </w:r>
          </w:p>
        </w:tc>
        <w:tc>
          <w:tcPr/>
          <w:p>
            <w:pPr>
              <w:pStyle w:val="Compact"/>
              <w:jc w:val="left"/>
            </w:pPr>
            <w:r>
              <w:t xml:space="preserve">Hydrogen</w:t>
            </w:r>
          </w:p>
        </w:tc>
        <w:tc>
          <w:tcPr/>
          <w:p>
            <w:pPr>
              <w:pStyle w:val="Compact"/>
              <w:jc w:val="left"/>
            </w:pPr>
            <w:r>
              <w:t xml:space="preserve">RFNBO additionality, RED III</w:t>
            </w:r>
          </w:p>
        </w:tc>
      </w:tr>
      <w:tr>
        <w:tc>
          <w:tcPr/>
          <w:p>
            <w:pPr>
              <w:pStyle w:val="Compact"/>
              <w:jc w:val="left"/>
            </w:pPr>
            <w:r>
              <w:t xml:space="preserve">Mars</w:t>
            </w:r>
          </w:p>
        </w:tc>
        <w:tc>
          <w:tcPr/>
          <w:p>
            <w:pPr>
              <w:pStyle w:val="Compact"/>
              <w:jc w:val="left"/>
            </w:pPr>
            <w:r>
              <w:t xml:space="preserve">Roman</w:t>
            </w:r>
          </w:p>
        </w:tc>
        <w:tc>
          <w:tcPr/>
          <w:p>
            <w:pPr>
              <w:pStyle w:val="Compact"/>
              <w:jc w:val="left"/>
            </w:pPr>
            <w:r>
              <w:t xml:space="preserve">Construction &amp; Buildings</w:t>
            </w:r>
          </w:p>
        </w:tc>
        <w:tc>
          <w:tcPr/>
          <w:p>
            <w:pPr>
              <w:pStyle w:val="Compact"/>
              <w:jc w:val="left"/>
            </w:pPr>
            <w:r>
              <w:t xml:space="preserve">EPBD recast, EN 15978</w:t>
            </w:r>
          </w:p>
        </w:tc>
      </w:tr>
      <w:tr>
        <w:tc>
          <w:tcPr/>
          <w:p>
            <w:pPr>
              <w:pStyle w:val="Compact"/>
              <w:jc w:val="left"/>
            </w:pPr>
            <w:r>
              <w:t xml:space="preserve">Gaia</w:t>
            </w:r>
          </w:p>
        </w:tc>
        <w:tc>
          <w:tcPr/>
          <w:p>
            <w:pPr>
              <w:pStyle w:val="Compact"/>
              <w:jc w:val="left"/>
            </w:pPr>
            <w:r>
              <w:t xml:space="preserve">Greek</w:t>
            </w:r>
          </w:p>
        </w:tc>
        <w:tc>
          <w:tcPr/>
          <w:p>
            <w:pPr>
              <w:pStyle w:val="Compact"/>
              <w:jc w:val="left"/>
            </w:pPr>
            <w:r>
              <w:t xml:space="preserve">Cement &amp; Earth Materials</w:t>
            </w:r>
          </w:p>
        </w:tc>
        <w:tc>
          <w:tcPr/>
          <w:p>
            <w:pPr>
              <w:pStyle w:val="Compact"/>
              <w:jc w:val="left"/>
            </w:pPr>
            <w:r>
              <w:t xml:space="preserve">CBAM clinker benchmark, ETS</w:t>
            </w:r>
          </w:p>
        </w:tc>
      </w:tr>
    </w:tbl>
    <w:bookmarkEnd w:id="231"/>
    <w:bookmarkStart w:id="232" w:name="X5d51ac56578142084380cb61d7cd2dfbb022314"/>
    <w:p>
      <w:pPr>
        <w:pStyle w:val="Heading3"/>
      </w:pPr>
      <w:r>
        <w:t xml:space="preserve">Implementation: SOUL.md + BaseAgent Architecture</w:t>
      </w:r>
    </w:p>
    <w:p>
      <w:pPr>
        <w:pStyle w:val="FirstParagraph"/>
      </w:pPr>
      <w:r>
        <w:t xml:space="preserve">Each Pantheon agent follows the file structure established in Section 10.9:</w:t>
      </w:r>
    </w:p>
    <w:p>
      <w:pPr>
        <w:pStyle w:val="SourceCode"/>
      </w:pPr>
      <w:r>
        <w:rPr>
          <w:rStyle w:val="VerbatimChar"/>
        </w:rPr>
        <w:t xml:space="preserve">src/agents/workflow/{agent}/</w:t>
      </w:r>
      <w:r>
        <w:br/>
      </w:r>
      <w:r>
        <w:rPr>
          <w:rStyle w:val="VerbatimChar"/>
        </w:rPr>
        <w:t xml:space="preserve">├── SOUL.md          # Identity: persona, tone, behavioral rules</w:t>
      </w:r>
      <w:r>
        <w:br/>
      </w:r>
      <w:r>
        <w:rPr>
          <w:rStyle w:val="VerbatimChar"/>
        </w:rPr>
        <w:t xml:space="preserve">└── {agent}.agent.ts # TypeScript: execute(), callLLM(), logExecution()</w:t>
      </w:r>
    </w:p>
    <w:p>
      <w:pPr>
        <w:pStyle w:val="FirstParagraph"/>
      </w:pPr>
      <w:r>
        <w:t xml:space="preserve">A critical audit finding (resolved this session) was that SOUL constants were defined but never wired into the LLM system prompt. The fix adds</w:t>
      </w:r>
      <w:r>
        <w:t xml:space="preserve"> </w:t>
      </w:r>
      <w:r>
        <w:rPr>
          <w:rStyle w:val="VerbatimChar"/>
        </w:rPr>
        <w:t xml:space="preserve">soulPrompt</w:t>
      </w:r>
      <w:r>
        <w:t xml:space="preserve"> </w:t>
      </w:r>
      <w:r>
        <w:t xml:space="preserve">property and</w:t>
      </w:r>
      <w:r>
        <w:t xml:space="preserve"> </w:t>
      </w:r>
      <w:r>
        <w:rPr>
          <w:rStyle w:val="VerbatimChar"/>
        </w:rPr>
        <w:t xml:space="preserve">systemPromptOverride</w:t>
      </w:r>
      <w:r>
        <w:t xml:space="preserve"> </w:t>
      </w:r>
      <w:r>
        <w:t xml:space="preserve">parameter to</w:t>
      </w:r>
      <w:r>
        <w:t xml:space="preserve"> </w:t>
      </w:r>
      <w:r>
        <w:rPr>
          <w:rStyle w:val="VerbatimChar"/>
        </w:rPr>
        <w:t xml:space="preserve">BaseAgent.callLLM()</w:t>
      </w:r>
      <w:r>
        <w:t xml:space="preserve">:</w:t>
      </w:r>
    </w:p>
    <w:p>
      <w:pPr>
        <w:pStyle w:val="SourceCode"/>
      </w:pPr>
      <w:r>
        <w:rPr>
          <w:rStyle w:val="CommentTok"/>
        </w:rPr>
        <w:t xml:space="preserve">// Priority: explicit override &gt; soulPrompt &gt; generic fallback</w:t>
      </w:r>
      <w:r>
        <w:br/>
      </w:r>
      <w:r>
        <w:rPr>
          <w:rStyle w:val="KeywordTok"/>
        </w:rPr>
        <w:t xml:space="preserve">const</w:t>
      </w:r>
      <w:r>
        <w:rPr>
          <w:rStyle w:val="NormalTok"/>
        </w:rPr>
        <w:t xml:space="preserve"> systemContent </w:t>
      </w:r>
      <w:r>
        <w:rPr>
          <w:rStyle w:val="OperatorTok"/>
        </w:rPr>
        <w:t xml:space="preserve">=</w:t>
      </w:r>
      <w:r>
        <w:rPr>
          <w:rStyle w:val="NormalTok"/>
        </w:rPr>
        <w:t xml:space="preserve"> systemPromptOverride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soulPrompt</w:t>
      </w:r>
      <w:r>
        <w:rPr>
          <w:rStyle w:val="NormalTok"/>
        </w:rPr>
        <w:t xml:space="preserve"> </w:t>
      </w:r>
      <w:r>
        <w:rPr>
          <w:rStyle w:val="OperatorTok"/>
        </w:rPr>
        <w:t xml:space="preserve">??</w:t>
      </w:r>
      <w:r>
        <w:rPr>
          <w:rStyle w:val="NormalTok"/>
        </w:rPr>
        <w:t xml:space="preserve"> genericFallback</w:t>
      </w:r>
      <w:r>
        <w:rPr>
          <w:rStyle w:val="OperatorTok"/>
        </w:rPr>
        <w:t xml:space="preserve">;</w:t>
      </w:r>
    </w:p>
    <w:bookmarkEnd w:id="232"/>
    <w:bookmarkStart w:id="233" w:name="security-prompt-injection-fix"/>
    <w:p>
      <w:pPr>
        <w:pStyle w:val="Heading3"/>
      </w:pPr>
      <w:r>
        <w:t xml:space="preserve">Security: Prompt Injection Fix</w:t>
      </w:r>
    </w:p>
    <w:p>
      <w:pPr>
        <w:pStyle w:val="FirstParagraph"/>
      </w:pPr>
      <w:r>
        <w:rPr>
          <w:rStyle w:val="VerbatimChar"/>
        </w:rPr>
        <w:t xml:space="preserve">HermesAgent</w:t>
      </w:r>
      <w:r>
        <w:t xml:space="preserve"> </w:t>
      </w:r>
      <w:r>
        <w:t xml:space="preserve">was found forwarding arbitrary caller keys via</w:t>
      </w:r>
      <w:r>
        <w:t xml:space="preserve"> </w:t>
      </w:r>
      <w:r>
        <w:rPr>
          <w:rStyle w:val="VerbatimChar"/>
        </w:rPr>
        <w:t xml:space="preserve">...input</w:t>
      </w:r>
      <w:r>
        <w:t xml:space="preserve"> </w:t>
      </w:r>
      <w:r>
        <w:t xml:space="preserve">spread to sub-agents — a prompt injection vector. All spreads were replaced with explicit field extraction (typed guards per field), aligning with the input validation security principle from the 2026-02-21 vulnerability assessment.</w:t>
      </w:r>
    </w:p>
    <w:bookmarkEnd w:id="233"/>
    <w:bookmarkStart w:id="234" w:name="eu-ai-act-article-12-compliance"/>
    <w:p>
      <w:pPr>
        <w:pStyle w:val="Heading3"/>
      </w:pPr>
      <w:r>
        <w:t xml:space="preserve">EU AI Act Article 12 Compliance</w:t>
      </w:r>
    </w:p>
    <w:p>
      <w:pPr>
        <w:pStyle w:val="FirstParagraph"/>
      </w:pPr>
      <w:r>
        <w:t xml:space="preserve">All 13 agents call</w:t>
      </w:r>
      <w:r>
        <w:t xml:space="preserve"> </w:t>
      </w:r>
      <w:r>
        <w:rPr>
          <w:rStyle w:val="VerbatimChar"/>
        </w:rPr>
        <w:t xml:space="preserve">logExecution()</w:t>
      </w:r>
      <w:r>
        <w:t xml:space="preserve"> </w:t>
      </w:r>
      <w:r>
        <w:t xml:space="preserve">at start and completion, writing to the</w:t>
      </w:r>
      <w:r>
        <w:t xml:space="preserve"> </w:t>
      </w:r>
      <w:r>
        <w:rPr>
          <w:rStyle w:val="VerbatimChar"/>
        </w:rPr>
        <w:t xml:space="preserve">agent_executions</w:t>
      </w:r>
      <w:r>
        <w:t xml:space="preserve"> </w:t>
      </w:r>
      <w:r>
        <w:t xml:space="preserve">Supabase table. This satisfies Article 12 automatic logging requirements for High-Risk AI systems, with traceability metadata: agent name, session ID, org ID, user ID, confidence, duration, and LLM token counts.</w:t>
      </w:r>
    </w:p>
    <w:bookmarkEnd w:id="234"/>
    <w:bookmarkStart w:id="235" w:name="business-value-the-marketing-wedge"/>
    <w:p>
      <w:pPr>
        <w:pStyle w:val="Heading3"/>
      </w:pPr>
      <w:r>
        <w:t xml:space="preserve">Business Value: The Marketing Wedge</w:t>
      </w:r>
    </w:p>
    <w:p>
      <w:pPr>
        <w:pStyle w:val="FirstParagraph"/>
      </w:pPr>
      <w:r>
        <w:t xml:space="preserve">The Pantheon naming strategy doubles as a marketing wedge. Each agent carries a humorous one-liner making enterprise AI approachable:</w:t>
      </w:r>
    </w:p>
    <w:p>
      <w:pPr>
        <w:numPr>
          <w:ilvl w:val="0"/>
          <w:numId w:val="1076"/>
        </w:numPr>
        <w:pStyle w:val="Compact"/>
      </w:pPr>
      <w:r>
        <w:rPr>
          <w:bCs/>
          <w:b/>
        </w:rPr>
        <w:t xml:space="preserve">Athena:</w:t>
      </w:r>
      <w:r>
        <w:t xml:space="preserve"> </w:t>
      </w:r>
      <w:r>
        <w:t xml:space="preserve">“</w:t>
      </w:r>
      <w:r>
        <w:t xml:space="preserve">Has memorized every EU regulation since 2005. Corrects lawyers. Unprompted.</w:t>
      </w:r>
      <w:r>
        <w:t xml:space="preserve">”</w:t>
      </w:r>
    </w:p>
    <w:p>
      <w:pPr>
        <w:numPr>
          <w:ilvl w:val="0"/>
          <w:numId w:val="1076"/>
        </w:numPr>
        <w:pStyle w:val="Compact"/>
      </w:pPr>
      <w:r>
        <w:rPr>
          <w:bCs/>
          <w:b/>
        </w:rPr>
        <w:t xml:space="preserve">Hermes:</w:t>
      </w:r>
      <w:r>
        <w:t xml:space="preserve"> </w:t>
      </w:r>
      <w:r>
        <w:t xml:space="preserve">“</w:t>
      </w:r>
      <w:r>
        <w:t xml:space="preserve">Optimizes your supply chain while you’re still figuring out where the warehouse is.</w:t>
      </w:r>
      <w:r>
        <w:t xml:space="preserve">”</w:t>
      </w:r>
    </w:p>
    <w:p>
      <w:pPr>
        <w:numPr>
          <w:ilvl w:val="0"/>
          <w:numId w:val="1076"/>
        </w:numPr>
        <w:pStyle w:val="Compact"/>
      </w:pPr>
      <w:r>
        <w:rPr>
          <w:bCs/>
          <w:b/>
        </w:rPr>
        <w:t xml:space="preserve">Apollo:</w:t>
      </w:r>
      <w:r>
        <w:t xml:space="preserve"> </w:t>
      </w:r>
      <w:r>
        <w:t xml:space="preserve">“</w:t>
      </w:r>
      <w:r>
        <w:t xml:space="preserve">Writes your sales copy, ranks it on Google, and sends the follow-up email. Probably already did it.</w:t>
      </w:r>
      <w:r>
        <w:t xml:space="preserve">”</w:t>
      </w:r>
    </w:p>
    <w:p>
      <w:pPr>
        <w:numPr>
          <w:ilvl w:val="0"/>
          <w:numId w:val="1076"/>
        </w:numPr>
        <w:pStyle w:val="Compact"/>
      </w:pPr>
      <w:r>
        <w:rPr>
          <w:bCs/>
          <w:b/>
        </w:rPr>
        <w:t xml:space="preserve">Vulcan:</w:t>
      </w:r>
      <w:r>
        <w:t xml:space="preserve"> </w:t>
      </w:r>
      <w:r>
        <w:t xml:space="preserve">“</w:t>
      </w:r>
      <w:r>
        <w:t xml:space="preserve">Turns ETS carbon prices into competitive strategy. Red-hot accuracy.</w:t>
      </w:r>
      <w:r>
        <w:t xml:space="preserve">”</w:t>
      </w:r>
    </w:p>
    <w:p>
      <w:pPr>
        <w:pStyle w:val="FirstParagraph"/>
      </w:pPr>
      <w:r>
        <w:t xml:space="preserve">These personas appear at onelifetime.world/team alongside human staff, reinforcing the product thesis: humans and AI agents work side by side. One of them never sleeps.</w:t>
      </w:r>
    </w:p>
    <w:bookmarkEnd w:id="235"/>
    <w:bookmarkEnd w:id="236"/>
    <w:bookmarkStart w:id="243" w:name="Xe3d903b88289159370153659501fd21cf674755"/>
    <w:p>
      <w:pPr>
        <w:pStyle w:val="Heading2"/>
      </w:pPr>
      <w:r>
        <w:t xml:space="preserve">10.14 Agent System Hardening — Production Reliability</w:t>
      </w:r>
    </w:p>
    <w:bookmarkStart w:id="237" w:name="motivation-1"/>
    <w:p>
      <w:pPr>
        <w:pStyle w:val="Heading3"/>
      </w:pPr>
      <w:r>
        <w:t xml:space="preserve">10.14.1 Motivation</w:t>
      </w:r>
    </w:p>
    <w:p>
      <w:pPr>
        <w:pStyle w:val="FirstParagraph"/>
      </w:pPr>
      <w:r>
        <w:t xml:space="preserve">The 31-agent system (13 core + 5 SEO + 13 workflow/industry) had accumulated 6 TypeScript compilation errors and 3 test failures that blocked production builds. These were not design flaws but integration debt: type mismatches across module boundaries, missing route wiring, uninstalled dependencies, and locale-dependent formatting. This section documents the systematic hardening that restored zero-error compilation and full test coverage.</w:t>
      </w:r>
    </w:p>
    <w:bookmarkEnd w:id="237"/>
    <w:bookmarkStart w:id="238" w:name="type-system-alignment-sandboxcontext"/>
    <w:p>
      <w:pPr>
        <w:pStyle w:val="Heading3"/>
      </w:pPr>
      <w:r>
        <w:t xml:space="preserve">10.14.2 Type System Alignment: SandboxContext</w:t>
      </w:r>
    </w:p>
    <w:p>
      <w:pPr>
        <w:pStyle w:val="FirstParagraph"/>
      </w:pPr>
      <w:r>
        <w:t xml:space="preserve">The</w:t>
      </w:r>
      <w:r>
        <w:t xml:space="preserve"> </w:t>
      </w:r>
      <w:r>
        <w:rPr>
          <w:rStyle w:val="VerbatimChar"/>
        </w:rPr>
        <w:t xml:space="preserve">SandboxStage</w:t>
      </w:r>
      <w:r>
        <w:t xml:space="preserve"> </w:t>
      </w:r>
      <w:r>
        <w:t xml:space="preserve">type in</w:t>
      </w:r>
      <w:r>
        <w:t xml:space="preserve"> </w:t>
      </w:r>
      <w:r>
        <w:rPr>
          <w:rStyle w:val="VerbatimChar"/>
        </w:rPr>
        <w:t xml:space="preserve">src/sandbox/index.ts</w:t>
      </w:r>
      <w:r>
        <w:t xml:space="preserve"> </w:t>
      </w:r>
      <w:r>
        <w:t xml:space="preserve">defined four stages:</w:t>
      </w:r>
      <w:r>
        <w:t xml:space="preserve"> </w:t>
      </w:r>
      <w:r>
        <w:rPr>
          <w:rStyle w:val="VerbatimChar"/>
        </w:rPr>
        <w:t xml:space="preserve">'1' | 'opensandbox' | '2' | '3'</w:t>
      </w:r>
      <w:r>
        <w:t xml:space="preserve">, where</w:t>
      </w:r>
      <w:r>
        <w:t xml:space="preserve"> </w:t>
      </w:r>
      <w:r>
        <w:rPr>
          <w:rStyle w:val="VerbatimChar"/>
        </w:rPr>
        <w:t xml:space="preserve">'opensandbox'</w:t>
      </w:r>
      <w:r>
        <w:t xml:space="preserve"> </w:t>
      </w:r>
      <w:r>
        <w:t xml:space="preserve">represents the Stage 1.5 Docker-based isolation on Acer Veriton GN100 hardware (Section 10.10). However,</w:t>
      </w:r>
      <w:r>
        <w:t xml:space="preserve"> </w:t>
      </w:r>
      <w:r>
        <w:rPr>
          <w:rStyle w:val="VerbatimChar"/>
        </w:rPr>
        <w:t xml:space="preserve">SandboxContext.stage</w:t>
      </w:r>
      <w:r>
        <w:t xml:space="preserve"> </w:t>
      </w:r>
      <w:r>
        <w:t xml:space="preserve">in</w:t>
      </w:r>
      <w:r>
        <w:t xml:space="preserve"> </w:t>
      </w:r>
      <w:r>
        <w:rPr>
          <w:rStyle w:val="VerbatimChar"/>
        </w:rPr>
        <w:t xml:space="preserve">src/agents/types.ts</w:t>
      </w:r>
      <w:r>
        <w:t xml:space="preserve"> </w:t>
      </w:r>
      <w:r>
        <w:t xml:space="preserve">only accepted</w:t>
      </w:r>
      <w:r>
        <w:t xml:space="preserve"> </w:t>
      </w:r>
      <w:r>
        <w:rPr>
          <w:rStyle w:val="VerbatimChar"/>
        </w:rPr>
        <w:t xml:space="preserve">'1' | '2' | '3'</w:t>
      </w:r>
      <w:r>
        <w:t xml:space="preserve">, creating a compile-time error when</w:t>
      </w:r>
      <w:r>
        <w:t xml:space="preserve"> </w:t>
      </w:r>
      <w:r>
        <w:rPr>
          <w:rStyle w:val="VerbatimChar"/>
        </w:rPr>
        <w:t xml:space="preserve">BaseAgent</w:t>
      </w:r>
      <w:r>
        <w:t xml:space="preserve"> </w:t>
      </w:r>
      <w:r>
        <w:t xml:space="preserve">attempted to assign the sandbox stage. The fix aligned both types, ensuring agents can execute in all four isolation stages.</w:t>
      </w:r>
    </w:p>
    <w:bookmarkEnd w:id="238"/>
    <w:bookmarkStart w:id="239" w:name="route-wiring-mcp-and-human-in-the-loop"/>
    <w:p>
      <w:pPr>
        <w:pStyle w:val="Heading3"/>
      </w:pPr>
      <w:r>
        <w:t xml:space="preserve">10.14.3 Route Wiring: MCP and Human-in-the-Loop</w:t>
      </w:r>
    </w:p>
    <w:p>
      <w:pPr>
        <w:pStyle w:val="FirstParagraph"/>
      </w:pPr>
      <w:r>
        <w:t xml:space="preserve">Two critical routes were unreachable due to missing imports in</w:t>
      </w:r>
      <w:r>
        <w:t xml:space="preserve"> </w:t>
      </w:r>
      <w:r>
        <w:rPr>
          <w:rStyle w:val="VerbatimChar"/>
        </w:rPr>
        <w:t xml:space="preserve">src/app.ts</w:t>
      </w:r>
      <w:r>
        <w:t xml:space="preserve">:</w:t>
      </w:r>
    </w:p>
    <w:p>
      <w:pPr>
        <w:numPr>
          <w:ilvl w:val="0"/>
          <w:numId w:val="1077"/>
        </w:numPr>
      </w:pPr>
      <w:r>
        <w:rPr>
          <w:bCs/>
          <w:b/>
        </w:rPr>
        <w:t xml:space="preserve">MCP Agent Server</w:t>
      </w:r>
      <w:r>
        <w:t xml:space="preserve"> </w:t>
      </w:r>
      <w:r>
        <w:t xml:space="preserve">(</w:t>
      </w:r>
      <w:r>
        <w:rPr>
          <w:rStyle w:val="VerbatimChar"/>
        </w:rPr>
        <w:t xml:space="preserve">/mcp</w:t>
      </w:r>
      <w:r>
        <w:t xml:space="preserve">) — The</w:t>
      </w:r>
      <w:r>
        <w:t xml:space="preserve"> </w:t>
      </w:r>
      <w:r>
        <w:rPr>
          <w:rStyle w:val="VerbatimChar"/>
        </w:rPr>
        <w:t xml:space="preserve">createMCPRouter()</w:t>
      </w:r>
      <w:r>
        <w:t xml:space="preserve"> </w:t>
      </w:r>
      <w:r>
        <w:t xml:space="preserve">function from</w:t>
      </w:r>
      <w:r>
        <w:t xml:space="preserve"> </w:t>
      </w:r>
      <w:r>
        <w:rPr>
          <w:rStyle w:val="VerbatimChar"/>
        </w:rPr>
        <w:t xml:space="preserve">src/mcp/agent-server.ts</w:t>
      </w:r>
      <w:r>
        <w:t xml:space="preserve"> </w:t>
      </w:r>
      <w:r>
        <w:t xml:space="preserve">exposes all agents as MCP tools via JSON-RPC 2.0. Without this import, external MCP clients (Claude Desktop, other AI agents) could not discover or invoke DWS agents.</w:t>
      </w:r>
    </w:p>
    <w:p>
      <w:pPr>
        <w:numPr>
          <w:ilvl w:val="0"/>
          <w:numId w:val="1077"/>
        </w:numPr>
      </w:pPr>
      <w:r>
        <w:rPr>
          <w:bCs/>
          <w:b/>
        </w:rPr>
        <w:t xml:space="preserve">Human-in-the-Loop</w:t>
      </w:r>
      <w:r>
        <w:t xml:space="preserve"> </w:t>
      </w:r>
      <w:r>
        <w:t xml:space="preserve">(</w:t>
      </w:r>
      <w:r>
        <w:rPr>
          <w:rStyle w:val="VerbatimChar"/>
        </w:rPr>
        <w:t xml:space="preserve">/api/hil</w:t>
      </w:r>
      <w:r>
        <w:t xml:space="preserve">) — The HIL endpoint enables one-click task completion from morning briefing emails. Without this route, the Captain Pre-Briefing Agent’s</w:t>
      </w:r>
      <w:r>
        <w:t xml:space="preserve"> </w:t>
      </w:r>
      <w:r>
        <w:t xml:space="preserve">“</w:t>
      </w:r>
      <w:r>
        <w:t xml:space="preserve">Done</w:t>
      </w:r>
      <w:r>
        <w:t xml:space="preserve">”</w:t>
      </w:r>
      <w:r>
        <w:t xml:space="preserve"> </w:t>
      </w:r>
      <w:r>
        <w:t xml:space="preserve">buttons returned 404 errors.</w:t>
      </w:r>
    </w:p>
    <w:bookmarkEnd w:id="239"/>
    <w:bookmarkStart w:id="240" w:name="locale-deterministic-number-formatting"/>
    <w:p>
      <w:pPr>
        <w:pStyle w:val="Heading3"/>
      </w:pPr>
      <w:r>
        <w:t xml:space="preserve">10.14.4 Locale-Deterministic Number Formatting</w:t>
      </w:r>
    </w:p>
    <w:p>
      <w:pPr>
        <w:pStyle w:val="FirstParagraph"/>
      </w:pPr>
      <w:r>
        <w:t xml:space="preserve">The Emissions Data Analyst agent formats ETS cost estimates using</w:t>
      </w:r>
      <w:r>
        <w:t xml:space="preserve"> </w:t>
      </w:r>
      <w:r>
        <w:rPr>
          <w:rStyle w:val="VerbatimChar"/>
        </w:rPr>
        <w:t xml:space="preserve">Number.toLocaleString()</w:t>
      </w:r>
      <w:r>
        <w:t xml:space="preserve">. On EU-locale machines (Finland, Germany), this produces space-separated numbers (e.g.,</w:t>
      </w:r>
      <w:r>
        <w:t xml:space="preserve"> </w:t>
      </w:r>
      <w:r>
        <w:rPr>
          <w:rStyle w:val="VerbatimChar"/>
        </w:rPr>
        <w:t xml:space="preserve">2 040 000</w:t>
      </w:r>
      <w:r>
        <w:t xml:space="preserve">), while tests expected US comma-separated format (</w:t>
      </w:r>
      <w:r>
        <w:rPr>
          <w:rStyle w:val="VerbatimChar"/>
        </w:rPr>
        <w:t xml:space="preserve">2,040,000</w:t>
      </w:r>
      <w:r>
        <w:t xml:space="preserve">). The fix specifies</w:t>
      </w:r>
      <w:r>
        <w:t xml:space="preserve"> </w:t>
      </w:r>
      <w:r>
        <w:rPr>
          <w:rStyle w:val="VerbatimChar"/>
        </w:rPr>
        <w:t xml:space="preserve">'en-US'</w:t>
      </w:r>
      <w:r>
        <w:t xml:space="preserve"> </w:t>
      </w:r>
      <w:r>
        <w:t xml:space="preserve">locale explicitly, ensuring deterministic output regardless of deployment environment. This is critical for EU-hosted Cloud Run instances where system locale defaults to European conventions.</w:t>
      </w:r>
    </w:p>
    <w:bookmarkEnd w:id="240"/>
    <w:bookmarkStart w:id="241" w:name="dependency-hygiene"/>
    <w:p>
      <w:pPr>
        <w:pStyle w:val="Heading3"/>
      </w:pPr>
      <w:r>
        <w:t xml:space="preserve">10.14.5 Dependency Hygiene</w:t>
      </w:r>
    </w:p>
    <w:p>
      <w:pPr>
        <w:pStyle w:val="FirstParagraph"/>
      </w:pPr>
      <w:r>
        <w:t xml:space="preserve">The</w:t>
      </w:r>
      <w:r>
        <w:t xml:space="preserve"> </w:t>
      </w:r>
      <w:r>
        <w:rPr>
          <w:rStyle w:val="VerbatimChar"/>
        </w:rPr>
        <w:t xml:space="preserve">luxon</w:t>
      </w:r>
      <w:r>
        <w:t xml:space="preserve"> </w:t>
      </w:r>
      <w:r>
        <w:t xml:space="preserve">library (timezone-aware date handling for Helsinki business hours) was imported in the Social Scheduler but never added to</w:t>
      </w:r>
      <w:r>
        <w:t xml:space="preserve"> </w:t>
      </w:r>
      <w:r>
        <w:rPr>
          <w:rStyle w:val="VerbatimChar"/>
        </w:rPr>
        <w:t xml:space="preserve">package.json</w:t>
      </w:r>
      <w:r>
        <w:t xml:space="preserve">. The Resend email SDK’s batch response type was a union (</w:t>
      </w:r>
      <w:r>
        <w:rPr>
          <w:rStyle w:val="VerbatimChar"/>
        </w:rPr>
        <w:t xml:space="preserve">undefined[] | CreateBatchSuccessResponse</w:t>
      </w:r>
      <w:r>
        <w:t xml:space="preserve">) that required runtime array detection before calling</w:t>
      </w:r>
      <w:r>
        <w:t xml:space="preserve"> </w:t>
      </w:r>
      <w:r>
        <w:rPr>
          <w:rStyle w:val="VerbatimChar"/>
        </w:rPr>
        <w:t xml:space="preserve">.map()</w:t>
      </w:r>
      <w:r>
        <w:t xml:space="preserve">.</w:t>
      </w:r>
    </w:p>
    <w:bookmarkEnd w:id="241"/>
    <w:bookmarkStart w:id="242" w:name="research-contribution-5"/>
    <w:p>
      <w:pPr>
        <w:pStyle w:val="Heading3"/>
      </w:pPr>
      <w:r>
        <w:t xml:space="preserve">10.14.6 Research Contribution</w:t>
      </w:r>
    </w:p>
    <w:p>
      <w:pPr>
        <w:pStyle w:val="FirstParagraph"/>
      </w:pPr>
      <w:r>
        <w:t xml:space="preserve">This hardening session demonstrates a pattern relevant to multi-agent system maintenance:</w:t>
      </w:r>
      <w:r>
        <w:t xml:space="preserve"> </w:t>
      </w:r>
      <w:r>
        <w:rPr>
          <w:bCs/>
          <w:b/>
        </w:rPr>
        <w:t xml:space="preserve">integration debt accumulates at module boundaries, not within modules</w:t>
      </w:r>
      <w:r>
        <w:t xml:space="preserve">. Each individual agent was correctly implemented, but the connections between agents, sandbox, routes, and tests had drifted. The fix touched 6 files across 5 subsystems in a single commit, restoring:</w:t>
      </w:r>
    </w:p>
    <w:p>
      <w:pPr>
        <w:numPr>
          <w:ilvl w:val="0"/>
          <w:numId w:val="1078"/>
        </w:numPr>
        <w:pStyle w:val="Compact"/>
      </w:pPr>
      <w:r>
        <w:rPr>
          <w:bCs/>
          <w:b/>
        </w:rPr>
        <w:t xml:space="preserve">0 TypeScript errors</w:t>
      </w:r>
      <w:r>
        <w:t xml:space="preserve"> </w:t>
      </w:r>
      <w:r>
        <w:t xml:space="preserve">(was 6)</w:t>
      </w:r>
    </w:p>
    <w:p>
      <w:pPr>
        <w:numPr>
          <w:ilvl w:val="0"/>
          <w:numId w:val="1078"/>
        </w:numPr>
        <w:pStyle w:val="Compact"/>
      </w:pPr>
      <w:r>
        <w:rPr>
          <w:bCs/>
          <w:b/>
        </w:rPr>
        <w:t xml:space="preserve">47/47 tests passing</w:t>
      </w:r>
      <w:r>
        <w:t xml:space="preserve"> </w:t>
      </w:r>
      <w:r>
        <w:t xml:space="preserve">(was 44/47)</w:t>
      </w:r>
    </w:p>
    <w:p>
      <w:pPr>
        <w:numPr>
          <w:ilvl w:val="0"/>
          <w:numId w:val="1078"/>
        </w:numPr>
        <w:pStyle w:val="Compact"/>
      </w:pPr>
      <w:r>
        <w:rPr>
          <w:bCs/>
          <w:b/>
        </w:rPr>
        <w:t xml:space="preserve">Full MCP discoverability</w:t>
      </w:r>
      <w:r>
        <w:t xml:space="preserve"> </w:t>
      </w:r>
      <w:r>
        <w:t xml:space="preserve">for all 31 agents</w:t>
      </w:r>
    </w:p>
    <w:p>
      <w:pPr>
        <w:numPr>
          <w:ilvl w:val="0"/>
          <w:numId w:val="1078"/>
        </w:numPr>
        <w:pStyle w:val="Compact"/>
      </w:pPr>
      <w:r>
        <w:rPr>
          <w:bCs/>
          <w:b/>
        </w:rPr>
        <w:t xml:space="preserve">HIL operational</w:t>
      </w:r>
      <w:r>
        <w:t xml:space="preserve"> </w:t>
      </w:r>
      <w:r>
        <w:t xml:space="preserve">for morning briefing workflows</w:t>
      </w:r>
    </w:p>
    <w:p>
      <w:r>
        <w:pict>
          <v:rect style="width:0;height:1.5pt" o:hralign="center" o:hrstd="t" o:hr="t"/>
        </w:pict>
      </w:r>
    </w:p>
    <w:bookmarkEnd w:id="242"/>
    <w:bookmarkEnd w:id="243"/>
    <w:bookmarkStart w:id="328" w:name="Xc84102b46314a206f007a2278365afe61845d6d"/>
    <w:p>
      <w:pPr>
        <w:pStyle w:val="Heading2"/>
      </w:pPr>
      <w:r>
        <w:t xml:space="preserve">10.15 PostgreSQL Columnar HTAP Architecture — DWS Data Standard</w:t>
      </w:r>
    </w:p>
    <w:bookmarkStart w:id="244" w:name="motivation-2"/>
    <w:p>
      <w:pPr>
        <w:pStyle w:val="Heading3"/>
      </w:pPr>
      <w:r>
        <w:t xml:space="preserve">10.15.1 Motivation</w:t>
      </w:r>
    </w:p>
    <w:p>
      <w:pPr>
        <w:pStyle w:val="FirstParagraph"/>
      </w:pPr>
      <w:r>
        <w:t xml:space="preserve">DWS6 runs all analytics against transactional heap tables with no columnar or HTAP capabilities. As the platform scales toward IoT telemetry (DWS7 Phase 4), 7-year Article 12 audit retention, and growing agent execution logs, the single-engine approach creates performance bottlenecks: campaign funnel aggregation hits raw event tables, agent cost rollups require full table scans, and audit log storage costs grow linearly with no compression.</w:t>
      </w:r>
    </w:p>
    <w:p>
      <w:pPr>
        <w:pStyle w:val="BodyText"/>
      </w:pPr>
      <w:r>
        <w:t xml:space="preserve">The PostgreSQL</w:t>
      </w:r>
      <w:r>
        <w:t xml:space="preserve"> </w:t>
      </w:r>
      <w:r>
        <w:t xml:space="preserve">“</w:t>
      </w:r>
      <w:r>
        <w:t xml:space="preserve">columnar extension</w:t>
      </w:r>
      <w:r>
        <w:t xml:space="preserve">”</w:t>
      </w:r>
      <w:r>
        <w:t xml:space="preserve"> </w:t>
      </w:r>
      <w:r>
        <w:t xml:space="preserve">pattern — pioneered by Hydra and now production-ready across six implementations — enables true HTAP (Hybrid Transactional/Analytical Processing) within a single database: transactional tables remain as standard heap, analytics tables become columnar, with seamless joins and zero data movement.</w:t>
      </w:r>
    </w:p>
    <w:bookmarkEnd w:id="244"/>
    <w:bookmarkStart w:id="245" w:name="X05e46d3147d04c1d823f8178abb095a0106ae6d"/>
    <w:p>
      <w:pPr>
        <w:pStyle w:val="Heading3"/>
      </w:pPr>
      <w:r>
        <w:t xml:space="preserve">10.15.2 Extension Evaluation (Updated March 2026 — Aiven-First Mandate)</w:t>
      </w:r>
    </w:p>
    <w:p>
      <w:pPr>
        <w:pStyle w:val="FirstParagraph"/>
      </w:pPr>
      <w:r>
        <w:t xml:space="preserve">The original v3.22 evaluation assumed pg_duckdb availability on Aiven. March 2026 findings invalidated this:</w:t>
      </w:r>
    </w:p>
    <w:p>
      <w:pPr>
        <w:numPr>
          <w:ilvl w:val="0"/>
          <w:numId w:val="1079"/>
        </w:numPr>
        <w:pStyle w:val="Compact"/>
      </w:pPr>
      <w:r>
        <w:rPr>
          <w:bCs/>
          <w:b/>
        </w:rPr>
        <w:t xml:space="preserve">Hydra</w:t>
      </w:r>
      <w:r>
        <w:t xml:space="preserve"> </w:t>
      </w:r>
      <w:r>
        <w:t xml:space="preserve">core team joined Supabase (Feb 2026) to build</w:t>
      </w:r>
      <w:r>
        <w:t xml:space="preserve"> </w:t>
      </w:r>
      <w:r>
        <w:t xml:space="preserve">“</w:t>
      </w:r>
      <w:r>
        <w:t xml:space="preserve">Supabase Warehouse</w:t>
      </w:r>
      <w:r>
        <w:t xml:space="preserve">”</w:t>
      </w:r>
      <w:r>
        <w:t xml:space="preserve"> </w:t>
      </w:r>
      <w:r>
        <w:t xml:space="preserve">— Hydra is effectively dead as an independent project.</w:t>
      </w:r>
    </w:p>
    <w:p>
      <w:pPr>
        <w:numPr>
          <w:ilvl w:val="0"/>
          <w:numId w:val="1079"/>
        </w:numPr>
        <w:pStyle w:val="Compact"/>
      </w:pPr>
      <w:r>
        <w:rPr>
          <w:bCs/>
          <w:b/>
        </w:rPr>
        <w:t xml:space="preserve">pg_mooncake</w:t>
      </w:r>
      <w:r>
        <w:t xml:space="preserve"> </w:t>
      </w:r>
      <w:r>
        <w:t xml:space="preserve">acquired by Databricks (Oct 2025) — future uncertain for self-hosted deployments.</w:t>
      </w:r>
    </w:p>
    <w:p>
      <w:pPr>
        <w:numPr>
          <w:ilvl w:val="0"/>
          <w:numId w:val="1079"/>
        </w:numPr>
        <w:pStyle w:val="Compact"/>
      </w:pPr>
      <w:r>
        <w:rPr>
          <w:bCs/>
          <w:b/>
        </w:rPr>
        <w:t xml:space="preserve">CRITICAL: pg_duckdb is BLOCKED on the Aiven extension whitelist</w:t>
      </w:r>
      <w:r>
        <w:t xml:space="preserve"> </w:t>
      </w:r>
      <w:r>
        <w:t xml:space="preserve">— it is NOT available on Aiven managed PostgreSQL. This was the key finding that forced the two-tier architecture redesign.</w:t>
      </w:r>
    </w:p>
    <w:p>
      <w:pPr>
        <w:numPr>
          <w:ilvl w:val="0"/>
          <w:numId w:val="1079"/>
        </w:numPr>
        <w:pStyle w:val="Compact"/>
      </w:pPr>
      <w:r>
        <w:rPr>
          <w:bCs/>
          <w:b/>
        </w:rPr>
        <w:t xml:space="preserve">TimescaleDB 2.25.x Hypercore</w:t>
      </w:r>
      <w:r>
        <w:t xml:space="preserve"> </w:t>
      </w:r>
      <w:r>
        <w:t xml:space="preserve">is the ONLY columnar/HTAP option natively available on Aiven.</w:t>
      </w:r>
    </w:p>
    <w:p>
      <w:pPr>
        <w:pStyle w:val="FirstParagraph"/>
      </w:pPr>
      <w:r>
        <w:rPr>
          <w:bCs/>
          <w:b/>
        </w:rPr>
        <w:t xml:space="preserve">ClickBench performance context:</w:t>
      </w:r>
      <w:r>
        <w:t xml:space="preserve"> </w:t>
      </w:r>
      <w:r>
        <w:t xml:space="preserve">pg_duckdb achieves 50-600× over vanilla PostgreSQL; TimescaleDB Hypercore achieves 10-100× with 98% compression on time-series data.</w:t>
      </w:r>
    </w:p>
    <w:p>
      <w:pPr>
        <w:pStyle w:val="BodyText"/>
      </w:pPr>
      <w:r>
        <w:t xml:space="preserve">Updated evaluation reflecting 2026 reality:</w:t>
      </w:r>
    </w:p>
    <w:tbl>
      <w:tblPr>
        <w:tblStyle w:val="Table"/>
        <w:tblW w:type="pct" w:w="5000"/>
        <w:tblLook w:firstRow="1" w:lastRow="0" w:firstColumn="0" w:lastColumn="0" w:noHBand="0" w:noVBand="0" w:val="0020"/>
        <w:jc w:val="start"/>
      </w:tblPr>
      <w:tblGrid>
        <w:gridCol w:w="2174"/>
        <w:gridCol w:w="543"/>
        <w:gridCol w:w="1320"/>
        <w:gridCol w:w="1242"/>
        <w:gridCol w:w="698"/>
        <w:gridCol w:w="776"/>
        <w:gridCol w:w="1164"/>
      </w:tblGrid>
      <w:tr>
        <w:trPr>
          <w:tblHeader w:val="true"/>
        </w:trPr>
        <w:tc>
          <w:tcPr/>
          <w:p>
            <w:pPr>
              <w:pStyle w:val="Compact"/>
              <w:jc w:val="left"/>
            </w:pPr>
            <w:r>
              <w:t xml:space="preserve">Solution</w:t>
            </w:r>
          </w:p>
        </w:tc>
        <w:tc>
          <w:tcPr/>
          <w:p>
            <w:pPr>
              <w:pStyle w:val="Compact"/>
              <w:jc w:val="left"/>
            </w:pPr>
            <w:r>
              <w:t xml:space="preserve">Engine</w:t>
            </w:r>
          </w:p>
        </w:tc>
        <w:tc>
          <w:tcPr/>
          <w:p>
            <w:pPr>
              <w:pStyle w:val="Compact"/>
              <w:jc w:val="left"/>
            </w:pPr>
            <w:r>
              <w:t xml:space="preserve">Speed vs PG</w:t>
            </w:r>
          </w:p>
        </w:tc>
        <w:tc>
          <w:tcPr/>
          <w:p>
            <w:pPr>
              <w:pStyle w:val="Compact"/>
              <w:jc w:val="left"/>
            </w:pPr>
            <w:r>
              <w:t xml:space="preserve">Aiven?</w:t>
            </w:r>
          </w:p>
        </w:tc>
        <w:tc>
          <w:tcPr/>
          <w:p>
            <w:pPr>
              <w:pStyle w:val="Compact"/>
              <w:jc w:val="left"/>
            </w:pPr>
            <w:r>
              <w:t xml:space="preserve">Supabase?</w:t>
            </w:r>
          </w:p>
        </w:tc>
        <w:tc>
          <w:tcPr/>
          <w:p>
            <w:pPr>
              <w:pStyle w:val="Compact"/>
              <w:jc w:val="left"/>
            </w:pPr>
            <w:r>
              <w:t xml:space="preserve">Self-Host?</w:t>
            </w:r>
          </w:p>
        </w:tc>
        <w:tc>
          <w:tcPr/>
          <w:p>
            <w:pPr>
              <w:pStyle w:val="Compact"/>
              <w:jc w:val="left"/>
            </w:pPr>
            <w:r>
              <w:t xml:space="preserve">DWS Fit</w:t>
            </w:r>
          </w:p>
        </w:tc>
      </w:tr>
      <w:tr>
        <w:tc>
          <w:tcPr/>
          <w:p>
            <w:pPr>
              <w:pStyle w:val="Compact"/>
              <w:jc w:val="left"/>
            </w:pPr>
            <w:r>
              <w:t xml:space="preserve">Hydra (→Supabase Warehouse)</w:t>
            </w:r>
          </w:p>
        </w:tc>
        <w:tc>
          <w:tcPr/>
          <w:p>
            <w:pPr>
              <w:pStyle w:val="Compact"/>
              <w:jc w:val="left"/>
            </w:pPr>
            <w:r>
              <w:t xml:space="preserve">DuckDB</w:t>
            </w:r>
          </w:p>
        </w:tc>
        <w:tc>
          <w:tcPr/>
          <w:p>
            <w:pPr>
              <w:pStyle w:val="Compact"/>
              <w:jc w:val="left"/>
            </w:pPr>
            <w:r>
              <w:t xml:space="preserve">100-600×</w:t>
            </w:r>
          </w:p>
        </w:tc>
        <w:tc>
          <w:tcPr/>
          <w:p>
            <w:pPr>
              <w:pStyle w:val="Compact"/>
              <w:jc w:val="left"/>
            </w:pPr>
            <w:r>
              <w:t xml:space="preserve">No</w:t>
            </w:r>
          </w:p>
        </w:tc>
        <w:tc>
          <w:tcPr/>
          <w:p>
            <w:pPr>
              <w:pStyle w:val="Compact"/>
              <w:jc w:val="left"/>
            </w:pPr>
            <w:r>
              <w:t xml:space="preserve">Alpha</w:t>
            </w:r>
          </w:p>
        </w:tc>
        <w:tc>
          <w:tcPr/>
          <w:p>
            <w:pPr>
              <w:pStyle w:val="Compact"/>
              <w:jc w:val="left"/>
            </w:pPr>
            <w:r>
              <w:t xml:space="preserve">Yes</w:t>
            </w:r>
          </w:p>
        </w:tc>
        <w:tc>
          <w:tcPr/>
          <w:p>
            <w:pPr>
              <w:pStyle w:val="Compact"/>
              <w:jc w:val="left"/>
            </w:pPr>
            <w:r>
              <w:t xml:space="preserve">Monitor</w:t>
            </w:r>
          </w:p>
        </w:tc>
      </w:tr>
      <w:tr>
        <w:tc>
          <w:tcPr/>
          <w:p>
            <w:pPr>
              <w:pStyle w:val="Compact"/>
              <w:jc w:val="left"/>
            </w:pPr>
            <w:r>
              <w:t xml:space="preserve">pg_duckdb v1.x</w:t>
            </w:r>
          </w:p>
        </w:tc>
        <w:tc>
          <w:tcPr/>
          <w:p>
            <w:pPr>
              <w:pStyle w:val="Compact"/>
              <w:jc w:val="left"/>
            </w:pPr>
            <w:r>
              <w:t xml:space="preserve">DuckDB</w:t>
            </w:r>
          </w:p>
        </w:tc>
        <w:tc>
          <w:tcPr/>
          <w:p>
            <w:pPr>
              <w:pStyle w:val="Compact"/>
              <w:jc w:val="left"/>
            </w:pPr>
            <w:r>
              <w:t xml:space="preserve">50-600×</w:t>
            </w:r>
          </w:p>
        </w:tc>
        <w:tc>
          <w:tcPr/>
          <w:p>
            <w:pPr>
              <w:pStyle w:val="Compact"/>
              <w:jc w:val="left"/>
            </w:pPr>
            <w:r>
              <w:rPr>
                <w:bCs/>
                <w:b/>
              </w:rPr>
              <w:t xml:space="preserve">NO (blocked)</w:t>
            </w:r>
          </w:p>
        </w:tc>
        <w:tc>
          <w:tcPr/>
          <w:p>
            <w:pPr>
              <w:pStyle w:val="Compact"/>
              <w:jc w:val="left"/>
            </w:pPr>
            <w:r>
              <w:t xml:space="preserve">Yes</w:t>
            </w:r>
          </w:p>
        </w:tc>
        <w:tc>
          <w:tcPr/>
          <w:p>
            <w:pPr>
              <w:pStyle w:val="Compact"/>
              <w:jc w:val="left"/>
            </w:pPr>
            <w:r>
              <w:rPr>
                <w:bCs/>
                <w:b/>
              </w:rPr>
              <w:t xml:space="preserve">Yes</w:t>
            </w:r>
          </w:p>
        </w:tc>
        <w:tc>
          <w:tcPr/>
          <w:p>
            <w:pPr>
              <w:pStyle w:val="Compact"/>
              <w:jc w:val="left"/>
            </w:pPr>
            <w:r>
              <w:t xml:space="preserve">Edge only</w:t>
            </w:r>
          </w:p>
        </w:tc>
      </w:tr>
      <w:tr>
        <w:tc>
          <w:tcPr/>
          <w:p>
            <w:pPr>
              <w:pStyle w:val="Compact"/>
              <w:jc w:val="left"/>
            </w:pPr>
            <w:r>
              <w:t xml:space="preserve">pg_mooncake (→Databricks)</w:t>
            </w:r>
          </w:p>
        </w:tc>
        <w:tc>
          <w:tcPr/>
          <w:p>
            <w:pPr>
              <w:pStyle w:val="Compact"/>
              <w:jc w:val="left"/>
            </w:pPr>
            <w:r>
              <w:t xml:space="preserve">DuckDB</w:t>
            </w:r>
          </w:p>
        </w:tc>
        <w:tc>
          <w:tcPr/>
          <w:p>
            <w:pPr>
              <w:pStyle w:val="Compact"/>
              <w:jc w:val="left"/>
            </w:pPr>
            <w:r>
              <w:t xml:space="preserve">Top-10 ClickBench</w:t>
            </w:r>
          </w:p>
        </w:tc>
        <w:tc>
          <w:tcPr/>
          <w:p>
            <w:pPr>
              <w:pStyle w:val="Compact"/>
              <w:jc w:val="left"/>
            </w:pPr>
            <w:r>
              <w:t xml:space="preserve">No</w:t>
            </w:r>
          </w:p>
        </w:tc>
        <w:tc>
          <w:tcPr/>
          <w:p>
            <w:pPr>
              <w:pStyle w:val="Compact"/>
              <w:jc w:val="left"/>
            </w:pPr>
            <w:r>
              <w:t xml:space="preserve">Custom</w:t>
            </w:r>
          </w:p>
        </w:tc>
        <w:tc>
          <w:tcPr/>
          <w:p>
            <w:pPr>
              <w:pStyle w:val="Compact"/>
              <w:jc w:val="left"/>
            </w:pPr>
            <w:r>
              <w:t xml:space="preserve">Yes</w:t>
            </w:r>
          </w:p>
        </w:tc>
        <w:tc>
          <w:tcPr/>
          <w:p>
            <w:pPr>
              <w:pStyle w:val="Compact"/>
              <w:jc w:val="left"/>
            </w:pPr>
            <w:r>
              <w:t xml:space="preserve">Phase 3</w:t>
            </w:r>
          </w:p>
        </w:tc>
      </w:tr>
      <w:tr>
        <w:tc>
          <w:tcPr/>
          <w:p>
            <w:pPr>
              <w:pStyle w:val="Compact"/>
              <w:jc w:val="left"/>
            </w:pPr>
            <w:r>
              <w:t xml:space="preserve">TimescaleDB 2.25.x Hypercore</w:t>
            </w:r>
          </w:p>
        </w:tc>
        <w:tc>
          <w:tcPr/>
          <w:p>
            <w:pPr>
              <w:pStyle w:val="Compact"/>
              <w:jc w:val="left"/>
            </w:pPr>
            <w:r>
              <w:t xml:space="preserve">PG+SIMD</w:t>
            </w:r>
          </w:p>
        </w:tc>
        <w:tc>
          <w:tcPr/>
          <w:p>
            <w:pPr>
              <w:pStyle w:val="Compact"/>
              <w:jc w:val="left"/>
            </w:pPr>
            <w:r>
              <w:t xml:space="preserve">10-100×</w:t>
            </w:r>
          </w:p>
        </w:tc>
        <w:tc>
          <w:tcPr/>
          <w:p>
            <w:pPr>
              <w:pStyle w:val="Compact"/>
              <w:jc w:val="left"/>
            </w:pPr>
            <w:r>
              <w:rPr>
                <w:bCs/>
                <w:b/>
              </w:rPr>
              <w:t xml:space="preserve">Yes (native)</w:t>
            </w:r>
          </w:p>
        </w:tc>
        <w:tc>
          <w:tcPr/>
          <w:p>
            <w:pPr>
              <w:pStyle w:val="Compact"/>
              <w:jc w:val="left"/>
            </w:pPr>
            <w:r>
              <w:t xml:space="preserve">Yes</w:t>
            </w:r>
          </w:p>
        </w:tc>
        <w:tc>
          <w:tcPr/>
          <w:p>
            <w:pPr>
              <w:pStyle w:val="Compact"/>
              <w:jc w:val="left"/>
            </w:pPr>
            <w:r>
              <w:rPr>
                <w:bCs/>
                <w:b/>
              </w:rPr>
              <w:t xml:space="preserve">Yes</w:t>
            </w:r>
          </w:p>
        </w:tc>
        <w:tc>
          <w:tcPr/>
          <w:p>
            <w:pPr>
              <w:pStyle w:val="Compact"/>
              <w:jc w:val="left"/>
            </w:pPr>
            <w:r>
              <w:rPr>
                <w:bCs/>
                <w:b/>
              </w:rPr>
              <w:t xml:space="preserve">PRIMARY</w:t>
            </w:r>
          </w:p>
        </w:tc>
      </w:tr>
      <w:tr>
        <w:tc>
          <w:tcPr/>
          <w:p>
            <w:pPr>
              <w:pStyle w:val="Compact"/>
              <w:jc w:val="left"/>
            </w:pPr>
            <w:r>
              <w:t xml:space="preserve">ParadeDB pg_analytics</w:t>
            </w:r>
          </w:p>
        </w:tc>
        <w:tc>
          <w:tcPr/>
          <w:p>
            <w:pPr>
              <w:pStyle w:val="Compact"/>
              <w:jc w:val="left"/>
            </w:pPr>
            <w:r>
              <w:t xml:space="preserve">DuckDB</w:t>
            </w:r>
          </w:p>
        </w:tc>
        <w:tc>
          <w:tcPr/>
          <w:p>
            <w:pPr>
              <w:pStyle w:val="Compact"/>
              <w:jc w:val="left"/>
            </w:pPr>
            <w:r>
              <w:t xml:space="preserve">10-100×</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Not recommended</w:t>
            </w:r>
          </w:p>
        </w:tc>
      </w:tr>
      <w:tr>
        <w:tc>
          <w:tcPr/>
          <w:p>
            <w:pPr>
              <w:pStyle w:val="Compact"/>
              <w:jc w:val="left"/>
            </w:pPr>
            <w:r>
              <w:t xml:space="preserve">Citus Columnar</w:t>
            </w:r>
          </w:p>
        </w:tc>
        <w:tc>
          <w:tcPr/>
          <w:p>
            <w:pPr>
              <w:pStyle w:val="Compact"/>
              <w:jc w:val="left"/>
            </w:pPr>
            <w:r>
              <w:t xml:space="preserve">PG</w:t>
            </w:r>
          </w:p>
        </w:tc>
        <w:tc>
          <w:tcPr/>
          <w:p>
            <w:pPr>
              <w:pStyle w:val="Compact"/>
              <w:jc w:val="left"/>
            </w:pPr>
            <w:r>
              <w:t xml:space="preserve">5-50×</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Not recommended</w:t>
            </w:r>
          </w:p>
        </w:tc>
      </w:tr>
    </w:tbl>
    <w:bookmarkEnd w:id="245"/>
    <w:bookmarkStart w:id="246" w:name="Xe1827376726351052c8a7483ab587ea7cbe8f1c"/>
    <w:p>
      <w:pPr>
        <w:pStyle w:val="Heading3"/>
      </w:pPr>
      <w:r>
        <w:t xml:space="preserve">10.15.3 Recommended Stack (Two-Tier HTAP Architecture)</w:t>
      </w:r>
    </w:p>
    <w:p>
      <w:pPr>
        <w:pStyle w:val="FirstParagraph"/>
      </w:pPr>
      <w:r>
        <w:t xml:space="preserve">The Aiven whitelist constraint (pg_duckdb BLOCKED) drives a</w:t>
      </w:r>
      <w:r>
        <w:t xml:space="preserve"> </w:t>
      </w:r>
      <w:r>
        <w:rPr>
          <w:bCs/>
          <w:b/>
        </w:rPr>
        <w:t xml:space="preserve">two-tier architecture</w:t>
      </w:r>
      <w:r>
        <w:t xml:space="preserve"> </w:t>
      </w:r>
      <w:r>
        <w:t xml:space="preserve">— managed production on Aiven with full extension freedom on edge hardware:</w:t>
      </w:r>
    </w:p>
    <w:p>
      <w:pPr>
        <w:pStyle w:val="BodyText"/>
      </w:pPr>
      <w:r>
        <w:rPr>
          <w:bCs/>
          <w:b/>
        </w:rPr>
        <w:t xml:space="preserve">Tier 1: Aiven Managed (Production) — TimescaleDB 2.25.x Hypercore ONLY</w:t>
      </w:r>
    </w:p>
    <w:p>
      <w:pPr>
        <w:numPr>
          <w:ilvl w:val="0"/>
          <w:numId w:val="1080"/>
        </w:numPr>
        <w:pStyle w:val="Compact"/>
      </w:pPr>
      <w:r>
        <w:t xml:space="preserve">Automatic hybrid row→columnar storage via Hypercore: recent data stays in heap for OLTP, older data compresses into columnar format automatically.</w:t>
      </w:r>
    </w:p>
    <w:p>
      <w:pPr>
        <w:numPr>
          <w:ilvl w:val="0"/>
          <w:numId w:val="1080"/>
        </w:numPr>
        <w:pStyle w:val="Compact"/>
      </w:pPr>
      <w:r>
        <w:t xml:space="preserve">98% compression on time-series and audit data (agent_metrics, agent_costs, article12_audit_log, IoT sensor data).</w:t>
      </w:r>
    </w:p>
    <w:p>
      <w:pPr>
        <w:numPr>
          <w:ilvl w:val="0"/>
          <w:numId w:val="1080"/>
        </w:numPr>
        <w:pStyle w:val="Compact"/>
      </w:pPr>
      <w:r>
        <w:t xml:space="preserve">10-100× analytical acceleration over vanilla PostgreSQL via SIMD vectorized scans.</w:t>
      </w:r>
    </w:p>
    <w:p>
      <w:pPr>
        <w:numPr>
          <w:ilvl w:val="0"/>
          <w:numId w:val="1080"/>
        </w:numPr>
        <w:pStyle w:val="Compact"/>
      </w:pPr>
      <w:r>
        <w:t xml:space="preserve">99.99% SLA, EU Finland (europe-north1), managed backups, automatic failover.</w:t>
      </w:r>
    </w:p>
    <w:p>
      <w:pPr>
        <w:numPr>
          <w:ilvl w:val="0"/>
          <w:numId w:val="1080"/>
        </w:numPr>
        <w:pStyle w:val="Compact"/>
      </w:pPr>
      <w:r>
        <w:t xml:space="preserve">No pg_duckdb, no Hydra, no pg_mooncake — only Aiven-whitelisted extensions.</w:t>
      </w:r>
    </w:p>
    <w:p>
      <w:pPr>
        <w:pStyle w:val="SourceCode"/>
      </w:pPr>
      <w:r>
        <w:rPr>
          <w:rStyle w:val="CommentTok"/>
        </w:rPr>
        <w:t xml:space="preserve">-- TimescaleDB Hypercore hybrid table (Aiven production)</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events</w:t>
      </w:r>
      <w:r>
        <w:rPr>
          <w:rStyle w:val="NormalTok"/>
        </w:rPr>
        <w:t xml:space="preserve"> (</w:t>
      </w:r>
      <w:r>
        <w:br/>
      </w:r>
      <w:r>
        <w:rPr>
          <w:rStyle w:val="NormalTok"/>
        </w:rPr>
        <w:t xml:space="preserve">  </w:t>
      </w:r>
      <w:r>
        <w:rPr>
          <w:rStyle w:val="DataTypeTok"/>
        </w:rPr>
        <w:t xml:space="preserve">time</w:t>
      </w:r>
      <w:r>
        <w:rPr>
          <w:rStyle w:val="NormalTok"/>
        </w:rPr>
        <w:t xml:space="preserve">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device_id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metric_name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FunctionTok"/>
        </w:rPr>
        <w:t xml:space="preserve">value</w:t>
      </w:r>
      <w:r>
        <w:rPr>
          <w:rStyle w:val="NormalTok"/>
        </w:rPr>
        <w:t xml:space="preserve"> </w:t>
      </w:r>
      <w:r>
        <w:rPr>
          <w:rStyle w:val="DataTypeTok"/>
        </w:rPr>
        <w:t xml:space="preserve">DOUBLE</w:t>
      </w:r>
      <w:r>
        <w:rPr>
          <w:rStyle w:val="NormalTok"/>
        </w:rPr>
        <w:t xml:space="preserve"> </w:t>
      </w:r>
      <w:r>
        <w:rPr>
          <w:rStyle w:val="DataTypeTok"/>
        </w:rPr>
        <w:t xml:space="preserve">PRECISION</w:t>
      </w:r>
      <w:r>
        <w:br/>
      </w:r>
      <w:r>
        <w:rPr>
          <w:rStyle w:val="NormalTok"/>
        </w:rPr>
        <w:t xml:space="preserve">) </w:t>
      </w:r>
      <w:r>
        <w:rPr>
          <w:rStyle w:val="KeywordTok"/>
        </w:rPr>
        <w:t xml:space="preserve">WITH</w:t>
      </w:r>
      <w:r>
        <w:rPr>
          <w:rStyle w:val="NormalTok"/>
        </w:rPr>
        <w:t xml:space="preserve"> (timescaledb.hybrid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SELECT</w:t>
      </w:r>
      <w:r>
        <w:rPr>
          <w:rStyle w:val="NormalTok"/>
        </w:rPr>
        <w:t xml:space="preserve"> create_hypertable(</w:t>
      </w:r>
      <w:r>
        <w:rPr>
          <w:rStyle w:val="StringTok"/>
        </w:rPr>
        <w:t xml:space="preserve">'events'</w:t>
      </w:r>
      <w:r>
        <w:rPr>
          <w:rStyle w:val="NormalTok"/>
        </w:rPr>
        <w:t xml:space="preserve">, </w:t>
      </w:r>
      <w:r>
        <w:rPr>
          <w:rStyle w:val="StringTok"/>
        </w:rPr>
        <w:t xml:space="preserve">'time'</w:t>
      </w:r>
      <w:r>
        <w:rPr>
          <w:rStyle w:val="NormalTok"/>
        </w:rPr>
        <w:t xml:space="preserve">);</w:t>
      </w:r>
    </w:p>
    <w:p>
      <w:pPr>
        <w:pStyle w:val="FirstParagraph"/>
      </w:pPr>
      <w:r>
        <w:rPr>
          <w:bCs/>
          <w:b/>
        </w:rPr>
        <w:t xml:space="preserve">Tier 2: GN100 Edge (Analytics) — TimescaleDB + pg_duckdb + pgvector</w:t>
      </w:r>
    </w:p>
    <w:p>
      <w:pPr>
        <w:numPr>
          <w:ilvl w:val="0"/>
          <w:numId w:val="1081"/>
        </w:numPr>
        <w:pStyle w:val="Compact"/>
      </w:pPr>
      <w:r>
        <w:t xml:space="preserve">Deployed 2026-03-13 on Acer Veriton GN100 via Docker with SSH tunnel to Aiven.</w:t>
      </w:r>
    </w:p>
    <w:p>
      <w:pPr>
        <w:numPr>
          <w:ilvl w:val="0"/>
          <w:numId w:val="1081"/>
        </w:numPr>
        <w:pStyle w:val="Compact"/>
      </w:pPr>
      <w:r>
        <w:t xml:space="preserve">Full extension stack: pg_duckdb (50-600× OLAP), pgvector (AI embeddings), TimescaleDB (time-series).</w:t>
      </w:r>
    </w:p>
    <w:p>
      <w:pPr>
        <w:numPr>
          <w:ilvl w:val="0"/>
          <w:numId w:val="1081"/>
        </w:numPr>
        <w:pStyle w:val="Compact"/>
      </w:pPr>
      <w:r>
        <w:t xml:space="preserve">Use cases: ad-hoc analytical queries, ClickBench-class workloads, AI vector search, data exploration.</w:t>
      </w:r>
    </w:p>
    <w:p>
      <w:pPr>
        <w:numPr>
          <w:ilvl w:val="0"/>
          <w:numId w:val="1081"/>
        </w:numPr>
        <w:pStyle w:val="Compact"/>
      </w:pPr>
      <w:r>
        <w:t xml:space="preserve">Not production-critical — edge device serves as analytical sandbox.</w:t>
      </w:r>
    </w:p>
    <w:p>
      <w:pPr>
        <w:pStyle w:val="FirstParagraph"/>
      </w:pPr>
      <w:r>
        <w:rPr>
          <w:bCs/>
          <w:b/>
        </w:rPr>
        <w:t xml:space="preserve">Local dev parity:</w:t>
      </w:r>
      <w:r>
        <w:t xml:space="preserve"> </w:t>
      </w:r>
      <w:r>
        <w:rPr>
          <w:rStyle w:val="VerbatimChar"/>
        </w:rPr>
        <w:t xml:space="preserve">timescale/timescaledb:2.25.2-pg16</w:t>
      </w:r>
      <w:r>
        <w:t xml:space="preserve"> </w:t>
      </w:r>
      <w:r>
        <w:t xml:space="preserve">Docker image ensures developers match Aiven production schema.</w:t>
      </w:r>
    </w:p>
    <w:p>
      <w:pPr>
        <w:pStyle w:val="BodyText"/>
      </w:pPr>
      <w:r>
        <w:rPr>
          <w:bCs/>
          <w:b/>
        </w:rPr>
        <w:t xml:space="preserve">pg_mooncake</w:t>
      </w:r>
      <w:r>
        <w:t xml:space="preserve"> </w:t>
      </w:r>
      <w:r>
        <w:t xml:space="preserve">(Phase 3, 2027) for Iceberg/Parquet export satisfying EU Data Act 2023/2854 IoT data portability requirements — pending Databricks acquisition outcome.</w:t>
      </w:r>
    </w:p>
    <w:bookmarkEnd w:id="246"/>
    <w:bookmarkStart w:id="247" w:name="dws-data-standard"/>
    <w:p>
      <w:pPr>
        <w:pStyle w:val="Heading3"/>
      </w:pPr>
      <w:r>
        <w:t xml:space="preserve">10.15.4 DWS Data Standard</w:t>
      </w:r>
    </w:p>
    <w:p>
      <w:pPr>
        <w:pStyle w:val="FirstParagraph"/>
      </w:pPr>
      <w:r>
        <w:t xml:space="preserve">A new</w:t>
      </w:r>
      <w:r>
        <w:t xml:space="preserve"> </w:t>
      </w:r>
      <w:r>
        <w:rPr>
          <w:rStyle w:val="VerbatimChar"/>
        </w:rPr>
        <w:t xml:space="preserve">DWS_DATA_STANDARD.md</w:t>
      </w:r>
      <w:r>
        <w:t xml:space="preserve"> </w:t>
      </w:r>
      <w:r>
        <w:t xml:space="preserve">was created to govern all data storage decisions. Key sections:</w:t>
      </w:r>
    </w:p>
    <w:p>
      <w:pPr>
        <w:numPr>
          <w:ilvl w:val="0"/>
          <w:numId w:val="1082"/>
        </w:numPr>
        <w:pStyle w:val="Compact"/>
      </w:pPr>
      <w:r>
        <w:rPr>
          <w:bCs/>
          <w:b/>
        </w:rPr>
        <w:t xml:space="preserve">Storage Engine Policy</w:t>
      </w:r>
      <w:r>
        <w:t xml:space="preserve"> </w:t>
      </w:r>
      <w:r>
        <w:t xml:space="preserve">— decision matrix for row vs columnar vs hybrid</w:t>
      </w:r>
    </w:p>
    <w:p>
      <w:pPr>
        <w:numPr>
          <w:ilvl w:val="0"/>
          <w:numId w:val="1082"/>
        </w:numPr>
        <w:pStyle w:val="Compact"/>
      </w:pPr>
      <w:r>
        <w:rPr>
          <w:bCs/>
          <w:b/>
        </w:rPr>
        <w:t xml:space="preserve">Extension Governance</w:t>
      </w:r>
      <w:r>
        <w:t xml:space="preserve"> </w:t>
      </w:r>
      <w:r>
        <w:t xml:space="preserve">— approved registry with sovereignty assessment</w:t>
      </w:r>
    </w:p>
    <w:p>
      <w:pPr>
        <w:numPr>
          <w:ilvl w:val="0"/>
          <w:numId w:val="1082"/>
        </w:numPr>
        <w:pStyle w:val="Compact"/>
      </w:pPr>
      <w:r>
        <w:rPr>
          <w:bCs/>
          <w:b/>
        </w:rPr>
        <w:t xml:space="preserve">Retention Policy</w:t>
      </w:r>
      <w:r>
        <w:t xml:space="preserve"> </w:t>
      </w:r>
      <w:r>
        <w:t xml:space="preserve">— per-table rules mapped to EU regulations (GDPR Art 17, EU AI Act Art 12: 7yr, NIS2 Art 23: 5yr, Finnish Accounting Act 1336/1997: 10yr)</w:t>
      </w:r>
    </w:p>
    <w:p>
      <w:pPr>
        <w:numPr>
          <w:ilvl w:val="0"/>
          <w:numId w:val="1082"/>
        </w:numPr>
        <w:pStyle w:val="Compact"/>
      </w:pPr>
      <w:r>
        <w:rPr>
          <w:bCs/>
          <w:b/>
        </w:rPr>
        <w:t xml:space="preserve">Partitioning Standard</w:t>
      </w:r>
      <w:r>
        <w:t xml:space="preserve"> </w:t>
      </w:r>
      <w:r>
        <w:t xml:space="preserve">— TimescaleDB hypertables preferred over native partitioning</w:t>
      </w:r>
    </w:p>
    <w:p>
      <w:pPr>
        <w:numPr>
          <w:ilvl w:val="0"/>
          <w:numId w:val="1082"/>
        </w:numPr>
        <w:pStyle w:val="Compact"/>
      </w:pPr>
      <w:r>
        <w:rPr>
          <w:bCs/>
          <w:b/>
        </w:rPr>
        <w:t xml:space="preserve">Compression Policy</w:t>
      </w:r>
      <w:r>
        <w:t xml:space="preserve"> </w:t>
      </w:r>
      <w:r>
        <w:t xml:space="preserve">— tiered compression targets (1:1 hot → 20:1 archive)</w:t>
      </w:r>
    </w:p>
    <w:p>
      <w:pPr>
        <w:numPr>
          <w:ilvl w:val="0"/>
          <w:numId w:val="1082"/>
        </w:numPr>
        <w:pStyle w:val="Compact"/>
      </w:pPr>
      <w:r>
        <w:rPr>
          <w:bCs/>
          <w:b/>
        </w:rPr>
        <w:t xml:space="preserve">EU Regulatory Compliance</w:t>
      </w:r>
      <w:r>
        <w:t xml:space="preserve"> </w:t>
      </w:r>
      <w:r>
        <w:t xml:space="preserve">— matrix mapping 11 EU regulations to database requirements</w:t>
      </w:r>
    </w:p>
    <w:bookmarkEnd w:id="247"/>
    <w:bookmarkStart w:id="248" w:name="X3fc7121aa52538d2afbd077f59fad16f5defb09"/>
    <w:p>
      <w:pPr>
        <w:pStyle w:val="Heading3"/>
      </w:pPr>
      <w:r>
        <w:t xml:space="preserve">10.15.5 Phased Rollout (Updated — Aiven-First Mandate)</w:t>
      </w:r>
    </w:p>
    <w:tbl>
      <w:tblPr>
        <w:tblStyle w:val="Table"/>
        <w:tblW w:type="pct" w:w="5000"/>
        <w:tblLook w:firstRow="1" w:lastRow="0" w:firstColumn="0" w:lastColumn="0" w:noHBand="0" w:noVBand="0" w:val="0020"/>
        <w:jc w:val="start"/>
      </w:tblPr>
      <w:tblGrid>
        <w:gridCol w:w="321"/>
        <w:gridCol w:w="643"/>
        <w:gridCol w:w="1352"/>
        <w:gridCol w:w="5601"/>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Target</w:t>
            </w:r>
          </w:p>
        </w:tc>
        <w:tc>
          <w:tcPr/>
          <w:p>
            <w:pPr>
              <w:pStyle w:val="Compact"/>
              <w:jc w:val="left"/>
            </w:pPr>
            <w:r>
              <w:t xml:space="preserve">Actions</w:t>
            </w:r>
          </w:p>
        </w:tc>
      </w:tr>
      <w:tr>
        <w:tc>
          <w:tcPr/>
          <w:p>
            <w:pPr>
              <w:pStyle w:val="Compact"/>
              <w:jc w:val="left"/>
            </w:pPr>
            <w:r>
              <w:t xml:space="preserve">0</w:t>
            </w:r>
          </w:p>
        </w:tc>
        <w:tc>
          <w:tcPr/>
          <w:p>
            <w:pPr>
              <w:pStyle w:val="Compact"/>
              <w:jc w:val="left"/>
            </w:pPr>
            <w:r>
              <w:t xml:space="preserve">Q1 2026</w:t>
            </w:r>
          </w:p>
        </w:tc>
        <w:tc>
          <w:tcPr/>
          <w:p>
            <w:pPr>
              <w:pStyle w:val="Compact"/>
              <w:jc w:val="left"/>
            </w:pPr>
            <w:r>
              <w:t xml:space="preserve">Supabase</w:t>
            </w:r>
          </w:p>
        </w:tc>
        <w:tc>
          <w:tcPr/>
          <w:p>
            <w:pPr>
              <w:pStyle w:val="Compact"/>
              <w:jc w:val="left"/>
            </w:pPr>
            <w:r>
              <w:t xml:space="preserve">Table partitioning, materialized views</w:t>
            </w:r>
          </w:p>
        </w:tc>
      </w:tr>
      <w:tr>
        <w:tc>
          <w:tcPr/>
          <w:p>
            <w:pPr>
              <w:pStyle w:val="Compact"/>
              <w:jc w:val="left"/>
            </w:pPr>
            <w:r>
              <w:t xml:space="preserve">1</w:t>
            </w:r>
          </w:p>
        </w:tc>
        <w:tc>
          <w:tcPr/>
          <w:p>
            <w:pPr>
              <w:pStyle w:val="Compact"/>
              <w:jc w:val="left"/>
            </w:pPr>
            <w:r>
              <w:t xml:space="preserve">Q2 2026</w:t>
            </w:r>
          </w:p>
        </w:tc>
        <w:tc>
          <w:tcPr/>
          <w:p>
            <w:pPr>
              <w:pStyle w:val="Compact"/>
              <w:jc w:val="left"/>
            </w:pPr>
            <w:r>
              <w:t xml:space="preserve">Aiven V1 + GN100 Edge</w:t>
            </w:r>
          </w:p>
        </w:tc>
        <w:tc>
          <w:tcPr/>
          <w:p>
            <w:pPr>
              <w:pStyle w:val="Compact"/>
              <w:jc w:val="left"/>
            </w:pPr>
            <w:r>
              <w:t xml:space="preserve">TimescaleDB Hypercore hypertables (Aiven), pg_duckdb + pgvector deployed on edge (done)</w:t>
            </w:r>
          </w:p>
        </w:tc>
      </w:tr>
      <w:tr>
        <w:tc>
          <w:tcPr/>
          <w:p>
            <w:pPr>
              <w:pStyle w:val="Compact"/>
              <w:jc w:val="left"/>
            </w:pPr>
            <w:r>
              <w:t xml:space="preserve">2</w:t>
            </w:r>
          </w:p>
        </w:tc>
        <w:tc>
          <w:tcPr/>
          <w:p>
            <w:pPr>
              <w:pStyle w:val="Compact"/>
              <w:jc w:val="left"/>
            </w:pPr>
            <w:r>
              <w:t xml:space="preserve">Q3-Q4 2026</w:t>
            </w:r>
          </w:p>
        </w:tc>
        <w:tc>
          <w:tcPr/>
          <w:p>
            <w:pPr>
              <w:pStyle w:val="Compact"/>
              <w:jc w:val="left"/>
            </w:pPr>
            <w:r>
              <w:t xml:space="preserve">Aiven + Edge</w:t>
            </w:r>
          </w:p>
        </w:tc>
        <w:tc>
          <w:tcPr/>
          <w:p>
            <w:pPr>
              <w:pStyle w:val="Compact"/>
              <w:jc w:val="left"/>
            </w:pPr>
            <w:r>
              <w:t xml:space="preserve">Audit log compression (98%), IoT hypertables, edge analytical queries</w:t>
            </w:r>
          </w:p>
        </w:tc>
      </w:tr>
      <w:tr>
        <w:tc>
          <w:tcPr/>
          <w:p>
            <w:pPr>
              <w:pStyle w:val="Compact"/>
              <w:jc w:val="left"/>
            </w:pPr>
            <w:r>
              <w:t xml:space="preserve">3</w:t>
            </w:r>
          </w:p>
        </w:tc>
        <w:tc>
          <w:tcPr/>
          <w:p>
            <w:pPr>
              <w:pStyle w:val="Compact"/>
              <w:jc w:val="left"/>
            </w:pPr>
            <w:r>
              <w:t xml:space="preserve">2027</w:t>
            </w:r>
          </w:p>
        </w:tc>
        <w:tc>
          <w:tcPr/>
          <w:p>
            <w:pPr>
              <w:pStyle w:val="Compact"/>
              <w:jc w:val="left"/>
            </w:pPr>
            <w:r>
              <w:t xml:space="preserve">Full HTAP</w:t>
            </w:r>
          </w:p>
        </w:tc>
        <w:tc>
          <w:tcPr/>
          <w:p>
            <w:pPr>
              <w:pStyle w:val="Compact"/>
              <w:jc w:val="left"/>
            </w:pPr>
            <w:r>
              <w:t xml:space="preserve">pg_mooncake lakehouse, Iceberg/Parquet</w:t>
            </w:r>
          </w:p>
        </w:tc>
      </w:tr>
    </w:tbl>
    <w:bookmarkEnd w:id="248"/>
    <w:bookmarkStart w:id="249" w:name="research-contribution-6"/>
    <w:p>
      <w:pPr>
        <w:pStyle w:val="Heading3"/>
      </w:pPr>
      <w:r>
        <w:t xml:space="preserve">10.15.6 Research Contribution</w:t>
      </w:r>
    </w:p>
    <w:p>
      <w:pPr>
        <w:pStyle w:val="FirstParagraph"/>
      </w:pPr>
      <w:r>
        <w:t xml:space="preserve">This work demonstrates that the</w:t>
      </w:r>
      <w:r>
        <w:t xml:space="preserve"> </w:t>
      </w:r>
      <w:r>
        <w:rPr>
          <w:bCs/>
          <w:b/>
        </w:rPr>
        <w:t xml:space="preserve">single-database HTAP pattern</w:t>
      </w:r>
      <w:r>
        <w:t xml:space="preserve"> </w:t>
      </w:r>
      <w:r>
        <w:t xml:space="preserve">is viable for regulated EU industrial platforms: same SQL, same clients, same RLS, zero ETL. The phased approach — starting with natively-supported extensions on a managed EU-sovereign provider (Aiven Finland) — eliminates the traditional choice between operational simplicity and analytical capability. The DWS Data Standard codifies this as an organizational standard, ensuring that storage engine decisions are deliberate, documented, and EU-compliant.</w:t>
      </w:r>
    </w:p>
    <w:p>
      <w:pPr>
        <w:pStyle w:val="BodyText"/>
      </w:pPr>
      <w:r>
        <w:t xml:space="preserve">The March 2026 Aiven whitelist finding adds a critical practical contribution:</w:t>
      </w:r>
      <w:r>
        <w:t xml:space="preserve"> </w:t>
      </w:r>
      <w:r>
        <w:rPr>
          <w:bCs/>
          <w:b/>
        </w:rPr>
        <w:t xml:space="preserve">managed-provider extension constraints drive architectural decisions in ways not captured by extension benchmarks alone.</w:t>
      </w:r>
      <w:r>
        <w:t xml:space="preserve"> </w:t>
      </w:r>
      <w:r>
        <w:t xml:space="preserve">The pg_duckdb extension achieves 50-600× analytical speedups but is unusable on Aiven managed PostgreSQL. This forced the two-tier HTAP architecture (Aiven managed + GN100 edge), demonstrating how real-world provider constraints shape database architecture for regulated EU deployments — a pattern likely applicable to any organization adopting managed PostgreSQL with HTAP ambitions.</w:t>
      </w:r>
    </w:p>
    <w:bookmarkEnd w:id="249"/>
    <w:bookmarkStart w:id="257" w:name="Xeed2d3b6f5ef39fe6b25e0d303e39b5ac18c570"/>
    <w:p>
      <w:pPr>
        <w:pStyle w:val="Heading3"/>
      </w:pPr>
      <w:r>
        <w:t xml:space="preserve">10.16 Harness Engineering — From Prompt Engineering to System Design</w:t>
      </w:r>
    </w:p>
    <w:p>
      <w:pPr>
        <w:pStyle w:val="FirstParagraph"/>
      </w:pPr>
      <w:r>
        <w:rPr>
          <w:bCs/>
          <w:b/>
        </w:rPr>
        <w:t xml:space="preserve">Source:</w:t>
      </w:r>
      <w:r>
        <w:t xml:space="preserve"> </w:t>
      </w:r>
      <w:r>
        <w:t xml:space="preserve">OpenAI,</w:t>
      </w:r>
      <w:r>
        <w:t xml:space="preserve"> </w:t>
      </w:r>
      <w:r>
        <w:t xml:space="preserve">“</w:t>
      </w:r>
      <w:r>
        <w:t xml:space="preserve">Harness engineering: leveraging Codex in an agent-first world</w:t>
      </w:r>
      <w:r>
        <w:t xml:space="preserve">”</w:t>
      </w:r>
      <w:r>
        <w:t xml:space="preserve">, 13.02.2026; Martin Fowler,</w:t>
      </w:r>
      <w:r>
        <w:t xml:space="preserve"> </w:t>
      </w:r>
      <w:r>
        <w:t xml:space="preserve">“</w:t>
      </w:r>
      <w:r>
        <w:t xml:space="preserve">Harness Engineering</w:t>
      </w:r>
      <w:r>
        <w:t xml:space="preserve">”</w:t>
      </w:r>
      <w:r>
        <w:t xml:space="preserve">, 2026; Datadog,</w:t>
      </w:r>
      <w:r>
        <w:t xml:space="preserve"> </w:t>
      </w:r>
      <w:r>
        <w:t xml:space="preserve">“</w:t>
      </w:r>
      <w:r>
        <w:t xml:space="preserve">Closing the verification loop</w:t>
      </w:r>
      <w:r>
        <w:t xml:space="preserve">”</w:t>
      </w:r>
      <w:r>
        <w:t xml:space="preserve">, 2026.</w:t>
      </w:r>
    </w:p>
    <w:p>
      <w:pPr>
        <w:pStyle w:val="BodyText"/>
      </w:pPr>
      <w:r>
        <w:rPr>
          <w:bCs/>
          <w:b/>
        </w:rPr>
        <w:t xml:space="preserve">Context:</w:t>
      </w:r>
      <w:r>
        <w:t xml:space="preserve"> </w:t>
      </w:r>
      <w:r>
        <w:t xml:space="preserve">OpenAI’s Harness team built a product in five months without writing a single line of code manually — one million lines, ~1,500 PRs, 3-7 engineers. This section analyzes the 8 harness engineering principles and compares them with DWS IQ 6’s independently developed architecture.</w:t>
      </w:r>
    </w:p>
    <w:bookmarkStart w:id="250" w:name="definition"/>
    <w:p>
      <w:pPr>
        <w:pStyle w:val="Heading4"/>
      </w:pPr>
      <w:r>
        <w:t xml:space="preserve">10.16.1 Definition</w:t>
      </w:r>
    </w:p>
    <w:p>
      <w:pPr>
        <w:pStyle w:val="FirstParagraph"/>
      </w:pPr>
      <w:r>
        <w:rPr>
          <w:bCs/>
          <w:b/>
        </w:rPr>
        <w:t xml:space="preserve">Harness</w:t>
      </w:r>
      <w:r>
        <w:t xml:space="preserve"> </w:t>
      </w:r>
      <w:r>
        <w:t xml:space="preserve">= the entire environment (scaffolding, constraints, feedback loops) surrounding an AI agent that enables stable, productive work.</w:t>
      </w:r>
    </w:p>
    <w:p>
      <w:pPr>
        <w:pStyle w:val="BodyText"/>
      </w:pPr>
      <w:r>
        <w:rPr>
          <w:bCs/>
          <w:b/>
        </w:rPr>
        <w:t xml:space="preserve">Harness Engineering</w:t>
      </w:r>
      <w:r>
        <w:t xml:space="preserve"> </w:t>
      </w:r>
      <w:r>
        <w:t xml:space="preserve">= the shift from writing code to:</w:t>
      </w:r>
    </w:p>
    <w:p>
      <w:pPr>
        <w:numPr>
          <w:ilvl w:val="0"/>
          <w:numId w:val="1083"/>
        </w:numPr>
        <w:pStyle w:val="Compact"/>
      </w:pPr>
      <w:r>
        <w:rPr>
          <w:bCs/>
          <w:b/>
        </w:rPr>
        <w:t xml:space="preserve">Environment design</w:t>
      </w:r>
      <w:r>
        <w:t xml:space="preserve"> </w:t>
      </w:r>
      <w:r>
        <w:t xml:space="preserve">— designing the workspace agents operate in</w:t>
      </w:r>
    </w:p>
    <w:p>
      <w:pPr>
        <w:numPr>
          <w:ilvl w:val="0"/>
          <w:numId w:val="1083"/>
        </w:numPr>
        <w:pStyle w:val="Compact"/>
      </w:pPr>
      <w:r>
        <w:rPr>
          <w:bCs/>
          <w:b/>
        </w:rPr>
        <w:t xml:space="preserve">Intent specification</w:t>
      </w:r>
      <w:r>
        <w:t xml:space="preserve"> </w:t>
      </w:r>
      <w:r>
        <w:t xml:space="preserve">— defining what needs to happen, not how</w:t>
      </w:r>
    </w:p>
    <w:p>
      <w:pPr>
        <w:numPr>
          <w:ilvl w:val="0"/>
          <w:numId w:val="1083"/>
        </w:numPr>
        <w:pStyle w:val="Compact"/>
      </w:pPr>
      <w:r>
        <w:rPr>
          <w:bCs/>
          <w:b/>
        </w:rPr>
        <w:t xml:space="preserve">Feedback loop construction</w:t>
      </w:r>
      <w:r>
        <w:t xml:space="preserve"> </w:t>
      </w:r>
      <w:r>
        <w:t xml:space="preserve">— building mechanisms for agents to self-correct</w:t>
      </w:r>
    </w:p>
    <w:p>
      <w:pPr>
        <w:pStyle w:val="FirstParagraph"/>
      </w:pPr>
      <w:r>
        <w:t xml:space="preserve">When something fails, the question is not</w:t>
      </w:r>
      <w:r>
        <w:t xml:space="preserve"> </w:t>
      </w:r>
      <w:r>
        <w:t xml:space="preserve">“</w:t>
      </w:r>
      <w:r>
        <w:t xml:space="preserve">try harder</w:t>
      </w:r>
      <w:r>
        <w:t xml:space="preserve">”</w:t>
      </w:r>
      <w:r>
        <w:t xml:space="preserve"> </w:t>
      </w:r>
      <w:r>
        <w:t xml:space="preserve">but</w:t>
      </w:r>
      <w:r>
        <w:t xml:space="preserve"> </w:t>
      </w:r>
      <w:r>
        <w:rPr>
          <w:bCs/>
          <w:b/>
        </w:rPr>
        <w:t xml:space="preserve">“</w:t>
      </w:r>
      <w:r>
        <w:rPr>
          <w:bCs/>
          <w:b/>
        </w:rPr>
        <w:t xml:space="preserve">what capability is missing?</w:t>
      </w:r>
      <w:r>
        <w:rPr>
          <w:bCs/>
          <w:b/>
        </w:rPr>
        <w:t xml:space="preserve">”</w:t>
      </w:r>
    </w:p>
    <w:bookmarkEnd w:id="250"/>
    <w:bookmarkStart w:id="251" w:name="the-eight-principles-dws-iq-6-comparison"/>
    <w:p>
      <w:pPr>
        <w:pStyle w:val="Heading4"/>
      </w:pPr>
      <w:r>
        <w:t xml:space="preserve">10.16.2 The Eight Principles — DWS IQ 6 Comparison</w:t>
      </w:r>
    </w:p>
    <w:tbl>
      <w:tblPr>
        <w:tblStyle w:val="Table"/>
        <w:tblW w:type="pct" w:w="5000"/>
        <w:tblLook w:firstRow="1" w:lastRow="0" w:firstColumn="0" w:lastColumn="0" w:noHBand="0" w:noVBand="0" w:val="0020"/>
        <w:jc w:val="start"/>
      </w:tblPr>
      <w:tblGrid>
        <w:gridCol w:w="153"/>
        <w:gridCol w:w="2043"/>
        <w:gridCol w:w="2248"/>
        <w:gridCol w:w="3014"/>
        <w:gridCol w:w="459"/>
      </w:tblGrid>
      <w:tr>
        <w:trPr>
          <w:tblHeader w:val="true"/>
        </w:trPr>
        <w:tc>
          <w:tcPr/>
          <w:p>
            <w:pPr>
              <w:pStyle w:val="Compact"/>
              <w:jc w:val="left"/>
            </w:pPr>
            <w:r>
              <w:t xml:space="preserve">#</w:t>
            </w:r>
          </w:p>
        </w:tc>
        <w:tc>
          <w:tcPr/>
          <w:p>
            <w:pPr>
              <w:pStyle w:val="Compact"/>
              <w:jc w:val="left"/>
            </w:pPr>
            <w:r>
              <w:t xml:space="preserve">Principle</w:t>
            </w:r>
          </w:p>
        </w:tc>
        <w:tc>
          <w:tcPr/>
          <w:p>
            <w:pPr>
              <w:pStyle w:val="Compact"/>
              <w:jc w:val="left"/>
            </w:pPr>
            <w:r>
              <w:t xml:space="preserve">OpenAI Approach</w:t>
            </w:r>
          </w:p>
        </w:tc>
        <w:tc>
          <w:tcPr/>
          <w:p>
            <w:pPr>
              <w:pStyle w:val="Compact"/>
              <w:jc w:val="left"/>
            </w:pPr>
            <w:r>
              <w:t xml:space="preserve">DWS IQ 6 Approach</w:t>
            </w:r>
          </w:p>
        </w:tc>
        <w:tc>
          <w:tcPr/>
          <w:p>
            <w:pPr>
              <w:pStyle w:val="Compact"/>
              <w:jc w:val="left"/>
            </w:pPr>
            <w:r>
              <w:t xml:space="preserve">Readiness</w:t>
            </w:r>
          </w:p>
        </w:tc>
      </w:tr>
      <w:tr>
        <w:tc>
          <w:tcPr/>
          <w:p>
            <w:pPr>
              <w:pStyle w:val="Compact"/>
              <w:jc w:val="left"/>
            </w:pPr>
            <w:r>
              <w:t xml:space="preserve">1</w:t>
            </w:r>
          </w:p>
        </w:tc>
        <w:tc>
          <w:tcPr/>
          <w:p>
            <w:pPr>
              <w:pStyle w:val="Compact"/>
              <w:jc w:val="left"/>
            </w:pPr>
            <w:r>
              <w:t xml:space="preserve">AGENTS.md = map, not encyclopedia</w:t>
            </w:r>
          </w:p>
        </w:tc>
        <w:tc>
          <w:tcPr/>
          <w:p>
            <w:pPr>
              <w:pStyle w:val="Compact"/>
              <w:jc w:val="left"/>
            </w:pPr>
            <w:r>
              <w:t xml:space="preserve">~100 lines, acts as table of contents</w:t>
            </w:r>
          </w:p>
        </w:tc>
        <w:tc>
          <w:tcPr/>
          <w:p>
            <w:pPr>
              <w:pStyle w:val="Compact"/>
              <w:jc w:val="left"/>
            </w:pPr>
            <w:r>
              <w:t xml:space="preserve">CLAUDE.md + AGENTS.md + JIT L0-L6 six-layer loading</w:t>
            </w:r>
          </w:p>
        </w:tc>
        <w:tc>
          <w:tcPr/>
          <w:p>
            <w:pPr>
              <w:pStyle w:val="Compact"/>
              <w:jc w:val="left"/>
            </w:pPr>
            <w:r>
              <w:rPr>
                <w:bCs/>
                <w:b/>
              </w:rPr>
              <w:t xml:space="preserve">90%</w:t>
            </w:r>
          </w:p>
        </w:tc>
      </w:tr>
      <w:tr>
        <w:tc>
          <w:tcPr/>
          <w:p>
            <w:pPr>
              <w:pStyle w:val="Compact"/>
              <w:jc w:val="left"/>
            </w:pPr>
            <w:r>
              <w:t xml:space="preserve">2</w:t>
            </w:r>
          </w:p>
        </w:tc>
        <w:tc>
          <w:tcPr/>
          <w:p>
            <w:pPr>
              <w:pStyle w:val="Compact"/>
              <w:jc w:val="left"/>
            </w:pPr>
            <w:r>
              <w:t xml:space="preserve">“</w:t>
            </w:r>
            <w:r>
              <w:t xml:space="preserve">Boring technology</w:t>
            </w:r>
            <w:r>
              <w:t xml:space="preserve">”</w:t>
            </w:r>
            <w:r>
              <w:t xml:space="preserve"> </w:t>
            </w:r>
            <w:r>
              <w:t xml:space="preserve">wins</w:t>
            </w:r>
          </w:p>
        </w:tc>
        <w:tc>
          <w:tcPr/>
          <w:p>
            <w:pPr>
              <w:pStyle w:val="Compact"/>
              <w:jc w:val="left"/>
            </w:pPr>
            <w:r>
              <w:t xml:space="preserve">Stable, well-documented tech stacks</w:t>
            </w:r>
          </w:p>
        </w:tc>
        <w:tc>
          <w:tcPr/>
          <w:p>
            <w:pPr>
              <w:pStyle w:val="Compact"/>
              <w:jc w:val="left"/>
            </w:pPr>
            <w:r>
              <w:t xml:space="preserve">Express 4, React 19, PostgreSQL — CLI-first mandate</w:t>
            </w:r>
          </w:p>
        </w:tc>
        <w:tc>
          <w:tcPr/>
          <w:p>
            <w:pPr>
              <w:pStyle w:val="Compact"/>
              <w:jc w:val="left"/>
            </w:pPr>
            <w:r>
              <w:rPr>
                <w:bCs/>
                <w:b/>
              </w:rPr>
              <w:t xml:space="preserve">95%</w:t>
            </w:r>
          </w:p>
        </w:tc>
      </w:tr>
      <w:tr>
        <w:tc>
          <w:tcPr/>
          <w:p>
            <w:pPr>
              <w:pStyle w:val="Compact"/>
              <w:jc w:val="left"/>
            </w:pPr>
            <w:r>
              <w:t xml:space="preserve">3</w:t>
            </w:r>
          </w:p>
        </w:tc>
        <w:tc>
          <w:tcPr/>
          <w:p>
            <w:pPr>
              <w:pStyle w:val="Compact"/>
              <w:jc w:val="left"/>
            </w:pPr>
            <w:r>
              <w:t xml:space="preserve">Golden Principles quality gates</w:t>
            </w:r>
          </w:p>
        </w:tc>
        <w:tc>
          <w:tcPr/>
          <w:p>
            <w:pPr>
              <w:pStyle w:val="Compact"/>
              <w:jc w:val="left"/>
            </w:pPr>
            <w:r>
              <w:t xml:space="preserve">Automated background scanning + fix PRs</w:t>
            </w:r>
          </w:p>
        </w:tc>
        <w:tc>
          <w:tcPr/>
          <w:p>
            <w:pPr>
              <w:pStyle w:val="Compact"/>
              <w:jc w:val="left"/>
            </w:pPr>
            <w:r>
              <w:t xml:space="preserve">11 standards + Boardy architect persona review</w:t>
            </w:r>
          </w:p>
        </w:tc>
        <w:tc>
          <w:tcPr/>
          <w:p>
            <w:pPr>
              <w:pStyle w:val="Compact"/>
              <w:jc w:val="left"/>
            </w:pPr>
            <w:r>
              <w:rPr>
                <w:bCs/>
                <w:b/>
              </w:rPr>
              <w:t xml:space="preserve">75%</w:t>
            </w:r>
          </w:p>
        </w:tc>
      </w:tr>
      <w:tr>
        <w:tc>
          <w:tcPr/>
          <w:p>
            <w:pPr>
              <w:pStyle w:val="Compact"/>
              <w:jc w:val="left"/>
            </w:pPr>
            <w:r>
              <w:t xml:space="preserve">4</w:t>
            </w:r>
          </w:p>
        </w:tc>
        <w:tc>
          <w:tcPr/>
          <w:p>
            <w:pPr>
              <w:pStyle w:val="Compact"/>
              <w:jc w:val="left"/>
            </w:pPr>
            <w:r>
              <w:t xml:space="preserve">Mechanical architecture enforcement</w:t>
            </w:r>
          </w:p>
        </w:tc>
        <w:tc>
          <w:tcPr/>
          <w:p>
            <w:pPr>
              <w:pStyle w:val="Compact"/>
              <w:jc w:val="left"/>
            </w:pPr>
            <w:r>
              <w:t xml:space="preserve">Linters with fix instructions in errors</w:t>
            </w:r>
          </w:p>
        </w:tc>
        <w:tc>
          <w:tcPr/>
          <w:p>
            <w:pPr>
              <w:pStyle w:val="Compact"/>
              <w:jc w:val="left"/>
            </w:pPr>
            <w:r>
              <w:t xml:space="preserve">ESLint + security coding rules (OWASP, SRI, CORS)</w:t>
            </w:r>
          </w:p>
        </w:tc>
        <w:tc>
          <w:tcPr/>
          <w:p>
            <w:pPr>
              <w:pStyle w:val="Compact"/>
              <w:jc w:val="left"/>
            </w:pPr>
            <w:r>
              <w:rPr>
                <w:bCs/>
                <w:b/>
              </w:rPr>
              <w:t xml:space="preserve">60%</w:t>
            </w:r>
          </w:p>
        </w:tc>
      </w:tr>
      <w:tr>
        <w:tc>
          <w:tcPr/>
          <w:p>
            <w:pPr>
              <w:pStyle w:val="Compact"/>
              <w:jc w:val="left"/>
            </w:pPr>
            <w:r>
              <w:t xml:space="preserve">5</w:t>
            </w:r>
          </w:p>
        </w:tc>
        <w:tc>
          <w:tcPr/>
          <w:p>
            <w:pPr>
              <w:pStyle w:val="Compact"/>
              <w:jc w:val="left"/>
            </w:pPr>
            <w:r>
              <w:t xml:space="preserve">Knowledge belongs in the repo</w:t>
            </w:r>
          </w:p>
        </w:tc>
        <w:tc>
          <w:tcPr/>
          <w:p>
            <w:pPr>
              <w:pStyle w:val="Compact"/>
              <w:jc w:val="left"/>
            </w:pPr>
            <w:r>
              <w:t xml:space="preserve">If it’s not in the repo, it doesn’t exist</w:t>
            </w:r>
          </w:p>
        </w:tc>
        <w:tc>
          <w:tcPr/>
          <w:p>
            <w:pPr>
              <w:pStyle w:val="Compact"/>
              <w:jc w:val="left"/>
            </w:pPr>
            <w:r>
              <w:t xml:space="preserve">71 docs + DWS Document Standard + VERSION AND AGENT HISTORY</w:t>
            </w:r>
          </w:p>
        </w:tc>
        <w:tc>
          <w:tcPr/>
          <w:p>
            <w:pPr>
              <w:pStyle w:val="Compact"/>
              <w:jc w:val="left"/>
            </w:pPr>
            <w:r>
              <w:rPr>
                <w:bCs/>
                <w:b/>
              </w:rPr>
              <w:t xml:space="preserve">95%</w:t>
            </w:r>
          </w:p>
        </w:tc>
      </w:tr>
      <w:tr>
        <w:tc>
          <w:tcPr/>
          <w:p>
            <w:pPr>
              <w:pStyle w:val="Compact"/>
              <w:jc w:val="left"/>
            </w:pPr>
            <w:r>
              <w:t xml:space="preserve">6</w:t>
            </w:r>
          </w:p>
        </w:tc>
        <w:tc>
          <w:tcPr/>
          <w:p>
            <w:pPr>
              <w:pStyle w:val="Compact"/>
              <w:jc w:val="left"/>
            </w:pPr>
            <w:r>
              <w:t xml:space="preserve">Agent-agent code review</w:t>
            </w:r>
          </w:p>
        </w:tc>
        <w:tc>
          <w:tcPr/>
          <w:p>
            <w:pPr>
              <w:pStyle w:val="Compact"/>
              <w:jc w:val="left"/>
            </w:pPr>
            <w:r>
              <w:t xml:space="preserve">“</w:t>
            </w:r>
            <w:r>
              <w:t xml:space="preserve">Ralph Wiggum Loop</w:t>
            </w:r>
            <w:r>
              <w:t xml:space="preserve">”</w:t>
            </w:r>
            <w:r>
              <w:t xml:space="preserve"> </w:t>
            </w:r>
            <w:r>
              <w:t xml:space="preserve">— self-review cycles</w:t>
            </w:r>
          </w:p>
        </w:tc>
        <w:tc>
          <w:tcPr/>
          <w:p>
            <w:pPr>
              <w:pStyle w:val="Compact"/>
              <w:jc w:val="left"/>
            </w:pPr>
            <w:r>
              <w:t xml:space="preserve">Simplify skill + Boardy + human-in-the-loop</w:t>
            </w:r>
          </w:p>
        </w:tc>
        <w:tc>
          <w:tcPr/>
          <w:p>
            <w:pPr>
              <w:pStyle w:val="Compact"/>
              <w:jc w:val="left"/>
            </w:pPr>
            <w:r>
              <w:rPr>
                <w:bCs/>
                <w:b/>
              </w:rPr>
              <w:t xml:space="preserve">50%</w:t>
            </w:r>
          </w:p>
        </w:tc>
      </w:tr>
      <w:tr>
        <w:tc>
          <w:tcPr/>
          <w:p>
            <w:pPr>
              <w:pStyle w:val="Compact"/>
              <w:jc w:val="left"/>
            </w:pPr>
            <w:r>
              <w:t xml:space="preserve">7</w:t>
            </w:r>
          </w:p>
        </w:tc>
        <w:tc>
          <w:tcPr/>
          <w:p>
            <w:pPr>
              <w:pStyle w:val="Compact"/>
              <w:jc w:val="left"/>
            </w:pPr>
            <w:r>
              <w:t xml:space="preserve">Compounding returns (build capabilities)</w:t>
            </w:r>
          </w:p>
        </w:tc>
        <w:tc>
          <w:tcPr/>
          <w:p>
            <w:pPr>
              <w:pStyle w:val="Compact"/>
              <w:jc w:val="left"/>
            </w:pPr>
            <w:r>
              <w:t xml:space="preserve">Diagnose missing capability, build into repo</w:t>
            </w:r>
          </w:p>
        </w:tc>
        <w:tc>
          <w:tcPr/>
          <w:p>
            <w:pPr>
              <w:pStyle w:val="Compact"/>
              <w:jc w:val="left"/>
            </w:pPr>
            <w:r>
              <w:t xml:space="preserve">10 skills + 16 agents + MCP Hub + workflow orchestration</w:t>
            </w:r>
          </w:p>
        </w:tc>
        <w:tc>
          <w:tcPr/>
          <w:p>
            <w:pPr>
              <w:pStyle w:val="Compact"/>
              <w:jc w:val="left"/>
            </w:pPr>
            <w:r>
              <w:rPr>
                <w:bCs/>
                <w:b/>
              </w:rPr>
              <w:t xml:space="preserve">85%</w:t>
            </w:r>
          </w:p>
        </w:tc>
      </w:tr>
      <w:tr>
        <w:tc>
          <w:tcPr/>
          <w:p>
            <w:pPr>
              <w:pStyle w:val="Compact"/>
              <w:jc w:val="left"/>
            </w:pPr>
            <w:r>
              <w:t xml:space="preserve">8</w:t>
            </w:r>
          </w:p>
        </w:tc>
        <w:tc>
          <w:tcPr/>
          <w:p>
            <w:pPr>
              <w:pStyle w:val="Compact"/>
              <w:jc w:val="left"/>
            </w:pPr>
            <w:r>
              <w:t xml:space="preserve">Engineers as environment designers</w:t>
            </w:r>
          </w:p>
        </w:tc>
        <w:tc>
          <w:tcPr/>
          <w:p>
            <w:pPr>
              <w:pStyle w:val="Compact"/>
              <w:jc w:val="left"/>
            </w:pPr>
            <w:r>
              <w:t xml:space="preserve">3.5 PR/engineer/day throughput</w:t>
            </w:r>
          </w:p>
        </w:tc>
        <w:tc>
          <w:tcPr/>
          <w:p>
            <w:pPr>
              <w:pStyle w:val="Compact"/>
              <w:jc w:val="left"/>
            </w:pPr>
            <w:r>
              <w:t xml:space="preserve">Worktree workflow + session handover protocol</w:t>
            </w:r>
          </w:p>
        </w:tc>
        <w:tc>
          <w:tcPr/>
          <w:p>
            <w:pPr>
              <w:pStyle w:val="Compact"/>
              <w:jc w:val="left"/>
            </w:pPr>
            <w:r>
              <w:rPr>
                <w:bCs/>
                <w:b/>
              </w:rPr>
              <w:t xml:space="preserve">80%</w:t>
            </w:r>
          </w:p>
        </w:tc>
      </w:tr>
    </w:tbl>
    <w:p>
      <w:pPr>
        <w:pStyle w:val="BodyText"/>
      </w:pPr>
      <w:r>
        <w:rPr>
          <w:bCs/>
          <w:b/>
        </w:rPr>
        <w:t xml:space="preserve">Overall DWS readiness: ~79%</w:t>
      </w:r>
      <w:r>
        <w:t xml:space="preserve"> </w:t>
      </w:r>
      <w:r>
        <w:t xml:space="preserve">against OpenAI’s harness engineering principles.</w:t>
      </w:r>
    </w:p>
    <w:bookmarkEnd w:id="251"/>
    <w:bookmarkStart w:id="252" w:name="Xc6df8628571b2cbb55601e4b27bc9457d2ada6d"/>
    <w:p>
      <w:pPr>
        <w:pStyle w:val="Heading4"/>
      </w:pPr>
      <w:r>
        <w:t xml:space="preserve">10.16.3 Key Empirical Finding: The Model Does Not Solve — The Harness Does</w:t>
      </w:r>
    </w:p>
    <w:p>
      <w:pPr>
        <w:pStyle w:val="FirstParagraph"/>
      </w:pPr>
      <w:r>
        <w:t xml:space="preserve">The most significant empirical finding from the harness engineering literature:</w:t>
      </w:r>
    </w:p>
    <w:p>
      <w:pPr>
        <w:pStyle w:val="BlockText"/>
      </w:pPr>
      <w:r>
        <w:t xml:space="preserve">The same model (gpt-5.2-codex) improved its benchmark results from</w:t>
      </w:r>
      <w:r>
        <w:t xml:space="preserve"> </w:t>
      </w:r>
      <w:r>
        <w:rPr>
          <w:bCs/>
          <w:b/>
        </w:rPr>
        <w:t xml:space="preserve">52.8% to 66.5%</w:t>
      </w:r>
      <w:r>
        <w:t xml:space="preserve"> </w:t>
      </w:r>
      <w:r>
        <w:t xml:space="preserve">purely through harness improvements (LangChain case). No model change — only system-level improvements.</w:t>
      </w:r>
    </w:p>
    <w:p>
      <w:pPr>
        <w:pStyle w:val="FirstParagraph"/>
      </w:pPr>
      <w:r>
        <w:t xml:space="preserve">This validates DWS IQ 6’s core architectural hypothesis:</w:t>
      </w:r>
      <w:r>
        <w:t xml:space="preserve"> </w:t>
      </w:r>
      <w:r>
        <w:rPr>
          <w:bCs/>
          <w:b/>
        </w:rPr>
        <w:t xml:space="preserve">the system surrounding the model matters more than the model itself.</w:t>
      </w:r>
      <w:r>
        <w:t xml:space="preserve"> </w:t>
      </w:r>
      <w:r>
        <w:t xml:space="preserve">DWS’s six-layer information architecture (L0 Platform Model → L6 Tool Result Injection) is a formalization of this principle.</w:t>
      </w:r>
    </w:p>
    <w:p>
      <w:pPr>
        <w:pStyle w:val="BodyText"/>
      </w:pPr>
      <w:r>
        <w:rPr>
          <w:bCs/>
          <w:b/>
        </w:rPr>
        <w:t xml:space="preserve">Progressive disclosure works empirically:</w:t>
      </w:r>
    </w:p>
    <w:p>
      <w:pPr>
        <w:numPr>
          <w:ilvl w:val="0"/>
          <w:numId w:val="1084"/>
        </w:numPr>
        <w:pStyle w:val="Compact"/>
      </w:pPr>
      <w:r>
        <w:t xml:space="preserve">Cursor achieved</w:t>
      </w:r>
      <w:r>
        <w:t xml:space="preserve"> </w:t>
      </w:r>
      <w:r>
        <w:rPr>
          <w:bCs/>
          <w:b/>
        </w:rPr>
        <w:t xml:space="preserve">46.9% token savings</w:t>
      </w:r>
      <w:r>
        <w:t xml:space="preserve"> </w:t>
      </w:r>
      <w:r>
        <w:t xml:space="preserve">through context management</w:t>
      </w:r>
    </w:p>
    <w:p>
      <w:pPr>
        <w:numPr>
          <w:ilvl w:val="0"/>
          <w:numId w:val="1084"/>
        </w:numPr>
        <w:pStyle w:val="Compact"/>
      </w:pPr>
      <w:r>
        <w:t xml:space="preserve">Vercel reduced context from</w:t>
      </w:r>
      <w:r>
        <w:t xml:space="preserve"> </w:t>
      </w:r>
      <w:r>
        <w:rPr>
          <w:bCs/>
          <w:b/>
        </w:rPr>
        <w:t xml:space="preserve">145K → 67K tokens</w:t>
      </w:r>
      <w:r>
        <w:t xml:space="preserve"> </w:t>
      </w:r>
      <w:r>
        <w:t xml:space="preserve">with JIT loading</w:t>
      </w:r>
    </w:p>
    <w:p>
      <w:pPr>
        <w:numPr>
          <w:ilvl w:val="0"/>
          <w:numId w:val="1084"/>
        </w:numPr>
        <w:pStyle w:val="Compact"/>
      </w:pPr>
      <w:r>
        <w:t xml:space="preserve">DWS’s L6 Tool Injection layer (system-reminder after every tool call) shows</w:t>
      </w:r>
      <w:r>
        <w:t xml:space="preserve"> </w:t>
      </w:r>
      <w:r>
        <w:rPr>
          <w:bCs/>
          <w:b/>
        </w:rPr>
        <w:t xml:space="preserve">15-47% better rule compliance</w:t>
      </w:r>
      <w:r>
        <w:t xml:space="preserve"> </w:t>
      </w:r>
      <w:r>
        <w:t xml:space="preserve">than system prompt alone</w:t>
      </w:r>
    </w:p>
    <w:bookmarkEnd w:id="252"/>
    <w:bookmarkStart w:id="253" w:name="Xf666f6993e79c7df4aabd9e96a7a6903c175526"/>
    <w:p>
      <w:pPr>
        <w:pStyle w:val="Heading4"/>
      </w:pPr>
      <w:r>
        <w:t xml:space="preserve">10.16.4 DWS Six-Layer Architecture (L0-L6) as Harness Formalization</w:t>
      </w:r>
    </w:p>
    <w:p>
      <w:pPr>
        <w:pStyle w:val="FirstParagraph"/>
      </w:pPr>
      <w:r>
        <w:t xml:space="preserve">DWS IQ 6 has independently developed a six-layer information architecture that formalizes the harness concept:</w:t>
      </w:r>
    </w:p>
    <w:tbl>
      <w:tblPr>
        <w:tblStyle w:val="Table"/>
        <w:tblW w:type="pct" w:w="5000"/>
        <w:tblLook w:firstRow="1" w:lastRow="0" w:firstColumn="0" w:lastColumn="0" w:noHBand="0" w:noVBand="0" w:val="0020"/>
        <w:jc w:val="start"/>
      </w:tblPr>
      <w:tblGrid>
        <w:gridCol w:w="528"/>
        <w:gridCol w:w="1848"/>
        <w:gridCol w:w="3520"/>
        <w:gridCol w:w="2023"/>
      </w:tblGrid>
      <w:tr>
        <w:trPr>
          <w:tblHeader w:val="true"/>
        </w:trPr>
        <w:tc>
          <w:tcPr/>
          <w:p>
            <w:pPr>
              <w:pStyle w:val="Compact"/>
              <w:jc w:val="left"/>
            </w:pPr>
            <w:r>
              <w:t xml:space="preserve">Layer</w:t>
            </w:r>
          </w:p>
        </w:tc>
        <w:tc>
          <w:tcPr/>
          <w:p>
            <w:pPr>
              <w:pStyle w:val="Compact"/>
              <w:jc w:val="left"/>
            </w:pPr>
            <w:r>
              <w:t xml:space="preserve">Name</w:t>
            </w:r>
          </w:p>
        </w:tc>
        <w:tc>
          <w:tcPr/>
          <w:p>
            <w:pPr>
              <w:pStyle w:val="Compact"/>
              <w:jc w:val="left"/>
            </w:pPr>
            <w:r>
              <w:t xml:space="preserve">Function</w:t>
            </w:r>
          </w:p>
        </w:tc>
        <w:tc>
          <w:tcPr/>
          <w:p>
            <w:pPr>
              <w:pStyle w:val="Compact"/>
              <w:jc w:val="left"/>
            </w:pPr>
            <w:r>
              <w:t xml:space="preserve">OpenAI Equivalent</w:t>
            </w:r>
          </w:p>
        </w:tc>
      </w:tr>
      <w:tr>
        <w:tc>
          <w:tcPr/>
          <w:p>
            <w:pPr>
              <w:pStyle w:val="Compact"/>
              <w:jc w:val="left"/>
            </w:pPr>
            <w:r>
              <w:rPr>
                <w:bCs/>
                <w:b/>
              </w:rPr>
              <w:t xml:space="preserve">L0</w:t>
            </w:r>
          </w:p>
        </w:tc>
        <w:tc>
          <w:tcPr/>
          <w:p>
            <w:pPr>
              <w:pStyle w:val="Compact"/>
              <w:jc w:val="left"/>
            </w:pPr>
            <w:r>
              <w:t xml:space="preserve">Platform Model</w:t>
            </w:r>
          </w:p>
        </w:tc>
        <w:tc>
          <w:tcPr/>
          <w:p>
            <w:pPr>
              <w:pStyle w:val="Compact"/>
              <w:jc w:val="left"/>
            </w:pPr>
            <w:r>
              <w:t xml:space="preserve">Base LLM capabilities</w:t>
            </w:r>
          </w:p>
        </w:tc>
        <w:tc>
          <w:tcPr/>
          <w:p>
            <w:pPr>
              <w:pStyle w:val="Compact"/>
              <w:jc w:val="left"/>
            </w:pPr>
            <w:r>
              <w:t xml:space="preserve">Implicit (Codex model)</w:t>
            </w:r>
          </w:p>
        </w:tc>
      </w:tr>
      <w:tr>
        <w:tc>
          <w:tcPr/>
          <w:p>
            <w:pPr>
              <w:pStyle w:val="Compact"/>
              <w:jc w:val="left"/>
            </w:pPr>
            <w:r>
              <w:rPr>
                <w:bCs/>
                <w:b/>
              </w:rPr>
              <w:t xml:space="preserve">L1</w:t>
            </w:r>
          </w:p>
        </w:tc>
        <w:tc>
          <w:tcPr/>
          <w:p>
            <w:pPr>
              <w:pStyle w:val="Compact"/>
              <w:jc w:val="left"/>
            </w:pPr>
            <w:r>
              <w:t xml:space="preserve">System Prompt</w:t>
            </w:r>
          </w:p>
        </w:tc>
        <w:tc>
          <w:tcPr/>
          <w:p>
            <w:pPr>
              <w:pStyle w:val="Compact"/>
              <w:jc w:val="left"/>
            </w:pPr>
            <w:r>
              <w:t xml:space="preserve">Session-level instructions</w:t>
            </w:r>
          </w:p>
        </w:tc>
        <w:tc>
          <w:tcPr/>
          <w:p>
            <w:pPr>
              <w:pStyle w:val="Compact"/>
              <w:jc w:val="left"/>
            </w:pPr>
            <w:r>
              <w:t xml:space="preserve">AGENTS.md injection</w:t>
            </w:r>
          </w:p>
        </w:tc>
      </w:tr>
      <w:tr>
        <w:tc>
          <w:tcPr/>
          <w:p>
            <w:pPr>
              <w:pStyle w:val="Compact"/>
              <w:jc w:val="left"/>
            </w:pPr>
            <w:r>
              <w:rPr>
                <w:bCs/>
                <w:b/>
              </w:rPr>
              <w:t xml:space="preserve">L2</w:t>
            </w:r>
          </w:p>
        </w:tc>
        <w:tc>
          <w:tcPr/>
          <w:p>
            <w:pPr>
              <w:pStyle w:val="Compact"/>
              <w:jc w:val="left"/>
            </w:pPr>
            <w:r>
              <w:t xml:space="preserve">Standards (JIT)</w:t>
            </w:r>
          </w:p>
        </w:tc>
        <w:tc>
          <w:tcPr/>
          <w:p>
            <w:pPr>
              <w:pStyle w:val="Compact"/>
              <w:jc w:val="left"/>
            </w:pPr>
            <w:r>
              <w:t xml:space="preserve">On-demand standard loading</w:t>
            </w:r>
          </w:p>
        </w:tc>
        <w:tc>
          <w:tcPr/>
          <w:p>
            <w:pPr>
              <w:pStyle w:val="Compact"/>
              <w:jc w:val="left"/>
            </w:pPr>
            <w:r>
              <w:t xml:space="preserve">docs/ folder references</w:t>
            </w:r>
          </w:p>
        </w:tc>
      </w:tr>
      <w:tr>
        <w:tc>
          <w:tcPr/>
          <w:p>
            <w:pPr>
              <w:pStyle w:val="Compact"/>
              <w:jc w:val="left"/>
            </w:pPr>
            <w:r>
              <w:rPr>
                <w:bCs/>
                <w:b/>
              </w:rPr>
              <w:t xml:space="preserve">L3</w:t>
            </w:r>
          </w:p>
        </w:tc>
        <w:tc>
          <w:tcPr/>
          <w:p>
            <w:pPr>
              <w:pStyle w:val="Compact"/>
              <w:jc w:val="left"/>
            </w:pPr>
            <w:r>
              <w:t xml:space="preserve">Task Context</w:t>
            </w:r>
          </w:p>
        </w:tc>
        <w:tc>
          <w:tcPr/>
          <w:p>
            <w:pPr>
              <w:pStyle w:val="Compact"/>
              <w:jc w:val="left"/>
            </w:pPr>
            <w:r>
              <w:t xml:space="preserve">Current task specification</w:t>
            </w:r>
          </w:p>
        </w:tc>
        <w:tc>
          <w:tcPr/>
          <w:p>
            <w:pPr>
              <w:pStyle w:val="Compact"/>
              <w:jc w:val="left"/>
            </w:pPr>
            <w:r>
              <w:t xml:space="preserve">PR description + issue</w:t>
            </w:r>
          </w:p>
        </w:tc>
      </w:tr>
      <w:tr>
        <w:tc>
          <w:tcPr/>
          <w:p>
            <w:pPr>
              <w:pStyle w:val="Compact"/>
              <w:jc w:val="left"/>
            </w:pPr>
            <w:r>
              <w:rPr>
                <w:bCs/>
                <w:b/>
              </w:rPr>
              <w:t xml:space="preserve">L4</w:t>
            </w:r>
          </w:p>
        </w:tc>
        <w:tc>
          <w:tcPr/>
          <w:p>
            <w:pPr>
              <w:pStyle w:val="Compact"/>
              <w:jc w:val="left"/>
            </w:pPr>
            <w:r>
              <w:t xml:space="preserve">Auto-Learned State</w:t>
            </w:r>
          </w:p>
        </w:tc>
        <w:tc>
          <w:tcPr/>
          <w:p>
            <w:pPr>
              <w:pStyle w:val="Compact"/>
              <w:jc w:val="left"/>
            </w:pPr>
            <w:r>
              <w:t xml:space="preserve">Persistent memory (Supabase + MEMORY.md)</w:t>
            </w:r>
          </w:p>
        </w:tc>
        <w:tc>
          <w:tcPr/>
          <w:p>
            <w:pPr>
              <w:pStyle w:val="Compact"/>
              <w:jc w:val="left"/>
            </w:pPr>
            <w:r>
              <w:t xml:space="preserve">Not described by OpenAI</w:t>
            </w:r>
          </w:p>
        </w:tc>
      </w:tr>
      <w:tr>
        <w:tc>
          <w:tcPr/>
          <w:p>
            <w:pPr>
              <w:pStyle w:val="Compact"/>
              <w:jc w:val="left"/>
            </w:pPr>
            <w:r>
              <w:rPr>
                <w:bCs/>
                <w:b/>
              </w:rPr>
              <w:t xml:space="preserve">L5</w:t>
            </w:r>
          </w:p>
        </w:tc>
        <w:tc>
          <w:tcPr/>
          <w:p>
            <w:pPr>
              <w:pStyle w:val="Compact"/>
              <w:jc w:val="left"/>
            </w:pPr>
            <w:r>
              <w:t xml:space="preserve">Tool Results</w:t>
            </w:r>
          </w:p>
        </w:tc>
        <w:tc>
          <w:tcPr/>
          <w:p>
            <w:pPr>
              <w:pStyle w:val="Compact"/>
              <w:jc w:val="left"/>
            </w:pPr>
            <w:r>
              <w:t xml:space="preserve">Output from tool executions</w:t>
            </w:r>
          </w:p>
        </w:tc>
        <w:tc>
          <w:tcPr/>
          <w:p>
            <w:pPr>
              <w:pStyle w:val="Compact"/>
              <w:jc w:val="left"/>
            </w:pPr>
            <w:r>
              <w:t xml:space="preserve">Agent loop tool calls</w:t>
            </w:r>
          </w:p>
        </w:tc>
      </w:tr>
      <w:tr>
        <w:tc>
          <w:tcPr/>
          <w:p>
            <w:pPr>
              <w:pStyle w:val="Compact"/>
              <w:jc w:val="left"/>
            </w:pPr>
            <w:r>
              <w:rPr>
                <w:bCs/>
                <w:b/>
              </w:rPr>
              <w:t xml:space="preserve">L6</w:t>
            </w:r>
          </w:p>
        </w:tc>
        <w:tc>
          <w:tcPr/>
          <w:p>
            <w:pPr>
              <w:pStyle w:val="Compact"/>
              <w:jc w:val="left"/>
            </w:pPr>
            <w:r>
              <w:t xml:space="preserve">Tool Result Injection</w:t>
            </w:r>
          </w:p>
        </w:tc>
        <w:tc>
          <w:tcPr/>
          <w:p>
            <w:pPr>
              <w:pStyle w:val="Compact"/>
              <w:jc w:val="left"/>
            </w:pPr>
            <w:r>
              <w:t xml:space="preserve">System reminders after each tool call</w:t>
            </w:r>
          </w:p>
        </w:tc>
        <w:tc>
          <w:tcPr/>
          <w:p>
            <w:pPr>
              <w:pStyle w:val="Compact"/>
              <w:jc w:val="left"/>
            </w:pPr>
            <w:r>
              <w:t xml:space="preserve">Not described by OpenAI</w:t>
            </w:r>
          </w:p>
        </w:tc>
      </w:tr>
    </w:tbl>
    <w:p>
      <w:pPr>
        <w:pStyle w:val="BodyText"/>
      </w:pPr>
      <w:r>
        <w:rPr>
          <w:bCs/>
          <w:b/>
        </w:rPr>
        <w:t xml:space="preserve">DWS innovations beyond OpenAI:</w:t>
      </w:r>
    </w:p>
    <w:p>
      <w:pPr>
        <w:numPr>
          <w:ilvl w:val="0"/>
          <w:numId w:val="1085"/>
        </w:numPr>
        <w:pStyle w:val="Compact"/>
      </w:pPr>
      <w:r>
        <w:rPr>
          <w:bCs/>
          <w:b/>
        </w:rPr>
        <w:t xml:space="preserve">L4 Auto-Learned State:</w:t>
      </w:r>
      <w:r>
        <w:t xml:space="preserve"> </w:t>
      </w:r>
      <w:r>
        <w:t xml:space="preserve">Agents learn across sessions via persistent memory — OpenAI does not describe equivalent capability</w:t>
      </w:r>
    </w:p>
    <w:p>
      <w:pPr>
        <w:numPr>
          <w:ilvl w:val="0"/>
          <w:numId w:val="1085"/>
        </w:numPr>
        <w:pStyle w:val="Compact"/>
      </w:pPr>
      <w:r>
        <w:rPr>
          <w:bCs/>
          <w:b/>
        </w:rPr>
        <w:t xml:space="preserve">L6 Tool Result Injection:</w:t>
      </w:r>
      <w:r>
        <w:t xml:space="preserve"> </w:t>
      </w:r>
      <w:r>
        <w:t xml:space="preserve">System reminders injected after every tool call, achieving 15-47% better standard compliance than prompt-only approaches</w:t>
      </w:r>
    </w:p>
    <w:p>
      <w:pPr>
        <w:numPr>
          <w:ilvl w:val="0"/>
          <w:numId w:val="1085"/>
        </w:numPr>
        <w:pStyle w:val="Compact"/>
      </w:pPr>
      <w:r>
        <w:rPr>
          <w:bCs/>
          <w:b/>
        </w:rPr>
        <w:t xml:space="preserve">12 Factor Agents compliance:</w:t>
      </w:r>
      <w:r>
        <w:t xml:space="preserve"> </w:t>
      </w:r>
      <w:r>
        <w:t xml:space="preserve">DWS documents 12/12 compliance with the 12 Factor Agents framework — OpenAI does not reference this</w:t>
      </w:r>
    </w:p>
    <w:bookmarkEnd w:id="253"/>
    <w:bookmarkStart w:id="254" w:name="Xa4ecf34a84c62df551e3b9b908aff279ac32601"/>
    <w:p>
      <w:pPr>
        <w:pStyle w:val="Heading4"/>
      </w:pPr>
      <w:r>
        <w:t xml:space="preserve">10.16.5 EU Regulation Requires a Different Harness</w:t>
      </w:r>
    </w:p>
    <w:p>
      <w:pPr>
        <w:pStyle w:val="FirstParagraph"/>
      </w:pPr>
      <w:r>
        <w:t xml:space="preserve">The most significant divergence between OpenAI and DWS approaches stems from regulatory context:</w:t>
      </w:r>
    </w:p>
    <w:tbl>
      <w:tblPr>
        <w:tblStyle w:val="Table"/>
        <w:tblW w:type="pct" w:w="5000"/>
        <w:tblLook w:firstRow="1" w:lastRow="0" w:firstColumn="0" w:lastColumn="0" w:noHBand="0" w:noVBand="0" w:val="0020"/>
        <w:jc w:val="start"/>
      </w:tblPr>
      <w:tblGrid>
        <w:gridCol w:w="1493"/>
        <w:gridCol w:w="2337"/>
        <w:gridCol w:w="4089"/>
      </w:tblGrid>
      <w:tr>
        <w:trPr>
          <w:tblHeader w:val="true"/>
        </w:trPr>
        <w:tc>
          <w:tcPr/>
          <w:p>
            <w:pPr>
              <w:pStyle w:val="Compact"/>
              <w:jc w:val="left"/>
            </w:pPr>
            <w:r>
              <w:t xml:space="preserve">Dimension</w:t>
            </w:r>
          </w:p>
        </w:tc>
        <w:tc>
          <w:tcPr/>
          <w:p>
            <w:pPr>
              <w:pStyle w:val="Compact"/>
              <w:jc w:val="left"/>
            </w:pPr>
            <w:r>
              <w:t xml:space="preserve">OpenAI (Silicon Valley)</w:t>
            </w:r>
          </w:p>
        </w:tc>
        <w:tc>
          <w:tcPr/>
          <w:p>
            <w:pPr>
              <w:pStyle w:val="Compact"/>
              <w:jc w:val="left"/>
            </w:pPr>
            <w:r>
              <w:t xml:space="preserve">DWS IQ 6 (EU-regulated)</w:t>
            </w:r>
          </w:p>
        </w:tc>
      </w:tr>
      <w:tr>
        <w:tc>
          <w:tcPr/>
          <w:p>
            <w:pPr>
              <w:pStyle w:val="Compact"/>
              <w:jc w:val="left"/>
            </w:pPr>
            <w:r>
              <w:rPr>
                <w:bCs/>
                <w:b/>
              </w:rPr>
              <w:t xml:space="preserve">Optimization target</w:t>
            </w:r>
          </w:p>
        </w:tc>
        <w:tc>
          <w:tcPr/>
          <w:p>
            <w:pPr>
              <w:pStyle w:val="Compact"/>
              <w:jc w:val="left"/>
            </w:pPr>
            <w:r>
              <w:t xml:space="preserve">Speed (3.5 PR/engineer/day)</w:t>
            </w:r>
          </w:p>
        </w:tc>
        <w:tc>
          <w:tcPr/>
          <w:p>
            <w:pPr>
              <w:pStyle w:val="Compact"/>
              <w:jc w:val="left"/>
            </w:pPr>
            <w:r>
              <w:t xml:space="preserve">Traceability, auditability, human-in-the-loop</w:t>
            </w:r>
          </w:p>
        </w:tc>
      </w:tr>
      <w:tr>
        <w:tc>
          <w:tcPr/>
          <w:p>
            <w:pPr>
              <w:pStyle w:val="Compact"/>
              <w:jc w:val="left"/>
            </w:pPr>
            <w:r>
              <w:rPr>
                <w:bCs/>
                <w:b/>
              </w:rPr>
              <w:t xml:space="preserve">Autonomy level</w:t>
            </w:r>
          </w:p>
        </w:tc>
        <w:tc>
          <w:tcPr/>
          <w:p>
            <w:pPr>
              <w:pStyle w:val="Compact"/>
              <w:jc w:val="left"/>
            </w:pPr>
            <w:r>
              <w:t xml:space="preserve">Near-full agent autonomy</w:t>
            </w:r>
          </w:p>
        </w:tc>
        <w:tc>
          <w:tcPr/>
          <w:p>
            <w:pPr>
              <w:pStyle w:val="Compact"/>
              <w:jc w:val="left"/>
            </w:pPr>
            <w:r>
              <w:t xml:space="preserve">Human remains final approver (Karpathy principles)</w:t>
            </w:r>
          </w:p>
        </w:tc>
      </w:tr>
      <w:tr>
        <w:tc>
          <w:tcPr/>
          <w:p>
            <w:pPr>
              <w:pStyle w:val="Compact"/>
              <w:jc w:val="left"/>
            </w:pPr>
            <w:r>
              <w:rPr>
                <w:bCs/>
                <w:b/>
              </w:rPr>
              <w:t xml:space="preserve">Code review</w:t>
            </w:r>
          </w:p>
        </w:tc>
        <w:tc>
          <w:tcPr/>
          <w:p>
            <w:pPr>
              <w:pStyle w:val="Compact"/>
              <w:jc w:val="left"/>
            </w:pPr>
            <w:r>
              <w:t xml:space="preserve">Agent-agent only (Ralph Wiggum Loop)</w:t>
            </w:r>
          </w:p>
        </w:tc>
        <w:tc>
          <w:tcPr/>
          <w:p>
            <w:pPr>
              <w:pStyle w:val="Compact"/>
              <w:jc w:val="left"/>
            </w:pPr>
            <w:r>
              <w:t xml:space="preserve">Agent pre-review + human final approval</w:t>
            </w:r>
          </w:p>
        </w:tc>
      </w:tr>
      <w:tr>
        <w:tc>
          <w:tcPr/>
          <w:p>
            <w:pPr>
              <w:pStyle w:val="Compact"/>
              <w:jc w:val="left"/>
            </w:pPr>
            <w:r>
              <w:rPr>
                <w:bCs/>
                <w:b/>
              </w:rPr>
              <w:t xml:space="preserve">Audit trail</w:t>
            </w:r>
          </w:p>
        </w:tc>
        <w:tc>
          <w:tcPr/>
          <w:p>
            <w:pPr>
              <w:pStyle w:val="Compact"/>
              <w:jc w:val="left"/>
            </w:pPr>
            <w:r>
              <w:t xml:space="preserve">Not described</w:t>
            </w:r>
          </w:p>
        </w:tc>
        <w:tc>
          <w:tcPr/>
          <w:p>
            <w:pPr>
              <w:pStyle w:val="Compact"/>
              <w:jc w:val="left"/>
            </w:pPr>
            <w:r>
              <w:t xml:space="preserve">VERSION AND AGENT HISTORY in every document, court-defensible</w:t>
            </w:r>
          </w:p>
        </w:tc>
      </w:tr>
      <w:tr>
        <w:tc>
          <w:tcPr/>
          <w:p>
            <w:pPr>
              <w:pStyle w:val="Compact"/>
              <w:jc w:val="left"/>
            </w:pPr>
            <w:r>
              <w:rPr>
                <w:bCs/>
                <w:b/>
              </w:rPr>
              <w:t xml:space="preserve">Data residency</w:t>
            </w:r>
          </w:p>
        </w:tc>
        <w:tc>
          <w:tcPr/>
          <w:p>
            <w:pPr>
              <w:pStyle w:val="Compact"/>
              <w:jc w:val="left"/>
            </w:pPr>
            <w:r>
              <w:t xml:space="preserve">US-centric</w:t>
            </w:r>
          </w:p>
        </w:tc>
        <w:tc>
          <w:tcPr/>
          <w:p>
            <w:pPr>
              <w:pStyle w:val="Compact"/>
              <w:jc w:val="left"/>
            </w:pPr>
            <w:r>
              <w:t xml:space="preserve">EU data residency (Finland/Germany), GDPR, EU AI Act</w:t>
            </w:r>
          </w:p>
        </w:tc>
      </w:tr>
      <w:tr>
        <w:tc>
          <w:tcPr/>
          <w:p>
            <w:pPr>
              <w:pStyle w:val="Compact"/>
              <w:jc w:val="left"/>
            </w:pPr>
            <w:r>
              <w:rPr>
                <w:bCs/>
                <w:b/>
              </w:rPr>
              <w:t xml:space="preserve">Industries served</w:t>
            </w:r>
          </w:p>
        </w:tc>
        <w:tc>
          <w:tcPr/>
          <w:p>
            <w:pPr>
              <w:pStyle w:val="Compact"/>
              <w:jc w:val="left"/>
            </w:pPr>
            <w:r>
              <w:t xml:space="preserve">Internal tooling</w:t>
            </w:r>
          </w:p>
        </w:tc>
        <w:tc>
          <w:tcPr/>
          <w:p>
            <w:pPr>
              <w:pStyle w:val="Compact"/>
              <w:jc w:val="left"/>
            </w:pPr>
            <w:r>
              <w:t xml:space="preserve">20 EU-regulated industries (construction, energy, chemicals…)</w:t>
            </w:r>
          </w:p>
        </w:tc>
      </w:tr>
    </w:tbl>
    <w:p>
      <w:pPr>
        <w:pStyle w:val="BodyText"/>
      </w:pPr>
      <w:r>
        <w:rPr>
          <w:bCs/>
          <w:b/>
        </w:rPr>
        <w:t xml:space="preserve">Thesis argument:</w:t>
      </w:r>
      <w:r>
        <w:t xml:space="preserve"> </w:t>
      </w:r>
      <w:r>
        <w:t xml:space="preserve">Both approaches are valid, but for different contexts. OpenAI optimizes for velocity in an unregulated internal environment. DWS optimizes for compliance, traceability, and trust in EU-regulated industries where autonomous agent decisions carry legal liability.</w:t>
      </w:r>
    </w:p>
    <w:p>
      <w:pPr>
        <w:pStyle w:val="BodyText"/>
      </w:pPr>
      <w:r>
        <w:t xml:space="preserve">The EU AI Act (effective August 2026) explicitly requires:</w:t>
      </w:r>
    </w:p>
    <w:p>
      <w:pPr>
        <w:numPr>
          <w:ilvl w:val="0"/>
          <w:numId w:val="1086"/>
        </w:numPr>
        <w:pStyle w:val="Compact"/>
      </w:pPr>
      <w:r>
        <w:rPr>
          <w:bCs/>
          <w:b/>
        </w:rPr>
        <w:t xml:space="preserve">Article 12:</w:t>
      </w:r>
      <w:r>
        <w:t xml:space="preserve"> </w:t>
      </w:r>
      <w:r>
        <w:t xml:space="preserve">Logging of AI system operations for at least 7 years</w:t>
      </w:r>
    </w:p>
    <w:p>
      <w:pPr>
        <w:numPr>
          <w:ilvl w:val="0"/>
          <w:numId w:val="1086"/>
        </w:numPr>
        <w:pStyle w:val="Compact"/>
      </w:pPr>
      <w:r>
        <w:rPr>
          <w:bCs/>
          <w:b/>
        </w:rPr>
        <w:t xml:space="preserve">Article 14:</w:t>
      </w:r>
      <w:r>
        <w:t xml:space="preserve"> </w:t>
      </w:r>
      <w:r>
        <w:t xml:space="preserve">Human oversight of high-risk AI systems</w:t>
      </w:r>
    </w:p>
    <w:p>
      <w:pPr>
        <w:numPr>
          <w:ilvl w:val="0"/>
          <w:numId w:val="1086"/>
        </w:numPr>
        <w:pStyle w:val="Compact"/>
      </w:pPr>
      <w:r>
        <w:rPr>
          <w:bCs/>
          <w:b/>
        </w:rPr>
        <w:t xml:space="preserve">Article 15:</w:t>
      </w:r>
      <w:r>
        <w:t xml:space="preserve"> </w:t>
      </w:r>
      <w:r>
        <w:t xml:space="preserve">Accuracy, robustness, and cybersecurity requirements</w:t>
      </w:r>
    </w:p>
    <w:p>
      <w:pPr>
        <w:pStyle w:val="FirstParagraph"/>
      </w:pPr>
      <w:r>
        <w:t xml:space="preserve">These requirements make OpenAI’s</w:t>
      </w:r>
      <w:r>
        <w:t xml:space="preserve"> </w:t>
      </w:r>
      <w:r>
        <w:t xml:space="preserve">“</w:t>
      </w:r>
      <w:r>
        <w:t xml:space="preserve">full autonomy</w:t>
      </w:r>
      <w:r>
        <w:t xml:space="preserve">”</w:t>
      </w:r>
      <w:r>
        <w:t xml:space="preserve"> </w:t>
      </w:r>
      <w:r>
        <w:t xml:space="preserve">model non-compliant for high-risk applications in EU-regulated industries. DWS’s human-in-the-loop harness is not a limitation — it is an architectural response to regulatory requirements.</w:t>
      </w:r>
    </w:p>
    <w:bookmarkEnd w:id="254"/>
    <w:bookmarkStart w:id="255" w:name="open-research-questions"/>
    <w:p>
      <w:pPr>
        <w:pStyle w:val="Heading4"/>
      </w:pPr>
      <w:r>
        <w:t xml:space="preserve">10.16.6 Open Research Questions</w:t>
      </w:r>
    </w:p>
    <w:p>
      <w:pPr>
        <w:numPr>
          <w:ilvl w:val="0"/>
          <w:numId w:val="1087"/>
        </w:numPr>
      </w:pPr>
      <w:r>
        <w:rPr>
          <w:bCs/>
          <w:b/>
        </w:rPr>
        <w:t xml:space="preserve">Does the harness model scale to EU-regulated industries?</w:t>
      </w:r>
      <w:r>
        <w:t xml:space="preserve"> </w:t>
      </w:r>
      <w:r>
        <w:t xml:space="preserve">OpenAI’s case is internal tooling without regulatory requirements. DWS operates across 20 regulated industries — empirical validation is ongoing.</w:t>
      </w:r>
    </w:p>
    <w:p>
      <w:pPr>
        <w:numPr>
          <w:ilvl w:val="0"/>
          <w:numId w:val="1087"/>
        </w:numPr>
      </w:pPr>
      <w:r>
        <w:rPr>
          <w:bCs/>
          <w:b/>
        </w:rPr>
        <w:t xml:space="preserve">What is the optimal autonomy level?</w:t>
      </w:r>
      <w:r>
        <w:t xml:space="preserve"> </w:t>
      </w:r>
      <w:r>
        <w:t xml:space="preserve">OpenAI: near-full autonomy. DWS: human-in-the-loop. Which produces better outcomes in regulated contexts?</w:t>
      </w:r>
    </w:p>
    <w:p>
      <w:pPr>
        <w:numPr>
          <w:ilvl w:val="0"/>
          <w:numId w:val="1087"/>
        </w:numPr>
      </w:pPr>
      <w:r>
        <w:rPr>
          <w:bCs/>
          <w:b/>
        </w:rPr>
        <w:t xml:space="preserve">Is the six-layer context architecture generalizable?</w:t>
      </w:r>
      <w:r>
        <w:t xml:space="preserve"> </w:t>
      </w:r>
      <w:r>
        <w:t xml:space="preserve">DWS’s L0-L6 model is specific to its standards ecosystem, but the principles may be universal.</w:t>
      </w:r>
    </w:p>
    <w:p>
      <w:pPr>
        <w:numPr>
          <w:ilvl w:val="0"/>
          <w:numId w:val="1087"/>
        </w:numPr>
      </w:pPr>
      <w:r>
        <w:rPr>
          <w:bCs/>
          <w:b/>
        </w:rPr>
        <w:t xml:space="preserve">Verification gap:</w:t>
      </w:r>
      <w:r>
        <w:t xml:space="preserve"> </w:t>
      </w:r>
      <w:r>
        <w:t xml:space="preserve">Martin Fowler noted that OpenAI’s article lacks behavioral verification — how does the harness ensure generated code does the right thing, not just compiles?</w:t>
      </w:r>
    </w:p>
    <w:bookmarkEnd w:id="255"/>
    <w:bookmarkStart w:id="256" w:name="research-contribution-7"/>
    <w:p>
      <w:pPr>
        <w:pStyle w:val="Heading4"/>
      </w:pPr>
      <w:r>
        <w:t xml:space="preserve">10.16.7 Research Contribution</w:t>
      </w:r>
    </w:p>
    <w:p>
      <w:pPr>
        <w:pStyle w:val="FirstParagraph"/>
      </w:pPr>
      <w:r>
        <w:t xml:space="preserve">This section contributes three findings to the harness engineering discourse:</w:t>
      </w:r>
    </w:p>
    <w:p>
      <w:pPr>
        <w:numPr>
          <w:ilvl w:val="0"/>
          <w:numId w:val="1088"/>
        </w:numPr>
      </w:pPr>
      <w:r>
        <w:rPr>
          <w:bCs/>
          <w:b/>
        </w:rPr>
        <w:t xml:space="preserve">Formalization:</w:t>
      </w:r>
      <w:r>
        <w:t xml:space="preserve"> </w:t>
      </w:r>
      <w:r>
        <w:t xml:space="preserve">DWS’s L0-L6 six-layer architecture provides a formal framework for what OpenAI describes informally. This makes harness design reproducible and auditable.</w:t>
      </w:r>
    </w:p>
    <w:p>
      <w:pPr>
        <w:numPr>
          <w:ilvl w:val="0"/>
          <w:numId w:val="1088"/>
        </w:numPr>
      </w:pPr>
      <w:r>
        <w:rPr>
          <w:bCs/>
          <w:b/>
        </w:rPr>
        <w:t xml:space="preserve">Regulatory divergence:</w:t>
      </w:r>
      <w:r>
        <w:t xml:space="preserve"> </w:t>
      </w:r>
      <w:r>
        <w:t xml:space="preserve">EU-regulated industries require fundamentally different harness design — prioritizing traceability and human oversight over speed. This is not a weakness but an architectural constraint analogous to how Aiven’s extension whitelist drives database architecture (Section 10.15).</w:t>
      </w:r>
    </w:p>
    <w:p>
      <w:pPr>
        <w:numPr>
          <w:ilvl w:val="0"/>
          <w:numId w:val="1088"/>
        </w:numPr>
      </w:pPr>
      <w:r>
        <w:rPr>
          <w:bCs/>
          <w:b/>
        </w:rPr>
        <w:t xml:space="preserve">Empirical confirmation:</w:t>
      </w:r>
      <w:r>
        <w:t xml:space="preserve"> </w:t>
      </w:r>
      <w:r>
        <w:t xml:space="preserve">The 52.8% → 66.5% improvement from harness alone (not model change) validates DWS’s investment in system architecture over model selection. The six-layer architecture, DWS Document Standard, and progressive disclosure are all harness engineering practices developed independently before OpenAI published its findings.</w:t>
      </w:r>
    </w:p>
    <w:bookmarkEnd w:id="256"/>
    <w:bookmarkEnd w:id="257"/>
    <w:bookmarkStart w:id="264" w:name="X82c3cb5b3f96223a00cb9a57ff5ba43a4ef193f"/>
    <w:p>
      <w:pPr>
        <w:pStyle w:val="Heading3"/>
      </w:pPr>
      <w:r>
        <w:t xml:space="preserve">10.17 Conclusion: The Carbon Balance Sheet as Compliance Infrastructure</w:t>
      </w:r>
    </w:p>
    <w:bookmarkStart w:id="258" w:name="from-reporting-to-reconciliation"/>
    <w:p>
      <w:pPr>
        <w:pStyle w:val="Heading4"/>
      </w:pPr>
      <w:r>
        <w:t xml:space="preserve">10.17.1 From Reporting to Reconciliation</w:t>
      </w:r>
    </w:p>
    <w:p>
      <w:pPr>
        <w:pStyle w:val="FirstParagraph"/>
      </w:pPr>
      <w:r>
        <w:t xml:space="preserve">The central finding of this thesis is that EU climate compliance across ETS, CBAM, CSRD, and the EU Taxonomy is not a reporting problem — it is a</w:t>
      </w:r>
      <w:r>
        <w:t xml:space="preserve"> </w:t>
      </w:r>
      <w:r>
        <w:rPr>
          <w:bCs/>
          <w:b/>
        </w:rPr>
        <w:t xml:space="preserve">ledger problem</w:t>
      </w:r>
      <w:r>
        <w:t xml:space="preserve">. The same tonne of CO2e that appears as an ETS surrender debit for a steel mill becomes a CBAM embedded emission for the importer, becomes a CSRD Scope 3 upstream disclosure for the construction company, and determines their Taxonomy alignment. Four regulatory touchpoints, one physical quantity.</w:t>
      </w:r>
    </w:p>
    <w:p>
      <w:pPr>
        <w:pStyle w:val="BodyText"/>
      </w:pPr>
      <w:r>
        <w:t xml:space="preserve">Current compliance tools treat each regulation as an independent reporting workflow. This produces duplicated data entry, inconsistent emission factors, and no reconciliation between related obligations. The result: enterprises report the same carbon event differently across regulations, auditors cannot cross-verify, and Scope 3 estimates carry ±40% uncertainty because they rely on spend-based proxies rather than transaction-verified data.</w:t>
      </w:r>
    </w:p>
    <w:bookmarkEnd w:id="258"/>
    <w:bookmarkStart w:id="259" w:name="double-entry-bookkeeping-for-co2"/>
    <w:p>
      <w:pPr>
        <w:pStyle w:val="Heading4"/>
      </w:pPr>
      <w:r>
        <w:t xml:space="preserve">10.17.2 Double-Entry Bookkeeping for CO2</w:t>
      </w:r>
    </w:p>
    <w:p>
      <w:pPr>
        <w:pStyle w:val="FirstParagraph"/>
      </w:pPr>
      <w:r>
        <w:t xml:space="preserve">This thesis proposes that carbon compliance requires the same architectural solution that financial accounting adopted centuries ago:</w:t>
      </w:r>
      <w:r>
        <w:t xml:space="preserve"> </w:t>
      </w:r>
      <w:r>
        <w:rPr>
          <w:bCs/>
          <w:b/>
        </w:rPr>
        <w:t xml:space="preserve">double-entry bookkeeping</w:t>
      </w:r>
      <w:r>
        <w:t xml:space="preserve">. Every compliance event produces a journal entry — debit or credit — in dual units (EUR and tCO2e):</w:t>
      </w:r>
    </w:p>
    <w:tbl>
      <w:tblPr>
        <w:tblStyle w:val="Table"/>
        <w:tblW w:type="pct" w:w="5000"/>
        <w:tblLook w:firstRow="1" w:lastRow="0" w:firstColumn="0" w:lastColumn="0" w:noHBand="0" w:noVBand="0" w:val="0020"/>
        <w:jc w:val="start"/>
      </w:tblPr>
      <w:tblGrid>
        <w:gridCol w:w="2383"/>
        <w:gridCol w:w="1752"/>
        <w:gridCol w:w="2383"/>
        <w:gridCol w:w="1401"/>
      </w:tblGrid>
      <w:tr>
        <w:trPr>
          <w:tblHeader w:val="true"/>
        </w:trPr>
        <w:tc>
          <w:tcPr/>
          <w:p>
            <w:pPr>
              <w:pStyle w:val="Compact"/>
              <w:jc w:val="left"/>
            </w:pPr>
            <w:r>
              <w:t xml:space="preserve">Compliance Event</w:t>
            </w:r>
          </w:p>
        </w:tc>
        <w:tc>
          <w:tcPr/>
          <w:p>
            <w:pPr>
              <w:pStyle w:val="Compact"/>
              <w:jc w:val="left"/>
            </w:pPr>
            <w:r>
              <w:t xml:space="preserve">Debit (liability)</w:t>
            </w:r>
          </w:p>
        </w:tc>
        <w:tc>
          <w:tcPr/>
          <w:p>
            <w:pPr>
              <w:pStyle w:val="Compact"/>
              <w:jc w:val="left"/>
            </w:pPr>
            <w:r>
              <w:t xml:space="preserve">Credit (asset)</w:t>
            </w:r>
          </w:p>
        </w:tc>
        <w:tc>
          <w:tcPr/>
          <w:p>
            <w:pPr>
              <w:pStyle w:val="Compact"/>
              <w:jc w:val="left"/>
            </w:pPr>
            <w:r>
              <w:t xml:space="preserve">Regulation</w:t>
            </w:r>
          </w:p>
        </w:tc>
      </w:tr>
      <w:tr>
        <w:tc>
          <w:tcPr/>
          <w:p>
            <w:pPr>
              <w:pStyle w:val="Compact"/>
              <w:jc w:val="left"/>
            </w:pPr>
            <w:r>
              <w:t xml:space="preserve">ETS allowance surrender</w:t>
            </w:r>
          </w:p>
        </w:tc>
        <w:tc>
          <w:tcPr/>
          <w:p>
            <w:pPr>
              <w:pStyle w:val="Compact"/>
              <w:jc w:val="left"/>
            </w:pPr>
            <w:r>
              <w:t xml:space="preserve">tCO2e emitted + EUR cost</w:t>
            </w:r>
          </w:p>
        </w:tc>
        <w:tc>
          <w:tcPr/>
          <w:p>
            <w:pPr>
              <w:pStyle w:val="Compact"/>
              <w:jc w:val="left"/>
            </w:pPr>
            <w:r>
              <w:t xml:space="preserve">—</w:t>
            </w:r>
          </w:p>
        </w:tc>
        <w:tc>
          <w:tcPr/>
          <w:p>
            <w:pPr>
              <w:pStyle w:val="Compact"/>
              <w:jc w:val="left"/>
            </w:pPr>
            <w:r>
              <w:t xml:space="preserve">EU ETS</w:t>
            </w:r>
          </w:p>
        </w:tc>
      </w:tr>
      <w:tr>
        <w:tc>
          <w:tcPr/>
          <w:p>
            <w:pPr>
              <w:pStyle w:val="Compact"/>
              <w:jc w:val="left"/>
            </w:pPr>
            <w:r>
              <w:t xml:space="preserve">Free allocation received</w:t>
            </w:r>
          </w:p>
        </w:tc>
        <w:tc>
          <w:tcPr/>
          <w:p>
            <w:pPr>
              <w:pStyle w:val="Compact"/>
              <w:jc w:val="left"/>
            </w:pPr>
            <w:r>
              <w:t xml:space="preserve">—</w:t>
            </w:r>
          </w:p>
        </w:tc>
        <w:tc>
          <w:tcPr/>
          <w:p>
            <w:pPr>
              <w:pStyle w:val="Compact"/>
              <w:jc w:val="left"/>
            </w:pPr>
            <w:r>
              <w:t xml:space="preserve">tCO2e allocated</w:t>
            </w:r>
          </w:p>
        </w:tc>
        <w:tc>
          <w:tcPr/>
          <w:p>
            <w:pPr>
              <w:pStyle w:val="Compact"/>
              <w:jc w:val="left"/>
            </w:pPr>
            <w:r>
              <w:t xml:space="preserve">EU ETS</w:t>
            </w:r>
          </w:p>
        </w:tc>
      </w:tr>
      <w:tr>
        <w:tc>
          <w:tcPr/>
          <w:p>
            <w:pPr>
              <w:pStyle w:val="Compact"/>
              <w:jc w:val="left"/>
            </w:pPr>
            <w:r>
              <w:t xml:space="preserve">CBAM certificate purchase</w:t>
            </w:r>
          </w:p>
        </w:tc>
        <w:tc>
          <w:tcPr/>
          <w:p>
            <w:pPr>
              <w:pStyle w:val="Compact"/>
              <w:jc w:val="left"/>
            </w:pPr>
            <w:r>
              <w:t xml:space="preserve">EUR paid + tCO2e imported</w:t>
            </w:r>
          </w:p>
        </w:tc>
        <w:tc>
          <w:tcPr/>
          <w:p>
            <w:pPr>
              <w:pStyle w:val="Compact"/>
              <w:jc w:val="left"/>
            </w:pPr>
            <w:r>
              <w:t xml:space="preserve">—</w:t>
            </w:r>
          </w:p>
        </w:tc>
        <w:tc>
          <w:tcPr/>
          <w:p>
            <w:pPr>
              <w:pStyle w:val="Compact"/>
              <w:jc w:val="left"/>
            </w:pPr>
            <w:r>
              <w:t xml:space="preserve">CBAM</w:t>
            </w:r>
          </w:p>
        </w:tc>
      </w:tr>
      <w:tr>
        <w:tc>
          <w:tcPr/>
          <w:p>
            <w:pPr>
              <w:pStyle w:val="Compact"/>
              <w:jc w:val="left"/>
            </w:pPr>
            <w:r>
              <w:t xml:space="preserve">CBAM origin carbon price deduction</w:t>
            </w:r>
          </w:p>
        </w:tc>
        <w:tc>
          <w:tcPr/>
          <w:p>
            <w:pPr>
              <w:pStyle w:val="Compact"/>
              <w:jc w:val="left"/>
            </w:pPr>
            <w:r>
              <w:t xml:space="preserve">—</w:t>
            </w:r>
          </w:p>
        </w:tc>
        <w:tc>
          <w:tcPr/>
          <w:p>
            <w:pPr>
              <w:pStyle w:val="Compact"/>
              <w:jc w:val="left"/>
            </w:pPr>
            <w:r>
              <w:t xml:space="preserve">EUR already paid in origin country</w:t>
            </w:r>
          </w:p>
        </w:tc>
        <w:tc>
          <w:tcPr/>
          <w:p>
            <w:pPr>
              <w:pStyle w:val="Compact"/>
              <w:jc w:val="left"/>
            </w:pPr>
            <w:r>
              <w:t xml:space="preserve">CBAM</w:t>
            </w:r>
          </w:p>
        </w:tc>
      </w:tr>
      <w:tr>
        <w:tc>
          <w:tcPr/>
          <w:p>
            <w:pPr>
              <w:pStyle w:val="Compact"/>
              <w:jc w:val="left"/>
            </w:pPr>
            <w:r>
              <w:t xml:space="preserve">Verified offset retirement</w:t>
            </w:r>
          </w:p>
        </w:tc>
        <w:tc>
          <w:tcPr/>
          <w:p>
            <w:pPr>
              <w:pStyle w:val="Compact"/>
              <w:jc w:val="left"/>
            </w:pPr>
            <w:r>
              <w:t xml:space="preserve">—</w:t>
            </w:r>
          </w:p>
        </w:tc>
        <w:tc>
          <w:tcPr/>
          <w:p>
            <w:pPr>
              <w:pStyle w:val="Compact"/>
              <w:jc w:val="left"/>
            </w:pPr>
            <w:r>
              <w:t xml:space="preserve">tCO2e offset</w:t>
            </w:r>
          </w:p>
        </w:tc>
        <w:tc>
          <w:tcPr/>
          <w:p>
            <w:pPr>
              <w:pStyle w:val="Compact"/>
              <w:jc w:val="left"/>
            </w:pPr>
            <w:r>
              <w:t xml:space="preserve">Voluntary / Taxonomy</w:t>
            </w:r>
          </w:p>
        </w:tc>
      </w:tr>
    </w:tbl>
    <w:p>
      <w:pPr>
        <w:pStyle w:val="BodyText"/>
      </w:pPr>
      <w:r>
        <w:t xml:space="preserve">The carbon balance sheet — total liabilities (debits) minus total assets (credits) — gives a CFO a</w:t>
      </w:r>
      <w:r>
        <w:t xml:space="preserve"> </w:t>
      </w:r>
      <w:r>
        <w:rPr>
          <w:bCs/>
          <w:b/>
        </w:rPr>
        <w:t xml:space="preserve">net carbon position</w:t>
      </w:r>
      <w:r>
        <w:t xml:space="preserve"> </w:t>
      </w:r>
      <w:r>
        <w:t xml:space="preserve">that is auditable, reconcilable, and machine-readable (XBRL/iXBRL).</w:t>
      </w:r>
    </w:p>
    <w:bookmarkEnd w:id="259"/>
    <w:bookmarkStart w:id="260" w:name="cross-regulation-reconciliation"/>
    <w:p>
      <w:pPr>
        <w:pStyle w:val="Heading4"/>
      </w:pPr>
      <w:r>
        <w:t xml:space="preserve">10.17.3 Cross-Regulation Reconciliation</w:t>
      </w:r>
    </w:p>
    <w:p>
      <w:pPr>
        <w:pStyle w:val="FirstParagraph"/>
      </w:pPr>
      <w:r>
        <w:t xml:space="preserve">The debit-credit ledger enables what no current tool provides:</w:t>
      </w:r>
      <w:r>
        <w:t xml:space="preserve"> </w:t>
      </w:r>
      <w:r>
        <w:rPr>
          <w:bCs/>
          <w:b/>
        </w:rPr>
        <w:t xml:space="preserve">cross-regulation reconciliation</w:t>
      </w:r>
      <w:r>
        <w:t xml:space="preserve">. When a steel mill’s ETS data and a construction company’s CBAM data flow through the same ledger, the system can verify that embedded emissions match actual production emissions. This eliminates the reliance on CBAM default values (which overestimate by 20-50%) and produces transaction-verified Scope 3 data with ±3% accuracy instead of the ±40% from spend-based estimation.</w:t>
      </w:r>
    </w:p>
    <w:p>
      <w:pPr>
        <w:pStyle w:val="BodyText"/>
      </w:pPr>
      <w:r>
        <w:t xml:space="preserve">This is also a</w:t>
      </w:r>
      <w:r>
        <w:t xml:space="preserve"> </w:t>
      </w:r>
      <w:r>
        <w:rPr>
          <w:bCs/>
          <w:b/>
        </w:rPr>
        <w:t xml:space="preserve">network effect</w:t>
      </w:r>
      <w:r>
        <w:t xml:space="preserve">: when Customer A’s verified emissions improve Customer B’s CBAM factor accuracy, both benefit. The more industries on the ledger, the more cross-vertical intelligence emerges.</w:t>
      </w:r>
    </w:p>
    <w:bookmarkEnd w:id="260"/>
    <w:bookmarkStart w:id="261" w:name="implementation-dws-7-phase-2.6"/>
    <w:p>
      <w:pPr>
        <w:pStyle w:val="Heading4"/>
      </w:pPr>
      <w:r>
        <w:t xml:space="preserve">10.17.4 Implementation: DWS 7 Phase 2.6</w:t>
      </w:r>
    </w:p>
    <w:p>
      <w:pPr>
        <w:pStyle w:val="FirstParagraph"/>
      </w:pPr>
      <w:r>
        <w:t xml:space="preserve">The DWS IQ platform already implements the in-memory debit-credit transform (</w:t>
      </w:r>
      <w:r>
        <w:rPr>
          <w:rStyle w:val="VerbatimChar"/>
        </w:rPr>
        <w:t xml:space="preserve">src/compliance/debit-credit-ledger.ts</w:t>
      </w:r>
      <w:r>
        <w:t xml:space="preserve">) shipping in V1. DWS 7 Phase 2.6 (May–July 2026) promotes this to a persistent carbon balance sheet with 8 planned PRs (093A–093H):</w:t>
      </w:r>
    </w:p>
    <w:p>
      <w:pPr>
        <w:numPr>
          <w:ilvl w:val="0"/>
          <w:numId w:val="1089"/>
        </w:numPr>
        <w:pStyle w:val="Compact"/>
      </w:pPr>
      <w:r>
        <w:rPr>
          <w:bCs/>
          <w:b/>
        </w:rPr>
        <w:t xml:space="preserve">Persistent carbon ledger</w:t>
      </w:r>
      <w:r>
        <w:t xml:space="preserve"> </w:t>
      </w:r>
      <w:r>
        <w:t xml:space="preserve">— immutable append-only table, corrections as reverse entries</w:t>
      </w:r>
    </w:p>
    <w:p>
      <w:pPr>
        <w:numPr>
          <w:ilvl w:val="0"/>
          <w:numId w:val="1089"/>
        </w:numPr>
        <w:pStyle w:val="Compact"/>
      </w:pPr>
      <w:r>
        <w:rPr>
          <w:bCs/>
          <w:b/>
        </w:rPr>
        <w:t xml:space="preserve">Dual-unit entries</w:t>
      </w:r>
      <w:r>
        <w:t xml:space="preserve"> </w:t>
      </w:r>
      <w:r>
        <w:t xml:space="preserve">— EUR + tCO2e on every entry, carbon price preserved at time of entry</w:t>
      </w:r>
    </w:p>
    <w:p>
      <w:pPr>
        <w:numPr>
          <w:ilvl w:val="0"/>
          <w:numId w:val="1089"/>
        </w:numPr>
        <w:pStyle w:val="Compact"/>
      </w:pPr>
      <w:r>
        <w:rPr>
          <w:bCs/>
          <w:b/>
        </w:rPr>
        <w:t xml:space="preserve">Chart of carbon accounts</w:t>
      </w:r>
      <w:r>
        <w:t xml:space="preserve"> </w:t>
      </w:r>
      <w:r>
        <w:t xml:space="preserve">— standardized account structure mapping to ESRS E1 scopes</w:t>
      </w:r>
    </w:p>
    <w:p>
      <w:pPr>
        <w:numPr>
          <w:ilvl w:val="0"/>
          <w:numId w:val="1089"/>
        </w:numPr>
        <w:pStyle w:val="Compact"/>
      </w:pPr>
      <w:r>
        <w:rPr>
          <w:bCs/>
          <w:b/>
        </w:rPr>
        <w:t xml:space="preserve">Cross-regulation reconciliation</w:t>
      </w:r>
      <w:r>
        <w:t xml:space="preserve"> </w:t>
      </w:r>
      <w:r>
        <w:t xml:space="preserve">— ETS ↔ CBAM ↔ CSRD via shared ledger entries</w:t>
      </w:r>
    </w:p>
    <w:p>
      <w:pPr>
        <w:numPr>
          <w:ilvl w:val="0"/>
          <w:numId w:val="1089"/>
        </w:numPr>
        <w:pStyle w:val="Compact"/>
      </w:pPr>
      <w:r>
        <w:rPr>
          <w:bCs/>
          <w:b/>
        </w:rPr>
        <w:t xml:space="preserve">Ledger-native scoring</w:t>
      </w:r>
      <w:r>
        <w:t xml:space="preserve"> </w:t>
      </w:r>
      <w:r>
        <w:t xml:space="preserve">— compliance score derived from ledger balance, not computed from scratch</w:t>
      </w:r>
    </w:p>
    <w:p>
      <w:pPr>
        <w:numPr>
          <w:ilvl w:val="0"/>
          <w:numId w:val="1089"/>
        </w:numPr>
        <w:pStyle w:val="Compact"/>
      </w:pPr>
      <w:r>
        <w:rPr>
          <w:bCs/>
          <w:b/>
        </w:rPr>
        <w:t xml:space="preserve">CFO dashboard</w:t>
      </w:r>
      <w:r>
        <w:t xml:space="preserve"> </w:t>
      </w:r>
      <w:r>
        <w:t xml:space="preserve">— balance sheet view with drill-down by regulation, scope, and entity</w:t>
      </w:r>
    </w:p>
    <w:p>
      <w:pPr>
        <w:numPr>
          <w:ilvl w:val="0"/>
          <w:numId w:val="1089"/>
        </w:numPr>
        <w:pStyle w:val="Compact"/>
      </w:pPr>
      <w:r>
        <w:rPr>
          <w:bCs/>
          <w:b/>
        </w:rPr>
        <w:t xml:space="preserve">ERP GL sync</w:t>
      </w:r>
      <w:r>
        <w:t xml:space="preserve"> </w:t>
      </w:r>
      <w:r>
        <w:t xml:space="preserve">— carbon entries pushed to SAP/IFS/Dynamics general ledger</w:t>
      </w:r>
    </w:p>
    <w:p>
      <w:pPr>
        <w:numPr>
          <w:ilvl w:val="0"/>
          <w:numId w:val="1089"/>
        </w:numPr>
        <w:pStyle w:val="Compact"/>
      </w:pPr>
      <w:r>
        <w:rPr>
          <w:bCs/>
          <w:b/>
        </w:rPr>
        <w:t xml:space="preserve">XBRL export</w:t>
      </w:r>
      <w:r>
        <w:t xml:space="preserve"> </w:t>
      </w:r>
      <w:r>
        <w:t xml:space="preserve">— machine-readable CSRD reports from ledger data</w:t>
      </w:r>
    </w:p>
    <w:bookmarkEnd w:id="261"/>
    <w:bookmarkStart w:id="262" w:name="X748721c776941c0882d5e0f7c33e37caa432074"/>
    <w:p>
      <w:pPr>
        <w:pStyle w:val="Heading4"/>
      </w:pPr>
      <w:r>
        <w:t xml:space="preserve">10.17.5 Open Source Input: Connectors as the Data Ingestion Layer</w:t>
      </w:r>
    </w:p>
    <w:p>
      <w:pPr>
        <w:pStyle w:val="FirstParagraph"/>
      </w:pPr>
      <w:r>
        <w:t xml:space="preserve">A carbon balance sheet is only as accurate as the data that enters it. The ledger architecture depends on</w:t>
      </w:r>
      <w:r>
        <w:t xml:space="preserve"> </w:t>
      </w:r>
      <w:r>
        <w:rPr>
          <w:bCs/>
          <w:b/>
        </w:rPr>
        <w:t xml:space="preserve">open source connectors</w:t>
      </w:r>
      <w:r>
        <w:t xml:space="preserve"> </w:t>
      </w:r>
      <w:r>
        <w:t xml:space="preserve">to ingest verified emissions data from heterogeneous industrial systems. Without standardized, auditable data pipelines, the double-entry model collapses into the same manual-entry problem it replaces.</w:t>
      </w:r>
    </w:p>
    <w:p>
      <w:pPr>
        <w:pStyle w:val="BodyText"/>
      </w:pPr>
      <w:r>
        <w:t xml:space="preserve">The DWS connector architecture follows the ERP integration patterns established in</w:t>
      </w:r>
      <w:r>
        <w:t xml:space="preserve"> </w:t>
      </w:r>
      <w:r>
        <w:rPr>
          <w:rStyle w:val="VerbatimChar"/>
        </w:rPr>
        <w:t xml:space="preserve">src/integrations/erp/</w:t>
      </w:r>
      <w:r>
        <w:t xml:space="preserve"> </w:t>
      </w:r>
      <w:r>
        <w:t xml:space="preserve">(Section 10.9), extending them to carbon-specific data sources:</w:t>
      </w:r>
    </w:p>
    <w:tbl>
      <w:tblPr>
        <w:tblStyle w:val="Table"/>
        <w:tblW w:type="pct" w:w="5000"/>
        <w:tblLook w:firstRow="1" w:lastRow="0" w:firstColumn="0" w:lastColumn="0" w:noHBand="0" w:noVBand="0" w:val="0020"/>
        <w:jc w:val="start"/>
      </w:tblPr>
      <w:tblGrid>
        <w:gridCol w:w="1096"/>
        <w:gridCol w:w="2436"/>
        <w:gridCol w:w="3168"/>
        <w:gridCol w:w="1218"/>
      </w:tblGrid>
      <w:tr>
        <w:trPr>
          <w:tblHeader w:val="true"/>
        </w:trPr>
        <w:tc>
          <w:tcPr/>
          <w:p>
            <w:pPr>
              <w:pStyle w:val="Compact"/>
              <w:jc w:val="left"/>
            </w:pPr>
            <w:r>
              <w:t xml:space="preserve">Connector Type</w:t>
            </w:r>
          </w:p>
        </w:tc>
        <w:tc>
          <w:tcPr/>
          <w:p>
            <w:pPr>
              <w:pStyle w:val="Compact"/>
              <w:jc w:val="left"/>
            </w:pPr>
            <w:r>
              <w:t xml:space="preserve">Source Systems</w:t>
            </w:r>
          </w:p>
        </w:tc>
        <w:tc>
          <w:tcPr/>
          <w:p>
            <w:pPr>
              <w:pStyle w:val="Compact"/>
              <w:jc w:val="left"/>
            </w:pPr>
            <w:r>
              <w:t xml:space="preserve">Data Flow</w:t>
            </w:r>
          </w:p>
        </w:tc>
        <w:tc>
          <w:tcPr/>
          <w:p>
            <w:pPr>
              <w:pStyle w:val="Compact"/>
              <w:jc w:val="left"/>
            </w:pPr>
            <w:r>
              <w:t xml:space="preserve">License Model</w:t>
            </w:r>
          </w:p>
        </w:tc>
      </w:tr>
      <w:tr>
        <w:tc>
          <w:tcPr/>
          <w:p>
            <w:pPr>
              <w:pStyle w:val="Compact"/>
              <w:jc w:val="left"/>
            </w:pPr>
            <w:r>
              <w:rPr>
                <w:bCs/>
                <w:b/>
              </w:rPr>
              <w:t xml:space="preserve">ERP connectors</w:t>
            </w:r>
          </w:p>
        </w:tc>
        <w:tc>
          <w:tcPr/>
          <w:p>
            <w:pPr>
              <w:pStyle w:val="Compact"/>
              <w:jc w:val="left"/>
            </w:pPr>
            <w:r>
              <w:t xml:space="preserve">SAP S/4HANA, IFS Cloud, Dynamics 365, Monitor, Visma, Jeeves</w:t>
            </w:r>
          </w:p>
        </w:tc>
        <w:tc>
          <w:tcPr/>
          <w:p>
            <w:pPr>
              <w:pStyle w:val="Compact"/>
              <w:jc w:val="left"/>
            </w:pPr>
            <w:r>
              <w:t xml:space="preserve">Production volumes, energy consumption, material inputs → ledger debit entries</w:t>
            </w:r>
          </w:p>
        </w:tc>
        <w:tc>
          <w:tcPr/>
          <w:p>
            <w:pPr>
              <w:pStyle w:val="Compact"/>
              <w:jc w:val="left"/>
            </w:pPr>
            <w:r>
              <w:t xml:space="preserve">Open source (MIT)</w:t>
            </w:r>
          </w:p>
        </w:tc>
      </w:tr>
      <w:tr>
        <w:tc>
          <w:tcPr/>
          <w:p>
            <w:pPr>
              <w:pStyle w:val="Compact"/>
              <w:jc w:val="left"/>
            </w:pPr>
            <w:r>
              <w:rPr>
                <w:bCs/>
                <w:b/>
              </w:rPr>
              <w:t xml:space="preserve">ETS/Registry connectors</w:t>
            </w:r>
          </w:p>
        </w:tc>
        <w:tc>
          <w:tcPr/>
          <w:p>
            <w:pPr>
              <w:pStyle w:val="Compact"/>
              <w:jc w:val="left"/>
            </w:pPr>
            <w:r>
              <w:t xml:space="preserve">EU Transaction Log (EUTL), national registries</w:t>
            </w:r>
          </w:p>
        </w:tc>
        <w:tc>
          <w:tcPr/>
          <w:p>
            <w:pPr>
              <w:pStyle w:val="Compact"/>
              <w:jc w:val="left"/>
            </w:pPr>
            <w:r>
              <w:t xml:space="preserve">Allowance balances, surrenders, free allocations → ledger credit/debit</w:t>
            </w:r>
          </w:p>
        </w:tc>
        <w:tc>
          <w:tcPr/>
          <w:p>
            <w:pPr>
              <w:pStyle w:val="Compact"/>
              <w:jc w:val="left"/>
            </w:pPr>
            <w:r>
              <w:t xml:space="preserve">Open source (MIT)</w:t>
            </w:r>
          </w:p>
        </w:tc>
      </w:tr>
      <w:tr>
        <w:tc>
          <w:tcPr/>
          <w:p>
            <w:pPr>
              <w:pStyle w:val="Compact"/>
              <w:jc w:val="left"/>
            </w:pPr>
            <w:r>
              <w:rPr>
                <w:bCs/>
                <w:b/>
              </w:rPr>
              <w:t xml:space="preserve">CBAM connectors</w:t>
            </w:r>
          </w:p>
        </w:tc>
        <w:tc>
          <w:tcPr/>
          <w:p>
            <w:pPr>
              <w:pStyle w:val="Compact"/>
              <w:jc w:val="left"/>
            </w:pPr>
            <w:r>
              <w:t xml:space="preserve">CBAM Transitional Registry, customs declarations</w:t>
            </w:r>
          </w:p>
        </w:tc>
        <w:tc>
          <w:tcPr/>
          <w:p>
            <w:pPr>
              <w:pStyle w:val="Compact"/>
              <w:jc w:val="left"/>
            </w:pPr>
            <w:r>
              <w:t xml:space="preserve">Imported goods embedded emissions, certificates purchased → ledger debit</w:t>
            </w:r>
          </w:p>
        </w:tc>
        <w:tc>
          <w:tcPr/>
          <w:p>
            <w:pPr>
              <w:pStyle w:val="Compact"/>
              <w:jc w:val="left"/>
            </w:pPr>
            <w:r>
              <w:t xml:space="preserve">Open source (MIT)</w:t>
            </w:r>
          </w:p>
        </w:tc>
      </w:tr>
      <w:tr>
        <w:tc>
          <w:tcPr/>
          <w:p>
            <w:pPr>
              <w:pStyle w:val="Compact"/>
              <w:jc w:val="left"/>
            </w:pPr>
            <w:r>
              <w:rPr>
                <w:bCs/>
                <w:b/>
              </w:rPr>
              <w:t xml:space="preserve">Emission factor feeds</w:t>
            </w:r>
          </w:p>
        </w:tc>
        <w:tc>
          <w:tcPr/>
          <w:p>
            <w:pPr>
              <w:pStyle w:val="Compact"/>
              <w:jc w:val="left"/>
            </w:pPr>
            <w:r>
              <w:t xml:space="preserve">EEA GHG Inventory, IPCC, EU ETS benchmarks</w:t>
            </w:r>
          </w:p>
        </w:tc>
        <w:tc>
          <w:tcPr/>
          <w:p>
            <w:pPr>
              <w:pStyle w:val="Compact"/>
              <w:jc w:val="left"/>
            </w:pPr>
            <w:r>
              <w:t xml:space="preserve">Validated factors for Scope 1/2/3 calculations</w:t>
            </w:r>
          </w:p>
        </w:tc>
        <w:tc>
          <w:tcPr/>
          <w:p>
            <w:pPr>
              <w:pStyle w:val="Compact"/>
              <w:jc w:val="left"/>
            </w:pPr>
            <w:r>
              <w:t xml:space="preserve">Open data + open source parser</w:t>
            </w:r>
          </w:p>
        </w:tc>
      </w:tr>
      <w:tr>
        <w:tc>
          <w:tcPr/>
          <w:p>
            <w:pPr>
              <w:pStyle w:val="Compact"/>
              <w:jc w:val="left"/>
            </w:pPr>
            <w:r>
              <w:rPr>
                <w:bCs/>
                <w:b/>
              </w:rPr>
              <w:t xml:space="preserve">IoT/edge connectors</w:t>
            </w:r>
          </w:p>
        </w:tc>
        <w:tc>
          <w:tcPr/>
          <w:p>
            <w:pPr>
              <w:pStyle w:val="Compact"/>
              <w:jc w:val="left"/>
            </w:pPr>
            <w:r>
              <w:t xml:space="preserve">NVIDIA Jetson Orin Nano, industrial sensors, energy meters</w:t>
            </w:r>
          </w:p>
        </w:tc>
        <w:tc>
          <w:tcPr/>
          <w:p>
            <w:pPr>
              <w:pStyle w:val="Compact"/>
              <w:jc w:val="left"/>
            </w:pPr>
            <w:r>
              <w:t xml:space="preserve">Real-time energy consumption, Scope 1 direct measurements → ledger debit</w:t>
            </w:r>
          </w:p>
        </w:tc>
        <w:tc>
          <w:tcPr/>
          <w:p>
            <w:pPr>
              <w:pStyle w:val="Compact"/>
              <w:jc w:val="left"/>
            </w:pPr>
            <w:r>
              <w:t xml:space="preserve">Open source (MIT)</w:t>
            </w:r>
          </w:p>
        </w:tc>
      </w:tr>
      <w:tr>
        <w:tc>
          <w:tcPr/>
          <w:p>
            <w:pPr>
              <w:pStyle w:val="Compact"/>
              <w:jc w:val="left"/>
            </w:pPr>
            <w:r>
              <w:rPr>
                <w:bCs/>
                <w:b/>
              </w:rPr>
              <w:t xml:space="preserve">ESG platform connectors</w:t>
            </w:r>
          </w:p>
        </w:tc>
        <w:tc>
          <w:tcPr/>
          <w:p>
            <w:pPr>
              <w:pStyle w:val="Compact"/>
              <w:jc w:val="left"/>
            </w:pPr>
            <w:r>
              <w:t xml:space="preserve">Worldfavor, PositionGreen, CDP</w:t>
            </w:r>
          </w:p>
        </w:tc>
        <w:tc>
          <w:tcPr/>
          <w:p>
            <w:pPr>
              <w:pStyle w:val="Compact"/>
              <w:jc w:val="left"/>
            </w:pPr>
            <w:r>
              <w:t xml:space="preserve">Third-party ESG scores, Scope 3 supplier data → ledger entries</w:t>
            </w:r>
          </w:p>
        </w:tc>
        <w:tc>
          <w:tcPr/>
          <w:p>
            <w:pPr>
              <w:pStyle w:val="Compact"/>
              <w:jc w:val="left"/>
            </w:pPr>
            <w:r>
              <w:t xml:space="preserve">Open source (MIT)</w:t>
            </w:r>
          </w:p>
        </w:tc>
      </w:tr>
    </w:tbl>
    <w:p>
      <w:pPr>
        <w:pStyle w:val="BodyText"/>
      </w:pPr>
      <w:r>
        <w:rPr>
          <w:bCs/>
          <w:b/>
        </w:rPr>
        <w:t xml:space="preserve">Why open source matters for compliance infrastructure:</w:t>
      </w:r>
    </w:p>
    <w:p>
      <w:pPr>
        <w:numPr>
          <w:ilvl w:val="0"/>
          <w:numId w:val="1090"/>
        </w:numPr>
      </w:pPr>
      <w:r>
        <w:rPr>
          <w:bCs/>
          <w:b/>
        </w:rPr>
        <w:t xml:space="preserve">Auditability:</w:t>
      </w:r>
      <w:r>
        <w:t xml:space="preserve"> </w:t>
      </w:r>
      <w:r>
        <w:t xml:space="preserve">Proprietary connectors are black boxes. When an auditor asks</w:t>
      </w:r>
      <w:r>
        <w:t xml:space="preserve"> </w:t>
      </w:r>
      <w:r>
        <w:t xml:space="preserve">“</w:t>
      </w:r>
      <w:r>
        <w:t xml:space="preserve">how did this emission factor enter the ledger?</w:t>
      </w:r>
      <w:r>
        <w:t xml:space="preserve">”</w:t>
      </w:r>
      <w:r>
        <w:t xml:space="preserve">, the answer must be inspectable source code — not a vendor’s API documentation. Open source connectors make the entire data path from source system to ledger entry transparent and reproducible.</w:t>
      </w:r>
    </w:p>
    <w:p>
      <w:pPr>
        <w:numPr>
          <w:ilvl w:val="0"/>
          <w:numId w:val="1090"/>
        </w:numPr>
      </w:pPr>
      <w:r>
        <w:rPr>
          <w:bCs/>
          <w:b/>
        </w:rPr>
        <w:t xml:space="preserve">Network effect acceleration:</w:t>
      </w:r>
      <w:r>
        <w:t xml:space="preserve"> </w:t>
      </w:r>
      <w:r>
        <w:t xml:space="preserve">The cross-vertical intelligence thesis (Section 10.17.3) depends on data flowing from many industries into one ledger. Open source connectors lower the adoption barrier — a steel mill’s IT team can deploy the SAP connector, verify the code, and contribute upstream improvements. Proprietary connectors create vendor lock-in that slows network growth.</w:t>
      </w:r>
    </w:p>
    <w:p>
      <w:pPr>
        <w:numPr>
          <w:ilvl w:val="0"/>
          <w:numId w:val="1090"/>
        </w:numPr>
      </w:pPr>
      <w:r>
        <w:rPr>
          <w:bCs/>
          <w:b/>
        </w:rPr>
        <w:t xml:space="preserve">Regulatory defensibility:</w:t>
      </w:r>
      <w:r>
        <w:t xml:space="preserve"> </w:t>
      </w:r>
      <w:r>
        <w:t xml:space="preserve">EU AI Act Article 12 requires logging of AI system operations. When AI agents generate ledger entries from connector data, the entire pipeline — connector code, transformation logic, agent decision — must be auditable. Open source satisfies this requirement by design.</w:t>
      </w:r>
    </w:p>
    <w:p>
      <w:pPr>
        <w:numPr>
          <w:ilvl w:val="0"/>
          <w:numId w:val="1090"/>
        </w:numPr>
      </w:pPr>
      <w:r>
        <w:rPr>
          <w:bCs/>
          <w:b/>
        </w:rPr>
        <w:t xml:space="preserve">Community validation:</w:t>
      </w:r>
      <w:r>
        <w:t xml:space="preserve"> </w:t>
      </w:r>
      <w:r>
        <w:t xml:space="preserve">Emission factor databases change annually. Open source connectors enable community-driven maintenance — when the EEA publishes updated GHG inventory data, any contributor can submit a PR updating the factor feed, and the change is reviewed in the open.</w:t>
      </w:r>
    </w:p>
    <w:p>
      <w:pPr>
        <w:pStyle w:val="FirstParagraph"/>
      </w:pPr>
      <w:r>
        <w:t xml:space="preserve">The connector layer transforms the carbon balance sheet from a single-company tool into a</w:t>
      </w:r>
      <w:r>
        <w:t xml:space="preserve"> </w:t>
      </w:r>
      <w:r>
        <w:rPr>
          <w:bCs/>
          <w:b/>
        </w:rPr>
        <w:t xml:space="preserve">multi-tenant compliance network</w:t>
      </w:r>
      <w:r>
        <w:t xml:space="preserve">. Each connector is a standardized adapter (input schema → journal entry) that plugs into the ledger’s append-only ingestion API. The open source model ensures that the largest EU companies requiring CSRD compliance (fewer than ~5,000 post-Omnibus, &gt;1,000 employees and &gt;€450M turnover) — and the far larger population of suppliers pulled in via Scope-3 value-chain reporting — can adopt the infrastructure without vendor dependency.</w:t>
      </w:r>
    </w:p>
    <w:bookmarkEnd w:id="262"/>
    <w:bookmarkStart w:id="263" w:name="research-contribution-8"/>
    <w:p>
      <w:pPr>
        <w:pStyle w:val="Heading4"/>
      </w:pPr>
      <w:r>
        <w:t xml:space="preserve">10.17.6 Research Contribution</w:t>
      </w:r>
    </w:p>
    <w:p>
      <w:pPr>
        <w:pStyle w:val="FirstParagraph"/>
      </w:pPr>
      <w:r>
        <w:t xml:space="preserve">This concluding section contributes three findings:</w:t>
      </w:r>
    </w:p>
    <w:p>
      <w:pPr>
        <w:numPr>
          <w:ilvl w:val="0"/>
          <w:numId w:val="1091"/>
        </w:numPr>
      </w:pPr>
      <w:r>
        <w:rPr>
          <w:bCs/>
          <w:b/>
        </w:rPr>
        <w:t xml:space="preserve">Architectural insight:</w:t>
      </w:r>
      <w:r>
        <w:t xml:space="preserve"> </w:t>
      </w:r>
      <w:r>
        <w:t xml:space="preserve">Carbon compliance is structurally isomorphic to financial accounting. The double-entry ledger is not a metaphor — it is the technically correct data structure for tracking carbon across multiple regulations, entities, and supply chains. This finding emerged from the practical implementation of the DWS compliance engine across 20 EU-regulated industries.</w:t>
      </w:r>
    </w:p>
    <w:p>
      <w:pPr>
        <w:numPr>
          <w:ilvl w:val="0"/>
          <w:numId w:val="1091"/>
        </w:numPr>
      </w:pPr>
      <w:r>
        <w:rPr>
          <w:bCs/>
          <w:b/>
        </w:rPr>
        <w:t xml:space="preserve">Cross-vertical intelligence thesis:</w:t>
      </w:r>
      <w:r>
        <w:t xml:space="preserve"> </w:t>
      </w:r>
      <w:r>
        <w:t xml:space="preserve">A multi-industry carbon ledger produces emergent intelligence that single-vertical tools cannot replicate. A steel mill’s ETS surrender correlates with a construction sector CSRD disclosure from the same supply chain. This correlation is only visible when both industries share one ledger format — validating the platform architecture described throughout this thesis.</w:t>
      </w:r>
    </w:p>
    <w:p>
      <w:pPr>
        <w:numPr>
          <w:ilvl w:val="0"/>
          <w:numId w:val="1091"/>
        </w:numPr>
      </w:pPr>
      <w:r>
        <w:rPr>
          <w:bCs/>
          <w:b/>
        </w:rPr>
        <w:t xml:space="preserve">Funding infrastructure, not features:</w:t>
      </w:r>
      <w:r>
        <w:t xml:space="preserve"> </w:t>
      </w:r>
      <w:r>
        <w:t xml:space="preserve">The carbon balance sheet represents the transition from</w:t>
      </w:r>
      <w:r>
        <w:t xml:space="preserve"> </w:t>
      </w:r>
      <w:r>
        <w:t xml:space="preserve">“</w:t>
      </w:r>
      <w:r>
        <w:t xml:space="preserve">compliance reporting tool</w:t>
      </w:r>
      <w:r>
        <w:t xml:space="preserve">”</w:t>
      </w:r>
      <w:r>
        <w:t xml:space="preserve"> </w:t>
      </w:r>
      <w:r>
        <w:t xml:space="preserve">to</w:t>
      </w:r>
      <w:r>
        <w:t xml:space="preserve"> </w:t>
      </w:r>
      <w:r>
        <w:t xml:space="preserve">“</w:t>
      </w:r>
      <w:r>
        <w:t xml:space="preserve">compliance infrastructure</w:t>
      </w:r>
      <w:r>
        <w:t xml:space="preserve">”</w:t>
      </w:r>
      <w:r>
        <w:t xml:space="preserve"> </w:t>
      </w:r>
      <w:r>
        <w:t xml:space="preserve">— the same distinction as between a spreadsheet and an ERP system. This architectural choice has strategic implications for enterprise stickiness (switching cost equivalent to changing your financial ledger), market timing (fewer than ~5,000 large EU companies mandated post-Omnibus, plus their value chains via Scope 3), and network effects (more industries on the ledger = more accurate cross-regulation data).</w:t>
      </w:r>
    </w:p>
    <w:p>
      <w:pPr>
        <w:pStyle w:val="FirstParagraph"/>
      </w:pPr>
      <w:r>
        <w:t xml:space="preserve">The Firehorse Product Manufacturing Operating Model, documented across the preceding 16 sections, provided the engineering foundation — harness architecture, multi-agent orchestration, edge deployment, and regulatory intelligence — required to build this carbon balance sheet infrastructure. The conclusion is that the platform’s competitive moat is not any single agent or regulation module, but the ledger that connects them all.</w:t>
      </w:r>
    </w:p>
    <w:bookmarkEnd w:id="263"/>
    <w:bookmarkEnd w:id="264"/>
    <w:bookmarkStart w:id="271" w:name="Xb4ae91a050c08ad4c62396846880f6708c37124"/>
    <w:p>
      <w:pPr>
        <w:pStyle w:val="Heading3"/>
      </w:pPr>
      <w:r>
        <w:t xml:space="preserve">10.18 LWM Sequencing Strategy — From Regulatory Intelligence to Physical AI</w:t>
      </w:r>
    </w:p>
    <w:bookmarkStart w:id="265" w:name="strategic-context"/>
    <w:p>
      <w:pPr>
        <w:pStyle w:val="Heading4"/>
      </w:pPr>
      <w:r>
        <w:t xml:space="preserve">10.18.1 Strategic Context</w:t>
      </w:r>
    </w:p>
    <w:p>
      <w:pPr>
        <w:pStyle w:val="FirstParagraph"/>
      </w:pPr>
      <w:r>
        <w:t xml:space="preserve">The Lifetime World Model (LWM) serves as the</w:t>
      </w:r>
      <w:r>
        <w:t xml:space="preserve"> </w:t>
      </w:r>
      <w:r>
        <w:t xml:space="preserve">“</w:t>
      </w:r>
      <w:r>
        <w:t xml:space="preserve">Memory</w:t>
      </w:r>
      <w:r>
        <w:t xml:space="preserve">”</w:t>
      </w:r>
      <w:r>
        <w:t xml:space="preserve"> </w:t>
      </w:r>
      <w:r>
        <w:t xml:space="preserve">layer in the Brain-Memory-Body-Hands architecture. However, investor and market analysis (March 2026) revealed a framing contradiction: the platform was simultaneously pitched as</w:t>
      </w:r>
      <w:r>
        <w:t xml:space="preserve"> </w:t>
      </w:r>
      <w:r>
        <w:t xml:space="preserve">“</w:t>
      </w:r>
      <w:r>
        <w:t xml:space="preserve">carbon balance sheet infrastructure</w:t>
      </w:r>
      <w:r>
        <w:t xml:space="preserve">”</w:t>
      </w:r>
      <w:r>
        <w:t xml:space="preserve"> </w:t>
      </w:r>
      <w:r>
        <w:t xml:space="preserve">(compliance SaaS),</w:t>
      </w:r>
      <w:r>
        <w:t xml:space="preserve"> </w:t>
      </w:r>
      <w:r>
        <w:t xml:space="preserve">“</w:t>
      </w:r>
      <w:r>
        <w:t xml:space="preserve">55B parameter Physical AI</w:t>
      </w:r>
      <w:r>
        <w:t xml:space="preserve">”</w:t>
      </w:r>
      <w:r>
        <w:t xml:space="preserve"> </w:t>
      </w:r>
      <w:r>
        <w:t xml:space="preserve">(world model), and</w:t>
      </w:r>
      <w:r>
        <w:t xml:space="preserve"> </w:t>
      </w:r>
      <w:r>
        <w:t xml:space="preserve">“</w:t>
      </w:r>
      <w:r>
        <w:t xml:space="preserve">autonomous healthcare fleet</w:t>
      </w:r>
      <w:r>
        <w:t xml:space="preserve">”</w:t>
      </w:r>
      <w:r>
        <w:t xml:space="preserve"> </w:t>
      </w:r>
      <w:r>
        <w:t xml:space="preserve">(robotics). Each story targets different investors at different stages and invites questions the codebase cannot yet answer.</w:t>
      </w:r>
    </w:p>
    <w:p>
      <w:pPr>
        <w:pStyle w:val="BodyText"/>
      </w:pPr>
      <w:r>
        <w:t xml:space="preserve">This section documents the resolution: a three-phase sequencing strategy where each phase funds and de-risks the next.</w:t>
      </w:r>
    </w:p>
    <w:bookmarkEnd w:id="265"/>
    <w:bookmarkStart w:id="266" w:name="the-three-phases"/>
    <w:p>
      <w:pPr>
        <w:pStyle w:val="Heading4"/>
      </w:pPr>
      <w:r>
        <w:t xml:space="preserve">10.18.2 The Three Phases</w:t>
      </w:r>
    </w:p>
    <w:p>
      <w:pPr>
        <w:pStyle w:val="FirstParagraph"/>
      </w:pPr>
      <w:r>
        <w:rPr>
          <w:bCs/>
          <w:b/>
        </w:rPr>
        <w:t xml:space="preserve">Phase 1 (Current — EUR 650K SAFE):</w:t>
      </w:r>
      <w:r>
        <w:t xml:space="preserve"> </w:t>
      </w:r>
      <w:r>
        <w:t xml:space="preserve">LWM = regulatory intelligence engine. 15,000+ EU regulatory documents indexed across 20 industries, 18 AI agents, carbon balance sheet with cross-regulation reconciliation (ETS ↔ CBAM ↔ CSRD ↔ Taxonomy). Revenue target: EUR 900K ARR. Ships DWS 7 with persistent carbon balance sheet (July 2026).</w:t>
      </w:r>
    </w:p>
    <w:p>
      <w:pPr>
        <w:pStyle w:val="BodyText"/>
      </w:pPr>
      <w:r>
        <w:rPr>
          <w:bCs/>
          <w:b/>
        </w:rPr>
        <w:t xml:space="preserve">Phase 2 (Post-SAFE — Helsinki Pilot):</w:t>
      </w:r>
      <w:r>
        <w:t xml:space="preserve"> </w:t>
      </w:r>
      <w:r>
        <w:t xml:space="preserve">LWM = regulatory intelligence + physical planning. LeWorldModel-style latent planning bolted onto the regulatory knowledge graph. KELA-backed healthcare fleet pilot on NVIDIA hardware (Acer GN-100). The carbon ledger provides constraint data for physical planning decisions.</w:t>
      </w:r>
    </w:p>
    <w:p>
      <w:pPr>
        <w:pStyle w:val="BodyText"/>
      </w:pPr>
      <w:r>
        <w:rPr>
          <w:bCs/>
          <w:b/>
        </w:rPr>
        <w:t xml:space="preserve">Phase 3 (Series A 2027):</w:t>
      </w:r>
      <w:r>
        <w:t xml:space="preserve"> </w:t>
      </w:r>
      <w:r>
        <w:t xml:space="preserve">LWM = full dual-use product. Carbon balance sheet + edge Physical AI across construction, healthcare, manufacturing, energy, and defence. The sequencing ensures each phase is funded by the previous one’s revenue.</w:t>
      </w:r>
    </w:p>
    <w:bookmarkEnd w:id="266"/>
    <w:bookmarkStart w:id="267" w:name="X0247d25fb087e0c2d85dd7e41541fd516eed067"/>
    <w:p>
      <w:pPr>
        <w:pStyle w:val="Heading4"/>
      </w:pPr>
      <w:r>
        <w:t xml:space="preserve">10.18.3 External Validation: LeWorldModel (arXiv:2603.19312)</w:t>
      </w:r>
    </w:p>
    <w:p>
      <w:pPr>
        <w:pStyle w:val="FirstParagraph"/>
      </w:pPr>
      <w:r>
        <w:t xml:space="preserve">In March 2026, Maes, Le Lidec, Scieur, LeCun, and Balestriero published LeWorldModel — the first Joint Embedding Predictive Architecture (JEPA) that trains stably end-to-end from raw pixels. Key findings relevant to LWM:</w:t>
      </w:r>
    </w:p>
    <w:p>
      <w:pPr>
        <w:numPr>
          <w:ilvl w:val="0"/>
          <w:numId w:val="1092"/>
        </w:numPr>
        <w:pStyle w:val="Compact"/>
      </w:pPr>
      <w:r>
        <w:rPr>
          <w:bCs/>
          <w:b/>
        </w:rPr>
        <w:t xml:space="preserve">Simplicity:</w:t>
      </w:r>
      <w:r>
        <w:t xml:space="preserve"> </w:t>
      </w:r>
      <w:r>
        <w:t xml:space="preserve">2 loss terms (prediction + SIGReg regularizer) replace 6+ hyperparameters, frozen encoders, stop-gradients, and EMA hacks</w:t>
      </w:r>
    </w:p>
    <w:p>
      <w:pPr>
        <w:numPr>
          <w:ilvl w:val="0"/>
          <w:numId w:val="1092"/>
        </w:numPr>
        <w:pStyle w:val="Compact"/>
      </w:pPr>
      <w:r>
        <w:rPr>
          <w:bCs/>
          <w:b/>
        </w:rPr>
        <w:t xml:space="preserve">Efficiency:</w:t>
      </w:r>
      <w:r>
        <w:t xml:space="preserve"> </w:t>
      </w:r>
      <w:r>
        <w:t xml:space="preserve">15M parameters, single GPU, ~1 second planning vs 47 seconds for DINO-WM, 200x fewer tokens</w:t>
      </w:r>
    </w:p>
    <w:p>
      <w:pPr>
        <w:numPr>
          <w:ilvl w:val="0"/>
          <w:numId w:val="1092"/>
        </w:numPr>
        <w:pStyle w:val="Compact"/>
      </w:pPr>
      <w:r>
        <w:rPr>
          <w:bCs/>
          <w:b/>
        </w:rPr>
        <w:t xml:space="preserve">Results:</w:t>
      </w:r>
      <w:r>
        <w:t xml:space="preserve"> </w:t>
      </w:r>
      <w:r>
        <w:t xml:space="preserve">96% success rate on PushT manipulation task (beats DINO-WM’s 92% even without proprioceptive inputs)</w:t>
      </w:r>
    </w:p>
    <w:p>
      <w:pPr>
        <w:pStyle w:val="FirstParagraph"/>
      </w:pPr>
      <w:r>
        <w:t xml:space="preserve">Concurrently, LeCun launched AMI Labs ($1.03B seed, March 2026) and Fei-Fei Li raised $1B for World Labs — $2B in three weeks for world model companies. This validates the category but does not validate Lifetime’s specific product. The honest framing: Lifetime builds domain-specific regulatory infrastructure on top of commodity AI, not general-purpose world models.</w:t>
      </w:r>
    </w:p>
    <w:bookmarkEnd w:id="267"/>
    <w:bookmarkStart w:id="268" w:name="phase-2-technical-gap-analysis"/>
    <w:p>
      <w:pPr>
        <w:pStyle w:val="Heading4"/>
      </w:pPr>
      <w:r>
        <w:t xml:space="preserve">10.18.4 Phase 2 Technical Gap Analysis</w:t>
      </w:r>
    </w:p>
    <w:p>
      <w:pPr>
        <w:pStyle w:val="FirstParagraph"/>
      </w:pPr>
      <w:r>
        <w:t xml:space="preserve">Three unsolved problems bridge Phase 1 to Phase 2:</w:t>
      </w:r>
    </w:p>
    <w:p>
      <w:pPr>
        <w:numPr>
          <w:ilvl w:val="0"/>
          <w:numId w:val="1093"/>
        </w:numPr>
      </w:pPr>
      <w:r>
        <w:rPr>
          <w:bCs/>
          <w:b/>
        </w:rPr>
        <w:t xml:space="preserve">Input modality gap:</w:t>
      </w:r>
      <w:r>
        <w:t xml:space="preserve"> </w:t>
      </w:r>
      <w:r>
        <w:t xml:space="preserve">LeWorldModel expects pixel observations. LWM Phase 1 operates on structured regulatory text. The most realistic bridge is a digital twin (OpenUSD scene representation) that encodes both physical layout and regulatory metadata.</w:t>
      </w:r>
    </w:p>
    <w:p>
      <w:pPr>
        <w:numPr>
          <w:ilvl w:val="0"/>
          <w:numId w:val="1093"/>
        </w:numPr>
      </w:pPr>
      <w:r>
        <w:rPr>
          <w:bCs/>
          <w:b/>
        </w:rPr>
        <w:t xml:space="preserve">Scale gap:</w:t>
      </w:r>
      <w:r>
        <w:t xml:space="preserve"> </w:t>
      </w:r>
      <w:r>
        <w:t xml:space="preserve">LeWorldModel tested on controlled simulation (PushT, Reacher). Industrial environments are uncontrolled, long-horizon, and sparse-reward. Whether latent planning scales to construction sites is research, not engineering.</w:t>
      </w:r>
    </w:p>
    <w:p>
      <w:pPr>
        <w:numPr>
          <w:ilvl w:val="0"/>
          <w:numId w:val="1093"/>
        </w:numPr>
      </w:pPr>
      <w:r>
        <w:rPr>
          <w:bCs/>
          <w:b/>
        </w:rPr>
        <w:t xml:space="preserve">Regulatory-physical integration:</w:t>
      </w:r>
      <w:r>
        <w:t xml:space="preserve"> </w:t>
      </w:r>
      <w:r>
        <w:t xml:space="preserve">How does a physical plan (crane movement, vehicle route) get validated against the carbon ledger before execution? The proposed architecture: physical planner proposes actions → regulatory engine validates against carbon budget → KYA governance gate enforces or blocks. KYA v1.4 (Firecracker MicroVM kill-switches) is the only Phase 2 component already built.</w:t>
      </w:r>
    </w:p>
    <w:p>
      <w:pPr>
        <w:pStyle w:val="FirstParagraph"/>
      </w:pPr>
      <w:r>
        <w:rPr>
          <w:bCs/>
          <w:b/>
        </w:rPr>
        <w:t xml:space="preserve">Key insight:</w:t>
      </w:r>
      <w:r>
        <w:t xml:space="preserve"> </w:t>
      </w:r>
      <w:r>
        <w:t xml:space="preserve">Phase 1 outputs (regulatory graph, carbon ledger, KYA governance) are Phase 2 inputs. The sequencing is not just a fundraising story — it is technically correct. Compliance data feeds physical planning. Not the other way around.</w:t>
      </w:r>
    </w:p>
    <w:bookmarkEnd w:id="268"/>
    <w:bookmarkStart w:id="269" w:name="X258de097a6f938c6924e770ba10f22f8a4dd897"/>
    <w:p>
      <w:pPr>
        <w:pStyle w:val="Heading4"/>
      </w:pPr>
      <w:r>
        <w:t xml:space="preserve">10.18.5 Market Positioning and Comparable Companies</w:t>
      </w:r>
    </w:p>
    <w:p>
      <w:pPr>
        <w:pStyle w:val="FirstParagraph"/>
      </w:pPr>
      <w:r>
        <w:t xml:space="preserve">Analysis of carbon compliance SaaS benchmarks: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Company</w:t>
            </w:r>
          </w:p>
        </w:tc>
        <w:tc>
          <w:tcPr/>
          <w:p>
            <w:pPr>
              <w:pStyle w:val="Compact"/>
              <w:jc w:val="left"/>
            </w:pPr>
            <w:r>
              <w:t xml:space="preserve">Round</w:t>
            </w:r>
          </w:p>
        </w:tc>
        <w:tc>
          <w:tcPr/>
          <w:p>
            <w:pPr>
              <w:pStyle w:val="Compact"/>
              <w:jc w:val="left"/>
            </w:pPr>
            <w:r>
              <w:t xml:space="preserve">Revenue</w:t>
            </w:r>
          </w:p>
        </w:tc>
        <w:tc>
          <w:tcPr/>
          <w:p>
            <w:pPr>
              <w:pStyle w:val="Compact"/>
              <w:jc w:val="left"/>
            </w:pPr>
            <w:r>
              <w:t xml:space="preserve">Year</w:t>
            </w:r>
          </w:p>
        </w:tc>
      </w:tr>
      <w:tr>
        <w:tc>
          <w:tcPr/>
          <w:p>
            <w:pPr>
              <w:pStyle w:val="Compact"/>
              <w:jc w:val="left"/>
            </w:pPr>
            <w:r>
              <w:t xml:space="preserve">Persefoni</w:t>
            </w:r>
          </w:p>
        </w:tc>
        <w:tc>
          <w:tcPr/>
          <w:p>
            <w:pPr>
              <w:pStyle w:val="Compact"/>
              <w:jc w:val="left"/>
            </w:pPr>
            <w:r>
              <w:t xml:space="preserve">Series A ($9.7M)</w:t>
            </w:r>
          </w:p>
        </w:tc>
        <w:tc>
          <w:tcPr/>
          <w:p>
            <w:pPr>
              <w:pStyle w:val="Compact"/>
              <w:jc w:val="left"/>
            </w:pPr>
            <w:r>
              <w:t xml:space="preserve">$1.8M ARR</w:t>
            </w:r>
          </w:p>
        </w:tc>
        <w:tc>
          <w:tcPr/>
          <w:p>
            <w:pPr>
              <w:pStyle w:val="Compact"/>
              <w:jc w:val="left"/>
            </w:pPr>
            <w:r>
              <w:t xml:space="preserve">2021</w:t>
            </w:r>
          </w:p>
        </w:tc>
      </w:tr>
      <w:tr>
        <w:tc>
          <w:tcPr/>
          <w:p>
            <w:pPr>
              <w:pStyle w:val="Compact"/>
              <w:jc w:val="left"/>
            </w:pPr>
            <w:r>
              <w:t xml:space="preserve">Sweep</w:t>
            </w:r>
          </w:p>
        </w:tc>
        <w:tc>
          <w:tcPr/>
          <w:p>
            <w:pPr>
              <w:pStyle w:val="Compact"/>
              <w:jc w:val="left"/>
            </w:pPr>
            <w:r>
              <w:t xml:space="preserve">Series A ($22M)</w:t>
            </w:r>
          </w:p>
        </w:tc>
        <w:tc>
          <w:tcPr/>
          <w:p>
            <w:pPr>
              <w:pStyle w:val="Compact"/>
              <w:jc w:val="left"/>
            </w:pPr>
            <w:r>
              <w:t xml:space="preserve">Early revenue</w:t>
            </w:r>
          </w:p>
        </w:tc>
        <w:tc>
          <w:tcPr/>
          <w:p>
            <w:pPr>
              <w:pStyle w:val="Compact"/>
              <w:jc w:val="left"/>
            </w:pPr>
            <w:r>
              <w:t xml:space="preserve">2021</w:t>
            </w:r>
          </w:p>
        </w:tc>
      </w:tr>
      <w:tr>
        <w:tc>
          <w:tcPr/>
          <w:p>
            <w:pPr>
              <w:pStyle w:val="Compact"/>
              <w:jc w:val="left"/>
            </w:pPr>
            <w:r>
              <w:t xml:space="preserve">Workiva</w:t>
            </w:r>
          </w:p>
        </w:tc>
        <w:tc>
          <w:tcPr/>
          <w:p>
            <w:pPr>
              <w:pStyle w:val="Compact"/>
              <w:jc w:val="left"/>
            </w:pPr>
            <w:r>
              <w:t xml:space="preserve">IPO</w:t>
            </w:r>
          </w:p>
        </w:tc>
        <w:tc>
          <w:tcPr/>
          <w:p>
            <w:pPr>
              <w:pStyle w:val="Compact"/>
              <w:jc w:val="left"/>
            </w:pPr>
            <w:r>
              <w:t xml:space="preserve">~$100M ARR</w:t>
            </w:r>
          </w:p>
        </w:tc>
        <w:tc>
          <w:tcPr/>
          <w:p>
            <w:pPr>
              <w:pStyle w:val="Compact"/>
              <w:jc w:val="left"/>
            </w:pPr>
            <w:r>
              <w:t xml:space="preserve">2014</w:t>
            </w:r>
          </w:p>
        </w:tc>
      </w:tr>
      <w:tr>
        <w:tc>
          <w:tcPr/>
          <w:p>
            <w:pPr>
              <w:pStyle w:val="Compact"/>
              <w:jc w:val="left"/>
            </w:pPr>
            <w:r>
              <w:t xml:space="preserve">Lifetime</w:t>
            </w:r>
          </w:p>
        </w:tc>
        <w:tc>
          <w:tcPr/>
          <w:p>
            <w:pPr>
              <w:pStyle w:val="Compact"/>
              <w:jc w:val="left"/>
            </w:pPr>
            <w:r>
              <w:t xml:space="preserve">SAFE (EUR 650K)</w:t>
            </w:r>
          </w:p>
        </w:tc>
        <w:tc>
          <w:tcPr/>
          <w:p>
            <w:pPr>
              <w:pStyle w:val="Compact"/>
              <w:jc w:val="left"/>
            </w:pPr>
            <w:r>
              <w:t xml:space="preserve">EUR 84K ARR</w:t>
            </w:r>
          </w:p>
        </w:tc>
        <w:tc>
          <w:tcPr/>
          <w:p>
            <w:pPr>
              <w:pStyle w:val="Compact"/>
              <w:jc w:val="left"/>
            </w:pPr>
            <w:r>
              <w:t xml:space="preserve">2026</w:t>
            </w:r>
          </w:p>
        </w:tc>
      </w:tr>
    </w:tbl>
    <w:p>
      <w:pPr>
        <w:pStyle w:val="BodyText"/>
      </w:pPr>
      <w:r>
        <w:t xml:space="preserve">Lifetime’s EUR 3.8M cap is below early-stage carbon SaaS benchmarks. Persefoni raised at a higher implied valuation with less traction. Lifetime has more customers (6), a government payer (KELA), edge deployment (EUR 17K/year vs EUR 350K/year cloud), and a 7-year regulatory knowledge graph.</w:t>
      </w:r>
    </w:p>
    <w:bookmarkEnd w:id="269"/>
    <w:bookmarkStart w:id="270" w:name="research-contribution-9"/>
    <w:p>
      <w:pPr>
        <w:pStyle w:val="Heading4"/>
      </w:pPr>
      <w:r>
        <w:t xml:space="preserve">10.18.6 Research Contribution</w:t>
      </w:r>
    </w:p>
    <w:p>
      <w:pPr>
        <w:pStyle w:val="FirstParagraph"/>
      </w:pPr>
      <w:r>
        <w:t xml:space="preserve">This section contributes three findings:</w:t>
      </w:r>
    </w:p>
    <w:p>
      <w:pPr>
        <w:numPr>
          <w:ilvl w:val="0"/>
          <w:numId w:val="1094"/>
        </w:numPr>
      </w:pPr>
      <w:r>
        <w:rPr>
          <w:bCs/>
          <w:b/>
        </w:rPr>
        <w:t xml:space="preserve">Sequencing discipline:</w:t>
      </w:r>
      <w:r>
        <w:t xml:space="preserve"> </w:t>
      </w:r>
      <w:r>
        <w:t xml:space="preserve">The framing of a product should match its current capabilities, not its future vision. Presenting Phase 3 capabilities in a Phase 1 fundraise creates contradictions that informed investors will catch. The three-phase model demonstrates how startup storytelling can be honest and ambitious simultaneously.</w:t>
      </w:r>
    </w:p>
    <w:p>
      <w:pPr>
        <w:numPr>
          <w:ilvl w:val="0"/>
          <w:numId w:val="1094"/>
        </w:numPr>
      </w:pPr>
      <w:r>
        <w:rPr>
          <w:bCs/>
          <w:b/>
        </w:rPr>
        <w:t xml:space="preserve">Compliance-first world model thesis:</w:t>
      </w:r>
      <w:r>
        <w:t xml:space="preserve"> </w:t>
      </w:r>
      <w:r>
        <w:t xml:space="preserve">The insight that compliance data feeds physical planning (not the reverse) is a novel architectural contribution. A construction site digital twin has nothing to optimize without verified emissions data. A healthcare fleet robot has no billing path without KELA integration. This inverts the typical world model narrative (physics first, compliance later) and may generalize to other regulated industries.</w:t>
      </w:r>
    </w:p>
    <w:p>
      <w:pPr>
        <w:numPr>
          <w:ilvl w:val="0"/>
          <w:numId w:val="1094"/>
        </w:numPr>
      </w:pPr>
      <w:r>
        <w:rPr>
          <w:bCs/>
          <w:b/>
        </w:rPr>
        <w:t xml:space="preserve">Phase 2 technical scoping:</w:t>
      </w:r>
      <w:r>
        <w:t xml:space="preserve"> </w:t>
      </w:r>
      <w:r>
        <w:t xml:space="preserve">The three unsolved problems (input modality, scale, regulatory-physical integration) provide a concrete research agenda that connects LeWorldModel’s theoretical advances to industrial application. The digital twin bridge via OpenUSD is identified as the most realistic near-term path.</w:t>
      </w:r>
    </w:p>
    <w:bookmarkEnd w:id="270"/>
    <w:bookmarkEnd w:id="271"/>
    <w:bookmarkStart w:id="276" w:name="Xffdfef13a0852165795bac8c15daacb1d6dc62a"/>
    <w:p>
      <w:pPr>
        <w:pStyle w:val="Heading3"/>
      </w:pPr>
      <w:r>
        <w:t xml:space="preserve">10.19 Thesis Versioning Strategy: v3.30.50 Metropolia Freeze</w:t>
      </w:r>
    </w:p>
    <w:bookmarkStart w:id="272" w:name="motivation-3"/>
    <w:p>
      <w:pPr>
        <w:pStyle w:val="Heading4"/>
      </w:pPr>
      <w:r>
        <w:t xml:space="preserve">10.19.1 Motivation</w:t>
      </w:r>
    </w:p>
    <w:p>
      <w:pPr>
        <w:pStyle w:val="FirstParagraph"/>
      </w:pPr>
      <w:r>
        <w:t xml:space="preserve">By version 3.31, the master thesis had grown to 82 pages and 26,000+ words — nearly double the 40-50 page target for Metropolia submission. Rather than permanently losing detailed research content, a dual-version architecture was adopted.</w:t>
      </w:r>
    </w:p>
    <w:bookmarkEnd w:id="272"/>
    <w:bookmarkStart w:id="273" w:name="dual-version-architecture"/>
    <w:p>
      <w:pPr>
        <w:pStyle w:val="Heading4"/>
      </w:pPr>
      <w:r>
        <w:t xml:space="preserve">10.19.2 Dual-Version Architecture</w:t>
      </w:r>
    </w:p>
    <w:tbl>
      <w:tblPr>
        <w:tblStyle w:val="Table"/>
        <w:tblW w:type="pct" w:w="5000"/>
        <w:tblLook w:firstRow="1" w:lastRow="0" w:firstColumn="0" w:lastColumn="0" w:noHBand="0" w:noVBand="0" w:val="0020"/>
        <w:jc w:val="start"/>
      </w:tblPr>
      <w:tblGrid>
        <w:gridCol w:w="772"/>
        <w:gridCol w:w="2414"/>
        <w:gridCol w:w="482"/>
        <w:gridCol w:w="579"/>
        <w:gridCol w:w="3670"/>
      </w:tblGrid>
      <w:tr>
        <w:trPr>
          <w:tblHeader w:val="true"/>
        </w:trPr>
        <w:tc>
          <w:tcPr/>
          <w:p>
            <w:pPr>
              <w:pStyle w:val="Compact"/>
              <w:jc w:val="left"/>
            </w:pPr>
            <w:r>
              <w:t xml:space="preserve">Version</w:t>
            </w:r>
          </w:p>
        </w:tc>
        <w:tc>
          <w:tcPr/>
          <w:p>
            <w:pPr>
              <w:pStyle w:val="Compact"/>
              <w:jc w:val="left"/>
            </w:pPr>
            <w:r>
              <w:t xml:space="preserve">File</w:t>
            </w:r>
          </w:p>
        </w:tc>
        <w:tc>
          <w:tcPr/>
          <w:p>
            <w:pPr>
              <w:pStyle w:val="Compact"/>
              <w:jc w:val="left"/>
            </w:pPr>
            <w:r>
              <w:t xml:space="preserve">Pages</w:t>
            </w:r>
          </w:p>
        </w:tc>
        <w:tc>
          <w:tcPr/>
          <w:p>
            <w:pPr>
              <w:pStyle w:val="Compact"/>
              <w:jc w:val="left"/>
            </w:pPr>
            <w:r>
              <w:t xml:space="preserve">Status</w:t>
            </w:r>
          </w:p>
        </w:tc>
        <w:tc>
          <w:tcPr/>
          <w:p>
            <w:pPr>
              <w:pStyle w:val="Compact"/>
              <w:jc w:val="left"/>
            </w:pPr>
            <w:r>
              <w:t xml:space="preserve">Purpose</w:t>
            </w:r>
          </w:p>
        </w:tc>
      </w:tr>
      <w:tr>
        <w:tc>
          <w:tcPr/>
          <w:p>
            <w:pPr>
              <w:pStyle w:val="Compact"/>
              <w:jc w:val="left"/>
            </w:pPr>
            <w:r>
              <w:t xml:space="preserve">v3.30.50</w:t>
            </w:r>
          </w:p>
        </w:tc>
        <w:tc>
          <w:tcPr/>
          <w:p>
            <w:pPr>
              <w:pStyle w:val="Compact"/>
              <w:jc w:val="left"/>
            </w:pPr>
            <w:r>
              <w:rPr>
                <w:rStyle w:val="VerbatimChar"/>
              </w:rPr>
              <w:t xml:space="preserve">V3Thesis_EN_v3.30.50.md</w:t>
            </w:r>
          </w:p>
        </w:tc>
        <w:tc>
          <w:tcPr/>
          <w:p>
            <w:pPr>
              <w:pStyle w:val="Compact"/>
              <w:jc w:val="left"/>
            </w:pPr>
            <w:r>
              <w:t xml:space="preserve">~50</w:t>
            </w:r>
          </w:p>
        </w:tc>
        <w:tc>
          <w:tcPr/>
          <w:p>
            <w:pPr>
              <w:pStyle w:val="Compact"/>
              <w:jc w:val="left"/>
            </w:pPr>
            <w:r>
              <w:t xml:space="preserve">FROZEN</w:t>
            </w:r>
          </w:p>
        </w:tc>
        <w:tc>
          <w:tcPr/>
          <w:p>
            <w:pPr>
              <w:pStyle w:val="Compact"/>
              <w:jc w:val="left"/>
            </w:pPr>
            <w:r>
              <w:t xml:space="preserve">Metropolia outgoing submission</w:t>
            </w:r>
          </w:p>
        </w:tc>
      </w:tr>
      <w:tr>
        <w:tc>
          <w:tcPr/>
          <w:p>
            <w:pPr>
              <w:pStyle w:val="Compact"/>
              <w:jc w:val="left"/>
            </w:pPr>
            <w:r>
              <w:t xml:space="preserve">v3.32+</w:t>
            </w:r>
          </w:p>
        </w:tc>
        <w:tc>
          <w:tcPr/>
          <w:p>
            <w:pPr>
              <w:pStyle w:val="Compact"/>
              <w:jc w:val="left"/>
            </w:pPr>
            <w:r>
              <w:rPr>
                <w:rStyle w:val="VerbatimChar"/>
              </w:rPr>
              <w:t xml:space="preserve">V3Thesis_EN.md</w:t>
            </w:r>
          </w:p>
        </w:tc>
        <w:tc>
          <w:tcPr/>
          <w:p>
            <w:pPr>
              <w:pStyle w:val="Compact"/>
              <w:jc w:val="left"/>
            </w:pPr>
            <w:r>
              <w:t xml:space="preserve">~82</w:t>
            </w:r>
          </w:p>
        </w:tc>
        <w:tc>
          <w:tcPr/>
          <w:p>
            <w:pPr>
              <w:pStyle w:val="Compact"/>
              <w:jc w:val="left"/>
            </w:pPr>
            <w:r>
              <w:t xml:space="preserve">Living</w:t>
            </w:r>
          </w:p>
        </w:tc>
        <w:tc>
          <w:tcPr/>
          <w:p>
            <w:pPr>
              <w:pStyle w:val="Compact"/>
              <w:jc w:val="left"/>
            </w:pPr>
            <w:r>
              <w:t xml:space="preserve">Complete research record</w:t>
            </w:r>
          </w:p>
        </w:tc>
      </w:tr>
      <w:tr>
        <w:tc>
          <w:tcPr/>
          <w:p>
            <w:pPr>
              <w:pStyle w:val="Compact"/>
              <w:jc w:val="left"/>
            </w:pPr>
            <w:r>
              <w:t xml:space="preserve">v3.2+</w:t>
            </w:r>
          </w:p>
        </w:tc>
        <w:tc>
          <w:tcPr/>
          <w:p>
            <w:pPr>
              <w:pStyle w:val="Compact"/>
              <w:jc w:val="left"/>
            </w:pPr>
            <w:r>
              <w:rPr>
                <w:rStyle w:val="VerbatimChar"/>
              </w:rPr>
              <w:t xml:space="preserve">PHD_FIREHORSE_EN.md</w:t>
            </w:r>
          </w:p>
        </w:tc>
        <w:tc>
          <w:tcPr/>
          <w:p>
            <w:pPr>
              <w:pStyle w:val="Compact"/>
              <w:jc w:val="left"/>
            </w:pPr>
            <w:r>
              <w:t xml:space="preserve">—</w:t>
            </w:r>
          </w:p>
        </w:tc>
        <w:tc>
          <w:tcPr/>
          <w:p>
            <w:pPr>
              <w:pStyle w:val="Compact"/>
              <w:jc w:val="left"/>
            </w:pPr>
            <w:r>
              <w:t xml:space="preserve">Living</w:t>
            </w:r>
          </w:p>
        </w:tc>
        <w:tc>
          <w:tcPr/>
          <w:p>
            <w:pPr>
              <w:pStyle w:val="Compact"/>
              <w:jc w:val="left"/>
            </w:pPr>
            <w:r>
              <w:t xml:space="preserve">Doctoral companion (detailed sections)</w:t>
            </w:r>
          </w:p>
        </w:tc>
      </w:tr>
    </w:tbl>
    <w:p>
      <w:pPr>
        <w:pStyle w:val="BodyText"/>
      </w:pPr>
      <w:r>
        <w:t xml:space="preserve">The v3.30.50 restructuring applied four transformations:</w:t>
      </w:r>
    </w:p>
    <w:p>
      <w:pPr>
        <w:numPr>
          <w:ilvl w:val="0"/>
          <w:numId w:val="1095"/>
        </w:numPr>
        <w:pStyle w:val="Compact"/>
      </w:pPr>
      <w:r>
        <w:rPr>
          <w:bCs/>
          <w:b/>
        </w:rPr>
        <w:t xml:space="preserve">Section 5 expansion</w:t>
      </w:r>
      <w:r>
        <w:t xml:space="preserve"> </w:t>
      </w:r>
      <w:r>
        <w:t xml:space="preserve">— From 0.7 pages to ~4 pages covering infrastructure deployment, agent architecture, coordination via Lifetime Scope Signals, evolution to 31 agents, customer onboarding results, and key metrics</w:t>
      </w:r>
    </w:p>
    <w:p>
      <w:pPr>
        <w:numPr>
          <w:ilvl w:val="0"/>
          <w:numId w:val="1095"/>
        </w:numPr>
        <w:pStyle w:val="Compact"/>
      </w:pPr>
      <w:r>
        <w:rPr>
          <w:bCs/>
          <w:b/>
        </w:rPr>
        <w:t xml:space="preserve">Section 10 consolidation</w:t>
      </w:r>
      <w:r>
        <w:t xml:space="preserve"> </w:t>
      </w:r>
      <w:r>
        <w:t xml:space="preserve">— Detailed sections 10.6-10.18 replaced with 10.6</w:t>
      </w:r>
      <w:r>
        <w:t xml:space="preserve"> </w:t>
      </w:r>
      <w:r>
        <w:t xml:space="preserve">“</w:t>
      </w:r>
      <w:r>
        <w:t xml:space="preserve">Extended Research Contributions (Summary)</w:t>
      </w:r>
      <w:r>
        <w:t xml:space="preserve">”</w:t>
      </w:r>
      <w:r>
        <w:t xml:space="preserve"> </w:t>
      </w:r>
      <w:r>
        <w:t xml:space="preserve">containing 1-paragraph summaries with PHD Firehorse cross-references</w:t>
      </w:r>
    </w:p>
    <w:p>
      <w:pPr>
        <w:numPr>
          <w:ilvl w:val="0"/>
          <w:numId w:val="1095"/>
        </w:numPr>
        <w:pStyle w:val="Compact"/>
      </w:pPr>
      <w:r>
        <w:rPr>
          <w:bCs/>
          <w:b/>
        </w:rPr>
        <w:t xml:space="preserve">Appendix trimming</w:t>
      </w:r>
      <w:r>
        <w:t xml:space="preserve"> </w:t>
      </w:r>
      <w:r>
        <w:t xml:space="preserve">— 8 appendices reduced to 4 (kept Solution Factory Canvas, LSS Protocol, Karpathy Principles, Glossary)</w:t>
      </w:r>
    </w:p>
    <w:p>
      <w:pPr>
        <w:numPr>
          <w:ilvl w:val="0"/>
          <w:numId w:val="1095"/>
        </w:numPr>
        <w:pStyle w:val="Compact"/>
      </w:pPr>
      <w:r>
        <w:rPr>
          <w:bCs/>
          <w:b/>
        </w:rPr>
        <w:t xml:space="preserve">Content preservation</w:t>
      </w:r>
      <w:r>
        <w:t xml:space="preserve"> </w:t>
      </w:r>
      <w:r>
        <w:t xml:space="preserve">— All removed content already exists in PHD Firehorse companion document</w:t>
      </w:r>
    </w:p>
    <w:bookmarkEnd w:id="273"/>
    <w:bookmarkStart w:id="274" w:name="versioning-rules"/>
    <w:p>
      <w:pPr>
        <w:pStyle w:val="Heading4"/>
      </w:pPr>
      <w:r>
        <w:t xml:space="preserve">10.19.3 Versioning Rules</w:t>
      </w:r>
    </w:p>
    <w:p>
      <w:pPr>
        <w:numPr>
          <w:ilvl w:val="0"/>
          <w:numId w:val="1096"/>
        </w:numPr>
        <w:pStyle w:val="Compact"/>
      </w:pPr>
      <w:r>
        <w:t xml:space="preserve">v3.30.50 files are</w:t>
      </w:r>
      <w:r>
        <w:t xml:space="preserve"> </w:t>
      </w:r>
      <w:r>
        <w:rPr>
          <w:bCs/>
          <w:b/>
        </w:rPr>
        <w:t xml:space="preserve">HIL-only</w:t>
      </w:r>
      <w:r>
        <w:t xml:space="preserve"> </w:t>
      </w:r>
      <w:r>
        <w:t xml:space="preserve">(Human-in-the-Loop) — no Claude Code edits after freeze</w:t>
      </w:r>
    </w:p>
    <w:p>
      <w:pPr>
        <w:numPr>
          <w:ilvl w:val="0"/>
          <w:numId w:val="1096"/>
        </w:numPr>
        <w:pStyle w:val="Compact"/>
      </w:pPr>
      <w:r>
        <w:t xml:space="preserve">The 82-page living document continues versioning normally (3.32, 3.33, …)</w:t>
      </w:r>
    </w:p>
    <w:p>
      <w:pPr>
        <w:numPr>
          <w:ilvl w:val="0"/>
          <w:numId w:val="1096"/>
        </w:numPr>
        <w:pStyle w:val="Compact"/>
      </w:pPr>
      <w:r>
        <w:t xml:space="preserve">PHD Firehorse continues independently (3.2, 3.3, …)</w:t>
      </w:r>
    </w:p>
    <w:p>
      <w:pPr>
        <w:numPr>
          <w:ilvl w:val="0"/>
          <w:numId w:val="1096"/>
        </w:numPr>
        <w:pStyle w:val="Compact"/>
      </w:pPr>
      <w:r>
        <w:t xml:space="preserve">Version updates to living documents should note if content also applies to the frozen version via copy-paste proposals</w:t>
      </w:r>
    </w:p>
    <w:bookmarkEnd w:id="274"/>
    <w:bookmarkStart w:id="275" w:name="research-contribution-10"/>
    <w:p>
      <w:pPr>
        <w:pStyle w:val="Heading4"/>
      </w:pPr>
      <w:r>
        <w:t xml:space="preserve">10.19.4 Research Contribution</w:t>
      </w:r>
    </w:p>
    <w:p>
      <w:pPr>
        <w:pStyle w:val="FirstParagraph"/>
      </w:pPr>
      <w:r>
        <w:rPr>
          <w:bCs/>
          <w:b/>
        </w:rPr>
        <w:t xml:space="preserve">Key Contribution #23:</w:t>
      </w:r>
      <w:r>
        <w:t xml:space="preserve"> </w:t>
      </w:r>
      <w:r>
        <w:t xml:space="preserve">The dual-version strategy demonstrates a practical solution for AI-assisted academic writing where research velocity exceeds submission format constraints. The 82-page living document preserves full research lineage (38 version entries, 22 key contributions), while the 50-page frozen version meets institutional requirements without losing intellectual property. This pattern may generalize to other fast-moving research projects using AI-assisted documentation.</w:t>
      </w:r>
    </w:p>
    <w:bookmarkEnd w:id="275"/>
    <w:bookmarkEnd w:id="276"/>
    <w:bookmarkStart w:id="283" w:name="X3f6265fb6545959661fa29af413e10addd1be2a"/>
    <w:p>
      <w:pPr>
        <w:pStyle w:val="Heading3"/>
      </w:pPr>
      <w:r>
        <w:t xml:space="preserve">10.20 April 2026 Evolution: Skills Paradigm, Lifetime Fleet Roadmap, 22nd Industry, and Founder→Team Transition</w:t>
      </w:r>
    </w:p>
    <w:p>
      <w:pPr>
        <w:pStyle w:val="FirstParagraph"/>
      </w:pPr>
      <w:r>
        <w:rPr>
          <w:iCs/>
          <w:i/>
        </w:rPr>
        <w:t xml:space="preserve">Source: field notes 2026-04-06 through 2026-04-19; PRs #1064, #1109, #1110, #1111, #1112, #1113, #1115, #1116, #1128; SOLO_FOUNDER_STATEMENT v1.2.</w:t>
      </w:r>
    </w:p>
    <w:bookmarkStart w:id="277" w:name="X55104cd22eceedc791d7344603ae34b8bbfd8f4"/>
    <w:p>
      <w:pPr>
        <w:pStyle w:val="Heading4"/>
      </w:pPr>
      <w:r>
        <w:t xml:space="preserve">10.20.1 Anthropic Skills Paradigm — External Validation of DWS Skill-First Architecture</w:t>
      </w:r>
    </w:p>
    <w:p>
      <w:pPr>
        <w:pStyle w:val="FirstParagraph"/>
      </w:pPr>
      <w:r>
        <w:t xml:space="preserve">On 2026-04-16, Anthropic published an essay titled</w:t>
      </w:r>
      <w:r>
        <w:t xml:space="preserve"> </w:t>
      </w:r>
      <w:r>
        <w:t xml:space="preserve">“</w:t>
      </w:r>
      <w:r>
        <w:t xml:space="preserve">Stop Building Agents, Start Building Skills</w:t>
      </w:r>
      <w:r>
        <w:t xml:space="preserve">”</w:t>
      </w:r>
      <w:r>
        <w:t xml:space="preserve"> </w:t>
      </w:r>
      <w:r>
        <w:t xml:space="preserve">(logged at</w:t>
      </w:r>
      <w:r>
        <w:t xml:space="preserve"> </w:t>
      </w:r>
      <w:r>
        <w:rPr>
          <w:rStyle w:val="VerbatimChar"/>
        </w:rPr>
        <w:t xml:space="preserve">docs/field-notes/2026-04-16-anthropic-skills-paradigm-stop-building-agents.md</w:t>
      </w:r>
      <w:r>
        <w:t xml:space="preserve">). The argument: monolithic agents over-consume context window capacity and degrade as tool counts grow; discrete, invocable skills (Claude Code Skills,</w:t>
      </w:r>
      <w:r>
        <w:t xml:space="preserve"> </w:t>
      </w:r>
      <w:r>
        <w:rPr>
          <w:rStyle w:val="VerbatimChar"/>
        </w:rPr>
        <w:t xml:space="preserve">.claude/commands/*.md</w:t>
      </w:r>
      <w:r>
        <w:t xml:space="preserve">) outperform agent frameworks at enterprise scale because each skill is loaded only when needed and is individually testable.</w:t>
      </w:r>
    </w:p>
    <w:p>
      <w:pPr>
        <w:pStyle w:val="BodyText"/>
      </w:pPr>
      <w:r>
        <w:t xml:space="preserve">This is the first major external validation of the architectural bet made in Section 10.13 (Claude Code Engineering Structure, Version 3.17, 02.03.2026) and Section 10.13.7 (Domain-Specific vs Generic AI Harness, Version 3.31, 31.03.2026). Specifically:</w:t>
      </w:r>
    </w:p>
    <w:tbl>
      <w:tblPr>
        <w:tblStyle w:val="Table"/>
        <w:tblW w:type="pct" w:w="5000"/>
        <w:tblLook w:firstRow="1" w:lastRow="0" w:firstColumn="0" w:lastColumn="0" w:noHBand="0" w:noVBand="0" w:val="0020"/>
        <w:jc w:val="start"/>
      </w:tblPr>
      <w:tblGrid>
        <w:gridCol w:w="4730"/>
        <w:gridCol w:w="2695"/>
        <w:gridCol w:w="495"/>
      </w:tblGrid>
      <w:tr>
        <w:trPr>
          <w:tblHeader w:val="true"/>
        </w:trPr>
        <w:tc>
          <w:tcPr/>
          <w:p>
            <w:pPr>
              <w:pStyle w:val="Compact"/>
              <w:jc w:val="left"/>
            </w:pPr>
            <w:r>
              <w:t xml:space="preserve">DWS Position (pre-April 2026)</w:t>
            </w:r>
          </w:p>
        </w:tc>
        <w:tc>
          <w:tcPr/>
          <w:p>
            <w:pPr>
              <w:pStyle w:val="Compact"/>
              <w:jc w:val="left"/>
            </w:pPr>
            <w:r>
              <w:t xml:space="preserve">Anthropic’s 2026-04-16 argument</w:t>
            </w:r>
          </w:p>
        </w:tc>
        <w:tc>
          <w:tcPr/>
          <w:p>
            <w:pPr>
              <w:pStyle w:val="Compact"/>
              <w:jc w:val="left"/>
            </w:pPr>
            <w:r>
              <w:t xml:space="preserve">Status</w:t>
            </w:r>
          </w:p>
        </w:tc>
      </w:tr>
      <w:tr>
        <w:tc>
          <w:tcPr/>
          <w:p>
            <w:pPr>
              <w:pStyle w:val="Compact"/>
              <w:jc w:val="left"/>
            </w:pPr>
            <w:r>
              <w:t xml:space="preserve">Skills as reusable workflow components (§10.13.3)</w:t>
            </w:r>
          </w:p>
        </w:tc>
        <w:tc>
          <w:tcPr/>
          <w:p>
            <w:pPr>
              <w:pStyle w:val="Compact"/>
              <w:jc w:val="left"/>
            </w:pPr>
            <w:r>
              <w:t xml:space="preserve">Skills over agents at scale</w:t>
            </w:r>
          </w:p>
        </w:tc>
        <w:tc>
          <w:tcPr/>
          <w:p>
            <w:pPr>
              <w:pStyle w:val="Compact"/>
              <w:jc w:val="left"/>
            </w:pPr>
            <w:r>
              <w:t xml:space="preserve">Validated</w:t>
            </w:r>
          </w:p>
        </w:tc>
      </w:tr>
      <w:tr>
        <w:tc>
          <w:tcPr/>
          <w:p>
            <w:pPr>
              <w:pStyle w:val="Compact"/>
              <w:jc w:val="left"/>
            </w:pPr>
            <w:r>
              <w:rPr>
                <w:rStyle w:val="VerbatimChar"/>
              </w:rPr>
              <w:t xml:space="preserve">.claude/commands/*.md</w:t>
            </w:r>
            <w:r>
              <w:t xml:space="preserve"> </w:t>
            </w:r>
            <w:r>
              <w:t xml:space="preserve">as product interface (§10.13.6)</w:t>
            </w:r>
          </w:p>
        </w:tc>
        <w:tc>
          <w:tcPr/>
          <w:p>
            <w:pPr>
              <w:pStyle w:val="Compact"/>
              <w:jc w:val="left"/>
            </w:pPr>
            <w:r>
              <w:t xml:space="preserve">Discrete invocables beat monoliths</w:t>
            </w:r>
          </w:p>
        </w:tc>
        <w:tc>
          <w:tcPr/>
          <w:p>
            <w:pPr>
              <w:pStyle w:val="Compact"/>
              <w:jc w:val="left"/>
            </w:pPr>
            <w:r>
              <w:t xml:space="preserve">Validated</w:t>
            </w:r>
          </w:p>
        </w:tc>
      </w:tr>
      <w:tr>
        <w:tc>
          <w:tcPr/>
          <w:p>
            <w:pPr>
              <w:pStyle w:val="Compact"/>
              <w:jc w:val="left"/>
            </w:pPr>
            <w:r>
              <w:t xml:space="preserve">Agent-first product rule — every product needs a skill (CLAUDE.md §</w:t>
            </w:r>
            <w:r>
              <w:t xml:space="preserve">“</w:t>
            </w:r>
            <w:r>
              <w:t xml:space="preserve">Build for Agents</w:t>
            </w:r>
            <w:r>
              <w:t xml:space="preserve">”</w:t>
            </w:r>
            <w:r>
              <w:t xml:space="preserve">)</w:t>
            </w:r>
          </w:p>
        </w:tc>
        <w:tc>
          <w:tcPr/>
          <w:p>
            <w:pPr>
              <w:pStyle w:val="Compact"/>
              <w:jc w:val="left"/>
            </w:pPr>
            <w:r>
              <w:t xml:space="preserve">Skills are the API surface</w:t>
            </w:r>
          </w:p>
        </w:tc>
        <w:tc>
          <w:tcPr/>
          <w:p>
            <w:pPr>
              <w:pStyle w:val="Compact"/>
              <w:jc w:val="left"/>
            </w:pPr>
            <w:r>
              <w:t xml:space="preserve">Validated</w:t>
            </w:r>
          </w:p>
        </w:tc>
      </w:tr>
      <w:tr>
        <w:tc>
          <w:tcPr/>
          <w:p>
            <w:pPr>
              <w:pStyle w:val="Compact"/>
              <w:jc w:val="left"/>
            </w:pPr>
            <w:r>
              <w:t xml:space="preserve">Domain-specific depth &gt; breadth (§10.13.7)</w:t>
            </w:r>
          </w:p>
        </w:tc>
        <w:tc>
          <w:tcPr/>
          <w:p>
            <w:pPr>
              <w:pStyle w:val="Compact"/>
              <w:jc w:val="left"/>
            </w:pPr>
            <w:r>
              <w:t xml:space="preserve">Generic 136-skill frameworks fail on token budget</w:t>
            </w:r>
          </w:p>
        </w:tc>
        <w:tc>
          <w:tcPr/>
          <w:p>
            <w:pPr>
              <w:pStyle w:val="Compact"/>
              <w:jc w:val="left"/>
            </w:pPr>
            <w:r>
              <w:t xml:space="preserve">Validated</w:t>
            </w:r>
          </w:p>
        </w:tc>
      </w:tr>
    </w:tbl>
    <w:p>
      <w:pPr>
        <w:pStyle w:val="BodyText"/>
      </w:pPr>
      <w:r>
        <w:rPr>
          <w:bCs/>
          <w:b/>
        </w:rPr>
        <w:t xml:space="preserve">Skill library growth since v3.31 (31.03.2026):</w:t>
      </w:r>
      <w:r>
        <w:t xml:space="preserve"> </w:t>
      </w:r>
      <w:r>
        <w:t xml:space="preserve">+3 production skills —</w:t>
      </w:r>
      <w:r>
        <w:t xml:space="preserve"> </w:t>
      </w:r>
      <w:r>
        <w:rPr>
          <w:rStyle w:val="VerbatimChar"/>
        </w:rPr>
        <w:t xml:space="preserve">/regulatory-radar</w:t>
      </w:r>
      <w:r>
        <w:t xml:space="preserve"> </w:t>
      </w:r>
      <w:r>
        <w:t xml:space="preserve">(EU regulation pipeline scanner),</w:t>
      </w:r>
      <w:r>
        <w:t xml:space="preserve"> </w:t>
      </w:r>
      <w:r>
        <w:rPr>
          <w:rStyle w:val="VerbatimChar"/>
        </w:rPr>
        <w:t xml:space="preserve">/investor-outreach</w:t>
      </w:r>
      <w:r>
        <w:t xml:space="preserve"> </w:t>
      </w:r>
      <w:r>
        <w:t xml:space="preserve">(draft/triage/track investor INTRO notes),</w:t>
      </w:r>
      <w:r>
        <w:t xml:space="preserve"> </w:t>
      </w:r>
      <w:r>
        <w:rPr>
          <w:rStyle w:val="VerbatimChar"/>
        </w:rPr>
        <w:t xml:space="preserve">/multilingual</w:t>
      </w:r>
      <w:r>
        <w:t xml:space="preserve"> </w:t>
      </w:r>
      <w:r>
        <w:t xml:space="preserve">(EU language bar generator for onelifetime.world and dws10.com). Total 24+ production skills with 4 blocking discipline gates.</w:t>
      </w:r>
    </w:p>
    <w:p>
      <w:pPr>
        <w:pStyle w:val="BodyText"/>
      </w:pPr>
      <w:r>
        <w:rPr>
          <w:bCs/>
          <w:b/>
        </w:rPr>
        <w:t xml:space="preserve">Research contribution:</w:t>
      </w:r>
      <w:r>
        <w:t xml:space="preserve"> </w:t>
      </w:r>
      <w:r>
        <w:t xml:space="preserve">The skills-first architecture is no longer a hypothesis under evaluation — it is the emerging industry consensus. For a one-person founder team operating in a regulated domain, the skill library also functions as an</w:t>
      </w:r>
      <w:r>
        <w:t xml:space="preserve"> </w:t>
      </w:r>
      <w:r>
        <w:rPr>
          <w:bCs/>
          <w:b/>
        </w:rPr>
        <w:t xml:space="preserve">on-ramp for co-founders and partners</w:t>
      </w:r>
      <w:r>
        <w:t xml:space="preserve">: each skill is a documented, testable unit of institutional knowledge that a new contributor can exercise without reading the full codebase.</w:t>
      </w:r>
    </w:p>
    <w:bookmarkEnd w:id="277"/>
    <w:bookmarkStart w:id="278" w:name="X64fbd3dc6bb8d3f19fa52f0e4a571fe1c405574"/>
    <w:p>
      <w:pPr>
        <w:pStyle w:val="Heading4"/>
      </w:pPr>
      <w:r>
        <w:t xml:space="preserve">10.20.2 Lifetime Fleet Roadmap Crystallization —</w:t>
      </w:r>
      <w:r>
        <w:t xml:space="preserve"> </w:t>
      </w:r>
      <w:r>
        <w:t xml:space="preserve">“</w:t>
      </w:r>
      <w:r>
        <w:t xml:space="preserve">Hands</w:t>
      </w:r>
      <w:r>
        <w:t xml:space="preserve">”</w:t>
      </w:r>
      <w:r>
        <w:t xml:space="preserve"> </w:t>
      </w:r>
      <w:r>
        <w:t xml:space="preserve">Layer Graduates from Spec to Timeline</w:t>
      </w:r>
    </w:p>
    <w:p>
      <w:pPr>
        <w:pStyle w:val="FirstParagraph"/>
      </w:pPr>
      <w:r>
        <w:t xml:space="preserve">The Brain-Memory-Body-Hands architecture (CLAUDE.md §</w:t>
      </w:r>
      <w:r>
        <w:t xml:space="preserve">“</w:t>
      </w:r>
      <w:r>
        <w:t xml:space="preserve">Project Overview</w:t>
      </w:r>
      <w:r>
        <w:t xml:space="preserve">”</w:t>
      </w:r>
      <w:r>
        <w:t xml:space="preserve">) listed Lifetime Fleet (</w:t>
      </w:r>
      <w:r>
        <w:t xml:space="preserve">“</w:t>
      </w:r>
      <w:r>
        <w:t xml:space="preserve">Hands</w:t>
      </w:r>
      <w:r>
        <w:t xml:space="preserve">”</w:t>
      </w:r>
      <w:r>
        <w:t xml:space="preserve">) as</w:t>
      </w:r>
      <w:r>
        <w:t xml:space="preserve"> </w:t>
      </w:r>
      <w:r>
        <w:rPr>
          <w:iCs/>
          <w:i/>
        </w:rPr>
        <w:t xml:space="preserve">“</w:t>
      </w:r>
      <w:r>
        <w:rPr>
          <w:iCs/>
          <w:i/>
        </w:rPr>
        <w:t xml:space="preserve">specification phase</w:t>
      </w:r>
      <w:r>
        <w:rPr>
          <w:iCs/>
          <w:i/>
        </w:rPr>
        <w:t xml:space="preserve">”</w:t>
      </w:r>
      <w:r>
        <w:t xml:space="preserve"> </w:t>
      </w:r>
      <w:r>
        <w:t xml:space="preserve">for the entire life of this thesis. In April 2026 this changed. Two field notes crystallize the roadmap:</w:t>
      </w:r>
    </w:p>
    <w:p>
      <w:pPr>
        <w:numPr>
          <w:ilvl w:val="0"/>
          <w:numId w:val="1097"/>
        </w:numPr>
        <w:pStyle w:val="Compact"/>
      </w:pPr>
      <w:r>
        <w:rPr>
          <w:rStyle w:val="VerbatimChar"/>
          <w:bCs/>
          <w:b/>
        </w:rPr>
        <w:t xml:space="preserve">docs/field-notes/2026-04-15-finland-drone-strategy-lifetime-fleet.md</w:t>
      </w:r>
      <w:r>
        <w:t xml:space="preserve"> </w:t>
      </w:r>
      <w:r>
        <w:t xml:space="preserve">— Alignment of Lifetime Fleet with Finland’s Drone Strategy 2030. Positions DWS as the governance + compliance layer for Finnish industrial drones (agriculture, forestry, infrastructure, defence) using the same KYA/Aegis/Firehorse inventory already built for the platform.</w:t>
      </w:r>
    </w:p>
    <w:p>
      <w:pPr>
        <w:numPr>
          <w:ilvl w:val="0"/>
          <w:numId w:val="1097"/>
        </w:numPr>
        <w:pStyle w:val="Compact"/>
      </w:pPr>
      <w:r>
        <w:rPr>
          <w:rStyle w:val="VerbatimChar"/>
          <w:bCs/>
          <w:b/>
        </w:rPr>
        <w:t xml:space="preserve">docs/field-notes/2026-04-19-drone-app-baltic-timeline-research.md</w:t>
      </w:r>
      <w:r>
        <w:t xml:space="preserve"> </w:t>
      </w:r>
      <w:r>
        <w:t xml:space="preserve">— Baltic-first MVP timeline: 12–16 weeks to a shippable drone application, reusing existing KYA governance (L1–L5), OpenSandbox agent isolation, and the Shufti IDV integration. No new hardware R&amp;D cycle required.</w:t>
      </w:r>
    </w:p>
    <w:p>
      <w:pPr>
        <w:pStyle w:val="FirstParagraph"/>
      </w:pPr>
      <w:r>
        <w:rPr>
          <w:bCs/>
          <w:b/>
        </w:rPr>
        <w:t xml:space="preserve">Why this matters for the thesis:</w:t>
      </w:r>
      <w:r>
        <w:t xml:space="preserve"> </w:t>
      </w:r>
      <w:r>
        <w:t xml:space="preserve">Section 10.18 (LWM Sequencing Strategy, Version 3.30) framed the Brain-Memory-Body-Hands stack as</w:t>
      </w:r>
      <w:r>
        <w:t xml:space="preserve"> </w:t>
      </w:r>
      <w:r>
        <w:rPr>
          <w:iCs/>
          <w:i/>
        </w:rPr>
        <w:t xml:space="preserve">compliance → fleet → Series A</w:t>
      </w:r>
      <w:r>
        <w:t xml:space="preserve">. The April 2026 field notes convert</w:t>
      </w:r>
      <w:r>
        <w:t xml:space="preserve"> </w:t>
      </w:r>
      <w:r>
        <w:t xml:space="preserve">“</w:t>
      </w:r>
      <w:r>
        <w:t xml:space="preserve">fleet</w:t>
      </w:r>
      <w:r>
        <w:t xml:space="preserve">”</w:t>
      </w:r>
      <w:r>
        <w:t xml:space="preserve"> </w:t>
      </w:r>
      <w:r>
        <w:t xml:space="preserve">from a Phase 2 aspiration to a concrete Baltic MVP with reuse-first economics. The compliance-first world-model thesis is now testable on a specific hardware class in a specific geography within one calendar quarter.</w:t>
      </w:r>
    </w:p>
    <w:bookmarkEnd w:id="278"/>
    <w:bookmarkStart w:id="279" w:name="Xe52a794bdd8a726ce7f08e3c909e0f9d68362fb"/>
    <w:p>
      <w:pPr>
        <w:pStyle w:val="Heading4"/>
      </w:pPr>
      <w:r>
        <w:t xml:space="preserve">10.20.3 DWS IQ 7 Datacentre Compliance Agent — 22nd Industry and the Green Hydrogen Additionality Mandate</w:t>
      </w:r>
    </w:p>
    <w:p>
      <w:pPr>
        <w:pStyle w:val="FirstParagraph"/>
      </w:pPr>
      <w:r>
        <w:t xml:space="preserve">Two new field notes add a 22nd industry to the platform:</w:t>
      </w:r>
    </w:p>
    <w:p>
      <w:pPr>
        <w:numPr>
          <w:ilvl w:val="0"/>
          <w:numId w:val="1098"/>
        </w:numPr>
        <w:pStyle w:val="Compact"/>
      </w:pPr>
      <w:r>
        <w:rPr>
          <w:rStyle w:val="VerbatimChar"/>
          <w:bCs/>
          <w:b/>
        </w:rPr>
        <w:t xml:space="preserve">docs/field-notes/2026-04-18-eu-green-hydrogen-additionality-finland-datacentres.md</w:t>
      </w:r>
      <w:r>
        <w:t xml:space="preserve"> </w:t>
      </w:r>
      <w:r>
        <w:t xml:space="preserve">— EU RFNBO Delegated Regulation 2023/1184 (additionality, temporal correlation, geographical correlation) applied to Finnish datacentres. Datacentres claiming renewable-hydrogen-backed operations must prove the hydrogen meets all three additionality tests.</w:t>
      </w:r>
    </w:p>
    <w:p>
      <w:pPr>
        <w:numPr>
          <w:ilvl w:val="0"/>
          <w:numId w:val="1098"/>
        </w:numPr>
        <w:pStyle w:val="Compact"/>
      </w:pPr>
      <w:r>
        <w:rPr>
          <w:rStyle w:val="VerbatimChar"/>
          <w:bCs/>
          <w:b/>
        </w:rPr>
        <w:t xml:space="preserve">docs/DWS_IQ_7_DATACENTRE_COMPLIANCE_AGENT_PRD_v0.1.md</w:t>
      </w:r>
      <w:r>
        <w:t xml:space="preserve"> </w:t>
      </w:r>
      <w:r>
        <w:t xml:space="preserve">(and later v0.2 locking Ops Manager as V0 buyer) — Agent specification targeting hyperscaler + colocation operators in Finland (Microsoft, Google, Amazon, Equinix, Digita). Ops Manager ICP validated with a buyer-persona validation script.</w:t>
      </w:r>
    </w:p>
    <w:p>
      <w:pPr>
        <w:pStyle w:val="FirstParagraph"/>
      </w:pPr>
      <w:r>
        <w:rPr>
          <w:bCs/>
          <w:b/>
        </w:rPr>
        <w:t xml:space="preserve">Regulatory contribution to Section 10.17 (Carbon Balance Sheet):</w:t>
      </w:r>
      <w:r>
        <w:t xml:space="preserve"> </w:t>
      </w:r>
      <w:r>
        <w:t xml:space="preserve">Datacentres are the first industry where the ledger must reconcile</w:t>
      </w:r>
      <w:r>
        <w:t xml:space="preserve"> </w:t>
      </w:r>
      <w:r>
        <w:rPr>
          <w:iCs/>
          <w:i/>
        </w:rPr>
        <w:t xml:space="preserve">both</w:t>
      </w:r>
      <w:r>
        <w:t xml:space="preserve"> </w:t>
      </w:r>
      <w:r>
        <w:t xml:space="preserve">electricity-side accounting (ETS Scope 2) and fuel-side accounting (RFNBO hydrogen additionality). This extends the double-entry carbon ledger from the cement/steel/construction verticals originally analysed to a data-intensive service vertical — stressing the cross-regulation reconciliation claim with a qualitatively different emission profile.</w:t>
      </w:r>
    </w:p>
    <w:bookmarkEnd w:id="279"/>
    <w:bookmarkStart w:id="280" w:name="Xb29a3383c35ba8692cb75a4852c600dcd88508a"/>
    <w:p>
      <w:pPr>
        <w:pStyle w:val="Heading4"/>
      </w:pPr>
      <w:r>
        <w:t xml:space="preserve">10.20.4 Regulatory Stack Expansion: NIS2 + CER (Hybrid Threats)</w:t>
      </w:r>
    </w:p>
    <w:p>
      <w:pPr>
        <w:pStyle w:val="FirstParagraph"/>
      </w:pPr>
      <w:r>
        <w:t xml:space="preserve">The CORE Resilience Model blog post (onelifetime.world/posts/core-resilience-hybrid-threats.html, 2026-04-13) and the Hybridiosaamiskeskus hallitus turvallisuusvastuu 8.5.2026 field note expand DWS’s regulatory coverage beyond climate regulation:</w:t>
      </w:r>
    </w:p>
    <w:tbl>
      <w:tblPr>
        <w:tblStyle w:val="Table"/>
        <w:tblW w:type="pct" w:w="5000"/>
        <w:tblLook w:firstRow="1" w:lastRow="0" w:firstColumn="0" w:lastColumn="0" w:noHBand="0" w:noVBand="0" w:val="0020"/>
        <w:jc w:val="start"/>
      </w:tblPr>
      <w:tblGrid>
        <w:gridCol w:w="2892"/>
        <w:gridCol w:w="3236"/>
        <w:gridCol w:w="1790"/>
      </w:tblGrid>
      <w:tr>
        <w:trPr>
          <w:tblHeader w:val="true"/>
        </w:trPr>
        <w:tc>
          <w:tcPr/>
          <w:p>
            <w:pPr>
              <w:pStyle w:val="Compact"/>
              <w:jc w:val="left"/>
            </w:pPr>
            <w:r>
              <w:t xml:space="preserve">Regulation</w:t>
            </w:r>
          </w:p>
        </w:tc>
        <w:tc>
          <w:tcPr/>
          <w:p>
            <w:pPr>
              <w:pStyle w:val="Compact"/>
              <w:jc w:val="left"/>
            </w:pPr>
            <w:r>
              <w:t xml:space="preserve">Scope</w:t>
            </w:r>
          </w:p>
        </w:tc>
        <w:tc>
          <w:tcPr/>
          <w:p>
            <w:pPr>
              <w:pStyle w:val="Compact"/>
              <w:jc w:val="left"/>
            </w:pPr>
            <w:r>
              <w:t xml:space="preserve">Coverage status</w:t>
            </w:r>
          </w:p>
        </w:tc>
      </w:tr>
      <w:tr>
        <w:tc>
          <w:tcPr/>
          <w:p>
            <w:pPr>
              <w:pStyle w:val="Compact"/>
              <w:jc w:val="left"/>
            </w:pPr>
            <w:r>
              <w:t xml:space="preserve">ETS, CBAM, CSRD, Taxonomy, EED, Fit-for-55</w:t>
            </w:r>
          </w:p>
        </w:tc>
        <w:tc>
          <w:tcPr/>
          <w:p>
            <w:pPr>
              <w:pStyle w:val="Compact"/>
              <w:jc w:val="left"/>
            </w:pPr>
            <w:r>
              <w:t xml:space="preserve">Climate/energy</w:t>
            </w:r>
          </w:p>
        </w:tc>
        <w:tc>
          <w:tcPr/>
          <w:p>
            <w:pPr>
              <w:pStyle w:val="Compact"/>
              <w:jc w:val="left"/>
            </w:pPr>
            <w:r>
              <w:t xml:space="preserve">Production (Section 10.17)</w:t>
            </w:r>
          </w:p>
        </w:tc>
      </w:tr>
      <w:tr>
        <w:tc>
          <w:tcPr/>
          <w:p>
            <w:pPr>
              <w:pStyle w:val="Compact"/>
              <w:jc w:val="left"/>
            </w:pPr>
            <w:r>
              <w:t xml:space="preserve">EU AI Act Art 12</w:t>
            </w:r>
          </w:p>
        </w:tc>
        <w:tc>
          <w:tcPr/>
          <w:p>
            <w:pPr>
              <w:pStyle w:val="Compact"/>
              <w:jc w:val="left"/>
            </w:pPr>
            <w:r>
              <w:t xml:space="preserve">AI governance/logging</w:t>
            </w:r>
          </w:p>
        </w:tc>
        <w:tc>
          <w:tcPr/>
          <w:p>
            <w:pPr>
              <w:pStyle w:val="Compact"/>
              <w:jc w:val="left"/>
            </w:pPr>
            <w:r>
              <w:t xml:space="preserve">Production (Section 10.13)</w:t>
            </w:r>
          </w:p>
        </w:tc>
      </w:tr>
      <w:tr>
        <w:tc>
          <w:tcPr/>
          <w:p>
            <w:pPr>
              <w:pStyle w:val="Compact"/>
              <w:jc w:val="left"/>
            </w:pPr>
            <w:r>
              <w:rPr>
                <w:bCs/>
                <w:b/>
              </w:rPr>
              <w:t xml:space="preserve">NIS2</w:t>
            </w:r>
            <w:r>
              <w:t xml:space="preserve"> </w:t>
            </w:r>
            <w:r>
              <w:t xml:space="preserve">(Directive 2022/2555)</w:t>
            </w:r>
          </w:p>
        </w:tc>
        <w:tc>
          <w:tcPr/>
          <w:p>
            <w:pPr>
              <w:pStyle w:val="Compact"/>
              <w:jc w:val="left"/>
            </w:pPr>
            <w:r>
              <w:t xml:space="preserve">Cybersecurity of essential &amp; important entities</w:t>
            </w:r>
          </w:p>
        </w:tc>
        <w:tc>
          <w:tcPr/>
          <w:p>
            <w:pPr>
              <w:pStyle w:val="Compact"/>
              <w:jc w:val="left"/>
            </w:pPr>
            <w:r>
              <w:rPr>
                <w:bCs/>
                <w:b/>
              </w:rPr>
              <w:t xml:space="preserve">Added April 2026</w:t>
            </w:r>
          </w:p>
        </w:tc>
      </w:tr>
      <w:tr>
        <w:tc>
          <w:tcPr/>
          <w:p>
            <w:pPr>
              <w:pStyle w:val="Compact"/>
              <w:jc w:val="left"/>
            </w:pPr>
            <w:r>
              <w:rPr>
                <w:bCs/>
                <w:b/>
              </w:rPr>
              <w:t xml:space="preserve">CER</w:t>
            </w:r>
            <w:r>
              <w:t xml:space="preserve"> </w:t>
            </w:r>
            <w:r>
              <w:t xml:space="preserve">(Directive 2022/2557)</w:t>
            </w:r>
          </w:p>
        </w:tc>
        <w:tc>
          <w:tcPr/>
          <w:p>
            <w:pPr>
              <w:pStyle w:val="Compact"/>
              <w:jc w:val="left"/>
            </w:pPr>
            <w:r>
              <w:t xml:space="preserve">Critical Entities Resilience (physical + cyber)</w:t>
            </w:r>
          </w:p>
        </w:tc>
        <w:tc>
          <w:tcPr/>
          <w:p>
            <w:pPr>
              <w:pStyle w:val="Compact"/>
              <w:jc w:val="left"/>
            </w:pPr>
            <w:r>
              <w:rPr>
                <w:bCs/>
                <w:b/>
              </w:rPr>
              <w:t xml:space="preserve">Added April 2026</w:t>
            </w:r>
          </w:p>
        </w:tc>
      </w:tr>
    </w:tbl>
    <w:p>
      <w:pPr>
        <w:pStyle w:val="BodyText"/>
      </w:pPr>
      <w:r>
        <w:t xml:space="preserve">The Aegis product (</w:t>
      </w:r>
      <w:r>
        <w:rPr>
          <w:rStyle w:val="VerbatimChar"/>
        </w:rPr>
        <w:t xml:space="preserve">dws10.com/products/aegis.html</w:t>
      </w:r>
      <w:r>
        <w:t xml:space="preserve">, hackathon demo PR #1128) is re-positioned as the NIS2/CER wedge: sovereign security governance for critical infrastructure operators (SNCF France infrastructure surveillance field note 2026-04-14 validates the vertical). This is the first time DWS IQ 6 covers non-climate EU regulation — a material extension of the platform’s compliance scope.</w:t>
      </w:r>
    </w:p>
    <w:bookmarkEnd w:id="280"/>
    <w:bookmarkStart w:id="281" w:name="Xf2a4d90a4ff0af74f75747240d184d5ff07a319"/>
    <w:p>
      <w:pPr>
        <w:pStyle w:val="Heading4"/>
      </w:pPr>
      <w:r>
        <w:t xml:space="preserve">10.20.5 Founder→Team Transition and the Investor Outreach Workflow</w:t>
      </w:r>
    </w:p>
    <w:p>
      <w:pPr>
        <w:pStyle w:val="FirstParagraph"/>
      </w:pPr>
      <w:r>
        <w:t xml:space="preserve">Sections 10.7 (BYOA) and 10.11 (CEO Automation Agent Suite) framed DWS IQ 6 as a one-person-operated platform where AI-assisted tooling substitutes for headcount. April 2026 marks the deliberate transition from solo founder to team:</w:t>
      </w:r>
    </w:p>
    <w:p>
      <w:pPr>
        <w:numPr>
          <w:ilvl w:val="0"/>
          <w:numId w:val="1099"/>
        </w:numPr>
        <w:pStyle w:val="Compact"/>
      </w:pPr>
      <w:r>
        <w:rPr>
          <w:rStyle w:val="VerbatimChar"/>
          <w:bCs/>
          <w:b/>
        </w:rPr>
        <w:t xml:space="preserve">docs/investor-intros/SOLO_FOUNDER_STATEMENT.md</w:t>
      </w:r>
      <w:r>
        <w:rPr>
          <w:bCs/>
          <w:b/>
        </w:rPr>
        <w:t xml:space="preserve"> </w:t>
      </w:r>
      <w:r>
        <w:rPr>
          <w:bCs/>
          <w:b/>
        </w:rPr>
        <w:t xml:space="preserve">v1.2</w:t>
      </w:r>
      <w:r>
        <w:t xml:space="preserve"> </w:t>
      </w:r>
      <w:r>
        <w:t xml:space="preserve">— Single source of truth narrative for Series A / SAFE investor conversations. Locks the solo-founder-with-AI-team thesis that the thesis itself documents.</w:t>
      </w:r>
    </w:p>
    <w:p>
      <w:pPr>
        <w:numPr>
          <w:ilvl w:val="0"/>
          <w:numId w:val="1099"/>
        </w:numPr>
        <w:pStyle w:val="Compact"/>
      </w:pPr>
      <w:r>
        <w:rPr>
          <w:bCs/>
          <w:b/>
        </w:rPr>
        <w:t xml:space="preserve">Anthony Maurin CTO co-builder track</w:t>
      </w:r>
      <w:r>
        <w:t xml:space="preserve"> </w:t>
      </w:r>
      <w:r>
        <w:t xml:space="preserve">(field note 2026-04-19</w:t>
      </w:r>
      <w:r>
        <w:t xml:space="preserve"> </w:t>
      </w:r>
      <w:r>
        <w:rPr>
          <w:iCs/>
          <w:i/>
        </w:rPr>
        <w:t xml:space="preserve">CTO LinkedIn search launched</w:t>
      </w:r>
      <w:r>
        <w:t xml:space="preserve">) — First named co-builder. Equity sequencing tightened against investor reactivation catalyst (Perissich).</w:t>
      </w:r>
    </w:p>
    <w:p>
      <w:pPr>
        <w:numPr>
          <w:ilvl w:val="0"/>
          <w:numId w:val="1099"/>
        </w:numPr>
        <w:pStyle w:val="Compact"/>
      </w:pPr>
      <w:r>
        <w:rPr>
          <w:rStyle w:val="VerbatimChar"/>
          <w:bCs/>
          <w:b/>
        </w:rPr>
        <w:t xml:space="preserve">/investor-outreach</w:t>
      </w:r>
      <w:r>
        <w:rPr>
          <w:bCs/>
          <w:b/>
        </w:rPr>
        <w:t xml:space="preserve"> </w:t>
      </w:r>
      <w:r>
        <w:rPr>
          <w:bCs/>
          <w:b/>
        </w:rPr>
        <w:t xml:space="preserve">skill</w:t>
      </w:r>
      <w:r>
        <w:t xml:space="preserve"> </w:t>
      </w:r>
      <w:r>
        <w:t xml:space="preserve">(PR #1109,</w:t>
      </w:r>
      <w:r>
        <w:t xml:space="preserve"> </w:t>
      </w:r>
      <w:r>
        <w:rPr>
          <w:rStyle w:val="VerbatimChar"/>
        </w:rPr>
        <w:t xml:space="preserve">.claude/commands/investor-outreach.md</w:t>
      </w:r>
      <w:r>
        <w:t xml:space="preserve">) — Reproducible workflow for drafting, triaging, and tracking investor INTRO notes. 10+ named notes drafted in the 2-week window: 42CAP (Wilke), Plug and Play Paris (Laouiti), Ingrisano, Perissich, Kefalogiannis, von Euen, Yomutbayev, Zawadzinski.</w:t>
      </w:r>
    </w:p>
    <w:p>
      <w:pPr>
        <w:pStyle w:val="FirstParagraph"/>
      </w:pPr>
      <w:r>
        <w:rPr>
          <w:bCs/>
          <w:b/>
        </w:rPr>
        <w:t xml:space="preserve">Research contribution:</w:t>
      </w:r>
      <w:r>
        <w:t xml:space="preserve"> </w:t>
      </w:r>
      <w:r>
        <w:t xml:space="preserve">The solo-founder-with-AI-team hypothesis is not abandoned — it is</w:t>
      </w:r>
      <w:r>
        <w:t xml:space="preserve"> </w:t>
      </w:r>
      <w:r>
        <w:rPr>
          <w:iCs/>
          <w:i/>
        </w:rPr>
        <w:t xml:space="preserve">staged</w:t>
      </w:r>
      <w:r>
        <w:t xml:space="preserve">. The platform must be usable by one person at t=0 (this thesis’s documented state) but must also absorb a small co-founding team without the platform’s thesis collapsing. The</w:t>
      </w:r>
      <w:r>
        <w:t xml:space="preserve"> </w:t>
      </w:r>
      <w:r>
        <w:rPr>
          <w:rStyle w:val="VerbatimChar"/>
        </w:rPr>
        <w:t xml:space="preserve">/investor-outreach</w:t>
      </w:r>
      <w:r>
        <w:t xml:space="preserve"> </w:t>
      </w:r>
      <w:r>
        <w:t xml:space="preserve">skill is a concrete mechanism: the investor pipeline itself is now a DWS IQ workflow, not tacit founder knowledge.</w:t>
      </w:r>
    </w:p>
    <w:bookmarkEnd w:id="281"/>
    <w:bookmarkStart w:id="282" w:name="research-contribution-11"/>
    <w:p>
      <w:pPr>
        <w:pStyle w:val="Heading4"/>
      </w:pPr>
      <w:r>
        <w:t xml:space="preserve">10.20.6 Research Contribution</w:t>
      </w:r>
    </w:p>
    <w:p>
      <w:pPr>
        <w:pStyle w:val="FirstParagraph"/>
      </w:pPr>
      <w:r>
        <w:rPr>
          <w:bCs/>
          <w:b/>
        </w:rPr>
        <w:t xml:space="preserve">Key Contribution #25 — Skills Paradigm Validated by Industry Consensus:</w:t>
      </w:r>
      <w:r>
        <w:t xml:space="preserve"> </w:t>
      </w:r>
      <w:r>
        <w:t xml:space="preserve">Anthropic’s 2026-04-16</w:t>
      </w:r>
      <w:r>
        <w:t xml:space="preserve"> </w:t>
      </w:r>
      <w:r>
        <w:t xml:space="preserve">“</w:t>
      </w:r>
      <w:r>
        <w:t xml:space="preserve">Stop Building Agents, Start Building Skills</w:t>
      </w:r>
      <w:r>
        <w:t xml:space="preserve">”</w:t>
      </w:r>
      <w:r>
        <w:t xml:space="preserve"> </w:t>
      </w:r>
      <w:r>
        <w:t xml:space="preserve">essay externally validates the skill-first architecture (§10.13) and the domain-specific-over-generic harness argument (§10.13.7). The DWS IQ 6 skill library (24+ production skills, 4 discipline gates) is the emerging industry pattern rather than a DWS-specific bet.</w:t>
      </w:r>
    </w:p>
    <w:p>
      <w:pPr>
        <w:pStyle w:val="BodyText"/>
      </w:pPr>
      <w:r>
        <w:rPr>
          <w:bCs/>
          <w:b/>
        </w:rPr>
        <w:t xml:space="preserve">Key Contribution #26 — Lifetime Fleet Crystallization:</w:t>
      </w:r>
      <w:r>
        <w:t xml:space="preserve"> </w:t>
      </w:r>
      <w:r>
        <w:t xml:space="preserve">The Brain-Memory-Body-Hands stack is now testable end-to-end. Lifetime Fleet graduates from</w:t>
      </w:r>
      <w:r>
        <w:t xml:space="preserve"> </w:t>
      </w:r>
      <w:r>
        <w:t xml:space="preserve">“</w:t>
      </w:r>
      <w:r>
        <w:t xml:space="preserve">specification phase</w:t>
      </w:r>
      <w:r>
        <w:t xml:space="preserve">”</w:t>
      </w:r>
      <w:r>
        <w:t xml:space="preserve"> </w:t>
      </w:r>
      <w:r>
        <w:t xml:space="preserve">to a 12–16 week Baltic-first MVP (2026-04-19) with full reuse of the KYA/Aegis/Firehorse governance stack. The compliance-first world-model thesis (§10.18) is no longer a Phase 2 abstraction.</w:t>
      </w:r>
    </w:p>
    <w:p>
      <w:pPr>
        <w:pStyle w:val="BodyText"/>
      </w:pPr>
      <w:r>
        <w:rPr>
          <w:bCs/>
          <w:b/>
        </w:rPr>
        <w:t xml:space="preserve">Key Contribution #27 — 22nd Industry via Green Hydrogen Additionality:</w:t>
      </w:r>
      <w:r>
        <w:t xml:space="preserve"> </w:t>
      </w:r>
      <w:r>
        <w:t xml:space="preserve">The Datacentre Compliance Agent (RFNBO Delegated Regulation 2023/1184) extends the double-entry carbon ledger (§10.17) to a qualitatively different vertical (data-intensive services, not heavy industry). The regulatory stack now covers NIS2 + CER in addition to climate regulation — the first cross-domain extension of the platform’s EU regulatory coverage.</w:t>
      </w:r>
    </w:p>
    <w:p>
      <w:pPr>
        <w:pStyle w:val="BodyText"/>
      </w:pPr>
      <w:r>
        <w:rPr>
          <w:bCs/>
          <w:b/>
        </w:rPr>
        <w:t xml:space="preserve">Key Contribution #28 — Founder→Team Transition as Platform Feature:</w:t>
      </w:r>
      <w:r>
        <w:t xml:space="preserve"> </w:t>
      </w:r>
      <w:r>
        <w:t xml:space="preserve">The solo-founder-with-AI-team thesis is staged rather than asserted. The</w:t>
      </w:r>
      <w:r>
        <w:t xml:space="preserve"> </w:t>
      </w:r>
      <w:r>
        <w:rPr>
          <w:rStyle w:val="VerbatimChar"/>
        </w:rPr>
        <w:t xml:space="preserve">/investor-outreach</w:t>
      </w:r>
      <w:r>
        <w:t xml:space="preserve"> </w:t>
      </w:r>
      <w:r>
        <w:t xml:space="preserve">skill and the SOLO_FOUNDER_STATEMENT single-source-of-truth pattern make investor outreach a DWS IQ workflow itself. This validates the platform’s own thesis: if the platform cannot run its own fundraising as a reproducible skill, it cannot claim to replicate solution-factory work for customers.</w:t>
      </w:r>
    </w:p>
    <w:bookmarkEnd w:id="282"/>
    <w:bookmarkEnd w:id="283"/>
    <w:bookmarkStart w:id="292" w:name="X77ddb91e7fdb68b40cc1db7b9a0417293ce1dc7"/>
    <w:p>
      <w:pPr>
        <w:pStyle w:val="Heading3"/>
      </w:pPr>
      <w:r>
        <w:t xml:space="preserve">10.21 Doctoral Track Targeting: KYA Foundation, DWS 7 Objectives, and Dual-Use Expansion</w:t>
      </w:r>
    </w:p>
    <w:bookmarkStart w:id="284" w:name="X0c656941d5f8d2e3b791fcbed61171dec2a1671"/>
    <w:p>
      <w:pPr>
        <w:pStyle w:val="Heading4"/>
      </w:pPr>
      <w:r>
        <w:t xml:space="preserve">10.21.1 KYA toward an Agentic AI Foundation Standard</w:t>
      </w:r>
    </w:p>
    <w:p>
      <w:pPr>
        <w:pStyle w:val="FirstParagraph"/>
      </w:pPr>
      <w:r>
        <w:t xml:space="preserve">In this update, KYA (Know Your Agent) is explicitly positioned beyond internal governance toward an</w:t>
      </w:r>
      <w:r>
        <w:t xml:space="preserve"> </w:t>
      </w:r>
      <w:r>
        <w:rPr>
          <w:bCs/>
          <w:b/>
        </w:rPr>
        <w:t xml:space="preserve">Agentic AI Foundation</w:t>
      </w:r>
      <w:r>
        <w:t xml:space="preserve"> </w:t>
      </w:r>
      <w:r>
        <w:t xml:space="preserve">standard candidate. The target scope includes identity binding, runtime control, audit traceability, kill-switch governance, and sovereignty controls for regulated agentic systems.</w:t>
      </w:r>
    </w:p>
    <w:bookmarkEnd w:id="284"/>
    <w:bookmarkStart w:id="285" w:name="X48461b96bf4a38ed3dd57f4301b56a548448b05"/>
    <w:p>
      <w:pPr>
        <w:pStyle w:val="Heading4"/>
      </w:pPr>
      <w:r>
        <w:t xml:space="preserve">10.21.2 DWS 7 Objectives as Empirical Research Frame</w:t>
      </w:r>
    </w:p>
    <w:p>
      <w:pPr>
        <w:pStyle w:val="FirstParagraph"/>
      </w:pPr>
      <w:r>
        <w:t xml:space="preserve">DWS 7 is defined as the operational validation frame for:</w:t>
      </w:r>
    </w:p>
    <w:p>
      <w:pPr>
        <w:numPr>
          <w:ilvl w:val="0"/>
          <w:numId w:val="1100"/>
        </w:numPr>
        <w:pStyle w:val="Compact"/>
      </w:pPr>
      <w:r>
        <w:t xml:space="preserve">persistent carbon-ledger infrastructure,</w:t>
      </w:r>
    </w:p>
    <w:p>
      <w:pPr>
        <w:numPr>
          <w:ilvl w:val="0"/>
          <w:numId w:val="1100"/>
        </w:numPr>
        <w:pStyle w:val="Compact"/>
      </w:pPr>
      <w:r>
        <w:t xml:space="preserve">production-grade KYA governance evidence chains,</w:t>
      </w:r>
    </w:p>
    <w:p>
      <w:pPr>
        <w:numPr>
          <w:ilvl w:val="0"/>
          <w:numId w:val="1100"/>
        </w:numPr>
        <w:pStyle w:val="Compact"/>
      </w:pPr>
      <w:r>
        <w:t xml:space="preserve">sovereignty segmentation across product layers (Aegis / Sovereign Infra / Connect),</w:t>
      </w:r>
    </w:p>
    <w:p>
      <w:pPr>
        <w:numPr>
          <w:ilvl w:val="0"/>
          <w:numId w:val="1100"/>
        </w:numPr>
        <w:pStyle w:val="Compact"/>
      </w:pPr>
      <w:r>
        <w:t xml:space="preserve">partner-channel integration with Siemens and NVIDIA Connect ecosystems.</w:t>
      </w:r>
    </w:p>
    <w:bookmarkEnd w:id="285"/>
    <w:bookmarkStart w:id="286" w:name="X4699dbcf452dd5ea1b2fa42cc5bebfe7930b074"/>
    <w:p>
      <w:pPr>
        <w:pStyle w:val="Heading4"/>
      </w:pPr>
      <w:r>
        <w:t xml:space="preserve">10.21.3 Hydrogen-Economy Continuity (DWS 5 -&gt; DWS 7)</w:t>
      </w:r>
    </w:p>
    <w:p>
      <w:pPr>
        <w:pStyle w:val="FirstParagraph"/>
      </w:pPr>
      <w:r>
        <w:t xml:space="preserve">Hydrogen economy requirements are formalized as a continuity thread from DWS 5 into DWS 7. RFNBO additionality logic, temporal correlation, and geographical correlation are treated as long-horizon regulatory constraints feeding platform architecture decisions.</w:t>
      </w:r>
    </w:p>
    <w:bookmarkEnd w:id="286"/>
    <w:bookmarkStart w:id="287" w:name="Xe1b12a92e1c53d08cb4663e1a46e174a15ae808"/>
    <w:p>
      <w:pPr>
        <w:pStyle w:val="Heading4"/>
      </w:pPr>
      <w:r>
        <w:t xml:space="preserve">10.21.4 Third Research Stream: Dual-Use Industries</w:t>
      </w:r>
    </w:p>
    <w:p>
      <w:pPr>
        <w:pStyle w:val="FirstParagraph"/>
      </w:pPr>
      <w:r>
        <w:t xml:space="preserve">The third stream is explicitly focused on dual-use industries (industrial + defence). Ongoing Nokia Defence discussions are recorded as part of the funding-and-pilot path for this stream.</w:t>
      </w:r>
    </w:p>
    <w:bookmarkEnd w:id="287"/>
    <w:bookmarkStart w:id="288" w:name="X4f5d6f7db936289d749397065e96e1698498be9"/>
    <w:p>
      <w:pPr>
        <w:pStyle w:val="Heading4"/>
      </w:pPr>
      <w:r>
        <w:t xml:space="preserve">10.21.5 Sovereignty Segmentation of Product Tiers (Core Figure)</w:t>
      </w:r>
    </w:p>
    <w:p>
      <w:pPr>
        <w:pStyle w:val="FirstParagraph"/>
      </w:pPr>
    </w:p>
    <w:p>
      <w:pPr>
        <w:pStyle w:val="BodyText"/>
      </w:pPr>
      <w:r>
        <w:t xml:space="preserve">Analytical role of the segmentation:</w:t>
      </w:r>
    </w:p>
    <w:p>
      <w:pPr>
        <w:numPr>
          <w:ilvl w:val="0"/>
          <w:numId w:val="1101"/>
        </w:numPr>
        <w:pStyle w:val="Compact"/>
      </w:pPr>
      <w:r>
        <w:rPr>
          <w:bCs/>
          <w:b/>
        </w:rPr>
        <w:t xml:space="preserve">Aegis:</w:t>
      </w:r>
      <w:r>
        <w:t xml:space="preserve"> </w:t>
      </w:r>
      <w:r>
        <w:t xml:space="preserve">critical-infrastructure security governance</w:t>
      </w:r>
    </w:p>
    <w:p>
      <w:pPr>
        <w:numPr>
          <w:ilvl w:val="0"/>
          <w:numId w:val="1101"/>
        </w:numPr>
        <w:pStyle w:val="Compact"/>
      </w:pPr>
      <w:r>
        <w:rPr>
          <w:bCs/>
          <w:b/>
        </w:rPr>
        <w:t xml:space="preserve">Sovereign Infra:</w:t>
      </w:r>
      <w:r>
        <w:t xml:space="preserve"> </w:t>
      </w:r>
      <w:r>
        <w:t xml:space="preserve">EU-sovereign deployment layer for regulated operators</w:t>
      </w:r>
    </w:p>
    <w:p>
      <w:pPr>
        <w:numPr>
          <w:ilvl w:val="0"/>
          <w:numId w:val="1101"/>
        </w:numPr>
        <w:pStyle w:val="Compact"/>
      </w:pPr>
      <w:r>
        <w:rPr>
          <w:bCs/>
          <w:b/>
        </w:rPr>
        <w:t xml:space="preserve">Connect:</w:t>
      </w:r>
      <w:r>
        <w:t xml:space="preserve"> </w:t>
      </w:r>
      <w:r>
        <w:t xml:space="preserve">global integration and distribution layer</w:t>
      </w:r>
    </w:p>
    <w:bookmarkEnd w:id="288"/>
    <w:bookmarkStart w:id="289" w:name="collaboration-anchors"/>
    <w:p>
      <w:pPr>
        <w:pStyle w:val="Heading4"/>
      </w:pPr>
      <w:r>
        <w:t xml:space="preserve">10.21.6 Collaboration Anchors</w:t>
      </w:r>
    </w:p>
    <w:p>
      <w:pPr>
        <w:pStyle w:val="FirstParagraph"/>
      </w:pPr>
      <w:r>
        <w:t xml:space="preserve">Siemens collaboration is anchored to digital-twin and industrial IoT data pathways. NVIDIA Connect collaboration is anchored to inference architecture, edge acceleration, and partner-led go-to-market channels.</w:t>
      </w:r>
    </w:p>
    <w:bookmarkEnd w:id="289"/>
    <w:bookmarkStart w:id="290" w:name="X170af2d183620e678abc5e690c0905d6d687438"/>
    <w:p>
      <w:pPr>
        <w:pStyle w:val="Heading4"/>
      </w:pPr>
      <w:r>
        <w:t xml:space="preserve">10.21.7 Supervisor Feedback and Response Structure</w:t>
      </w:r>
    </w:p>
    <w:p>
      <w:pPr>
        <w:pStyle w:val="FirstParagraph"/>
      </w:pPr>
      <w:r>
        <w:t xml:space="preserve">Kari Smolander’s guidance (2-year commitment limit, research-community socialization, 3-5 peer-reviewed papers plus synthesis thesis) is integrated into the plan. The response structure is aligned to four requested elements:</w:t>
      </w:r>
    </w:p>
    <w:p>
      <w:pPr>
        <w:numPr>
          <w:ilvl w:val="0"/>
          <w:numId w:val="1102"/>
        </w:numPr>
        <w:pStyle w:val="Compact"/>
      </w:pPr>
      <w:r>
        <w:t xml:space="preserve">research problem,</w:t>
      </w:r>
    </w:p>
    <w:p>
      <w:pPr>
        <w:numPr>
          <w:ilvl w:val="0"/>
          <w:numId w:val="1102"/>
        </w:numPr>
        <w:pStyle w:val="Compact"/>
      </w:pPr>
      <w:r>
        <w:t xml:space="preserve">research objectives,</w:t>
      </w:r>
    </w:p>
    <w:p>
      <w:pPr>
        <w:numPr>
          <w:ilvl w:val="0"/>
          <w:numId w:val="1102"/>
        </w:numPr>
        <w:pStyle w:val="Compact"/>
      </w:pPr>
      <w:r>
        <w:t xml:space="preserve">preliminary methods,</w:t>
      </w:r>
    </w:p>
    <w:p>
      <w:pPr>
        <w:numPr>
          <w:ilvl w:val="0"/>
          <w:numId w:val="1102"/>
        </w:numPr>
        <w:pStyle w:val="Compact"/>
      </w:pPr>
      <w:r>
        <w:t xml:space="preserve">execution staging and publication path.</w:t>
      </w:r>
    </w:p>
    <w:p>
      <w:pPr>
        <w:pStyle w:val="FirstParagraph"/>
      </w:pPr>
      <w:r>
        <w:t xml:space="preserve">This creates a concrete basis for the next supervisory meeting.</w:t>
      </w:r>
    </w:p>
    <w:bookmarkEnd w:id="290"/>
    <w:bookmarkStart w:id="291" w:name="X7a927fc66479ba5745bc7eaa609eff204a37dc4"/>
    <w:p>
      <w:pPr>
        <w:pStyle w:val="Heading4"/>
      </w:pPr>
      <w:r>
        <w:t xml:space="preserve">10.21.8 Open-Source Standard Path and Publication Phasing</w:t>
      </w:r>
    </w:p>
    <w:p>
      <w:pPr>
        <w:pStyle w:val="FirstParagraph"/>
      </w:pPr>
      <w:r>
        <w:t xml:space="preserve">Based on the Boardy exchange, the research program now records an explicit standardization strategy:</w:t>
      </w:r>
    </w:p>
    <w:p>
      <w:pPr>
        <w:numPr>
          <w:ilvl w:val="0"/>
          <w:numId w:val="1103"/>
        </w:numPr>
        <w:pStyle w:val="Compact"/>
      </w:pPr>
      <w:r>
        <w:rPr>
          <w:bCs/>
          <w:b/>
        </w:rPr>
        <w:t xml:space="preserve">Article 1 (2026):</w:t>
      </w:r>
      <w:r>
        <w:t xml:space="preserve"> </w:t>
      </w:r>
      <w:r>
        <w:t xml:space="preserve">“</w:t>
      </w:r>
      <w:r>
        <w:t xml:space="preserve">KYA Standard: An Open Source Governance Framework for Agentic AI in EU-Regulated Industries</w:t>
      </w:r>
      <w:r>
        <w:t xml:space="preserve">”</w:t>
      </w:r>
      <w:r>
        <w:t xml:space="preserve"> </w:t>
      </w:r>
      <w:r>
        <w:t xml:space="preserve">— proposal track toward Agentic AI Foundation / Linux Foundation + conference submission.</w:t>
      </w:r>
    </w:p>
    <w:p>
      <w:pPr>
        <w:numPr>
          <w:ilvl w:val="0"/>
          <w:numId w:val="1103"/>
        </w:numPr>
        <w:pStyle w:val="Compact"/>
      </w:pPr>
      <w:r>
        <w:rPr>
          <w:bCs/>
          <w:b/>
        </w:rPr>
        <w:t xml:space="preserve">Article 2 (2027):</w:t>
      </w:r>
      <w:r>
        <w:t xml:space="preserve"> </w:t>
      </w:r>
      <w:r>
        <w:t xml:space="preserve">scalability of MCP + A2A architecture across regulated verticals (journal-targeted).</w:t>
      </w:r>
    </w:p>
    <w:p>
      <w:pPr>
        <w:numPr>
          <w:ilvl w:val="0"/>
          <w:numId w:val="1103"/>
        </w:numPr>
        <w:pStyle w:val="Compact"/>
      </w:pPr>
      <w:r>
        <w:rPr>
          <w:bCs/>
          <w:b/>
        </w:rPr>
        <w:t xml:space="preserve">Articles 3-4 (2028):</w:t>
      </w:r>
      <w:r>
        <w:t xml:space="preserve"> </w:t>
      </w:r>
      <w:r>
        <w:t xml:space="preserve">empirical findings from production/customer environments.</w:t>
      </w:r>
    </w:p>
    <w:p>
      <w:pPr>
        <w:numPr>
          <w:ilvl w:val="0"/>
          <w:numId w:val="1103"/>
        </w:numPr>
        <w:pStyle w:val="Compact"/>
      </w:pPr>
      <w:r>
        <w:rPr>
          <w:bCs/>
          <w:b/>
        </w:rPr>
        <w:t xml:space="preserve">Synthesis phase (2028-2029):</w:t>
      </w:r>
      <w:r>
        <w:t xml:space="preserve"> </w:t>
      </w:r>
      <w:r>
        <w:t xml:space="preserve">introductory thesis volume + dissertation compilation.</w:t>
      </w:r>
    </w:p>
    <w:p>
      <w:pPr>
        <w:pStyle w:val="FirstParagraph"/>
      </w:pPr>
      <w:r>
        <w:t xml:space="preserve">Status clarification (21.04.2026):</w:t>
      </w:r>
    </w:p>
    <w:p>
      <w:pPr>
        <w:numPr>
          <w:ilvl w:val="0"/>
          <w:numId w:val="1104"/>
        </w:numPr>
        <w:pStyle w:val="Compact"/>
      </w:pPr>
      <w:r>
        <w:t xml:space="preserve">KYA open-source proposal has not been sent yet.</w:t>
      </w:r>
    </w:p>
    <w:p>
      <w:pPr>
        <w:numPr>
          <w:ilvl w:val="0"/>
          <w:numId w:val="1104"/>
        </w:numPr>
        <w:pStyle w:val="Compact"/>
      </w:pPr>
      <w:r>
        <w:t xml:space="preserve">NIST submission has not been sent yet.</w:t>
      </w:r>
    </w:p>
    <w:p>
      <w:pPr>
        <w:numPr>
          <w:ilvl w:val="0"/>
          <w:numId w:val="1104"/>
        </w:numPr>
        <w:pStyle w:val="Compact"/>
      </w:pPr>
      <w:r>
        <w:t xml:space="preserve">Paths are complementary; this cycle prioritizes open-source adoption first.</w:t>
      </w:r>
    </w:p>
    <w:p>
      <w:pPr>
        <w:pStyle w:val="FirstParagraph"/>
      </w:pPr>
      <w:r>
        <w:t xml:space="preserve">Additionally, the EIC Step 1 package (5-page proposal, 10-slide deck, 3-minute video script) is documented as a commercialization-facing narrative layer that supports Article 1 positioning, without replacing the peer-reviewed publication pathway.</w:t>
      </w:r>
    </w:p>
    <w:p>
      <w:r>
        <w:pict>
          <v:rect style="width:0;height:1.5pt" o:hralign="center" o:hrstd="t" o:hr="t"/>
        </w:pict>
      </w:r>
    </w:p>
    <w:bookmarkEnd w:id="291"/>
    <w:bookmarkEnd w:id="292"/>
    <w:bookmarkStart w:id="300" w:name="Xfe7a1c1d11c0a784faf7b9667fd4c53a99cca0d"/>
    <w:p>
      <w:pPr>
        <w:pStyle w:val="Heading3"/>
      </w:pPr>
      <w:r>
        <w:t xml:space="preserve">10.22 DWS Skilled Taxonomy: Three Tiers Across Agents, Workflows, and Jurisdictions</w:t>
      </w:r>
    </w:p>
    <w:p>
      <w:pPr>
        <w:pStyle w:val="FirstParagraph"/>
      </w:pPr>
      <w:r>
        <w:rPr>
          <w:iCs/>
          <w:i/>
        </w:rPr>
        <w:t xml:space="preserve">Added: 22.04.2026 | Source: CLAUDE.md</w:t>
      </w:r>
      <w:r>
        <w:rPr>
          <w:iCs/>
          <w:i/>
        </w:rPr>
        <w:t xml:space="preserve"> </w:t>
      </w:r>
      <w:r>
        <w:rPr>
          <w:iCs/>
          <w:i/>
        </w:rPr>
        <w:t xml:space="preserve">“</w:t>
      </w:r>
      <w:r>
        <w:rPr>
          <w:iCs/>
          <w:i/>
        </w:rPr>
        <w:t xml:space="preserve">DWS Skilled Taxonomy Rule</w:t>
      </w:r>
      <w:r>
        <w:rPr>
          <w:iCs/>
          <w:i/>
        </w:rPr>
        <w:t xml:space="preserve">”</w:t>
      </w:r>
      <w:r>
        <w:rPr>
          <w:iCs/>
          <w:i/>
        </w:rPr>
        <w:t xml:space="preserve">; Anthropic 2026-04-16 Skills paradigm essay (§10.20.1); deprecation of</w:t>
      </w:r>
      <w:r>
        <w:rPr>
          <w:iCs/>
          <w:i/>
        </w:rPr>
        <w:t xml:space="preserve"> </w:t>
      </w:r>
      <w:r>
        <w:rPr>
          <w:iCs/>
          <w:i/>
        </w:rPr>
        <w:t xml:space="preserve">“</w:t>
      </w:r>
      <w:r>
        <w:rPr>
          <w:iCs/>
          <w:i/>
        </w:rPr>
        <w:t xml:space="preserve">GodAgent</w:t>
      </w:r>
      <w:r>
        <w:rPr>
          <w:iCs/>
          <w:i/>
        </w:rPr>
        <w:t xml:space="preserve">”</w:t>
      </w:r>
      <w:r>
        <w:rPr>
          <w:iCs/>
          <w:i/>
        </w:rPr>
        <w:t xml:space="preserve"> </w:t>
      </w:r>
      <w:r>
        <w:rPr>
          <w:iCs/>
          <w:i/>
        </w:rPr>
        <w:t xml:space="preserve">branding.</w:t>
      </w:r>
    </w:p>
    <w:bookmarkStart w:id="293" w:name="motivation-4"/>
    <w:p>
      <w:pPr>
        <w:pStyle w:val="Heading4"/>
      </w:pPr>
      <w:r>
        <w:t xml:space="preserve">10.22.1 Motivation</w:t>
      </w:r>
    </w:p>
    <w:p>
      <w:pPr>
        <w:pStyle w:val="FirstParagraph"/>
      </w:pPr>
      <w:r>
        <w:t xml:space="preserve">The earlier</w:t>
      </w:r>
      <w:r>
        <w:t xml:space="preserve"> </w:t>
      </w:r>
      <w:r>
        <w:t xml:space="preserve">“</w:t>
      </w:r>
      <w:r>
        <w:t xml:space="preserve">GodAgent</w:t>
      </w:r>
      <w:r>
        <w:t xml:space="preserve">”</w:t>
      </w:r>
      <w:r>
        <w:t xml:space="preserve"> </w:t>
      </w:r>
      <w:r>
        <w:t xml:space="preserve">branding (introduced during the V3 platform build, see §10.13 and</w:t>
      </w:r>
      <w:r>
        <w:t xml:space="preserve"> </w:t>
      </w:r>
      <w:r>
        <w:rPr>
          <w:rStyle w:val="VerbatimChar"/>
        </w:rPr>
        <w:t xml:space="preserve">docs/Deputy-Agents-Architecture.md</w:t>
      </w:r>
      <w:r>
        <w:t xml:space="preserve">) conflated three distinct referents — a brand promise (capability acquired through skills), a technical specification (industry-scoped AI agent extending a base compliance layer), and a user-interface category (the enumerable list shown to buyers and operators). The conflation was tolerable during early-stage development but became a positioning liability once the Anthropic Skills paradigm (§10.20.1) validated</w:t>
      </w:r>
      <w:r>
        <w:t xml:space="preserve"> </w:t>
      </w:r>
      <w:r>
        <w:t xml:space="preserve">“</w:t>
      </w:r>
      <w:r>
        <w:t xml:space="preserve">skill-first</w:t>
      </w:r>
      <w:r>
        <w:t xml:space="preserve">”</w:t>
      </w:r>
      <w:r>
        <w:t xml:space="preserve"> </w:t>
      </w:r>
      <w:r>
        <w:t xml:space="preserve">as the industry-consensus architecture. A naming taxonomy is therefore introduced to replace the single</w:t>
      </w:r>
      <w:r>
        <w:t xml:space="preserve"> </w:t>
      </w:r>
      <w:r>
        <w:t xml:space="preserve">“</w:t>
      </w:r>
      <w:r>
        <w:t xml:space="preserve">GodAgent</w:t>
      </w:r>
      <w:r>
        <w:t xml:space="preserve">”</w:t>
      </w:r>
      <w:r>
        <w:t xml:space="preserve"> </w:t>
      </w:r>
      <w:r>
        <w:t xml:space="preserve">label with register-specific terms, and — more importantly — to generalise the pattern beyond agents to workflows and jurisdictions.</w:t>
      </w:r>
    </w:p>
    <w:bookmarkEnd w:id="293"/>
    <w:bookmarkStart w:id="294" w:name="three-tier-pattern"/>
    <w:p>
      <w:pPr>
        <w:pStyle w:val="Heading4"/>
      </w:pPr>
      <w:r>
        <w:t xml:space="preserve">10.22.2 Three-Tier Pattern</w:t>
      </w:r>
    </w:p>
    <w:p>
      <w:pPr>
        <w:pStyle w:val="FirstParagraph"/>
      </w:pPr>
      <w:r>
        <w:t xml:space="preserve">The taxonomy defines a single three-tier pattern applied to every capability axis where DWS offers depth:</w:t>
      </w:r>
    </w:p>
    <w:p>
      <w:pPr>
        <w:pStyle w:val="SourceCode"/>
      </w:pPr>
      <w:r>
        <w:rPr>
          <w:rStyle w:val="VerbatimChar"/>
        </w:rPr>
        <w:t xml:space="preserve">Skilled &lt;Axis&gt;                 ← BRAND   (what we SELL)</w:t>
      </w:r>
      <w:r>
        <w:br/>
      </w:r>
      <w:r>
        <w:rPr>
          <w:rStyle w:val="VerbatimChar"/>
        </w:rPr>
        <w:t xml:space="preserve">    └─ Industrial Specialist &lt;Axis&gt;    ← SPEC    (what they ARE)</w:t>
      </w:r>
      <w:r>
        <w:br/>
      </w:r>
      <w:r>
        <w:rPr>
          <w:rStyle w:val="VerbatimChar"/>
        </w:rPr>
        <w:t xml:space="preserve">            └─ Industry &lt;Axis&gt;         ← UI      (how we LIST them)</w:t>
      </w:r>
    </w:p>
    <w:p>
      <w:pPr>
        <w:pStyle w:val="FirstParagraph"/>
      </w:pPr>
      <w:r>
        <w:t xml:space="preserve">The three tiers separate marketing, documentation, and interface registers under a shared mental model. The three terms refer to the same underlying artefact at each axis; the register changes with the surface.</w:t>
      </w:r>
    </w:p>
    <w:bookmarkEnd w:id="294"/>
    <w:bookmarkStart w:id="295" w:name="three-active-axes-april-2026"/>
    <w:p>
      <w:pPr>
        <w:pStyle w:val="Heading4"/>
      </w:pPr>
      <w:r>
        <w:t xml:space="preserve">10.22.3 Three Active Axes (April 2026)</w:t>
      </w:r>
    </w:p>
    <w:tbl>
      <w:tblPr>
        <w:tblStyle w:val="Table"/>
        <w:tblW w:type="pct" w:w="5000"/>
        <w:tblLook w:firstRow="1" w:lastRow="0" w:firstColumn="0" w:lastColumn="0" w:noHBand="0" w:noVBand="0" w:val="0020"/>
        <w:jc w:val="start"/>
      </w:tblPr>
      <w:tblGrid>
        <w:gridCol w:w="398"/>
        <w:gridCol w:w="1595"/>
        <w:gridCol w:w="3817"/>
        <w:gridCol w:w="2108"/>
      </w:tblGrid>
      <w:tr>
        <w:trPr>
          <w:tblHeader w:val="true"/>
        </w:trPr>
        <w:tc>
          <w:tcPr/>
          <w:p>
            <w:pPr>
              <w:pStyle w:val="Compact"/>
              <w:jc w:val="left"/>
            </w:pPr>
            <w:r>
              <w:t xml:space="preserve">Tier</w:t>
            </w:r>
          </w:p>
        </w:tc>
        <w:tc>
          <w:tcPr/>
          <w:p>
            <w:pPr>
              <w:pStyle w:val="Compact"/>
              <w:jc w:val="left"/>
            </w:pPr>
            <w:r>
              <w:rPr>
                <w:bCs/>
                <w:b/>
              </w:rPr>
              <w:t xml:space="preserve">Agents</w:t>
            </w:r>
          </w:p>
        </w:tc>
        <w:tc>
          <w:tcPr/>
          <w:p>
            <w:pPr>
              <w:pStyle w:val="Compact"/>
              <w:jc w:val="left"/>
            </w:pPr>
            <w:r>
              <w:rPr>
                <w:bCs/>
                <w:b/>
              </w:rPr>
              <w:t xml:space="preserve">Workflows</w:t>
            </w:r>
          </w:p>
        </w:tc>
        <w:tc>
          <w:tcPr/>
          <w:p>
            <w:pPr>
              <w:pStyle w:val="Compact"/>
              <w:jc w:val="left"/>
            </w:pPr>
            <w:r>
              <w:rPr>
                <w:bCs/>
                <w:b/>
              </w:rPr>
              <w:t xml:space="preserve">Jurisdictions</w:t>
            </w:r>
          </w:p>
        </w:tc>
      </w:tr>
      <w:tr>
        <w:tc>
          <w:tcPr/>
          <w:p>
            <w:pPr>
              <w:pStyle w:val="Compact"/>
              <w:jc w:val="left"/>
            </w:pPr>
            <w:r>
              <w:t xml:space="preserve">1 Brand</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Spec</w:t>
            </w:r>
          </w:p>
        </w:tc>
        <w:tc>
          <w:tcPr/>
          <w:p>
            <w:pPr>
              <w:pStyle w:val="Compact"/>
              <w:jc w:val="left"/>
            </w:pPr>
            <w:r>
              <w:t xml:space="preserve">Industrial Specialist Agents</w:t>
            </w:r>
          </w:p>
        </w:tc>
        <w:tc>
          <w:tcPr/>
          <w:p>
            <w:pPr>
              <w:pStyle w:val="Compact"/>
              <w:jc w:val="left"/>
            </w:pPr>
            <w:r>
              <w:t xml:space="preserve">Specialist Workflows (long-form:</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rPr>
          <w:bCs/>
          <w:b/>
        </w:rPr>
        <w:t xml:space="preserve">Agents.</w:t>
      </w:r>
      <w:r>
        <w:t xml:space="preserve"> </w:t>
      </w:r>
      <w:r>
        <w:t xml:space="preserve">Industry-scoped AI agents that extend the base Athena EU-compliance layer with sector-specific knowledge (steel, cement, chemicals, construction, datacentres, and the 20+ industries documented in §10.6–10.8).</w:t>
      </w:r>
    </w:p>
    <w:p>
      <w:pPr>
        <w:pStyle w:val="BodyText"/>
      </w:pPr>
      <w:r>
        <w:rPr>
          <w:bCs/>
          <w:b/>
        </w:rPr>
        <w:t xml:space="preserve">Workflows.</w:t>
      </w:r>
      <w:r>
        <w:t xml:space="preserve"> </w:t>
      </w:r>
      <w:r>
        <w:t xml:space="preserve">Deterministic compositions of agents triggered by schedule or event — the skill invocation layer from §10.13.3.</w:t>
      </w:r>
      <w:r>
        <w:t xml:space="preserve"> </w:t>
      </w:r>
      <w:r>
        <w:t xml:space="preserve">“</w:t>
      </w:r>
      <w:r>
        <w:t xml:space="preserve">Autonomous</w:t>
      </w:r>
      <w:r>
        <w:t xml:space="preserve">”</w:t>
      </w:r>
      <w:r>
        <w:t xml:space="preserve"> </w:t>
      </w:r>
      <w:r>
        <w:t xml:space="preserve">is added to the brand tier because workflows execute without a human in the loop, whereas agents are invoked.</w:t>
      </w:r>
    </w:p>
    <w:p>
      <w:pPr>
        <w:pStyle w:val="BodyText"/>
      </w:pPr>
      <w:r>
        <w:rPr>
          <w:bCs/>
          <w:b/>
        </w:rPr>
        <w:t xml:space="preserve">Jurisdictions.</w:t>
      </w:r>
      <w:r>
        <w:t xml:space="preserve"> </w:t>
      </w:r>
      <w:r>
        <w:t xml:space="preserve">The regulatory surfaces the platform is skilled in — currently EU (AI Act, GDPR, CBAM, ETS, CSRD, ESRS, EPBD), with US and Aiven mapped on the data-residency architecture (see</w:t>
      </w:r>
      <w:r>
        <w:t xml:space="preserve"> </w:t>
      </w:r>
      <w:r>
        <w:rPr>
          <w:rStyle w:val="VerbatimChar"/>
        </w:rPr>
        <w:t xml:space="preserve">docs/CLOUD_ENVIRONMENTS.md</w:t>
      </w:r>
      <w:r>
        <w:t xml:space="preserve">). The spec tier adds</w:t>
      </w:r>
      <w:r>
        <w:t xml:space="preserve"> </w:t>
      </w:r>
      <w:r>
        <w:t xml:space="preserve">“</w:t>
      </w:r>
      <w:r>
        <w:t xml:space="preserve">Regulatory</w:t>
      </w:r>
      <w:r>
        <w:t xml:space="preserve">”</w:t>
      </w:r>
      <w:r>
        <w:t xml:space="preserve"> </w:t>
      </w:r>
      <w:r>
        <w:t xml:space="preserve">because a jurisdiction is defined by its regulatory surface, not its geography alone.</w:t>
      </w:r>
    </w:p>
    <w:bookmarkEnd w:id="295"/>
    <w:bookmarkStart w:id="296" w:name="extensibility"/>
    <w:p>
      <w:pPr>
        <w:pStyle w:val="Heading4"/>
      </w:pPr>
      <w:r>
        <w:t xml:space="preserve">10.22.4 Extensibility</w:t>
      </w:r>
    </w:p>
    <w:p>
      <w:pPr>
        <w:pStyle w:val="FirstParagraph"/>
      </w:pPr>
      <w:r>
        <w:t xml:space="preserve">When DWS adds a new capability axis (e.g., Datasets, Models, Regulations, Reports), it is named</w:t>
      </w:r>
      <w:r>
        <w:t xml:space="preserve"> </w:t>
      </w:r>
      <w:r>
        <w:rPr>
          <w:rStyle w:val="VerbatimChar"/>
        </w:rPr>
        <w:t xml:space="preserve">Skilled &lt;Axis&gt;</w:t>
      </w:r>
      <w:r>
        <w:t xml:space="preserve"> </w:t>
      </w:r>
      <w:r>
        <w:t xml:space="preserve">/</w:t>
      </w:r>
      <w:r>
        <w:t xml:space="preserve"> </w:t>
      </w:r>
      <w:r>
        <w:rPr>
          <w:rStyle w:val="VerbatimChar"/>
        </w:rPr>
        <w:t xml:space="preserve">Industrial Specialist &lt;Axis&gt;</w:t>
      </w:r>
      <w:r>
        <w:t xml:space="preserve"> </w:t>
      </w:r>
      <w:r>
        <w:t xml:space="preserve">/</w:t>
      </w:r>
      <w:r>
        <w:t xml:space="preserve"> </w:t>
      </w:r>
      <w:r>
        <w:rPr>
          <w:rStyle w:val="VerbatimChar"/>
        </w:rPr>
        <w:t xml:space="preserve">Industry &lt;Axis&gt;</w:t>
      </w:r>
      <w:r>
        <w:t xml:space="preserve"> </w:t>
      </w:r>
      <w:r>
        <w:t xml:space="preserve">and added as a new column to the taxonomy table. Parallel brand words are disallowed; the pattern is deliberately monotone to prevent the register-conflation problem the earlier</w:t>
      </w:r>
      <w:r>
        <w:t xml:space="preserve"> </w:t>
      </w:r>
      <w:r>
        <w:t xml:space="preserve">“</w:t>
      </w:r>
      <w:r>
        <w:t xml:space="preserve">GodAgent</w:t>
      </w:r>
      <w:r>
        <w:t xml:space="preserve">”</w:t>
      </w:r>
      <w:r>
        <w:t xml:space="preserve"> </w:t>
      </w:r>
      <w:r>
        <w:t xml:space="preserve">label caused.</w:t>
      </w:r>
    </w:p>
    <w:bookmarkEnd w:id="296"/>
    <w:bookmarkStart w:id="297" w:name="count-dynamism"/>
    <w:p>
      <w:pPr>
        <w:pStyle w:val="Heading4"/>
      </w:pPr>
      <w:r>
        <w:t xml:space="preserve">10.22.5 Count Dynamism</w:t>
      </w:r>
    </w:p>
    <w:p>
      <w:pPr>
        <w:pStyle w:val="FirstParagraph"/>
      </w:pPr>
      <w:r>
        <w:t xml:space="preserve">The number of entries in each axis changes over time (e.g., the 22nd industry introduced via the Datacentre Compliance Agent, §10.20.3; the skill library expanding from 6 to 21 to 24+ between v3.31 and v3.34). Hard-coded counts in brand copy are therefore an anti-pattern. Three patterns are acceptable:</w:t>
      </w:r>
    </w:p>
    <w:p>
      <w:pPr>
        <w:numPr>
          <w:ilvl w:val="0"/>
          <w:numId w:val="1105"/>
        </w:numPr>
        <w:pStyle w:val="Compact"/>
      </w:pPr>
      <w:r>
        <w:rPr>
          <w:bCs/>
          <w:b/>
        </w:rPr>
        <w:t xml:space="preserve">Open-ended counts</w:t>
      </w:r>
      <w:r>
        <w:t xml:space="preserve"> </w:t>
      </w:r>
      <w:r>
        <w:t xml:space="preserve">in platform copy —</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 the</w:t>
      </w:r>
      <w:r>
        <w:t xml:space="preserve"> </w:t>
      </w:r>
      <w:r>
        <w:rPr>
          <w:rStyle w:val="VerbatimChar"/>
        </w:rPr>
        <w:t xml:space="preserve">+</w:t>
      </w:r>
      <w:r>
        <w:t xml:space="preserve"> </w:t>
      </w:r>
      <w:r>
        <w:t xml:space="preserve">absorbs growth.</w:t>
      </w:r>
    </w:p>
    <w:p>
      <w:pPr>
        <w:numPr>
          <w:ilvl w:val="0"/>
          <w:numId w:val="1105"/>
        </w:numPr>
        <w:pStyle w:val="Compact"/>
      </w:pPr>
      <w:r>
        <w:rPr>
          <w:bCs/>
          <w:b/>
        </w:rPr>
        <w:t xml:space="preserve">Registry-anchored references</w:t>
      </w:r>
      <w:r>
        <w:t xml:space="preserve"> </w:t>
      </w:r>
      <w:r>
        <w:t xml:space="preserve">in documents —</w:t>
      </w:r>
      <w:r>
        <w:t xml:space="preserve"> </w:t>
      </w:r>
      <w:r>
        <w:t xml:space="preserve">“</w:t>
      </w:r>
      <w:r>
        <w:t xml:space="preserve">see the Industrial Specialist Agent registry in</w:t>
      </w:r>
      <w:r>
        <w:t xml:space="preserve"> </w:t>
      </w:r>
      <w:r>
        <w:rPr>
          <w:rStyle w:val="VerbatimChar"/>
        </w:rPr>
        <w:t xml:space="preserve">docs/Deputy-Agents-Architecture.md</w:t>
      </w:r>
      <w:r>
        <w:t xml:space="preserve"> </w:t>
      </w:r>
      <w:r>
        <w:t xml:space="preserve">§3</w:t>
      </w:r>
      <w:r>
        <w:t xml:space="preserve">”</w:t>
      </w:r>
      <w:r>
        <w:t xml:space="preserve">; no number in prose.</w:t>
      </w:r>
    </w:p>
    <w:p>
      <w:pPr>
        <w:numPr>
          <w:ilvl w:val="0"/>
          <w:numId w:val="1105"/>
        </w:numPr>
        <w:pStyle w:val="Compact"/>
      </w:pPr>
      <w:r>
        <w:rPr>
          <w:bCs/>
          <w:b/>
        </w:rPr>
        <w:t xml:space="preserve">Product-scoped counts</w:t>
      </w:r>
      <w:r>
        <w:t xml:space="preserve"> </w:t>
      </w:r>
      <w:r>
        <w:t xml:space="preserve">in SKU copy —</w:t>
      </w:r>
      <w:r>
        <w:t xml:space="preserve"> </w:t>
      </w:r>
      <w:r>
        <w:t xml:space="preserve">“</w:t>
      </w:r>
      <w:r>
        <w:t xml:space="preserve">Climate Intelligence ships with 8 Skilled Agents</w:t>
      </w:r>
      <w:r>
        <w:t xml:space="preserve">”</w:t>
      </w:r>
      <w:r>
        <w:t xml:space="preserve">; acceptable but treated as part of the SKU specification in</w:t>
      </w:r>
      <w:r>
        <w:t xml:space="preserve"> </w:t>
      </w:r>
      <w:r>
        <w:rPr>
          <w:rStyle w:val="VerbatimChar"/>
        </w:rPr>
        <w:t xml:space="preserve">products.json</w:t>
      </w:r>
      <w:r>
        <w:t xml:space="preserve">, not as free-floating copy.</w:t>
      </w:r>
    </w:p>
    <w:bookmarkEnd w:id="297"/>
    <w:bookmarkStart w:id="298" w:name="exclusions"/>
    <w:p>
      <w:pPr>
        <w:pStyle w:val="Heading4"/>
      </w:pPr>
      <w:r>
        <w:t xml:space="preserve">10.22.6 Exclusions</w:t>
      </w:r>
    </w:p>
    <w:p>
      <w:pPr>
        <w:pStyle w:val="FirstParagraph"/>
      </w:pPr>
      <w:r>
        <w:t xml:space="preserve">Three scopes are explicitly excluded from the rename:</w:t>
      </w:r>
    </w:p>
    <w:p>
      <w:pPr>
        <w:numPr>
          <w:ilvl w:val="0"/>
          <w:numId w:val="1106"/>
        </w:numPr>
        <w:pStyle w:val="Compact"/>
      </w:pPr>
      <w:r>
        <w:rPr>
          <w:bCs/>
          <w:b/>
        </w:rPr>
        <w:t xml:space="preserve">Docker and infrastructure identifiers</w:t>
      </w:r>
      <w:r>
        <w:t xml:space="preserve"> </w:t>
      </w:r>
      <w:r>
        <w:t xml:space="preserve">(</w:t>
      </w:r>
      <w:r>
        <w:rPr>
          <w:rStyle w:val="VerbatimChar"/>
        </w:rPr>
        <w:t xml:space="preserve">dws-godagent-llm</w:t>
      </w:r>
      <w:r>
        <w:t xml:space="preserve"> </w:t>
      </w:r>
      <w:r>
        <w:t xml:space="preserve">network,</w:t>
      </w:r>
      <w:r>
        <w:t xml:space="preserve"> </w:t>
      </w:r>
      <w:r>
        <w:rPr>
          <w:rStyle w:val="VerbatimChar"/>
        </w:rPr>
        <w:t xml:space="preserve">dws-godagent:latest</w:t>
      </w:r>
      <w:r>
        <w:t xml:space="preserve"> </w:t>
      </w:r>
      <w:r>
        <w:t xml:space="preserve">image, label</w:t>
      </w:r>
      <w:r>
        <w:t xml:space="preserve"> </w:t>
      </w:r>
      <w:r>
        <w:rPr>
          <w:rStyle w:val="VerbatimChar"/>
        </w:rPr>
        <w:t xml:space="preserve">dws-godagent</w:t>
      </w:r>
      <w:r>
        <w:t xml:space="preserve">, iptables rules described in</w:t>
      </w:r>
      <w:r>
        <w:t xml:space="preserve"> </w:t>
      </w:r>
      <w:r>
        <w:rPr>
          <w:rStyle w:val="VerbatimChar"/>
        </w:rPr>
        <w:t xml:space="preserve">docs/Deputy-Agents-Architecture.md</w:t>
      </w:r>
      <w:r>
        <w:t xml:space="preserve"> </w:t>
      </w:r>
      <w:r>
        <w:t xml:space="preserve">§2.4–2.6) remain unchanged. Renaming these would require a coordinated infra migration, not a documentation change.</w:t>
      </w:r>
    </w:p>
    <w:p>
      <w:pPr>
        <w:numPr>
          <w:ilvl w:val="0"/>
          <w:numId w:val="1106"/>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t xml:space="preserve">(two words,</w:t>
      </w:r>
      <w:r>
        <w:t xml:space="preserve"> </w:t>
      </w:r>
      <w:r>
        <w:rPr>
          <w:rStyle w:val="VerbatimChar"/>
        </w:rPr>
        <w:t xml:space="preserve">onelifetime.world</w:t>
      </w:r>
      <w:r>
        <w:t xml:space="preserve"> </w:t>
      </w:r>
      <w:r>
        <w:t xml:space="preserve">Pantheon storyboard, Greek-mythology agent characters — Zeus, Athena, etc.) is a distinct brand identity (§10.13 Climate IQ Pantheon naming convention) and remains unchanged.</w:t>
      </w:r>
    </w:p>
    <w:p>
      <w:pPr>
        <w:numPr>
          <w:ilvl w:val="0"/>
          <w:numId w:val="1106"/>
        </w:numPr>
        <w:pStyle w:val="Compact"/>
      </w:pPr>
      <w:r>
        <w:rPr>
          <w:bCs/>
          <w:b/>
        </w:rPr>
        <w:t xml:space="preserve">Historical records</w:t>
      </w:r>
      <w:r>
        <w:t xml:space="preserve"> </w:t>
      </w:r>
      <w:r>
        <w:t xml:space="preserve">(field notes,</w:t>
      </w:r>
      <w:r>
        <w:t xml:space="preserve"> </w:t>
      </w:r>
      <w:r>
        <w:rPr>
          <w:rStyle w:val="VerbatimChar"/>
        </w:rPr>
        <w:t xml:space="preserve">tuntikirjausraportti</w:t>
      </w:r>
      <w:r>
        <w:t xml:space="preserve">,</w:t>
      </w:r>
      <w:r>
        <w:t xml:space="preserve"> </w:t>
      </w:r>
      <w:r>
        <w:rPr>
          <w:rStyle w:val="VerbatimChar"/>
        </w:rPr>
        <w:t xml:space="preserve">Oppimispäiväkirja</w:t>
      </w:r>
      <w:r>
        <w:t xml:space="preserve">, dated project-cost folders) are point-in-time records and are not retroactively edited.</w:t>
      </w:r>
    </w:p>
    <w:bookmarkEnd w:id="298"/>
    <w:bookmarkStart w:id="299" w:name="research-contribution-12"/>
    <w:p>
      <w:pPr>
        <w:pStyle w:val="Heading4"/>
      </w:pPr>
      <w:r>
        <w:t xml:space="preserve">10.22.7 Research Contribution</w:t>
      </w:r>
    </w:p>
    <w:p>
      <w:pPr>
        <w:pStyle w:val="FirstParagraph"/>
      </w:pPr>
      <w:r>
        <w:t xml:space="preserve">The taxonomy is not merely a naming convention; it documents a design principle. Agentic product branding is multi-register, and a single label cannot serve brand, specification, and UI simultaneously without diluting each register. For EU-regulated industrial platforms — where audit-grade precision (spec register) and buyer-legible copy (brand register) must both survive compliance review, and where the nav-level category label is a buying decision made in seconds — a three-tier taxonomy decomposes a branding problem that Silicon Valley consumer platforms can evade with a single trade name. Extending the pattern across three orthogonal axes (agents, workflows, jurisdictions) demonstrates that the tiering generalises beyond the specific case of</w:t>
      </w:r>
      <w:r>
        <w:t xml:space="preserve"> </w:t>
      </w:r>
      <w:r>
        <w:t xml:space="preserve">“</w:t>
      </w:r>
      <w:r>
        <w:t xml:space="preserve">what we call our agents</w:t>
      </w:r>
      <w:r>
        <w:t xml:space="preserve">”</w:t>
      </w:r>
      <w:r>
        <w:t xml:space="preserve"> </w:t>
      </w:r>
      <w:r>
        <w:t xml:space="preserve">to any capability axis where DWS sells depth.</w:t>
      </w:r>
    </w:p>
    <w:p>
      <w:pPr>
        <w:pStyle w:val="BodyText"/>
      </w:pPr>
      <w:r>
        <w:rPr>
          <w:bCs/>
          <w:b/>
        </w:rPr>
        <w:t xml:space="preserve">Key Contribution #31 — Three-Tier Skilled Taxonomy for Regulated-Industry AI Platforms:</w:t>
      </w:r>
      <w:r>
        <w:t xml:space="preserve"> </w:t>
      </w:r>
      <w:r>
        <w:t xml:space="preserve">A brand / specification / UI taxonomy (Skilled / Industrial Specialist / Industry) is proposed as a design pattern for agent platforms that must simultaneously address brand, documentation, and interface audiences in EU-regulated industries. The pattern generalises across capability axes (agents, workflows, jurisdictions, and future axes) under a monotone</w:t>
      </w:r>
      <w:r>
        <w:t xml:space="preserve"> </w:t>
      </w:r>
      <w:r>
        <w:rPr>
          <w:rStyle w:val="VerbatimChar"/>
        </w:rPr>
        <w:t xml:space="preserve">Skilled &lt;Axis&gt;</w:t>
      </w:r>
      <w:r>
        <w:t xml:space="preserve"> </w:t>
      </w:r>
      <w:r>
        <w:t xml:space="preserve">pattern, avoiding the conflation that single-label conventions impose on platforms where each register is subject to different compliance constraints.</w:t>
      </w:r>
    </w:p>
    <w:p>
      <w:r>
        <w:pict>
          <v:rect style="width:0;height:1.5pt" o:hralign="center" o:hrstd="t" o:hr="t"/>
        </w:pict>
      </w:r>
    </w:p>
    <w:bookmarkEnd w:id="299"/>
    <w:bookmarkEnd w:id="300"/>
    <w:bookmarkStart w:id="308" w:name="Xe83162b5c540d5392c7c3cb92605c79fe18dc9a"/>
    <w:p>
      <w:pPr>
        <w:pStyle w:val="Heading3"/>
      </w:pPr>
      <w:r>
        <w:t xml:space="preserve">10.23 Three-Capital Accumulation Model: Token Capital, Human Capital, and Control Room Capital as Durable Assets of the DWS IQ 6 Operating Model</w:t>
      </w:r>
    </w:p>
    <w:bookmarkStart w:id="301" w:name="context-and-motivation"/>
    <w:p>
      <w:pPr>
        <w:pStyle w:val="Heading4"/>
      </w:pPr>
      <w:r>
        <w:t xml:space="preserve">10.23.1 Context and Motivation</w:t>
      </w:r>
    </w:p>
    <w:p>
      <w:pPr>
        <w:pStyle w:val="FirstParagraph"/>
      </w:pPr>
      <w:r>
        <w:t xml:space="preserve">The seven months from October 2025 through approximately May 2026 constituted the most intensive Human-in-the-Loop (HIL) phase of the DWS IQ 6 operating model. In June 2026, an observable phase transition occurred: the system reached a level of operational maturity where the operator’s primary role shifted from reviewing individual outputs to setting and maintaining the architectural policies that govern output generation. The gym returned to the daily schedule.</w:t>
      </w:r>
    </w:p>
    <w:p>
      <w:pPr>
        <w:pStyle w:val="BodyText"/>
      </w:pPr>
      <w:r>
        <w:t xml:space="preserve">This section documents the implementation evidence for what the PhD thesis (§14.25) frames theoretically as the three-capital accumulation model:</w:t>
      </w:r>
      <w:r>
        <w:t xml:space="preserve"> </w:t>
      </w:r>
      <w:r>
        <w:rPr>
          <w:bCs/>
          <w:b/>
        </w:rPr>
        <w:t xml:space="preserve">token capital</w:t>
      </w:r>
      <w:r>
        <w:t xml:space="preserve">,</w:t>
      </w:r>
      <w:r>
        <w:t xml:space="preserve"> </w:t>
      </w:r>
      <w:r>
        <w:rPr>
          <w:bCs/>
          <w:b/>
        </w:rPr>
        <w:t xml:space="preserve">human capital</w:t>
      </w:r>
      <w:r>
        <w:t xml:space="preserve">, and</w:t>
      </w:r>
      <w:r>
        <w:t xml:space="preserve"> </w:t>
      </w:r>
      <w:r>
        <w:rPr>
          <w:bCs/>
          <w:b/>
        </w:rPr>
        <w:t xml:space="preserve">Control Room capital</w:t>
      </w:r>
      <w:r>
        <w:t xml:space="preserve">. All three accumulated simultaneously during the HIL phase. This section covers the implementation facts; the market-signal framing (Satya Nadella’s Build 2026 vocabulary) and competitive analysis live in §14.25 per the §1.4 master-vs-PhD scope rule.</w:t>
      </w:r>
    </w:p>
    <w:bookmarkEnd w:id="301"/>
    <w:bookmarkStart w:id="302" w:name="X856be6b608e9493c830b859845254a22f7df7d2"/>
    <w:p>
      <w:pPr>
        <w:pStyle w:val="Heading4"/>
      </w:pPr>
      <w:r>
        <w:t xml:space="preserve">10.23.2 Token Capital — Measured Inventory (June 2026)</w:t>
      </w:r>
    </w:p>
    <w:p>
      <w:pPr>
        <w:pStyle w:val="FirstParagraph"/>
      </w:pPr>
      <w:r>
        <w:t xml:space="preserve">Token capital is the reusable organisational asset produced by sustained AI-assisted operations. It is not the token spend; it is the durable output that survives session boundaries and persists in codified form.</w:t>
      </w:r>
    </w:p>
    <w:p>
      <w:pPr>
        <w:pStyle w:val="BodyText"/>
      </w:pPr>
      <w:r>
        <w:rPr>
          <w:bCs/>
          <w:b/>
        </w:rPr>
        <w:t xml:space="preserve">Measured inventory as of June 2026:</w:t>
      </w:r>
    </w:p>
    <w:tbl>
      <w:tblPr>
        <w:tblStyle w:val="Table"/>
        <w:tblW w:type="pct" w:w="5000"/>
        <w:tblLook w:firstRow="1" w:lastRow="0" w:firstColumn="0" w:lastColumn="0" w:noHBand="0" w:noVBand="0" w:val="0020"/>
        <w:jc w:val="start"/>
      </w:tblPr>
      <w:tblGrid>
        <w:gridCol w:w="1803"/>
        <w:gridCol w:w="627"/>
        <w:gridCol w:w="2587"/>
        <w:gridCol w:w="2901"/>
      </w:tblGrid>
      <w:tr>
        <w:trPr>
          <w:tblHeader w:val="true"/>
        </w:trPr>
        <w:tc>
          <w:tcPr/>
          <w:p>
            <w:pPr>
              <w:pStyle w:val="Compact"/>
              <w:jc w:val="left"/>
            </w:pPr>
            <w:r>
              <w:t xml:space="preserve">Asset class</w:t>
            </w:r>
          </w:p>
        </w:tc>
        <w:tc>
          <w:tcPr/>
          <w:p>
            <w:pPr>
              <w:pStyle w:val="Compact"/>
              <w:jc w:val="left"/>
            </w:pPr>
            <w:r>
              <w:t xml:space="preserve">Count</w:t>
            </w:r>
          </w:p>
        </w:tc>
        <w:tc>
          <w:tcPr/>
          <w:p>
            <w:pPr>
              <w:pStyle w:val="Compact"/>
              <w:jc w:val="left"/>
            </w:pPr>
            <w:r>
              <w:t xml:space="preserve">Location</w:t>
            </w:r>
          </w:p>
        </w:tc>
        <w:tc>
          <w:tcPr/>
          <w:p>
            <w:pPr>
              <w:pStyle w:val="Compact"/>
              <w:jc w:val="left"/>
            </w:pPr>
            <w:r>
              <w:t xml:space="preserve">Reuse mechanism</w:t>
            </w:r>
          </w:p>
        </w:tc>
      </w:tr>
      <w:tr>
        <w:tc>
          <w:tcPr/>
          <w:p>
            <w:pPr>
              <w:pStyle w:val="Compact"/>
              <w:jc w:val="left"/>
            </w:pPr>
            <w:r>
              <w:t xml:space="preserve">Skill files</w:t>
            </w:r>
          </w:p>
        </w:tc>
        <w:tc>
          <w:tcPr/>
          <w:p>
            <w:pPr>
              <w:pStyle w:val="Compact"/>
              <w:jc w:val="left"/>
            </w:pPr>
            <w:r>
              <w:t xml:space="preserve">30+</w:t>
            </w:r>
          </w:p>
        </w:tc>
        <w:tc>
          <w:tcPr/>
          <w:p>
            <w:pPr>
              <w:pStyle w:val="Compact"/>
              <w:jc w:val="left"/>
            </w:pPr>
            <w:r>
              <w:rPr>
                <w:rStyle w:val="VerbatimChar"/>
              </w:rPr>
              <w:t xml:space="preserve">skills/&lt;name&gt;/SKILL.md</w:t>
            </w:r>
          </w:p>
        </w:tc>
        <w:tc>
          <w:tcPr/>
          <w:p>
            <w:pPr>
              <w:pStyle w:val="Compact"/>
              <w:jc w:val="left"/>
            </w:pPr>
            <w:r>
              <w:t xml:space="preserve">Slash-invocable from any session</w:t>
            </w:r>
          </w:p>
        </w:tc>
      </w:tr>
      <w:tr>
        <w:tc>
          <w:tcPr/>
          <w:p>
            <w:pPr>
              <w:pStyle w:val="Compact"/>
              <w:jc w:val="left"/>
            </w:pPr>
            <w:r>
              <w:t xml:space="preserve">Field notes</w:t>
            </w:r>
          </w:p>
        </w:tc>
        <w:tc>
          <w:tcPr/>
          <w:p>
            <w:pPr>
              <w:pStyle w:val="Compact"/>
              <w:jc w:val="left"/>
            </w:pPr>
            <w:r>
              <w:t xml:space="preserve">150+</w:t>
            </w:r>
          </w:p>
        </w:tc>
        <w:tc>
          <w:tcPr/>
          <w:p>
            <w:pPr>
              <w:pStyle w:val="Compact"/>
              <w:jc w:val="left"/>
            </w:pPr>
            <w:r>
              <w:rPr>
                <w:rStyle w:val="VerbatimChar"/>
              </w:rPr>
              <w:t xml:space="preserve">docs/field-notes/</w:t>
            </w:r>
          </w:p>
        </w:tc>
        <w:tc>
          <w:tcPr/>
          <w:p>
            <w:pPr>
              <w:pStyle w:val="Compact"/>
              <w:jc w:val="left"/>
            </w:pPr>
            <w:r>
              <w:t xml:space="preserve">Searchable institutional memory</w:t>
            </w:r>
          </w:p>
        </w:tc>
      </w:tr>
      <w:tr>
        <w:tc>
          <w:tcPr/>
          <w:p>
            <w:pPr>
              <w:pStyle w:val="Compact"/>
              <w:jc w:val="left"/>
            </w:pPr>
            <w:r>
              <w:t xml:space="preserve">Agent configurations</w:t>
            </w:r>
          </w:p>
        </w:tc>
        <w:tc>
          <w:tcPr/>
          <w:p>
            <w:pPr>
              <w:pStyle w:val="Compact"/>
              <w:jc w:val="left"/>
            </w:pPr>
            <w:r>
              <w:t xml:space="preserve">50</w:t>
            </w:r>
          </w:p>
        </w:tc>
        <w:tc>
          <w:tcPr/>
          <w:p>
            <w:pPr>
              <w:pStyle w:val="Compact"/>
              <w:jc w:val="left"/>
            </w:pPr>
            <w:r>
              <w:rPr>
                <w:rStyle w:val="VerbatimChar"/>
              </w:rPr>
              <w:t xml:space="preserve">src/agents/</w:t>
            </w:r>
          </w:p>
        </w:tc>
        <w:tc>
          <w:tcPr/>
          <w:p>
            <w:pPr>
              <w:pStyle w:val="Compact"/>
              <w:jc w:val="left"/>
            </w:pPr>
            <w:r>
              <w:t xml:space="preserve">Foundry with Article 12 logging</w:t>
            </w:r>
          </w:p>
        </w:tc>
      </w:tr>
      <w:tr>
        <w:tc>
          <w:tcPr/>
          <w:p>
            <w:pPr>
              <w:pStyle w:val="Compact"/>
              <w:jc w:val="left"/>
            </w:pPr>
            <w:r>
              <w:t xml:space="preserve">Standards documents</w:t>
            </w:r>
          </w:p>
        </w:tc>
        <w:tc>
          <w:tcPr/>
          <w:p>
            <w:pPr>
              <w:pStyle w:val="Compact"/>
              <w:jc w:val="left"/>
            </w:pPr>
            <w:r>
              <w:t xml:space="preserve">10+</w:t>
            </w:r>
          </w:p>
        </w:tc>
        <w:tc>
          <w:tcPr/>
          <w:p>
            <w:pPr>
              <w:pStyle w:val="Compact"/>
              <w:jc w:val="left"/>
            </w:pPr>
            <w:r>
              <w:t xml:space="preserve">Root-level</w:t>
            </w:r>
            <w:r>
              <w:t xml:space="preserve"> </w:t>
            </w:r>
            <w:r>
              <w:rPr>
                <w:rStyle w:val="VerbatimChar"/>
              </w:rPr>
              <w:t xml:space="preserve">DWS_*.md</w:t>
            </w:r>
          </w:p>
        </w:tc>
        <w:tc>
          <w:tcPr/>
          <w:p>
            <w:pPr>
              <w:pStyle w:val="Compact"/>
              <w:jc w:val="left"/>
            </w:pPr>
            <w:r>
              <w:t xml:space="preserve">Routing table in CLAUDE.md</w:t>
            </w:r>
          </w:p>
        </w:tc>
      </w:tr>
      <w:tr>
        <w:tc>
          <w:tcPr/>
          <w:p>
            <w:pPr>
              <w:pStyle w:val="Compact"/>
              <w:jc w:val="left"/>
            </w:pPr>
            <w:r>
              <w:t xml:space="preserve">Validated hooks</w:t>
            </w:r>
          </w:p>
        </w:tc>
        <w:tc>
          <w:tcPr/>
          <w:p>
            <w:pPr>
              <w:pStyle w:val="Compact"/>
              <w:jc w:val="left"/>
            </w:pPr>
            <w:r>
              <w:t xml:space="preserve">Multiple</w:t>
            </w:r>
          </w:p>
        </w:tc>
        <w:tc>
          <w:tcPr/>
          <w:p>
            <w:pPr>
              <w:pStyle w:val="Compact"/>
              <w:jc w:val="left"/>
            </w:pPr>
            <w:r>
              <w:rPr>
                <w:rStyle w:val="VerbatimChar"/>
              </w:rPr>
              <w:t xml:space="preserve">.claude/hooks/</w:t>
            </w:r>
          </w:p>
        </w:tc>
        <w:tc>
          <w:tcPr/>
          <w:p>
            <w:pPr>
              <w:pStyle w:val="Compact"/>
              <w:jc w:val="left"/>
            </w:pPr>
            <w:r>
              <w:t xml:space="preserve">Session-start, pre-commit, audit</w:t>
            </w:r>
          </w:p>
        </w:tc>
      </w:tr>
      <w:tr>
        <w:tc>
          <w:tcPr/>
          <w:p>
            <w:pPr>
              <w:pStyle w:val="Compact"/>
              <w:jc w:val="left"/>
            </w:pPr>
            <w:r>
              <w:t xml:space="preserve">Cron/automation entries</w:t>
            </w:r>
          </w:p>
        </w:tc>
        <w:tc>
          <w:tcPr/>
          <w:p>
            <w:pPr>
              <w:pStyle w:val="Compact"/>
              <w:jc w:val="left"/>
            </w:pPr>
            <w:r>
              <w:t xml:space="preserve">Multiple</w:t>
            </w:r>
          </w:p>
        </w:tc>
        <w:tc>
          <w:tcPr/>
          <w:p>
            <w:pPr>
              <w:pStyle w:val="Compact"/>
              <w:jc w:val="left"/>
            </w:pPr>
            <w:r>
              <w:rPr>
                <w:rStyle w:val="VerbatimChar"/>
              </w:rPr>
              <w:t xml:space="preserve">scripts/daily</w:t>
            </w:r>
            <w:r>
              <w:t xml:space="preserve">,</w:t>
            </w:r>
            <w:r>
              <w:t xml:space="preserve"> </w:t>
            </w:r>
            <w:r>
              <w:rPr>
                <w:rStyle w:val="VerbatimChar"/>
              </w:rPr>
              <w:t xml:space="preserve">scripts/weekly</w:t>
            </w:r>
          </w:p>
        </w:tc>
        <w:tc>
          <w:tcPr/>
          <w:p>
            <w:pPr>
              <w:pStyle w:val="Compact"/>
              <w:jc w:val="left"/>
            </w:pPr>
            <w:r>
              <w:t xml:space="preserve">Scheduler-registered, runs unattended</w:t>
            </w:r>
          </w:p>
        </w:tc>
      </w:tr>
    </w:tbl>
    <w:p>
      <w:pPr>
        <w:pStyle w:val="BodyText"/>
      </w:pPr>
      <w:r>
        <w:t xml:space="preserve">The CLAUDE.md rule</w:t>
      </w:r>
      <w:r>
        <w:t xml:space="preserve"> </w:t>
      </w:r>
      <w:r>
        <w:t xml:space="preserve">“</w:t>
      </w:r>
      <w:r>
        <w:t xml:space="preserve">Asked Twice = Failure</w:t>
      </w:r>
      <w:r>
        <w:t xml:space="preserve">”</w:t>
      </w:r>
      <w:r>
        <w:t xml:space="preserve"> </w:t>
      </w:r>
      <w:r>
        <w:t xml:space="preserve">operationalises the accumulation mechanism: each manually-completed judgment that closes a skill loop removes that decision permanently from the operator’s recurring attention. The skills corpus is the primary measurable output of this ratchet.</w:t>
      </w:r>
    </w:p>
    <w:p>
      <w:pPr>
        <w:pStyle w:val="BodyText"/>
      </w:pPr>
      <w:r>
        <w:rPr>
          <w:bCs/>
          <w:b/>
        </w:rPr>
        <w:t xml:space="preserve">Key implementation pattern:</w:t>
      </w:r>
      <w:r>
        <w:t xml:space="preserve"> </w:t>
      </w:r>
      <w:r>
        <w:t xml:space="preserve">Skills are parameterised procedures, not domain scripts. A skill describes the process (</w:t>
      </w:r>
      <w:r>
        <w:rPr>
          <w:rStyle w:val="VerbatimChar"/>
        </w:rPr>
        <w:t xml:space="preserve">/compliance-check INDUSTRY=steel</w:t>
      </w:r>
      <w:r>
        <w:t xml:space="preserve">); the invocation supplies the context. This is what distinguishes token capital from stored conversation history — it is executable, not archival.</w:t>
      </w:r>
    </w:p>
    <w:bookmarkEnd w:id="302"/>
    <w:bookmarkStart w:id="303" w:name="X0b326ce0267766d71ab85b7fa1670509d70276c"/>
    <w:p>
      <w:pPr>
        <w:pStyle w:val="Heading4"/>
      </w:pPr>
      <w:r>
        <w:t xml:space="preserve">10.23.3 Human Capital — The HIL Phase as a Training Programme</w:t>
      </w:r>
    </w:p>
    <w:p>
      <w:pPr>
        <w:pStyle w:val="FirstParagraph"/>
      </w:pPr>
      <w:r>
        <w:t xml:space="preserve">The seven-month HIL phase functioned, in retrospect, as an intensive and domain-specific training programme. The operator was not replaced; the operator’s expertise profile changed substantially.</w:t>
      </w:r>
    </w:p>
    <w:p>
      <w:pPr>
        <w:pStyle w:val="BodyText"/>
      </w:pPr>
      <w:r>
        <w:rPr>
          <w:bCs/>
          <w:b/>
        </w:rPr>
        <w:t xml:space="preserve">Capabilities deepened during the HIL phase:</w:t>
      </w:r>
    </w:p>
    <w:p>
      <w:pPr>
        <w:numPr>
          <w:ilvl w:val="0"/>
          <w:numId w:val="1107"/>
        </w:numPr>
        <w:pStyle w:val="Compact"/>
      </w:pPr>
      <w:r>
        <w:rPr>
          <w:bCs/>
          <w:b/>
        </w:rPr>
        <w:t xml:space="preserve">Agent output pattern recognition</w:t>
      </w:r>
      <w:r>
        <w:t xml:space="preserve"> </w:t>
      </w:r>
      <w:r>
        <w:t xml:space="preserve">— ability to identify failure signatures (hallucination type, scope creep, standard routing errors) from the first paragraph of output without full review</w:t>
      </w:r>
    </w:p>
    <w:p>
      <w:pPr>
        <w:numPr>
          <w:ilvl w:val="0"/>
          <w:numId w:val="1107"/>
        </w:numPr>
        <w:pStyle w:val="Compact"/>
      </w:pPr>
      <w:r>
        <w:rPr>
          <w:bCs/>
          <w:b/>
        </w:rPr>
        <w:t xml:space="preserve">Prompt calibration intuition</w:t>
      </w:r>
      <w:r>
        <w:t xml:space="preserve"> </w:t>
      </w:r>
      <w:r>
        <w:t xml:space="preserve">— ability to diagnose system-prompt underspecification from output signature, rather than through trial-and-error iteration</w:t>
      </w:r>
    </w:p>
    <w:p>
      <w:pPr>
        <w:numPr>
          <w:ilvl w:val="0"/>
          <w:numId w:val="1107"/>
        </w:numPr>
        <w:pStyle w:val="Compact"/>
      </w:pPr>
      <w:r>
        <w:rPr>
          <w:bCs/>
          <w:b/>
        </w:rPr>
        <w:t xml:space="preserve">Architectural judgment on delegation</w:t>
      </w:r>
      <w:r>
        <w:t xml:space="preserve"> </w:t>
      </w:r>
      <w:r>
        <w:t xml:space="preserve">— ability to set evidence-based thresholds for which agent actions require review versus which can be trusted to run unattended</w:t>
      </w:r>
    </w:p>
    <w:p>
      <w:pPr>
        <w:numPr>
          <w:ilvl w:val="0"/>
          <w:numId w:val="1107"/>
        </w:numPr>
        <w:pStyle w:val="Compact"/>
      </w:pPr>
      <w:r>
        <w:rPr>
          <w:bCs/>
          <w:b/>
        </w:rPr>
        <w:t xml:space="preserve">Failure mode literacy</w:t>
      </w:r>
      <w:r>
        <w:t xml:space="preserve"> </w:t>
      </w:r>
      <w:r>
        <w:t xml:space="preserve">— domain-specific knowledge of which tasks carry which failure modes, enabling targeted review rather than uniform review</w:t>
      </w:r>
    </w:p>
    <w:p>
      <w:pPr>
        <w:numPr>
          <w:ilvl w:val="0"/>
          <w:numId w:val="1107"/>
        </w:numPr>
        <w:pStyle w:val="Compact"/>
      </w:pPr>
      <w:r>
        <w:rPr>
          <w:bCs/>
          <w:b/>
        </w:rPr>
        <w:t xml:space="preserve">Skills taxonomy fluency</w:t>
      </w:r>
      <w:r>
        <w:t xml:space="preserve"> </w:t>
      </w:r>
      <w:r>
        <w:t xml:space="preserve">— the ability to recognise, in real time, when a judgment task is recurring and therefore should be codified rather than repeated</w:t>
      </w:r>
    </w:p>
    <w:p>
      <w:pPr>
        <w:pStyle w:val="FirstParagraph"/>
      </w:pPr>
      <w:r>
        <w:t xml:space="preserve">This expertise is tacit and embodied. It cannot be replicated by hiring someone who did not participate in the HIL phase. It is human capital in the strict sense: it is attached to the operator, compounds through application, and does not depreciate with tool changes.</w:t>
      </w:r>
    </w:p>
    <w:bookmarkEnd w:id="303"/>
    <w:bookmarkStart w:id="304" w:name="X0584e3b7d4fc413be36ff9b26715f5e8fb020b2"/>
    <w:p>
      <w:pPr>
        <w:pStyle w:val="Heading4"/>
      </w:pPr>
      <w:r>
        <w:t xml:space="preserve">10.23.4 Control Room Capital — Deployed Infrastructure (June 2026)</w:t>
      </w:r>
    </w:p>
    <w:p>
      <w:pPr>
        <w:pStyle w:val="FirstParagraph"/>
      </w:pPr>
      <w:r>
        <w:t xml:space="preserve">The DWS Control Room architecture (as defined in</w:t>
      </w:r>
      <w:r>
        <w:t xml:space="preserve"> </w:t>
      </w:r>
      <w:r>
        <w:rPr>
          <w:rStyle w:val="VerbatimChar"/>
        </w:rPr>
        <w:t xml:space="preserve">docs/Lyhenteet.md</w:t>
      </w:r>
      <w:r>
        <w:t xml:space="preserve"> </w:t>
      </w:r>
      <w:r>
        <w:t xml:space="preserve">and</w:t>
      </w:r>
      <w:r>
        <w:t xml:space="preserve"> </w:t>
      </w:r>
      <w:r>
        <w:rPr>
          <w:rStyle w:val="VerbatimChar"/>
        </w:rPr>
        <w:t xml:space="preserve">docs/Deputy-Agents-Architecture.md §9</w:t>
      </w:r>
      <w:r>
        <w:t xml:space="preserve">) is the edge layer of the hybrid architecture:</w:t>
      </w:r>
    </w:p>
    <w:p>
      <w:pPr>
        <w:numPr>
          <w:ilvl w:val="0"/>
          <w:numId w:val="1108"/>
        </w:numPr>
        <w:pStyle w:val="Compact"/>
      </w:pPr>
      <w:r>
        <w:rPr>
          <w:bCs/>
          <w:b/>
        </w:rPr>
        <w:t xml:space="preserve">Control Room</w:t>
      </w:r>
      <w:r>
        <w:t xml:space="preserve"> </w:t>
      </w:r>
      <w:r>
        <w:t xml:space="preserve">— edge layer, real-time observations, HIL approval gates, interrupt/override, Article 12 audit trail, target latency &lt; 100 ms</w:t>
      </w:r>
    </w:p>
    <w:p>
      <w:pPr>
        <w:numPr>
          <w:ilvl w:val="0"/>
          <w:numId w:val="1108"/>
        </w:numPr>
        <w:pStyle w:val="Compact"/>
      </w:pPr>
      <w:r>
        <w:rPr>
          <w:bCs/>
          <w:b/>
        </w:rPr>
        <w:t xml:space="preserve">Situation Room</w:t>
      </w:r>
      <w:r>
        <w:t xml:space="preserve"> </w:t>
      </w:r>
      <w:r>
        <w:t xml:space="preserve">— cloud layer, strategic aggregation, deep analytics, ERP/BIM/IoT integration, compliance reporting</w:t>
      </w:r>
    </w:p>
    <w:p>
      <w:pPr>
        <w:pStyle w:val="FirstParagraph"/>
      </w:pPr>
      <w:r>
        <w:rPr>
          <w:bCs/>
          <w:b/>
        </w:rPr>
        <w:t xml:space="preserve">Control Room Capital accumulated during the HIL phase:</w:t>
      </w:r>
    </w:p>
    <w:tbl>
      <w:tblPr>
        <w:tblStyle w:val="Table"/>
        <w:tblW w:type="pct" w:w="5000"/>
        <w:tblLook w:firstRow="1" w:lastRow="0" w:firstColumn="0" w:lastColumn="0" w:noHBand="0" w:noVBand="0" w:val="0020"/>
        <w:jc w:val="start"/>
      </w:tblPr>
      <w:tblGrid>
        <w:gridCol w:w="2383"/>
        <w:gridCol w:w="1691"/>
        <w:gridCol w:w="3844"/>
      </w:tblGrid>
      <w:tr>
        <w:trPr>
          <w:tblHeader w:val="true"/>
        </w:trPr>
        <w:tc>
          <w:tcPr/>
          <w:p>
            <w:pPr>
              <w:pStyle w:val="Compact"/>
              <w:jc w:val="left"/>
            </w:pPr>
            <w:r>
              <w:t xml:space="preserve">Asset</w:t>
            </w:r>
          </w:p>
        </w:tc>
        <w:tc>
          <w:tcPr/>
          <w:p>
            <w:pPr>
              <w:pStyle w:val="Compact"/>
              <w:jc w:val="left"/>
            </w:pPr>
            <w:r>
              <w:t xml:space="preserve">Status (June 2026)</w:t>
            </w:r>
          </w:p>
        </w:tc>
        <w:tc>
          <w:tcPr/>
          <w:p>
            <w:pPr>
              <w:pStyle w:val="Compact"/>
              <w:jc w:val="left"/>
            </w:pPr>
            <w:r>
              <w:t xml:space="preserve">Evidence</w:t>
            </w:r>
          </w:p>
        </w:tc>
      </w:tr>
      <w:tr>
        <w:tc>
          <w:tcPr/>
          <w:p>
            <w:pPr>
              <w:pStyle w:val="Compact"/>
              <w:jc w:val="left"/>
            </w:pPr>
            <w:r>
              <w:t xml:space="preserve">Edge compute nodes</w:t>
            </w:r>
          </w:p>
        </w:tc>
        <w:tc>
          <w:tcPr/>
          <w:p>
            <w:pPr>
              <w:pStyle w:val="Compact"/>
              <w:jc w:val="left"/>
            </w:pPr>
            <w:r>
              <w:t xml:space="preserve">Deployed</w:t>
            </w:r>
          </w:p>
        </w:tc>
        <w:tc>
          <w:tcPr/>
          <w:p>
            <w:pPr>
              <w:pStyle w:val="Compact"/>
              <w:jc w:val="left"/>
            </w:pPr>
            <w:r>
              <w:t xml:space="preserve">Acer Veriton GN100, DGX Spark, NVIDIA Jetson tiers</w:t>
            </w:r>
          </w:p>
        </w:tc>
      </w:tr>
      <w:tr>
        <w:tc>
          <w:tcPr/>
          <w:p>
            <w:pPr>
              <w:pStyle w:val="Compact"/>
              <w:jc w:val="left"/>
            </w:pPr>
            <w:r>
              <w:t xml:space="preserve">Classification thresholds</w:t>
            </w:r>
          </w:p>
        </w:tc>
        <w:tc>
          <w:tcPr/>
          <w:p>
            <w:pPr>
              <w:pStyle w:val="Compact"/>
              <w:jc w:val="left"/>
            </w:pPr>
            <w:r>
              <w:t xml:space="preserve">Empirically calibrated</w:t>
            </w:r>
          </w:p>
        </w:tc>
        <w:tc>
          <w:tcPr/>
          <w:p>
            <w:pPr>
              <w:pStyle w:val="Compact"/>
              <w:jc w:val="left"/>
            </w:pPr>
            <w:r>
              <w:t xml:space="preserve">Field notes: 2026-03-01, 2026-03-13, 2026-03-29</w:t>
            </w:r>
          </w:p>
        </w:tc>
      </w:tr>
      <w:tr>
        <w:tc>
          <w:tcPr/>
          <w:p>
            <w:pPr>
              <w:pStyle w:val="Compact"/>
              <w:jc w:val="left"/>
            </w:pPr>
            <w:r>
              <w:t xml:space="preserve">HIL approval gate configuration</w:t>
            </w:r>
          </w:p>
        </w:tc>
        <w:tc>
          <w:tcPr/>
          <w:p>
            <w:pPr>
              <w:pStyle w:val="Compact"/>
              <w:jc w:val="left"/>
            </w:pPr>
            <w:r>
              <w:t xml:space="preserve">Tested in production</w:t>
            </w:r>
          </w:p>
        </w:tc>
        <w:tc>
          <w:tcPr/>
          <w:p>
            <w:pPr>
              <w:pStyle w:val="Compact"/>
              <w:jc w:val="left"/>
            </w:pPr>
            <w:r>
              <w:t xml:space="preserve">CLAUDE.md auto-mode hooks, hook audit logs</w:t>
            </w:r>
          </w:p>
        </w:tc>
      </w:tr>
      <w:tr>
        <w:tc>
          <w:tcPr/>
          <w:p>
            <w:pPr>
              <w:pStyle w:val="Compact"/>
              <w:jc w:val="left"/>
            </w:pPr>
            <w:r>
              <w:t xml:space="preserve">Article 12 audit trail</w:t>
            </w:r>
          </w:p>
        </w:tc>
        <w:tc>
          <w:tcPr/>
          <w:p>
            <w:pPr>
              <w:pStyle w:val="Compact"/>
              <w:jc w:val="left"/>
            </w:pPr>
            <w:r>
              <w:t xml:space="preserve">Populated</w:t>
            </w:r>
          </w:p>
        </w:tc>
        <w:tc>
          <w:tcPr/>
          <w:p>
            <w:pPr>
              <w:pStyle w:val="Compact"/>
              <w:jc w:val="left"/>
            </w:pPr>
            <w:r>
              <w:rPr>
                <w:rStyle w:val="VerbatimChar"/>
              </w:rPr>
              <w:t xml:space="preserve">article12-logger.ts</w:t>
            </w:r>
            <w:r>
              <w:t xml:space="preserve">,</w:t>
            </w:r>
            <w:r>
              <w:t xml:space="preserve"> </w:t>
            </w:r>
            <w:r>
              <w:rPr>
                <w:rStyle w:val="VerbatimChar"/>
              </w:rPr>
              <w:t xml:space="preserve">agent_executions</w:t>
            </w:r>
            <w:r>
              <w:t xml:space="preserve"> </w:t>
            </w:r>
            <w:r>
              <w:t xml:space="preserve">table</w:t>
            </w:r>
          </w:p>
        </w:tc>
      </w:tr>
      <w:tr>
        <w:tc>
          <w:tcPr/>
          <w:p>
            <w:pPr>
              <w:pStyle w:val="Compact"/>
              <w:jc w:val="left"/>
            </w:pPr>
            <w:r>
              <w:t xml:space="preserve">Exception-pattern library</w:t>
            </w:r>
          </w:p>
        </w:tc>
        <w:tc>
          <w:tcPr/>
          <w:p>
            <w:pPr>
              <w:pStyle w:val="Compact"/>
              <w:jc w:val="left"/>
            </w:pPr>
            <w:r>
              <w:t xml:space="preserve">Documented</w:t>
            </w:r>
          </w:p>
        </w:tc>
        <w:tc>
          <w:tcPr/>
          <w:p>
            <w:pPr>
              <w:pStyle w:val="Compact"/>
              <w:jc w:val="left"/>
            </w:pPr>
            <w:r>
              <w:t xml:space="preserve">Field note corpus,</w:t>
            </w:r>
            <w:r>
              <w:t xml:space="preserve"> </w:t>
            </w:r>
            <w:r>
              <w:rPr>
                <w:rStyle w:val="VerbatimChar"/>
              </w:rPr>
              <w:t xml:space="preserve">.claude/hooks/README.md</w:t>
            </w:r>
          </w:p>
        </w:tc>
      </w:tr>
      <w:tr>
        <w:tc>
          <w:tcPr/>
          <w:p>
            <w:pPr>
              <w:pStyle w:val="Compact"/>
              <w:jc w:val="left"/>
            </w:pPr>
            <w:r>
              <w:t xml:space="preserve">Multi-provider routing</w:t>
            </w:r>
          </w:p>
        </w:tc>
        <w:tc>
          <w:tcPr/>
          <w:p>
            <w:pPr>
              <w:pStyle w:val="Compact"/>
              <w:jc w:val="left"/>
            </w:pPr>
            <w:r>
              <w:t xml:space="preserve">Validated</w:t>
            </w:r>
          </w:p>
        </w:tc>
        <w:tc>
          <w:tcPr/>
          <w:p>
            <w:pPr>
              <w:pStyle w:val="Compact"/>
              <w:jc w:val="left"/>
            </w:pPr>
            <w:r>
              <w:t xml:space="preserve">Groq / Baseten / OpenAI / Scaleway / DGX Spark</w:t>
            </w:r>
          </w:p>
        </w:tc>
      </w:tr>
    </w:tbl>
    <w:p>
      <w:pPr>
        <w:pStyle w:val="BodyText"/>
      </w:pPr>
      <w:r>
        <w:t xml:space="preserve">The distinction between Control Room capital and Control Room infrastructure: the infrastructure is the hardware and software (capex + opex). The capital is the calibrated operational knowledge embedded in that infrastructure — thresholds that have been empirically validated under production load, failure modes that have been observed and documented, HIL gates that have been tested for false-positive rate. This cannot be reproduced from documentation alone; it requires the operational history.</w:t>
      </w:r>
    </w:p>
    <w:bookmarkEnd w:id="304"/>
    <w:bookmarkStart w:id="305" w:name="X94c4b43006fd9a238020347a48f6c99f834f216"/>
    <w:p>
      <w:pPr>
        <w:pStyle w:val="Heading4"/>
      </w:pPr>
      <w:r>
        <w:t xml:space="preserve">10.23.5 The HIL → HIC Transition as an Engineering Milestone</w:t>
      </w:r>
    </w:p>
    <w:p>
      <w:pPr>
        <w:pStyle w:val="FirstParagraph"/>
      </w:pPr>
      <w:r>
        <w:t xml:space="preserve">The HIL → HIC transition is not a product management decision. It has specific engineering preconditions that can be verified:</w:t>
      </w:r>
    </w:p>
    <w:p>
      <w:pPr>
        <w:numPr>
          <w:ilvl w:val="0"/>
          <w:numId w:val="1109"/>
        </w:numPr>
      </w:pPr>
      <w:r>
        <w:rPr>
          <w:bCs/>
          <w:b/>
        </w:rPr>
        <w:t xml:space="preserve">Token capital threshold:</w:t>
      </w:r>
      <w:r>
        <w:t xml:space="preserve"> </w:t>
      </w:r>
      <w:r>
        <w:t xml:space="preserve">The skills corpus is sufficient that the majority of recurring judgment tasks are handled by skills without operator intervention. Measurable: ratio of skill-invoked decisions to ad-hoc decisions per week.</w:t>
      </w:r>
    </w:p>
    <w:p>
      <w:pPr>
        <w:numPr>
          <w:ilvl w:val="0"/>
          <w:numId w:val="1109"/>
        </w:numPr>
      </w:pPr>
      <w:r>
        <w:rPr>
          <w:bCs/>
          <w:b/>
        </w:rPr>
        <w:t xml:space="preserve">Human capital threshold:</w:t>
      </w:r>
      <w:r>
        <w:t xml:space="preserve"> </w:t>
      </w:r>
      <w:r>
        <w:t xml:space="preserve">The operator can identify failure signatures at the signature level — i.e., before a full review of the output. Measurable: average time-to-diagnosis for known failure modes.</w:t>
      </w:r>
    </w:p>
    <w:p>
      <w:pPr>
        <w:numPr>
          <w:ilvl w:val="0"/>
          <w:numId w:val="1109"/>
        </w:numPr>
      </w:pPr>
      <w:r>
        <w:rPr>
          <w:bCs/>
          <w:b/>
        </w:rPr>
        <w:t xml:space="preserve">Control Room capital threshold:</w:t>
      </w:r>
      <w:r>
        <w:t xml:space="preserve"> </w:t>
      </w:r>
      <w:r>
        <w:t xml:space="preserve">The automated system can be trusted to hold the production load for a working day without per-output review. Measurable: number of unreviewed automated decisions per day that required no subsequent correction.</w:t>
      </w:r>
    </w:p>
    <w:p>
      <w:pPr>
        <w:pStyle w:val="FirstParagraph"/>
      </w:pPr>
      <w:r>
        <w:t xml:space="preserve">The June 2026 observation — the gym returning to the schedule — is the operational manifestation of all three thresholds being crossed simultaneously across the majority of domains in the DWS IQ 6 system.</w:t>
      </w:r>
    </w:p>
    <w:p>
      <w:pPr>
        <w:pStyle w:val="BodyText"/>
      </w:pPr>
      <w:r>
        <w:rPr>
          <w:bCs/>
          <w:b/>
        </w:rPr>
        <w:t xml:space="preserve">Domains still in HIL (June 2026):</w:t>
      </w:r>
      <w:r>
        <w:t xml:space="preserve"> </w:t>
      </w:r>
      <w:r>
        <w:t xml:space="preserve">Security posture changes, supabase migration authoring, and any agent output touching financial or legal fields (consistent with the Varsavsky review-queue principle documented in</w:t>
      </w:r>
      <w:r>
        <w:t xml:space="preserve"> </w:t>
      </w:r>
      <w:r>
        <w:rPr>
          <w:rStyle w:val="VerbatimChar"/>
        </w:rPr>
        <w:t xml:space="preserve">docs/field-notes/2026-05-08-varsavsky-agent-accountability-intelligence-cheap.md</w:t>
      </w:r>
      <w:r>
        <w:t xml:space="preserve">).</w:t>
      </w:r>
    </w:p>
    <w:bookmarkEnd w:id="305"/>
    <w:bookmarkStart w:id="306" w:name="research-contribution-13"/>
    <w:p>
      <w:pPr>
        <w:pStyle w:val="Heading4"/>
      </w:pPr>
      <w:r>
        <w:t xml:space="preserve">10.23.6 Research Contribution</w:t>
      </w:r>
    </w:p>
    <w:p>
      <w:pPr>
        <w:pStyle w:val="FirstParagraph"/>
      </w:pPr>
      <w:r>
        <w:t xml:space="preserve">The three-capital model (since superseded by the 4P Capital Classes), grounded in seven months of production HIL operations, provides three implementation-level contributions:</w:t>
      </w:r>
    </w:p>
    <w:p>
      <w:pPr>
        <w:numPr>
          <w:ilvl w:val="0"/>
          <w:numId w:val="1110"/>
        </w:numPr>
      </w:pPr>
      <w:r>
        <w:rPr>
          <w:bCs/>
          <w:b/>
        </w:rPr>
        <w:t xml:space="preserve">A measurable definition of the HIL → HIC transition</w:t>
      </w:r>
      <w:r>
        <w:t xml:space="preserve"> </w:t>
      </w:r>
      <w:r>
        <w:t xml:space="preserve">— specific per-domain preconditions (token capital threshold, human capital threshold, Control Room capital threshold) that can be instrumented and tracked, giving the transition an engineering definition rather than a management intuition.</w:t>
      </w:r>
    </w:p>
    <w:p>
      <w:pPr>
        <w:numPr>
          <w:ilvl w:val="0"/>
          <w:numId w:val="1110"/>
        </w:numPr>
      </w:pPr>
      <w:r>
        <w:rPr>
          <w:bCs/>
          <w:b/>
        </w:rPr>
        <w:t xml:space="preserve">A skills corpus as the primary KPI of agentic operating-model maturity</w:t>
      </w:r>
      <w:r>
        <w:t xml:space="preserve"> </w:t>
      </w:r>
      <w:r>
        <w:t xml:space="preserve">— the size, coverage, and invocation rate of the</w:t>
      </w:r>
      <w:r>
        <w:t xml:space="preserve"> </w:t>
      </w:r>
      <w:r>
        <w:rPr>
          <w:rStyle w:val="VerbatimChar"/>
        </w:rPr>
        <w:t xml:space="preserve">skills/</w:t>
      </w:r>
      <w:r>
        <w:t xml:space="preserve"> </w:t>
      </w:r>
      <w:r>
        <w:t xml:space="preserve">corpus is a more operationally meaningful maturity indicator than agent headcount, model capability, or token spend.</w:t>
      </w:r>
    </w:p>
    <w:p>
      <w:pPr>
        <w:numPr>
          <w:ilvl w:val="0"/>
          <w:numId w:val="1110"/>
        </w:numPr>
      </w:pPr>
      <w:r>
        <w:rPr>
          <w:bCs/>
          <w:b/>
        </w:rPr>
        <w:t xml:space="preserve">The HIL phase as a planned capital formation programme</w:t>
      </w:r>
      <w:r>
        <w:t xml:space="preserve"> </w:t>
      </w:r>
      <w:r>
        <w:t xml:space="preserve">— reframing the seven-month HIL phase from a cost to an investment in three simultaneous capital forms changes how the phase should be resourced, measured, and communicated to stakeholders.</w:t>
      </w:r>
    </w:p>
    <w:p>
      <w:pPr>
        <w:pStyle w:val="FirstParagraph"/>
      </w:pPr>
      <w:r>
        <w:rPr>
          <w:bCs/>
          <w:b/>
        </w:rPr>
        <w:t xml:space="preserve">Key Contribution #32 — Three-Capital Accumulation Model: Implementation Evidence from Seven Months of Production HIL Operations:</w:t>
      </w:r>
      <w:r>
        <w:t xml:space="preserve"> </w:t>
      </w:r>
      <w:r>
        <w:t xml:space="preserve">The DWS IQ 6 production record (October 2025 – June 2026) provides the first empirical, multi-month implementation evidence for the theoretical three-capital model developed in §14.25 and since superseded by the 4P Capital Classes. The token capital inventory (30+ skills, 150+ field notes, 50-agent foundry with Article 12 logging), the documented human capital deepening (pattern recognition, prompt calibration intuition, architectural judgment, failure mode literacy), and the Control Room capital (calibrated thresholds, validated HIL gates, populated Article 12 audit trail, tested multi-provider routing) together constitute a measurable baseline for what a production agentic operating model accumulates over a seven-month HIL phase. The contribution provides: (a) a set of per-capital measurable indicators that operationalise the theoretical model; (b) an engineering definition of the HIL → HIC transition with domain-specific preconditions; (c) the skills corpus as the primary KPI of agentic operating-model maturity. This contribution is positioned at the implementation horizon (current product scope) and is empirically grounded — the June 2026 transition event is a documented operational observable, not a projected milestone.</w:t>
      </w:r>
    </w:p>
    <w:p>
      <w:r>
        <w:pict>
          <v:rect style="width:0;height:1.5pt" o:hralign="center" o:hrstd="t" o:hr="t"/>
        </w:pict>
      </w:r>
    </w:p>
    <w:bookmarkEnd w:id="306"/>
    <w:bookmarkStart w:id="307" w:name="Xb7a89fe7de2b858f173b025ff8d5f6136b5a00b"/>
    <w:p>
      <w:pPr>
        <w:pStyle w:val="Heading4"/>
      </w:pPr>
      <w:r>
        <w:t xml:space="preserve">10.23.7 Mapping the Four Capital Classes to the Architecture</w:t>
      </w:r>
    </w:p>
    <w:p>
      <w:pPr>
        <w:pStyle w:val="FirstParagraph"/>
      </w:pPr>
      <w:r>
        <w:t xml:space="preserve">§14.26 in the PhD thesis (PHD_FIREHORSE_EN.md) formalised the 4P Capital Classes as the canonical extension of the §14.25 three-capital model: Prompt (formerly Token), People (formerly Human), Plant (formerly Control Room), and Perception (new — the governed world-model and closed control loop). This section maps each of the four classes to the DWS IQ 6 architecture components documented elsewhere in this master’s thesis.</w:t>
      </w:r>
    </w:p>
    <w:p>
      <w:pPr>
        <w:pStyle w:val="BodyText"/>
      </w:pPr>
      <w:r>
        <w:rPr>
          <w:bCs/>
          <w:b/>
        </w:rPr>
        <w:t xml:space="preserve">Architecture mapping table:</w:t>
      </w:r>
    </w:p>
    <w:tbl>
      <w:tblPr>
        <w:tblStyle w:val="Table"/>
        <w:tblW w:type="pct" w:w="5000"/>
        <w:tblLook w:firstRow="1" w:lastRow="0" w:firstColumn="0" w:lastColumn="0" w:noHBand="0" w:noVBand="0" w:val="0020"/>
        <w:jc w:val="start"/>
      </w:tblPr>
      <w:tblGrid>
        <w:gridCol w:w="354"/>
        <w:gridCol w:w="784"/>
        <w:gridCol w:w="5870"/>
        <w:gridCol w:w="910"/>
      </w:tblGrid>
      <w:tr>
        <w:trPr>
          <w:tblHeader w:val="true"/>
        </w:trPr>
        <w:tc>
          <w:tcPr/>
          <w:p>
            <w:pPr>
              <w:pStyle w:val="Compact"/>
              <w:jc w:val="left"/>
            </w:pPr>
            <w:r>
              <w:t xml:space="preserve">Capital Class</w:t>
            </w:r>
          </w:p>
        </w:tc>
        <w:tc>
          <w:tcPr/>
          <w:p>
            <w:pPr>
              <w:pStyle w:val="Compact"/>
              <w:jc w:val="left"/>
            </w:pPr>
            <w:r>
              <w:t xml:space="preserve">Brain-Memory-Body-Hands layer</w:t>
            </w:r>
          </w:p>
        </w:tc>
        <w:tc>
          <w:tcPr/>
          <w:p>
            <w:pPr>
              <w:pStyle w:val="Compact"/>
              <w:jc w:val="left"/>
            </w:pPr>
            <w:r>
              <w:t xml:space="preserve">DWS IQ 6 component</w:t>
            </w:r>
          </w:p>
        </w:tc>
        <w:tc>
          <w:tcPr/>
          <w:p>
            <w:pPr>
              <w:pStyle w:val="Compact"/>
              <w:jc w:val="left"/>
            </w:pPr>
            <w:r>
              <w:t xml:space="preserve">Thesis cross-reference</w:t>
            </w:r>
          </w:p>
        </w:tc>
      </w:tr>
      <w:tr>
        <w:tc>
          <w:tcPr/>
          <w:p>
            <w:pPr>
              <w:pStyle w:val="Compact"/>
              <w:jc w:val="left"/>
            </w:pPr>
            <w:r>
              <w:rPr>
                <w:bCs/>
                <w:b/>
              </w:rPr>
              <w:t xml:space="preserve">Prompt</w:t>
            </w:r>
          </w:p>
        </w:tc>
        <w:tc>
          <w:tcPr/>
          <w:p>
            <w:pPr>
              <w:pStyle w:val="Compact"/>
              <w:jc w:val="left"/>
            </w:pPr>
            <w:r>
              <w:t xml:space="preserve">Brain (intelligence)</w:t>
            </w:r>
          </w:p>
        </w:tc>
        <w:tc>
          <w:tcPr/>
          <w:p>
            <w:pPr>
              <w:pStyle w:val="Compact"/>
              <w:jc w:val="left"/>
            </w:pPr>
            <w:r>
              <w:t xml:space="preserve">SOUL.md, system prompts, validated skills corpus (</w:t>
            </w:r>
            <w:r>
              <w:rPr>
                <w:rStyle w:val="VerbatimChar"/>
              </w:rPr>
              <w:t xml:space="preserve">skills/</w:t>
            </w:r>
            <w:r>
              <w:t xml:space="preserve">), agent configs (</w:t>
            </w:r>
            <w:r>
              <w:rPr>
                <w:rStyle w:val="VerbatimChar"/>
              </w:rPr>
              <w:t xml:space="preserve">src/agents/</w:t>
            </w:r>
            <w:r>
              <w:t xml:space="preserve">), eval datasets (</w:t>
            </w:r>
            <w:r>
              <w:rPr>
                <w:rStyle w:val="VerbatimChar"/>
              </w:rPr>
              <w:t xml:space="preserve">src/evals/datasets/</w:t>
            </w:r>
            <w:r>
              <w:t xml:space="preserve">)</w:t>
            </w:r>
          </w:p>
        </w:tc>
        <w:tc>
          <w:tcPr/>
          <w:p>
            <w:pPr>
              <w:pStyle w:val="Compact"/>
              <w:jc w:val="left"/>
            </w:pPr>
            <w:r>
              <w:t xml:space="preserve">§10.16 (Harness Engineering), §10.13</w:t>
            </w:r>
          </w:p>
        </w:tc>
      </w:tr>
      <w:tr>
        <w:tc>
          <w:tcPr/>
          <w:p>
            <w:pPr>
              <w:pStyle w:val="Compact"/>
              <w:jc w:val="left"/>
            </w:pPr>
            <w:r>
              <w:rPr>
                <w:bCs/>
                <w:b/>
              </w:rPr>
              <w:t xml:space="preserve">People</w:t>
            </w:r>
          </w:p>
        </w:tc>
        <w:tc>
          <w:tcPr/>
          <w:p>
            <w:pPr>
              <w:pStyle w:val="Compact"/>
              <w:jc w:val="left"/>
            </w:pPr>
            <w:r>
              <w:t xml:space="preserve">Memory (judgment)</w:t>
            </w:r>
          </w:p>
        </w:tc>
        <w:tc>
          <w:tcPr/>
          <w:p>
            <w:pPr>
              <w:pStyle w:val="Compact"/>
              <w:jc w:val="left"/>
            </w:pPr>
            <w:r>
              <w:t xml:space="preserve">Operator expertise deepened through HIL phase; skills taxonomy (§10.23.3); HIL → HIC transition observable</w:t>
            </w:r>
          </w:p>
        </w:tc>
        <w:tc>
          <w:tcPr/>
          <w:p>
            <w:pPr>
              <w:pStyle w:val="Compact"/>
              <w:jc w:val="left"/>
            </w:pPr>
            <w:r>
              <w:t xml:space="preserve">§10.23.3, §10.23.5</w:t>
            </w:r>
          </w:p>
        </w:tc>
      </w:tr>
      <w:tr>
        <w:tc>
          <w:tcPr/>
          <w:p>
            <w:pPr>
              <w:pStyle w:val="Compact"/>
              <w:jc w:val="left"/>
            </w:pPr>
            <w:r>
              <w:rPr>
                <w:bCs/>
                <w:b/>
              </w:rPr>
              <w:t xml:space="preserve">Plant</w:t>
            </w:r>
          </w:p>
        </w:tc>
        <w:tc>
          <w:tcPr/>
          <w:p>
            <w:pPr>
              <w:pStyle w:val="Compact"/>
              <w:jc w:val="left"/>
            </w:pPr>
            <w:r>
              <w:t xml:space="preserve">Body (infrastructure)</w:t>
            </w:r>
          </w:p>
        </w:tc>
        <w:tc>
          <w:tcPr/>
          <w:p>
            <w:pPr>
              <w:pStyle w:val="Compact"/>
              <w:jc w:val="left"/>
            </w:pPr>
            <w:r>
              <w:t xml:space="preserve">Control Room + Situation Room two-room stack — deployable at site</w:t>
            </w:r>
            <w:r>
              <w:t xml:space="preserve"> </w:t>
            </w:r>
            <w:r>
              <w:rPr>
                <w:bCs/>
                <w:b/>
              </w:rPr>
              <w:t xml:space="preserve">or inside a Lifetime Fleet vehicle</w:t>
            </w:r>
            <w:r>
              <w:t xml:space="preserve">; NVIDIA Jetson / Acer GN100 / DGX Spark edge compute; Article 12 logging pipeline; validated inference configs; tested failover</w:t>
            </w:r>
          </w:p>
        </w:tc>
        <w:tc>
          <w:tcPr/>
          <w:p>
            <w:pPr>
              <w:pStyle w:val="Compact"/>
              <w:jc w:val="left"/>
            </w:pPr>
            <w:r>
              <w:t xml:space="preserve">§10.10, §10.10.6.1, §10.15</w:t>
            </w:r>
          </w:p>
        </w:tc>
      </w:tr>
      <w:tr>
        <w:tc>
          <w:tcPr/>
          <w:p>
            <w:pPr>
              <w:pStyle w:val="Compact"/>
              <w:jc w:val="left"/>
            </w:pPr>
            <w:r>
              <w:rPr>
                <w:bCs/>
                <w:b/>
              </w:rPr>
              <w:t xml:space="preserve">Perception</w:t>
            </w:r>
          </w:p>
        </w:tc>
        <w:tc>
          <w:tcPr/>
          <w:p>
            <w:pPr>
              <w:pStyle w:val="Compact"/>
              <w:jc w:val="left"/>
            </w:pPr>
            <w:r>
              <w:t xml:space="preserve">Hands (actuation + world model)</w:t>
            </w:r>
          </w:p>
        </w:tc>
        <w:tc>
          <w:tcPr/>
          <w:p>
            <w:pPr>
              <w:pStyle w:val="Compact"/>
              <w:jc w:val="left"/>
            </w:pPr>
            <w:r>
              <w:t xml:space="preserve">Lifetime World Model (</w:t>
            </w:r>
            <w:r>
              <w:rPr>
                <w:rStyle w:val="VerbatimChar"/>
              </w:rPr>
              <w:t xml:space="preserve">ONTOLOGY.md</w:t>
            </w:r>
            <w:r>
              <w:t xml:space="preserve">); agent memory (§10.10.7); Article 12 lineage log; closed sense → decide → act loop with HIL/HIC gate</w:t>
            </w:r>
          </w:p>
        </w:tc>
        <w:tc>
          <w:tcPr/>
          <w:p>
            <w:pPr>
              <w:pStyle w:val="Compact"/>
              <w:jc w:val="left"/>
            </w:pPr>
            <w:r>
              <w:t xml:space="preserve">§10.18, §10.10.7</w:t>
            </w:r>
          </w:p>
        </w:tc>
      </w:tr>
    </w:tbl>
    <w:p>
      <w:pPr>
        <w:pStyle w:val="BodyText"/>
      </w:pPr>
      <w:r>
        <w:rPr>
          <w:bCs/>
          <w:b/>
        </w:rPr>
        <w:t xml:space="preserve">Renaming note:</w:t>
      </w:r>
      <w:r>
        <w:t xml:space="preserve"> </w:t>
      </w:r>
      <w:r>
        <w:t xml:space="preserve">The 4P canon deprecates the standalone</w:t>
      </w:r>
      <w:r>
        <w:t xml:space="preserve"> </w:t>
      </w:r>
      <w:r>
        <w:t xml:space="preserve">“</w:t>
      </w:r>
      <w:r>
        <w:t xml:space="preserve">Token / Human / Control Room Capital</w:t>
      </w:r>
      <w:r>
        <w:t xml:space="preserve">”</w:t>
      </w:r>
      <w:r>
        <w:t xml:space="preserve"> </w:t>
      </w:r>
      <w:r>
        <w:t xml:space="preserve">naming as primary terms in new copy. The §10.23.2 / §10.23.3 / §10.23.4 sections retain those names as the origin documentation; this section introduces the 4P aliases.</w:t>
      </w:r>
    </w:p>
    <w:p>
      <w:pPr>
        <w:pStyle w:val="BodyText"/>
      </w:pPr>
      <w:r>
        <w:rPr>
          <w:bCs/>
          <w:b/>
        </w:rPr>
        <w:t xml:space="preserve">GTM wedge — the land-and-expand pattern.</w:t>
      </w:r>
      <w:r>
        <w:t xml:space="preserve"> </w:t>
      </w:r>
      <w:r>
        <w:t xml:space="preserve">The architecture mapping has an operational implication for first-customer deployments. Because Perception Capital compounds only if the deployment footprint grows, the first DWS IQ deployment is deliberately</w:t>
      </w:r>
      <w:r>
        <w:t xml:space="preserve"> </w:t>
      </w:r>
      <w:r>
        <w:rPr>
          <w:bCs/>
          <w:b/>
        </w:rPr>
        <w:t xml:space="preserve">isolated and harmless</w:t>
      </w:r>
      <w:r>
        <w:t xml:space="preserve">: a single agent reading existing logs, one Control Room edge node at a sub-site the customer team has not previously had compute on, one report the team could not produce before. The first win earns the right to a second without requiring the customer team to reorganise around the new tool. This is the implementation-level answer to the industrial incumbent resistance documented in §14.26.4 of the PhD thesis.</w:t>
      </w:r>
    </w:p>
    <w:p>
      <w:pPr>
        <w:pStyle w:val="BodyText"/>
      </w:pPr>
      <w:r>
        <w:rPr>
          <w:bCs/>
          <w:b/>
        </w:rPr>
        <w:t xml:space="preserve">Key Contribution #33 — Four-Capital (4P) Architecture Mapping: Prompt, People, Plant, Perception in DWS IQ 6:</w:t>
      </w:r>
      <w:r>
        <w:t xml:space="preserve"> </w:t>
      </w:r>
      <w:r>
        <w:t xml:space="preserve">The mapping of the 4P canonical capital classes to the DWS IQ 6 Brain-Memory-Body-Hands architecture supplies the implementation-layer evidence that the theoretical extension in PhD §14.26 corresponds to existing, deployed components. Each capital class has a measurable architectural footprint: Prompt Capital is the</w:t>
      </w:r>
      <w:r>
        <w:t xml:space="preserve"> </w:t>
      </w:r>
      <w:r>
        <w:rPr>
          <w:rStyle w:val="VerbatimChar"/>
        </w:rPr>
        <w:t xml:space="preserve">skills/</w:t>
      </w:r>
      <w:r>
        <w:t xml:space="preserve"> </w:t>
      </w:r>
      <w:r>
        <w:t xml:space="preserve">corpus and eval datasets (§10.16); People Capital is the seven-month HIL record and the HIL → HIC transition observable (§10.23.3/§10.23.5); Plant Capital is the two-room edge stack, including mobile deployment inside a Lifetime Fleet vehicle (§10.10/§10.15); Perception Capital is the Lifetime World Model, agent memory pipeline, and Article 12 lineage log with the closed sense → decide → act loop (§10.18/§10.10.7). The GTM land-and-expand pattern follows directly from the Perception Capital accumulation mechanism: the first deployment is isolated and harmless, earns the next gate, and the governed world model that accumulates behind it is the moat. This contribution is positioned at the implementation horizon (current product scope), cross-referenced to PhD §14.26 (theory) and §14.27 (Kaukopää / Enso historical case). Companion artefacts:</w:t>
      </w:r>
      <w:r>
        <w:t xml:space="preserve"> </w:t>
      </w:r>
      <w:r>
        <w:rPr>
          <w:rStyle w:val="VerbatimChar"/>
        </w:rPr>
        <w:t xml:space="preserve">docs/field-notes/2026-06-19-token-capital-human-capital-control-room-capital.md</w:t>
      </w:r>
      <w:r>
        <w:t xml:space="preserve"> </w:t>
      </w:r>
      <w:r>
        <w:t xml:space="preserve">(v2.0, 4P canon),</w:t>
      </w:r>
      <w:r>
        <w:t xml:space="preserve"> </w:t>
      </w:r>
      <w:r>
        <w:rPr>
          <w:rStyle w:val="VerbatimChar"/>
        </w:rPr>
        <w:t xml:space="preserve">DWS_BRAND_STANDARD.md</w:t>
      </w:r>
      <w:r>
        <w:t xml:space="preserve"> </w:t>
      </w:r>
      <w:r>
        <w:t xml:space="preserve">§23.</w:t>
      </w:r>
    </w:p>
    <w:p>
      <w:r>
        <w:pict>
          <v:rect style="width:0;height:1.5pt" o:hralign="center" o:hrstd="t" o:hr="t"/>
        </w:pict>
      </w:r>
    </w:p>
    <w:bookmarkEnd w:id="307"/>
    <w:bookmarkEnd w:id="308"/>
    <w:bookmarkStart w:id="321" w:name="X035343df090b4320fc94df62c99c12c4e54431b"/>
    <w:p>
      <w:pPr>
        <w:pStyle w:val="Heading3"/>
      </w:pPr>
      <w:r>
        <w:t xml:space="preserve">10.24 Capability Ontology and Three-Pillar Consulting GTM — From Agent Taxonomy to Enterprise Delivery</w:t>
      </w:r>
    </w:p>
    <w:bookmarkStart w:id="309" w:name="motivation-5"/>
    <w:p>
      <w:pPr>
        <w:pStyle w:val="Heading4"/>
      </w:pPr>
      <w:r>
        <w:t xml:space="preserve">10.24.1 Motivation</w:t>
      </w:r>
    </w:p>
    <w:p>
      <w:pPr>
        <w:pStyle w:val="FirstParagraph"/>
      </w:pPr>
      <w:r>
        <w:t xml:space="preserve">By June 2026, the DWS IQ 6 agent population had grown to 58+ registered agents across multiple subsystems, with 18 additional capability areas identified during enterprise consulting engagement preparation. The flat agent inventory — while functionally complete — lacked a taxonomic structure that enterprise customers could navigate. Two product engineering challenges emerged simultaneously:</w:t>
      </w:r>
    </w:p>
    <w:p>
      <w:pPr>
        <w:numPr>
          <w:ilvl w:val="0"/>
          <w:numId w:val="1111"/>
        </w:numPr>
      </w:pPr>
      <w:r>
        <w:rPr>
          <w:bCs/>
          <w:b/>
        </w:rPr>
        <w:t xml:space="preserve">Ontological.</w:t>
      </w:r>
      <w:r>
        <w:t xml:space="preserve"> </w:t>
      </w:r>
      <w:r>
        <w:t xml:space="preserve">The 10 capability categories that had organically formed around agent clusters were not merely a grouping convenience — they mapped to the LWM knowledge graph classes. Exposing this structure explicitly would allow customers to reason about coverage gaps.</w:t>
      </w:r>
    </w:p>
    <w:p>
      <w:pPr>
        <w:numPr>
          <w:ilvl w:val="0"/>
          <w:numId w:val="1111"/>
        </w:numPr>
      </w:pPr>
      <w:r>
        <w:rPr>
          <w:bCs/>
          <w:b/>
        </w:rPr>
        <w:t xml:space="preserve">Political.</w:t>
      </w:r>
      <w:r>
        <w:t xml:space="preserve"> </w:t>
      </w:r>
      <w:r>
        <w:t xml:space="preserve">Enterprise customers had historically employed 72+ human consulting roles (Cloud Ready Teams, 2024 edition). Framing the 80+ agent capabilities as</w:t>
      </w:r>
      <w:r>
        <w:t xml:space="preserve"> </w:t>
      </w:r>
      <w:r>
        <w:t xml:space="preserve">“</w:t>
      </w:r>
      <w:r>
        <w:t xml:space="preserve">replacements for roles</w:t>
      </w:r>
      <w:r>
        <w:t xml:space="preserve">”</w:t>
      </w:r>
      <w:r>
        <w:t xml:space="preserve"> </w:t>
      </w:r>
      <w:r>
        <w:t xml:space="preserve">would trigger job-loss anxieties and procurement resistance. The engineering challenge was to present capability without threatening identity.</w:t>
      </w:r>
    </w:p>
    <w:bookmarkEnd w:id="309"/>
    <w:bookmarkStart w:id="310" w:name="Xf0116f03a4671a1d6b317f74ce1c4519c365155"/>
    <w:p>
      <w:pPr>
        <w:pStyle w:val="Heading4"/>
      </w:pPr>
      <w:r>
        <w:t xml:space="preserve">10.24.2 Capability Ontology — 10 LWM Knowledge Graph Classes</w:t>
      </w:r>
    </w:p>
    <w:p>
      <w:pPr>
        <w:pStyle w:val="FirstParagraph"/>
      </w:pPr>
      <w:r>
        <w:t xml:space="preserve">The 80+ agent capabilities were organised into 10 ontology classes derived from the Lifetime World Model’s knowledge graph structure:</w:t>
      </w:r>
    </w:p>
    <w:tbl>
      <w:tblPr>
        <w:tblStyle w:val="Table"/>
        <w:tblW w:type="pct" w:w="5000"/>
        <w:tblLook w:firstRow="1" w:lastRow="0" w:firstColumn="0" w:lastColumn="0" w:noHBand="0" w:noVBand="0" w:val="0020"/>
        <w:jc w:val="start"/>
      </w:tblPr>
      <w:tblGrid>
        <w:gridCol w:w="240"/>
        <w:gridCol w:w="1520"/>
        <w:gridCol w:w="1520"/>
        <w:gridCol w:w="4640"/>
      </w:tblGrid>
      <w:tr>
        <w:trPr>
          <w:tblHeader w:val="true"/>
        </w:trPr>
        <w:tc>
          <w:tcPr/>
          <w:p>
            <w:pPr>
              <w:pStyle w:val="Compact"/>
              <w:jc w:val="left"/>
            </w:pPr>
            <w:r>
              <w:t xml:space="preserve">#</w:t>
            </w:r>
          </w:p>
        </w:tc>
        <w:tc>
          <w:tcPr/>
          <w:p>
            <w:pPr>
              <w:pStyle w:val="Compact"/>
              <w:jc w:val="left"/>
            </w:pPr>
            <w:r>
              <w:t xml:space="preserve">Ontology Class (FI)</w:t>
            </w:r>
          </w:p>
        </w:tc>
        <w:tc>
          <w:tcPr/>
          <w:p>
            <w:pPr>
              <w:pStyle w:val="Compact"/>
              <w:jc w:val="left"/>
            </w:pPr>
            <w:r>
              <w:t xml:space="preserve">Ontology Class (EN)</w:t>
            </w:r>
          </w:p>
        </w:tc>
        <w:tc>
          <w:tcPr/>
          <w:p>
            <w:pPr>
              <w:pStyle w:val="Compact"/>
              <w:jc w:val="left"/>
            </w:pPr>
            <w:r>
              <w:t xml:space="preserve">Example Capabilities</w:t>
            </w:r>
          </w:p>
        </w:tc>
      </w:tr>
      <w:tr>
        <w:tc>
          <w:tcPr/>
          <w:p>
            <w:pPr>
              <w:pStyle w:val="Compact"/>
              <w:jc w:val="left"/>
            </w:pPr>
            <w:r>
              <w:t xml:space="preserve">A</w:t>
            </w:r>
          </w:p>
        </w:tc>
        <w:tc>
          <w:tcPr/>
          <w:p>
            <w:pPr>
              <w:pStyle w:val="Compact"/>
              <w:jc w:val="left"/>
            </w:pPr>
            <w:r>
              <w:t xml:space="preserve">Konsultointi</w:t>
            </w:r>
          </w:p>
        </w:tc>
        <w:tc>
          <w:tcPr/>
          <w:p>
            <w:pPr>
              <w:pStyle w:val="Compact"/>
              <w:jc w:val="left"/>
            </w:pPr>
            <w:r>
              <w:t xml:space="preserve">Consulting</w:t>
            </w:r>
          </w:p>
        </w:tc>
        <w:tc>
          <w:tcPr/>
          <w:p>
            <w:pPr>
              <w:pStyle w:val="Compact"/>
              <w:jc w:val="left"/>
            </w:pPr>
            <w:r>
              <w:t xml:space="preserve">Business Analyst, Change Management, Training &amp; Enablement</w:t>
            </w:r>
          </w:p>
        </w:tc>
      </w:tr>
      <w:tr>
        <w:tc>
          <w:tcPr/>
          <w:p>
            <w:pPr>
              <w:pStyle w:val="Compact"/>
              <w:jc w:val="left"/>
            </w:pPr>
            <w:r>
              <w:t xml:space="preserve">B</w:t>
            </w:r>
          </w:p>
        </w:tc>
        <w:tc>
          <w:tcPr/>
          <w:p>
            <w:pPr>
              <w:pStyle w:val="Compact"/>
              <w:jc w:val="left"/>
            </w:pPr>
            <w:r>
              <w:t xml:space="preserve">Sääntely</w:t>
            </w:r>
          </w:p>
        </w:tc>
        <w:tc>
          <w:tcPr/>
          <w:p>
            <w:pPr>
              <w:pStyle w:val="Compact"/>
              <w:jc w:val="left"/>
            </w:pPr>
            <w:r>
              <w:t xml:space="preserve">Regulation</w:t>
            </w:r>
          </w:p>
        </w:tc>
        <w:tc>
          <w:tcPr/>
          <w:p>
            <w:pPr>
              <w:pStyle w:val="Compact"/>
              <w:jc w:val="left"/>
            </w:pPr>
            <w:r>
              <w:t xml:space="preserve">ComplianceAgent, EU AI Act Monitor, CBAM Calculator</w:t>
            </w:r>
          </w:p>
        </w:tc>
      </w:tr>
      <w:tr>
        <w:tc>
          <w:tcPr/>
          <w:p>
            <w:pPr>
              <w:pStyle w:val="Compact"/>
              <w:jc w:val="left"/>
            </w:pPr>
            <w:r>
              <w:t xml:space="preserve">C</w:t>
            </w:r>
          </w:p>
        </w:tc>
        <w:tc>
          <w:tcPr/>
          <w:p>
            <w:pPr>
              <w:pStyle w:val="Compact"/>
              <w:jc w:val="left"/>
            </w:pPr>
            <w:r>
              <w:t xml:space="preserve">Toimiala</w:t>
            </w:r>
          </w:p>
        </w:tc>
        <w:tc>
          <w:tcPr/>
          <w:p>
            <w:pPr>
              <w:pStyle w:val="Compact"/>
              <w:jc w:val="left"/>
            </w:pPr>
            <w:r>
              <w:t xml:space="preserve">Industry</w:t>
            </w:r>
          </w:p>
        </w:tc>
        <w:tc>
          <w:tcPr/>
          <w:p>
            <w:pPr>
              <w:pStyle w:val="Compact"/>
              <w:jc w:val="left"/>
            </w:pPr>
            <w:r>
              <w:t xml:space="preserve">ArgusAgent (SAR), Energy Compliance, Construction Safety</w:t>
            </w:r>
          </w:p>
        </w:tc>
      </w:tr>
      <w:tr>
        <w:tc>
          <w:tcPr/>
          <w:p>
            <w:pPr>
              <w:pStyle w:val="Compact"/>
              <w:jc w:val="left"/>
            </w:pPr>
            <w:r>
              <w:t xml:space="preserve">D</w:t>
            </w:r>
          </w:p>
        </w:tc>
        <w:tc>
          <w:tcPr/>
          <w:p>
            <w:pPr>
              <w:pStyle w:val="Compact"/>
              <w:jc w:val="left"/>
            </w:pPr>
            <w:r>
              <w:t xml:space="preserve">Orkestrointi</w:t>
            </w:r>
          </w:p>
        </w:tc>
        <w:tc>
          <w:tcPr/>
          <w:p>
            <w:pPr>
              <w:pStyle w:val="Compact"/>
              <w:jc w:val="left"/>
            </w:pPr>
            <w:r>
              <w:t xml:space="preserve">Orchestration</w:t>
            </w:r>
          </w:p>
        </w:tc>
        <w:tc>
          <w:tcPr/>
          <w:p>
            <w:pPr>
              <w:pStyle w:val="Compact"/>
              <w:jc w:val="left"/>
            </w:pPr>
            <w:r>
              <w:t xml:space="preserve">Zeus Orchestrator, Workflow Engine, Integration Architect</w:t>
            </w:r>
          </w:p>
        </w:tc>
      </w:tr>
      <w:tr>
        <w:tc>
          <w:tcPr/>
          <w:p>
            <w:pPr>
              <w:pStyle w:val="Compact"/>
              <w:jc w:val="left"/>
            </w:pPr>
            <w:r>
              <w:t xml:space="preserve">E</w:t>
            </w:r>
          </w:p>
        </w:tc>
        <w:tc>
          <w:tcPr/>
          <w:p>
            <w:pPr>
              <w:pStyle w:val="Compact"/>
              <w:jc w:val="left"/>
            </w:pPr>
            <w:r>
              <w:t xml:space="preserve">Kenttä</w:t>
            </w:r>
          </w:p>
        </w:tc>
        <w:tc>
          <w:tcPr/>
          <w:p>
            <w:pPr>
              <w:pStyle w:val="Compact"/>
              <w:jc w:val="left"/>
            </w:pPr>
            <w:r>
              <w:t xml:space="preserve">Field Operations</w:t>
            </w:r>
          </w:p>
        </w:tc>
        <w:tc>
          <w:tcPr/>
          <w:p>
            <w:pPr>
              <w:pStyle w:val="Compact"/>
              <w:jc w:val="left"/>
            </w:pPr>
            <w:r>
              <w:t xml:space="preserve">Fleet Manager, IoT Edge Controller, Process Automation</w:t>
            </w:r>
          </w:p>
        </w:tc>
      </w:tr>
      <w:tr>
        <w:tc>
          <w:tcPr/>
          <w:p>
            <w:pPr>
              <w:pStyle w:val="Compact"/>
              <w:jc w:val="left"/>
            </w:pPr>
            <w:r>
              <w:t xml:space="preserve">F</w:t>
            </w:r>
          </w:p>
        </w:tc>
        <w:tc>
          <w:tcPr/>
          <w:p>
            <w:pPr>
              <w:pStyle w:val="Compact"/>
              <w:jc w:val="left"/>
            </w:pPr>
            <w:r>
              <w:t xml:space="preserve">Myynti</w:t>
            </w:r>
          </w:p>
        </w:tc>
        <w:tc>
          <w:tcPr/>
          <w:p>
            <w:pPr>
              <w:pStyle w:val="Compact"/>
              <w:jc w:val="left"/>
            </w:pPr>
            <w:r>
              <w:t xml:space="preserve">Sales</w:t>
            </w:r>
          </w:p>
        </w:tc>
        <w:tc>
          <w:tcPr/>
          <w:p>
            <w:pPr>
              <w:pStyle w:val="Compact"/>
              <w:jc w:val="left"/>
            </w:pPr>
            <w:r>
              <w:t xml:space="preserve">LeadAgent, CRM Pipeline, Contract Management</w:t>
            </w:r>
          </w:p>
        </w:tc>
      </w:tr>
      <w:tr>
        <w:tc>
          <w:tcPr/>
          <w:p>
            <w:pPr>
              <w:pStyle w:val="Compact"/>
              <w:jc w:val="left"/>
            </w:pPr>
            <w:r>
              <w:t xml:space="preserve">G</w:t>
            </w:r>
          </w:p>
        </w:tc>
        <w:tc>
          <w:tcPr/>
          <w:p>
            <w:pPr>
              <w:pStyle w:val="Compact"/>
              <w:jc w:val="left"/>
            </w:pPr>
            <w:r>
              <w:t xml:space="preserve">Tiedonhallinta</w:t>
            </w:r>
          </w:p>
        </w:tc>
        <w:tc>
          <w:tcPr/>
          <w:p>
            <w:pPr>
              <w:pStyle w:val="Compact"/>
              <w:jc w:val="left"/>
            </w:pPr>
            <w:r>
              <w:t xml:space="preserve">Data Management</w:t>
            </w:r>
          </w:p>
        </w:tc>
        <w:tc>
          <w:tcPr/>
          <w:p>
            <w:pPr>
              <w:pStyle w:val="Compact"/>
              <w:jc w:val="left"/>
            </w:pPr>
            <w:r>
              <w:t xml:space="preserve">Data Engineer, Database Architect, Technical Writer</w:t>
            </w:r>
          </w:p>
        </w:tc>
      </w:tr>
      <w:tr>
        <w:tc>
          <w:tcPr/>
          <w:p>
            <w:pPr>
              <w:pStyle w:val="Compact"/>
              <w:jc w:val="left"/>
            </w:pPr>
            <w:r>
              <w:t xml:space="preserve">H</w:t>
            </w:r>
          </w:p>
        </w:tc>
        <w:tc>
          <w:tcPr/>
          <w:p>
            <w:pPr>
              <w:pStyle w:val="Compact"/>
              <w:jc w:val="left"/>
            </w:pPr>
            <w:r>
              <w:t xml:space="preserve">Järjestelmä</w:t>
            </w:r>
          </w:p>
        </w:tc>
        <w:tc>
          <w:tcPr/>
          <w:p>
            <w:pPr>
              <w:pStyle w:val="Compact"/>
              <w:jc w:val="left"/>
            </w:pPr>
            <w:r>
              <w:t xml:space="preserve">System</w:t>
            </w:r>
          </w:p>
        </w:tc>
        <w:tc>
          <w:tcPr/>
          <w:p>
            <w:pPr>
              <w:pStyle w:val="Compact"/>
              <w:jc w:val="left"/>
            </w:pPr>
            <w:r>
              <w:t xml:space="preserve">DevOps Agent, Test Automation, Cloud Migration</w:t>
            </w:r>
          </w:p>
        </w:tc>
      </w:tr>
      <w:tr>
        <w:tc>
          <w:tcPr/>
          <w:p>
            <w:pPr>
              <w:pStyle w:val="Compact"/>
              <w:jc w:val="left"/>
            </w:pPr>
            <w:r>
              <w:t xml:space="preserve">I</w:t>
            </w:r>
          </w:p>
        </w:tc>
        <w:tc>
          <w:tcPr/>
          <w:p>
            <w:pPr>
              <w:pStyle w:val="Compact"/>
              <w:jc w:val="left"/>
            </w:pPr>
            <w:r>
              <w:t xml:space="preserve">Puolustus</w:t>
            </w:r>
          </w:p>
        </w:tc>
        <w:tc>
          <w:tcPr/>
          <w:p>
            <w:pPr>
              <w:pStyle w:val="Compact"/>
              <w:jc w:val="left"/>
            </w:pPr>
            <w:r>
              <w:t xml:space="preserve">Defence</w:t>
            </w:r>
          </w:p>
        </w:tc>
        <w:tc>
          <w:tcPr/>
          <w:p>
            <w:pPr>
              <w:pStyle w:val="Compact"/>
              <w:jc w:val="left"/>
            </w:pPr>
            <w:r>
              <w:t xml:space="preserve">Aegis Platform, Network Security, Supply Chain Risk</w:t>
            </w:r>
          </w:p>
        </w:tc>
      </w:tr>
      <w:tr>
        <w:tc>
          <w:tcPr/>
          <w:p>
            <w:pPr>
              <w:pStyle w:val="Compact"/>
              <w:jc w:val="left"/>
            </w:pPr>
            <w:r>
              <w:t xml:space="preserve">J</w:t>
            </w:r>
          </w:p>
        </w:tc>
        <w:tc>
          <w:tcPr/>
          <w:p>
            <w:pPr>
              <w:pStyle w:val="Compact"/>
              <w:jc w:val="left"/>
            </w:pPr>
            <w:r>
              <w:t xml:space="preserve">Muutos</w:t>
            </w:r>
          </w:p>
        </w:tc>
        <w:tc>
          <w:tcPr/>
          <w:p>
            <w:pPr>
              <w:pStyle w:val="Compact"/>
              <w:jc w:val="left"/>
            </w:pPr>
            <w:r>
              <w:t xml:space="preserve">Transformation</w:t>
            </w:r>
          </w:p>
        </w:tc>
        <w:tc>
          <w:tcPr/>
          <w:p>
            <w:pPr>
              <w:pStyle w:val="Compact"/>
              <w:jc w:val="left"/>
            </w:pPr>
            <w:r>
              <w:t xml:space="preserve">Disruption Response, HR Systems, Service Desk</w:t>
            </w:r>
          </w:p>
        </w:tc>
      </w:tr>
    </w:tbl>
    <w:p>
      <w:pPr>
        <w:pStyle w:val="BodyText"/>
      </w:pPr>
      <w:r>
        <w:t xml:space="preserve">The ontology is not a flat list but a knowledge graph: each class has directed edges to the classes it depends on (e.g., Regulation → Data Management for evidence pipelines; Industry → Orchestration for multi-agent workflows). This graph structure is the same LWM topology that the Perception Capital (§10.23.7) accumulates — the ontology is the Perception Capital’s schema.</w:t>
      </w:r>
    </w:p>
    <w:bookmarkEnd w:id="310"/>
    <w:bookmarkStart w:id="311" w:name="capability-not-role-framing"/>
    <w:p>
      <w:pPr>
        <w:pStyle w:val="Heading4"/>
      </w:pPr>
      <w:r>
        <w:t xml:space="preserve">10.24.3 Capability-Not-Role Framing</w:t>
      </w:r>
    </w:p>
    <w:p>
      <w:pPr>
        <w:pStyle w:val="FirstParagraph"/>
      </w:pPr>
      <w:r>
        <w:t xml:space="preserve">The 62 existing agents plus 18 newly identified capability areas were explicitly framed as</w:t>
      </w:r>
      <w:r>
        <w:t xml:space="preserve"> </w:t>
      </w:r>
      <w:r>
        <w:rPr>
          <w:iCs/>
          <w:i/>
        </w:rPr>
        <w:t xml:space="preserve">capabilities</w:t>
      </w:r>
      <w:r>
        <w:t xml:space="preserve">, not job titles. The operating principle:</w:t>
      </w:r>
      <w:r>
        <w:t xml:space="preserve"> </w:t>
      </w:r>
      <w:r>
        <w:t xml:space="preserve">“</w:t>
      </w:r>
      <w:r>
        <w:t xml:space="preserve">DWS ei korvaa yrityksen henkilöstöä. DWS tuo kyvykkyyttä</w:t>
      </w:r>
      <w:r>
        <w:t xml:space="preserve">”</w:t>
      </w:r>
      <w:r>
        <w:t xml:space="preserve"> </w:t>
      </w:r>
      <w:r>
        <w:t xml:space="preserve">(DWS does not replace the customer’s staff. DWS brings capability). This framing decision has three engineering consequences:</w:t>
      </w:r>
    </w:p>
    <w:p>
      <w:pPr>
        <w:numPr>
          <w:ilvl w:val="0"/>
          <w:numId w:val="1112"/>
        </w:numPr>
        <w:pStyle w:val="Compact"/>
      </w:pPr>
      <w:r>
        <w:rPr>
          <w:bCs/>
          <w:b/>
        </w:rPr>
        <w:t xml:space="preserve">Procurement path.</w:t>
      </w:r>
      <w:r>
        <w:t xml:space="preserve"> </w:t>
      </w:r>
      <w:r>
        <w:t xml:space="preserve">Capability procurement does not trigger workforce consultation obligations under Finnish co-determination law (YT-laki).</w:t>
      </w:r>
    </w:p>
    <w:p>
      <w:pPr>
        <w:numPr>
          <w:ilvl w:val="0"/>
          <w:numId w:val="1112"/>
        </w:numPr>
        <w:pStyle w:val="Compact"/>
      </w:pPr>
      <w:r>
        <w:rPr>
          <w:bCs/>
          <w:b/>
        </w:rPr>
        <w:t xml:space="preserve">Adoption pattern.</w:t>
      </w:r>
      <w:r>
        <w:t xml:space="preserve"> </w:t>
      </w:r>
      <w:r>
        <w:t xml:space="preserve">A capability augments an existing role holder rather than displacing them — the GTM land-and-expand pattern (§10.23.7) applies at the individual contributor level.</w:t>
      </w:r>
    </w:p>
    <w:p>
      <w:pPr>
        <w:numPr>
          <w:ilvl w:val="0"/>
          <w:numId w:val="1112"/>
        </w:numPr>
        <w:pStyle w:val="Compact"/>
      </w:pPr>
      <w:r>
        <w:rPr>
          <w:bCs/>
          <w:b/>
        </w:rPr>
        <w:t xml:space="preserve">Catalogue structure.</w:t>
      </w:r>
      <w:r>
        <w:t xml:space="preserve"> </w:t>
      </w:r>
      <w:r>
        <w:t xml:space="preserve">The capability catalogue grows continuously rather than being versioned as a fixed headcount.</w:t>
      </w:r>
    </w:p>
    <w:bookmarkEnd w:id="311"/>
    <w:bookmarkStart w:id="312" w:name="three-pillar-consulting-model"/>
    <w:p>
      <w:pPr>
        <w:pStyle w:val="Heading4"/>
      </w:pPr>
      <w:r>
        <w:t xml:space="preserve">10.24.4 Three-Pillar Consulting Model</w:t>
      </w:r>
    </w:p>
    <w:p>
      <w:pPr>
        <w:pStyle w:val="FirstParagraph"/>
      </w:pPr>
      <w:r>
        <w:t xml:space="preserve">The capability ontology required a delivery framework. The consulting engagement model crystallised into three pillars:</w:t>
      </w:r>
    </w:p>
    <w:p>
      <w:pPr>
        <w:numPr>
          <w:ilvl w:val="0"/>
          <w:numId w:val="1113"/>
        </w:numPr>
        <w:pStyle w:val="Compact"/>
      </w:pPr>
      <w:r>
        <w:rPr>
          <w:bCs/>
          <w:b/>
        </w:rPr>
        <w:t xml:space="preserve">Pillar 1 — Capability Training.</w:t>
      </w:r>
      <w:r>
        <w:t xml:space="preserve"> </w:t>
      </w:r>
      <w:r>
        <w:t xml:space="preserve">Train the customer’s team to use the 80+ agent capabilities within their existing workflows.</w:t>
      </w:r>
    </w:p>
    <w:p>
      <w:pPr>
        <w:numPr>
          <w:ilvl w:val="0"/>
          <w:numId w:val="1113"/>
        </w:numPr>
        <w:pStyle w:val="Compact"/>
      </w:pPr>
      <w:r>
        <w:rPr>
          <w:bCs/>
          <w:b/>
        </w:rPr>
        <w:t xml:space="preserve">Pillar 2 — Industry-Specific Compliance Workflow Development.</w:t>
      </w:r>
      <w:r>
        <w:t xml:space="preserve"> </w:t>
      </w:r>
      <w:r>
        <w:t xml:space="preserve">Develop and deploy industry-specific intelligent compliance workflows to production. This pillar operationalises the LWM Sequencing Strategy (§10.18) at the customer level.</w:t>
      </w:r>
    </w:p>
    <w:p>
      <w:pPr>
        <w:numPr>
          <w:ilvl w:val="0"/>
          <w:numId w:val="1113"/>
        </w:numPr>
        <w:pStyle w:val="Compact"/>
      </w:pPr>
      <w:r>
        <w:rPr>
          <w:bCs/>
          <w:b/>
        </w:rPr>
        <w:t xml:space="preserve">Pillar 3 — Disruption-Free Project Continuity.</w:t>
      </w:r>
      <w:r>
        <w:t xml:space="preserve"> </w:t>
      </w:r>
      <w:r>
        <w:t xml:space="preserve">Ensure the project proceeds without interruptions, using the Keskeytyslaskuri (interruption cost calculator at lifetime.fi/laskuri/) to quantify context-rebuilding cost, momentum loss, and key-person risk.</w:t>
      </w:r>
    </w:p>
    <w:p>
      <w:pPr>
        <w:pStyle w:val="FirstParagraph"/>
      </w:pPr>
      <w:r>
        <w:t xml:space="preserve">The three pillars map directly to the 4P capital model (§10.23.7): Pillar 1 builds People Capital, Pillar 2 builds Prompt + Perception Capital, Pillar 3 protects Plant Capital continuity.</w:t>
      </w:r>
    </w:p>
    <w:bookmarkEnd w:id="312"/>
    <w:bookmarkStart w:id="313" w:name="aegis-defence-capability-correction"/>
    <w:p>
      <w:pPr>
        <w:pStyle w:val="Heading4"/>
      </w:pPr>
      <w:r>
        <w:t xml:space="preserve">10.24.5 Aegis Defence Capability Correction</w:t>
      </w:r>
    </w:p>
    <w:p>
      <w:pPr>
        <w:pStyle w:val="FirstParagraph"/>
      </w:pPr>
      <w:r>
        <w:t xml:space="preserve">During handbook preparation, investigation of ArgusAgent’s actual capabilities revealed that the previously claimed</w:t>
      </w:r>
      <w:r>
        <w:t xml:space="preserve"> </w:t>
      </w:r>
      <w:r>
        <w:t xml:space="preserve">“</w:t>
      </w:r>
      <w:r>
        <w:t xml:space="preserve">drone detection</w:t>
      </w:r>
      <w:r>
        <w:t xml:space="preserve">”</w:t>
      </w:r>
      <w:r>
        <w:t xml:space="preserve"> </w:t>
      </w:r>
      <w:r>
        <w:t xml:space="preserve">was not implemented. The honest capability profile is SAR (Synthetic Aperture Radar) orbital target detection via ICEYE partnership — change detection on satellite imagery, not real-time airborne surveillance. The Aegis Defence section was rewritten across all sales and consulting documents with 5 verified workflows:</w:t>
      </w:r>
    </w:p>
    <w:p>
      <w:pPr>
        <w:numPr>
          <w:ilvl w:val="0"/>
          <w:numId w:val="1114"/>
        </w:numPr>
        <w:pStyle w:val="Compact"/>
      </w:pPr>
      <w:r>
        <w:t xml:space="preserve">SAR orbital target detection + change detection</w:t>
      </w:r>
    </w:p>
    <w:p>
      <w:pPr>
        <w:numPr>
          <w:ilvl w:val="0"/>
          <w:numId w:val="1114"/>
        </w:numPr>
        <w:pStyle w:val="Compact"/>
      </w:pPr>
      <w:r>
        <w:t xml:space="preserve">NIS2 + CER + Cyber Resilience Act compliance monitoring</w:t>
      </w:r>
    </w:p>
    <w:p>
      <w:pPr>
        <w:numPr>
          <w:ilvl w:val="0"/>
          <w:numId w:val="1114"/>
        </w:numPr>
        <w:pStyle w:val="Compact"/>
      </w:pPr>
      <w:r>
        <w:t xml:space="preserve">Export control compliance (EU Regulation 2021/821 dual-use)</w:t>
      </w:r>
    </w:p>
    <w:p>
      <w:pPr>
        <w:numPr>
          <w:ilvl w:val="0"/>
          <w:numId w:val="1114"/>
        </w:numPr>
        <w:pStyle w:val="Compact"/>
      </w:pPr>
      <w:r>
        <w:t xml:space="preserve">Sovereign climate compatibility assessment for dual-use industries</w:t>
      </w:r>
    </w:p>
    <w:p>
      <w:pPr>
        <w:numPr>
          <w:ilvl w:val="0"/>
          <w:numId w:val="1114"/>
        </w:numPr>
        <w:pStyle w:val="Compact"/>
      </w:pPr>
      <w:r>
        <w:t xml:space="preserve">Critical supply chain monitoring (Critical Raw Materials Act, EU Chips Act)</w:t>
      </w:r>
    </w:p>
    <w:p>
      <w:pPr>
        <w:pStyle w:val="FirstParagraph"/>
      </w:pPr>
      <w:r>
        <w:t xml:space="preserve">This correction demonstrates the Rule 12 engineering discipline (</w:t>
      </w:r>
      <w:r>
        <w:t xml:space="preserve">“</w:t>
      </w:r>
      <w:r>
        <w:t xml:space="preserve">Fail loud</w:t>
      </w:r>
      <w:r>
        <w:t xml:space="preserve">”</w:t>
      </w:r>
      <w:r>
        <w:t xml:space="preserve">) applied to product marketing.</w:t>
      </w:r>
    </w:p>
    <w:bookmarkEnd w:id="313"/>
    <w:bookmarkStart w:id="314" w:name="X80442ef017dd2681f1e186e00109bfcf47cbd93"/>
    <w:p>
      <w:pPr>
        <w:pStyle w:val="Heading4"/>
      </w:pPr>
      <w:r>
        <w:t xml:space="preserve">10.24.6 Implementation Evidence — lifetime.fi Website Deployment</w:t>
      </w:r>
    </w:p>
    <w:p>
      <w:pPr>
        <w:pStyle w:val="FirstParagraph"/>
      </w:pPr>
      <w:r>
        <w:t xml:space="preserve">The three-pillar consulting model was deployed to the lifetime.fi production website, replacing the previous generic consulting services section. The implementation uses the existing</w:t>
      </w:r>
      <w:r>
        <w:t xml:space="preserve"> </w:t>
      </w:r>
      <w:r>
        <w:rPr>
          <w:rStyle w:val="VerbatimChar"/>
        </w:rPr>
        <w:t xml:space="preserve">.industry-agent-chip</w:t>
      </w:r>
      <w:r>
        <w:t xml:space="preserve"> </w:t>
      </w:r>
      <w:r>
        <w:t xml:space="preserve">CSS component library to render the 10 ontology classes as interactive chips, with three platform cards (gold/green/blue top borders) presenting each pillar. The deployment was dual-folder mirrored (lifetime.fi/ → landing-pages/lifetime-fi/) per DWS operational standard.</w:t>
      </w:r>
    </w:p>
    <w:bookmarkEnd w:id="314"/>
    <w:bookmarkStart w:id="320" w:name="research-contribution-14"/>
    <w:p>
      <w:pPr>
        <w:pStyle w:val="Heading4"/>
      </w:pPr>
      <w:r>
        <w:t xml:space="preserve">10.24.7 Research Contribution</w:t>
      </w:r>
    </w:p>
    <w:p>
      <w:pPr>
        <w:pStyle w:val="FirstParagraph"/>
      </w:pPr>
      <w:r>
        <w:rPr>
          <w:bCs/>
          <w:b/>
        </w:rPr>
        <w:t xml:space="preserve">Key Contribution #39 — Capability Ontology and Three-Pillar Consulting GTM:</w:t>
      </w:r>
      <w:r>
        <w:t xml:space="preserve"> </w:t>
      </w:r>
      <w:r>
        <w:t xml:space="preserve">The 10-class LWM-derived ontology organises 80+ agent capabilities into a knowledge graph structure that is simultaneously the product taxonomy, the GTM catalogue, and the Perception Capital schema. The three-pillar delivery model (train → develop → protect) maps to the 4P capital accumulation pathway (People → Prompt+Perception → Plant), providing the first implementation-level answer to how an agentic platform’s consulting arm should be structured for regulated-industry customers. The</w:t>
      </w:r>
      <w:r>
        <w:t xml:space="preserve"> </w:t>
      </w:r>
      <w:r>
        <w:t xml:space="preserve">“</w:t>
      </w:r>
      <w:r>
        <w:t xml:space="preserve">capability-not-role</w:t>
      </w:r>
      <w:r>
        <w:t xml:space="preserve">”</w:t>
      </w:r>
      <w:r>
        <w:t xml:space="preserve"> </w:t>
      </w:r>
      <w:r>
        <w:t xml:space="preserve">framing resolves the political tension between agent capability marketing and enterprise workforce sensitivities — a design pattern applicable to any B2B agentic platform selling into industries with co-determination obligations. Companion artefact:</w:t>
      </w:r>
      <w:r>
        <w:t xml:space="preserve"> </w:t>
      </w:r>
      <w:r>
        <w:rPr>
          <w:rStyle w:val="VerbatimChar"/>
        </w:rPr>
        <w:t xml:space="preserve">docs/KONSULTOINNIN_KASIKIRJA_2026.md</w:t>
      </w:r>
      <w:r>
        <w:t xml:space="preserve"> </w:t>
      </w:r>
      <w:r>
        <w:t xml:space="preserve">v1.5 (Consultant Handbook 2026, bilingual FI/EN).</w:t>
      </w:r>
    </w:p>
    <w:p>
      <w:r>
        <w:pict>
          <v:rect style="width:0;height:1.5pt" o:hralign="center" o:hrstd="t" o:hr="t"/>
        </w:pict>
      </w:r>
    </w:p>
    <w:p>
      <w:pPr>
        <w:pStyle w:val="FirstParagraph"/>
      </w:pPr>
      <w:r>
        <w:rPr>
          <w:bCs/>
          <w:b/>
        </w:rPr>
        <w:t xml:space="preserve">Document Information:</w:t>
      </w:r>
    </w:p>
    <w:p>
      <w:pPr>
        <w:pStyle w:val="BodyText"/>
      </w:pPr>
      <w:r>
        <w:rPr>
          <w:bCs/>
          <w:b/>
        </w:rPr>
        <w:t xml:space="preserve">Title:</w:t>
      </w:r>
      <w:r>
        <w:t xml:space="preserve"> </w:t>
      </w:r>
      <w:r>
        <w:t xml:space="preserve">Firehorse Product Manufacturing Operating Model: Hybrid AI-Edge Architecture for Climate-Intelligent Industrial Platforms</w:t>
      </w:r>
      <w:r>
        <w:t xml:space="preserve"> </w:t>
      </w:r>
      <w:r>
        <w:rPr>
          <w:bCs/>
          <w:b/>
        </w:rPr>
        <w:t xml:space="preserve">Author:</w:t>
      </w:r>
      <w:r>
        <w:t xml:space="preserve"> </w:t>
      </w:r>
      <w:r>
        <w:t xml:space="preserve">Risto Anton Päärni</w:t>
      </w:r>
      <w:r>
        <w:t xml:space="preserve"> </w:t>
      </w:r>
      <w:r>
        <w:rPr>
          <w:bCs/>
          <w:b/>
        </w:rPr>
        <w:t xml:space="preserve">Institution:</w:t>
      </w:r>
      <w:r>
        <w:t xml:space="preserve"> </w:t>
      </w:r>
      <w:r>
        <w:t xml:space="preserve">Metropolia University of Applied Sciences</w:t>
      </w:r>
      <w:r>
        <w:t xml:space="preserve"> </w:t>
      </w:r>
      <w:r>
        <w:rPr>
          <w:bCs/>
          <w:b/>
        </w:rPr>
        <w:t xml:space="preserve">Program:</w:t>
      </w:r>
      <w:r>
        <w:t xml:space="preserve"> </w:t>
      </w:r>
      <w:r>
        <w:t xml:space="preserve">Smart Factory, Master’s Degree (YAMK)</w:t>
      </w:r>
      <w:r>
        <w:t xml:space="preserve"> </w:t>
      </w:r>
      <w:r>
        <w:rPr>
          <w:bCs/>
          <w:b/>
        </w:rPr>
        <w:t xml:space="preserve">Supervisor:</w:t>
      </w:r>
      <w:r>
        <w:t xml:space="preserve"> </w:t>
      </w:r>
      <w:r>
        <w:t xml:space="preserve">Jarno Varteva (with Erkki Räsänen)</w:t>
      </w:r>
      <w:r>
        <w:t xml:space="preserve"> </w:t>
      </w:r>
      <w:r>
        <w:rPr>
          <w:bCs/>
          <w:b/>
        </w:rPr>
        <w:t xml:space="preserve">Company:</w:t>
      </w:r>
      <w:r>
        <w:t xml:space="preserve"> </w:t>
      </w:r>
      <w:r>
        <w:t xml:space="preserve">Lifetime Oy (Firehorse brand)</w:t>
      </w:r>
      <w:r>
        <w:t xml:space="preserve"> </w:t>
      </w:r>
      <w:r>
        <w:rPr>
          <w:bCs/>
          <w:b/>
        </w:rPr>
        <w:t xml:space="preserve">Status:</w:t>
      </w:r>
      <w:r>
        <w:t xml:space="preserve"> </w:t>
      </w:r>
      <w:r>
        <w:t xml:space="preserve">DRAFT - V3.72 (Capability Ontology and Three-Pillar Consulting GTM; Consultant Handbook 2026 as companion artefact)</w:t>
      </w:r>
      <w:r>
        <w:t xml:space="preserve"> </w:t>
      </w:r>
      <w:r>
        <w:rPr>
          <w:bCs/>
          <w:b/>
        </w:rPr>
        <w:t xml:space="preserve">Version:</w:t>
      </w:r>
      <w:r>
        <w:t xml:space="preserve"> </w:t>
      </w:r>
      <w:r>
        <w:t xml:space="preserve">3.72</w:t>
      </w:r>
      <w:r>
        <w:t xml:space="preserve"> </w:t>
      </w:r>
      <w:r>
        <w:rPr>
          <w:bCs/>
          <w:b/>
        </w:rPr>
        <w:t xml:space="preserve">Last Modified:</w:t>
      </w:r>
      <w:r>
        <w:t xml:space="preserve"> </w:t>
      </w:r>
      <w:r>
        <w:t xml:space="preserve">28.06.2026</w:t>
      </w:r>
      <w:r>
        <w:t xml:space="preserve"> </w:t>
      </w:r>
      <w:r>
        <w:rPr>
          <w:bCs/>
          <w:b/>
        </w:rPr>
        <w:t xml:space="preserve">V1.0 Release Target:</w:t>
      </w:r>
      <w:r>
        <w:t xml:space="preserve"> </w:t>
      </w:r>
      <w:r>
        <w:t xml:space="preserve">23 February 2026</w:t>
      </w:r>
    </w:p>
    <w:p>
      <w:pPr>
        <w:pStyle w:val="BodyText"/>
      </w:pPr>
      <w:r>
        <w:rPr>
          <w:bCs/>
          <w:b/>
        </w:rPr>
        <w:t xml:space="preserve">Languages:</w:t>
      </w:r>
      <w:r>
        <w:t xml:space="preserve"> </w:t>
      </w:r>
      <w:r>
        <w:t xml:space="preserve">English, Suomi</w:t>
      </w:r>
      <w:r>
        <w:t xml:space="preserve"> </w:t>
      </w:r>
      <w:r>
        <w:rPr>
          <w:bCs/>
          <w:b/>
        </w:rPr>
        <w:t xml:space="preserve">Related Documents:</w:t>
      </w:r>
    </w:p>
    <w:p>
      <w:pPr>
        <w:numPr>
          <w:ilvl w:val="0"/>
          <w:numId w:val="1115"/>
        </w:numPr>
        <w:pStyle w:val="Compact"/>
      </w:pPr>
      <w:hyperlink r:id="rId315">
        <w:r>
          <w:rPr>
            <w:rStyle w:val="Hyperlink"/>
          </w:rPr>
          <w:t xml:space="preserve">Finnish Version</w:t>
        </w:r>
      </w:hyperlink>
    </w:p>
    <w:p>
      <w:pPr>
        <w:numPr>
          <w:ilvl w:val="0"/>
          <w:numId w:val="1115"/>
        </w:numPr>
        <w:pStyle w:val="Compact"/>
      </w:pPr>
      <w:hyperlink r:id="rId316">
        <w:r>
          <w:rPr>
            <w:rStyle w:val="Hyperlink"/>
          </w:rPr>
          <w:t xml:space="preserve">Agent Signal Instructions</w:t>
        </w:r>
      </w:hyperlink>
    </w:p>
    <w:p>
      <w:pPr>
        <w:numPr>
          <w:ilvl w:val="0"/>
          <w:numId w:val="1115"/>
        </w:numPr>
        <w:pStyle w:val="Compact"/>
      </w:pPr>
      <w:hyperlink r:id="rId317">
        <w:r>
          <w:rPr>
            <w:rStyle w:val="Hyperlink"/>
          </w:rPr>
          <w:t xml:space="preserve">AgentFoundry Architecture</w:t>
        </w:r>
      </w:hyperlink>
    </w:p>
    <w:p>
      <w:pPr>
        <w:numPr>
          <w:ilvl w:val="0"/>
          <w:numId w:val="1115"/>
        </w:numPr>
        <w:pStyle w:val="Compact"/>
      </w:pPr>
      <w:hyperlink r:id="rId318">
        <w:r>
          <w:rPr>
            <w:rStyle w:val="Hyperlink"/>
          </w:rPr>
          <w:t xml:space="preserve">LWM Training Manual</w:t>
        </w:r>
      </w:hyperlink>
    </w:p>
    <w:p>
      <w:pPr>
        <w:numPr>
          <w:ilvl w:val="0"/>
          <w:numId w:val="1115"/>
        </w:numPr>
        <w:pStyle w:val="Compact"/>
      </w:pPr>
      <w:hyperlink r:id="rId319">
        <w:r>
          <w:rPr>
            <w:rStyle w:val="Hyperlink"/>
          </w:rPr>
          <w:t xml:space="preserve">System Administrator Manual</w:t>
        </w:r>
      </w:hyperlink>
    </w:p>
    <w:bookmarkEnd w:id="320"/>
    <w:bookmarkEnd w:id="321"/>
    <w:bookmarkStart w:id="322" w:name="X95b9ef3735812884c58a442b581b56a06aef0da"/>
    <w:p>
      <w:pPr>
        <w:pStyle w:val="Heading3"/>
      </w:pPr>
      <w:r>
        <w:t xml:space="preserve">10.26 Cryptographic Review of the Verified-Done Attestation Signing Path: Two Findings, and Falsification as a Test-Quality Gate</w:t>
      </w:r>
    </w:p>
    <w:p>
      <w:pPr>
        <w:pStyle w:val="FirstParagraph"/>
      </w:pPr>
      <w:r>
        <w:rPr>
          <w:bCs/>
          <w:b/>
        </w:rPr>
        <w:t xml:space="preserve">Implementation under review.</w:t>
      </w:r>
      <w:r>
        <w:t xml:space="preserve"> </w:t>
      </w:r>
      <w:r>
        <w:t xml:space="preserve">The verified-done attestation signing path (KYA §14.7.1) was implemented as</w:t>
      </w:r>
      <w:r>
        <w:t xml:space="preserve"> </w:t>
      </w:r>
      <w:r>
        <w:rPr>
          <w:rStyle w:val="VerbatimChar"/>
        </w:rPr>
        <w:t xml:space="preserve">src/identity/attestation-signing.ts</w:t>
      </w:r>
      <w:r>
        <w:t xml:space="preserve">, delivering EdDSA detached-JWS proofs over W3C Verifiable Credential attestations, with an accompanying store, issuance orchestration and evidence-chain writer. The suite carried 47 passing tests, a clean</w:t>
      </w:r>
      <w:r>
        <w:t xml:space="preserve"> </w:t>
      </w:r>
      <w:r>
        <w:rPr>
          <w:rStyle w:val="VerbatimChar"/>
        </w:rPr>
        <w:t xml:space="preserve">tsc --noEmit</w:t>
      </w:r>
      <w:r>
        <w:t xml:space="preserve">, and clean formatting. A deliberate dependency decision is recorded:</w:t>
      </w:r>
      <w:r>
        <w:t xml:space="preserve"> </w:t>
      </w:r>
      <w:r>
        <w:rPr>
          <w:bCs/>
          <w:b/>
        </w:rPr>
        <w:t xml:space="preserve">Ed25519 via Node’s built-in</w:t>
      </w:r>
      <w:r>
        <w:rPr>
          <w:bCs/>
          <w:b/>
        </w:rPr>
        <w:t xml:space="preserve"> </w:t>
      </w:r>
      <w:r>
        <w:rPr>
          <w:rStyle w:val="VerbatimChar"/>
          <w:bCs/>
          <w:b/>
        </w:rPr>
        <w:t xml:space="preserve">node:crypto</w:t>
      </w:r>
      <w:r>
        <w:rPr>
          <w:bCs/>
          <w:b/>
        </w:rPr>
        <w:t xml:space="preserve"> </w:t>
      </w:r>
      <w:r>
        <w:rPr>
          <w:bCs/>
          <w:b/>
        </w:rPr>
        <w:t xml:space="preserve">rather than the</w:t>
      </w:r>
      <w:r>
        <w:rPr>
          <w:bCs/>
          <w:b/>
        </w:rPr>
        <w:t xml:space="preserve"> </w:t>
      </w:r>
      <w:r>
        <w:rPr>
          <w:rStyle w:val="VerbatimChar"/>
          <w:bCs/>
          <w:b/>
        </w:rPr>
        <w:t xml:space="preserve">jose</w:t>
      </w:r>
      <w:r>
        <w:rPr>
          <w:bCs/>
          <w:b/>
        </w:rPr>
        <w:t xml:space="preserve"> </w:t>
      </w:r>
      <w:r>
        <w:rPr>
          <w:bCs/>
          <w:b/>
        </w:rPr>
        <w:t xml:space="preserve">library</w:t>
      </w:r>
      <w:r>
        <w:t xml:space="preserve">, on the reasoning that a product whose value proposition is a narrow trusted computing base should not widen that base with a third-party package in order to sign its own sovereignty claims.</w:t>
      </w:r>
    </w:p>
    <w:p>
      <w:pPr>
        <w:pStyle w:val="BodyText"/>
      </w:pPr>
      <w:r>
        <w:rPr>
          <w:bCs/>
          <w:b/>
        </w:rPr>
        <w:t xml:space="preserve">Finding F1 (HIGH) — the signature did not cover the proof options.</w:t>
      </w:r>
      <w:r>
        <w:t xml:space="preserve"> </w:t>
      </w:r>
      <w:r>
        <w:t xml:space="preserve">The signing-bytes function stripped the entire</w:t>
      </w:r>
      <w:r>
        <w:t xml:space="preserve"> </w:t>
      </w:r>
      <w:r>
        <w:rPr>
          <w:rStyle w:val="VerbatimChar"/>
        </w:rPr>
        <w:t xml:space="preserve">proof</w:t>
      </w:r>
      <w:r>
        <w:t xml:space="preserve"> </w:t>
      </w:r>
      <w:r>
        <w:t xml:space="preserve">block from the credential before signing. Consequently</w:t>
      </w:r>
      <w:r>
        <w:t xml:space="preserve"> </w:t>
      </w:r>
      <w:r>
        <w:rPr>
          <w:rStyle w:val="VerbatimChar"/>
        </w:rPr>
        <w:t xml:space="preserve">proof.created</w:t>
      </w:r>
      <w:r>
        <w:t xml:space="preserve">,</w:t>
      </w:r>
      <w:r>
        <w:t xml:space="preserve"> </w:t>
      </w:r>
      <w:r>
        <w:rPr>
          <w:rStyle w:val="VerbatimChar"/>
        </w:rPr>
        <w:t xml:space="preserve">proof.verificationMethod</w:t>
      </w:r>
      <w:r>
        <w:t xml:space="preserve">,</w:t>
      </w:r>
      <w:r>
        <w:t xml:space="preserve"> </w:t>
      </w:r>
      <w:r>
        <w:rPr>
          <w:rStyle w:val="VerbatimChar"/>
        </w:rPr>
        <w:t xml:space="preserve">proof.proofPurpose</w:t>
      </w:r>
      <w:r>
        <w:t xml:space="preserve"> </w:t>
      </w:r>
      <w:r>
        <w:t xml:space="preserve">and</w:t>
      </w:r>
      <w:r>
        <w:t xml:space="preserve"> </w:t>
      </w:r>
      <w:r>
        <w:rPr>
          <w:rStyle w:val="VerbatimChar"/>
        </w:rPr>
        <w:t xml:space="preserve">proof.type</w:t>
      </w:r>
      <w:r>
        <w:t xml:space="preserve"> </w:t>
      </w:r>
      <w:r>
        <w:t xml:space="preserve">could each be modified after signing and the credential would still verify. Two consequences follow directly:</w:t>
      </w:r>
    </w:p>
    <w:p>
      <w:pPr>
        <w:numPr>
          <w:ilvl w:val="0"/>
          <w:numId w:val="1116"/>
        </w:numPr>
        <w:pStyle w:val="Compact"/>
      </w:pPr>
      <w:r>
        <w:rPr>
          <w:bCs/>
          <w:b/>
        </w:rPr>
        <w:t xml:space="preserve">The timestamp of an EU AI Act Article 12 evidence artifact was unprotected.</w:t>
      </w:r>
      <w:r>
        <w:t xml:space="preserve"> </w:t>
      </w:r>
      <w:r>
        <w:t xml:space="preserve">An evidence record whose date can be altered without detection does not function as evidence.</w:t>
      </w:r>
    </w:p>
    <w:p>
      <w:pPr>
        <w:numPr>
          <w:ilvl w:val="0"/>
          <w:numId w:val="1116"/>
        </w:numPr>
        <w:pStyle w:val="Compact"/>
      </w:pPr>
      <w:r>
        <w:rPr>
          <w:bCs/>
          <w:b/>
        </w:rPr>
        <w:t xml:space="preserve">Trust-anchor selection from unsigned data.</w:t>
      </w:r>
      <w:r>
        <w:t xml:space="preserve"> </w:t>
      </w:r>
      <w:r>
        <w:t xml:space="preserve">The design specifies resolving the issuer key from a</w:t>
      </w:r>
      <w:r>
        <w:t xml:space="preserve"> </w:t>
      </w:r>
      <w:r>
        <w:rPr>
          <w:rStyle w:val="VerbatimChar"/>
        </w:rPr>
        <w:t xml:space="preserve">did:web</w:t>
      </w:r>
      <w:r>
        <w:t xml:space="preserve"> </w:t>
      </w:r>
      <w:r>
        <w:t xml:space="preserve">verification method. A verifier implementing that flow would read</w:t>
      </w:r>
      <w:r>
        <w:t xml:space="preserve"> </w:t>
      </w:r>
      <w:r>
        <w:rPr>
          <w:rStyle w:val="VerbatimChar"/>
        </w:rPr>
        <w:t xml:space="preserve">proof.verificationMethod</w:t>
      </w:r>
      <w:r>
        <w:t xml:space="preserve"> </w:t>
      </w:r>
      <w:r>
        <w:t xml:space="preserve">— an unsigned, modifiable field — to decide which key to trust. The signed</w:t>
      </w:r>
      <w:r>
        <w:t xml:space="preserve"> </w:t>
      </w:r>
      <w:r>
        <w:rPr>
          <w:rStyle w:val="VerbatimChar"/>
        </w:rPr>
        <w:t xml:space="preserve">issuer</w:t>
      </w:r>
      <w:r>
        <w:t xml:space="preserve"> </w:t>
      </w:r>
      <w:r>
        <w:t xml:space="preserve">field provides the defence, but neither the code nor its documentation required binding one to the other.</w:t>
      </w:r>
    </w:p>
    <w:p>
      <w:pPr>
        <w:pStyle w:val="FirstParagraph"/>
      </w:pPr>
      <w:r>
        <w:rPr>
          <w:bCs/>
          <w:b/>
        </w:rPr>
        <w:t xml:space="preserve">Root cause in test design, not in cryptographic knowledge.</w:t>
      </w:r>
      <w:r>
        <w:t xml:space="preserve"> </w:t>
      </w:r>
      <w:r>
        <w:t xml:space="preserve">The eight existing signing tests included a tamper case — but it tampered the credential</w:t>
      </w:r>
      <w:r>
        <w:t xml:space="preserve"> </w:t>
      </w:r>
      <w:r>
        <w:rPr>
          <w:iCs/>
          <w:i/>
        </w:rPr>
        <w:t xml:space="preserve">subject</w:t>
      </w:r>
      <w:r>
        <w:t xml:space="preserve">, which is inside the signed payload and therefore correctly rejected. No test tampered the</w:t>
      </w:r>
      <w:r>
        <w:t xml:space="preserve"> </w:t>
      </w:r>
      <w:r>
        <w:rPr>
          <w:iCs/>
          <w:i/>
        </w:rPr>
        <w:t xml:space="preserve">proof block</w:t>
      </w:r>
      <w:r>
        <w:t xml:space="preserve">, because such a test would have passed verification and failed its own assertion. The suite was well-constructed for the properties it tested and structurally blind to the defect.</w:t>
      </w:r>
    </w:p>
    <w:p>
      <w:pPr>
        <w:pStyle w:val="BodyText"/>
      </w:pPr>
      <w:r>
        <w:rPr>
          <w:bCs/>
          <w:b/>
        </w:rPr>
        <w:t xml:space="preserve">Remediation.</w:t>
      </w:r>
      <w:r>
        <w:t xml:space="preserve"> </w:t>
      </w:r>
      <w:r>
        <w:t xml:space="preserve">The proof options — every proof field except</w:t>
      </w:r>
      <w:r>
        <w:t xml:space="preserve"> </w:t>
      </w:r>
      <w:r>
        <w:rPr>
          <w:rStyle w:val="VerbatimChar"/>
        </w:rPr>
        <w:t xml:space="preserve">proofValue</w:t>
      </w:r>
      <w:r>
        <w:t xml:space="preserve"> </w:t>
      </w:r>
      <w:r>
        <w:t xml:space="preserve">— are now bound into the canonical signing payload on both the signing and verifying paths, following the W3C Data Integrity pattern of canonicalising proof options together with the document. Any post-signing modification of the proof metadata now alters the payload and fails the signature.</w:t>
      </w:r>
    </w:p>
    <w:p>
      <w:pPr>
        <w:pStyle w:val="BodyText"/>
      </w:pPr>
      <w:r>
        <w:rPr>
          <w:bCs/>
          <w:b/>
        </w:rPr>
        <w:t xml:space="preserve">Finding F3 (MEDIUM) — key-type assertion.</w:t>
      </w:r>
      <w:r>
        <w:t xml:space="preserve"> </w:t>
      </w:r>
      <w:r>
        <w:t xml:space="preserve">The environment loader accepted any private key PEM; a non-Ed25519 key loaded successfully and failed later inside the signing call with an opaque error, while the JOSE header had already asserted</w:t>
      </w:r>
      <w:r>
        <w:t xml:space="preserve"> </w:t>
      </w:r>
      <w:r>
        <w:rPr>
          <w:rStyle w:val="VerbatimChar"/>
        </w:rPr>
        <w:t xml:space="preserve">alg: 'EdDSA'</w:t>
      </w:r>
      <w:r>
        <w:t xml:space="preserve">. The loader now asserts</w:t>
      </w:r>
      <w:r>
        <w:t xml:space="preserve"> </w:t>
      </w:r>
      <w:r>
        <w:rPr>
          <w:rStyle w:val="VerbatimChar"/>
        </w:rPr>
        <w:t xml:space="preserve">asymmetricKeyType === 'ed25519'</w:t>
      </w:r>
      <w:r>
        <w:t xml:space="preserve"> </w:t>
      </w:r>
      <w:r>
        <w:t xml:space="preserve">and throws. The asymmetry is deliberate and follows the fail-loud discipline: an</w:t>
      </w:r>
      <w:r>
        <w:t xml:space="preserve"> </w:t>
      </w:r>
      <w:r>
        <w:rPr>
          <w:bCs/>
          <w:b/>
        </w:rPr>
        <w:t xml:space="preserve">unconfigured</w:t>
      </w:r>
      <w:r>
        <w:t xml:space="preserve"> </w:t>
      </w:r>
      <w:r>
        <w:t xml:space="preserve">signer returns</w:t>
      </w:r>
      <w:r>
        <w:t xml:space="preserve"> </w:t>
      </w:r>
      <w:r>
        <w:rPr>
          <w:rStyle w:val="VerbatimChar"/>
        </w:rPr>
        <w:t xml:space="preserve">null</w:t>
      </w:r>
      <w:r>
        <w:t xml:space="preserve">, leaving the unsigned path valid, whereas a</w:t>
      </w:r>
      <w:r>
        <w:t xml:space="preserve"> </w:t>
      </w:r>
      <w:r>
        <w:rPr>
          <w:bCs/>
          <w:b/>
        </w:rPr>
        <w:t xml:space="preserve">misconfigured</w:t>
      </w:r>
      <w:r>
        <w:t xml:space="preserve"> </w:t>
      </w:r>
      <w:r>
        <w:t xml:space="preserve">signer raises. Configuration absence is a state; configuration error is a fault.</w:t>
      </w:r>
    </w:p>
    <w:p>
      <w:pPr>
        <w:pStyle w:val="BodyText"/>
      </w:pPr>
      <w:r>
        <w:rPr>
          <w:bCs/>
          <w:b/>
        </w:rPr>
        <w:t xml:space="preserve">Methodological contribution — falsification as a test-quality gate.</w:t>
      </w:r>
      <w:r>
        <w:t xml:space="preserve"> </w:t>
      </w:r>
      <w:r>
        <w:t xml:space="preserve">The four regression tests added with the fix were not accepted on the basis that they passed. The corrected source was reverted, the suite re-run, and the four new tests</w:t>
      </w:r>
      <w:r>
        <w:t xml:space="preserve"> </w:t>
      </w:r>
      <w:r>
        <w:rPr>
          <w:bCs/>
          <w:b/>
        </w:rPr>
        <w:t xml:space="preserve">confirmed to fail against the original defective implementation</w:t>
      </w:r>
      <w:r>
        <w:t xml:space="preserve"> </w:t>
      </w:r>
      <w:r>
        <w:t xml:space="preserve">before being accepted; the eight pre-existing signing tests passed in</w:t>
      </w:r>
      <w:r>
        <w:t xml:space="preserve"> </w:t>
      </w:r>
      <w:r>
        <w:rPr>
          <w:iCs/>
          <w:i/>
        </w:rPr>
        <w:t xml:space="preserve">both</w:t>
      </w:r>
      <w:r>
        <w:t xml:space="preserve"> </w:t>
      </w:r>
      <w:r>
        <w:t xml:space="preserve">states. This yields a generalisable engineering criterion:</w:t>
      </w:r>
      <w:r>
        <w:t xml:space="preserve"> </w:t>
      </w:r>
      <w:r>
        <w:rPr>
          <w:bCs/>
          <w:b/>
        </w:rPr>
        <w:t xml:space="preserve">a test that passes both before and after a fix carries no information about that fix.</w:t>
      </w:r>
      <w:r>
        <w:t xml:space="preserve"> </w:t>
      </w:r>
      <w:r>
        <w:t xml:space="preserve">Applied as a gate, it distinguishes regression tests from decorative ones, and in this case it supplied the empirical explanation for why a competent 47-test suite failed to detect a high-severity flaw. Final state: 51 tests passing, type-check and formatting clean.</w:t>
      </w:r>
    </w:p>
    <w:p>
      <w:pPr>
        <w:pStyle w:val="BodyText"/>
      </w:pPr>
      <w:r>
        <w:rPr>
          <w:bCs/>
          <w:b/>
        </w:rPr>
        <w:t xml:space="preserve">Related implementation finding.</w:t>
      </w:r>
      <w:r>
        <w:t xml:space="preserve"> </w:t>
      </w:r>
      <w:r>
        <w:t xml:space="preserve">Review of the attestation storage schema showed the credential record anchored to the accountable human with no tenant column, while the mandate evidence table carried a nullable organisation identifier. The portable record constituting an agent’s track record was therefore bound to an individual rather than to the organisation on whose authority and data it was earned, so trust history would not survive personnel departure. Because signing makes a record durable, correcting the anchor was sequenced as a</w:t>
      </w:r>
      <w:r>
        <w:t xml:space="preserve"> </w:t>
      </w:r>
      <w:r>
        <w:rPr>
          <w:bCs/>
          <w:b/>
        </w:rPr>
        <w:t xml:space="preserve">precondition to enabling signatures</w:t>
      </w:r>
      <w:r>
        <w:t xml:space="preserve"> </w:t>
      </w:r>
      <w:r>
        <w:t xml:space="preserve">rather than as parallel work: signing a mis-anchored attestation converts a repairable schema defect into a permanent one.</w:t>
      </w:r>
    </w:p>
    <w:bookmarkEnd w:id="322"/>
    <w:bookmarkStart w:id="327" w:name="Xf077a3ed1b2edc1670e32ae6cf6371fbb55281f"/>
    <w:p>
      <w:pPr>
        <w:pStyle w:val="Heading3"/>
      </w:pPr>
      <w:r>
        <w:t xml:space="preserve">10.27 The Artifact–Legitimacy Gap: Frontier-Model Velocity, the KYA Case, and the Design Principle It Yields for a Compliance-Intelligence Platform</w:t>
      </w:r>
    </w:p>
    <w:p>
      <w:pPr>
        <w:pStyle w:val="FirstParagraph"/>
      </w:pPr>
      <w:r>
        <w:rPr>
          <w:bCs/>
          <w:b/>
        </w:rPr>
        <w:t xml:space="preserve">The problem, stated once.</w:t>
      </w:r>
      <w:r>
        <w:t xml:space="preserve"> </w:t>
      </w:r>
      <w:r>
        <w:t xml:space="preserve">Building with frontier models through Claude Code compresses the production of a technically complete artifact from months to hours. It does not compress — and structurally cannot — the institutional processes that make that artifact</w:t>
      </w:r>
      <w:r>
        <w:t xml:space="preserve"> </w:t>
      </w:r>
      <w:r>
        <w:rPr>
          <w:iCs/>
          <w:i/>
        </w:rPr>
        <w:t xml:space="preserve">legitimate</w:t>
      </w:r>
      <w:r>
        <w:t xml:space="preserve">: adversarial review by parties with competing commercial interests, independent implementation, formal acceptance by a standards body, and legal review in each jurisdiction of operation.</w:t>
      </w:r>
      <w:r>
        <w:t xml:space="preserve"> </w:t>
      </w:r>
      <w:r>
        <w:rPr>
          <w:bCs/>
          <w:b/>
        </w:rPr>
        <w:t xml:space="preserve">The artifact is finished long before it is legitimate.</w:t>
      </w:r>
      <w:r>
        <w:t xml:space="preserve"> </w:t>
      </w:r>
      <w:r>
        <w:t xml:space="preserve">This is the single largest practical problem encountered in this engineering programme, and it is not a tooling defect. It is a consequence of the tooling working.</w:t>
      </w:r>
    </w:p>
    <w:p>
      <w:pPr>
        <w:pStyle w:val="BodyText"/>
      </w:pPr>
      <w:r>
        <w:rPr>
          <w:bCs/>
          <w:b/>
        </w:rPr>
        <w:t xml:space="preserve">The second-order effect is the dangerous one.</w:t>
      </w:r>
      <w:r>
        <w:t xml:space="preserve"> </w:t>
      </w:r>
      <w:r>
        <w:t xml:space="preserve">Historically, the</w:t>
      </w:r>
      <w:r>
        <w:t xml:space="preserve"> </w:t>
      </w:r>
      <w:r>
        <w:rPr>
          <w:iCs/>
          <w:i/>
        </w:rPr>
        <w:t xml:space="preserve">quality</w:t>
      </w:r>
      <w:r>
        <w:t xml:space="preserve"> </w:t>
      </w:r>
      <w:r>
        <w:t xml:space="preserve">of a specification was evidence of the</w:t>
      </w:r>
      <w:r>
        <w:t xml:space="preserve"> </w:t>
      </w:r>
      <w:r>
        <w:rPr>
          <w:iCs/>
          <w:i/>
        </w:rPr>
        <w:t xml:space="preserve">process</w:t>
      </w:r>
      <w:r>
        <w:t xml:space="preserve"> </w:t>
      </w:r>
      <w:r>
        <w:t xml:space="preserve">behind it. RFC 2119 conformance language, a version-and-history block, a conformance section, an IPR-aware licence — no individual produced these in an afternoon, so their presence reliably implied a working group, review rounds, and elapsed time.</w:t>
      </w:r>
      <w:r>
        <w:t xml:space="preserve"> </w:t>
      </w:r>
      <w:r>
        <w:rPr>
          <w:bCs/>
          <w:b/>
        </w:rPr>
        <w:t xml:space="preserve">Frontier models break that correlation.</w:t>
      </w:r>
      <w:r>
        <w:t xml:space="preserve"> </w:t>
      </w:r>
      <w:r>
        <w:t xml:space="preserve">Fluency is no longer evidence of process. Yet every reader — buyer, auditor, regulator, and the author themselves — still uses fluency as a proxy for legitimacy. The proxy is now invalid, and its failure mode is asymmetric:</w:t>
      </w:r>
      <w:r>
        <w:t xml:space="preserve"> </w:t>
      </w:r>
      <w:r>
        <w:rPr>
          <w:bCs/>
          <w:b/>
        </w:rPr>
        <w:t xml:space="preserve">the author over-claims without intending to</w:t>
      </w:r>
      <w:r>
        <w:t xml:space="preserve">, because the artifact silently asserts a provenance its production never had.</w:t>
      </w:r>
    </w:p>
    <w:bookmarkStart w:id="323" w:name="the-kya-case"/>
    <w:p>
      <w:pPr>
        <w:pStyle w:val="Heading4"/>
      </w:pPr>
      <w:r>
        <w:t xml:space="preserve">10.27.1 The KYA case</w:t>
      </w:r>
    </w:p>
    <w:p>
      <w:pPr>
        <w:pStyle w:val="FirstParagraph"/>
      </w:pPr>
      <w:r>
        <w:t xml:space="preserve">The programme’s own governance document is the worked example, and the sequence is documented rather than reconstructed.</w:t>
      </w:r>
    </w:p>
    <w:p>
      <w:pPr>
        <w:pStyle w:val="BodyText"/>
      </w:pPr>
      <w:r>
        <w:t xml:space="preserve">A specification was produced to publication quality and titled</w:t>
      </w:r>
      <w:r>
        <w:t xml:space="preserve"> </w:t>
      </w:r>
      <w:r>
        <w:rPr>
          <w:bCs/>
          <w:b/>
        </w:rPr>
        <w:t xml:space="preserve">“</w:t>
      </w:r>
      <w:r>
        <w:rPr>
          <w:bCs/>
          <w:b/>
        </w:rPr>
        <w:t xml:space="preserve">KYA Open Standard v1.5</w:t>
      </w:r>
      <w:r>
        <w:rPr>
          <w:bCs/>
          <w:b/>
        </w:rPr>
        <w:t xml:space="preserve">”</w:t>
      </w:r>
      <w:r>
        <w:t xml:space="preserve">. Assessed against four gates — two or more independent implementations; a conformance suite an implementation can fail; acceptance by a recognised body or genuine multi-party adoption; and change control outliving the authoring organisation — it met</w:t>
      </w:r>
      <w:r>
        <w:t xml:space="preserve"> </w:t>
      </w:r>
      <w:r>
        <w:rPr>
          <w:bCs/>
          <w:b/>
        </w:rPr>
        <w:t xml:space="preserve">zero of four</w:t>
      </w:r>
      <w:r>
        <w:t xml:space="preserve">. It was retitled</w:t>
      </w:r>
      <w:r>
        <w:t xml:space="preserve"> </w:t>
      </w:r>
      <w:r>
        <w:rPr>
          <w:bCs/>
          <w:b/>
        </w:rPr>
        <w:t xml:space="preserve">“</w:t>
      </w:r>
      <w:r>
        <w:rPr>
          <w:bCs/>
          <w:b/>
        </w:rPr>
        <w:t xml:space="preserve">KYA Specification v1.5</w:t>
      </w:r>
      <w:r>
        <w:rPr>
          <w:bCs/>
          <w:b/>
        </w:rPr>
        <w:t xml:space="preserve">”</w:t>
      </w:r>
      <w:r>
        <w:t xml:space="preserve"> </w:t>
      </w:r>
      <w:r>
        <w:t xml:space="preserve">on 24.07.2026 after the categorical question was put directly:</w:t>
      </w:r>
      <w:r>
        <w:t xml:space="preserve"> </w:t>
      </w:r>
      <w:r>
        <w:rPr>
          <w:iCs/>
          <w:i/>
        </w:rPr>
        <w:t xml:space="preserve">has any body processed this?</w:t>
      </w:r>
    </w:p>
    <w:p>
      <w:pPr>
        <w:pStyle w:val="BodyText"/>
      </w:pPr>
      <w:r>
        <w:t xml:space="preserve">Nothing about the document’s technical content was wrong. It was implementable, internally consistent, and honest in its individual claims. What was wrong was the</w:t>
      </w:r>
      <w:r>
        <w:t xml:space="preserve"> </w:t>
      </w:r>
      <w:r>
        <w:rPr>
          <w:bCs/>
          <w:b/>
        </w:rPr>
        <w:t xml:space="preserve">category</w:t>
      </w:r>
      <w:r>
        <w:t xml:space="preserve"> </w:t>
      </w:r>
      <w:r>
        <w:t xml:space="preserve">the title asserted, and the artifact’s fluency was precisely what made that assertion credible.</w:t>
      </w:r>
    </w:p>
    <w:p>
      <w:pPr>
        <w:pStyle w:val="BodyText"/>
      </w:pPr>
      <w:r>
        <w:t xml:space="preserve">The decisive observation follows:</w:t>
      </w:r>
    </w:p>
    <w:p>
      <w:pPr>
        <w:pStyle w:val="BlockText"/>
      </w:pPr>
      <w:r>
        <w:rPr>
          <w:bCs/>
          <w:b/>
        </w:rPr>
        <w:t xml:space="preserve">The same engineering capacity that produced v1.5 in a single session can produce v1.6, v2.0, and v3.0. The version number accelerates; the legitimacy does not move at all.</w:t>
      </w:r>
      <w:r>
        <w:t xml:space="preserve"> </w:t>
      </w:r>
      <w:r>
        <w:t xml:space="preserve">Technical iteration cannot convert a specification into a standard, because what is missing is not technical.</w:t>
      </w:r>
    </w:p>
    <w:p>
      <w:pPr>
        <w:pStyle w:val="FirstParagraph"/>
      </w:pPr>
      <w:r>
        <w:rPr>
          <w:bCs/>
          <w:b/>
        </w:rPr>
        <w:t xml:space="preserve">And the gap can widen rather than merely persist.</w:t>
      </w:r>
      <w:r>
        <w:t xml:space="preserve"> </w:t>
      </w:r>
      <w:r>
        <w:t xml:space="preserve">Stating that legitimacy</w:t>
      </w:r>
      <w:r>
        <w:t xml:space="preserve"> </w:t>
      </w:r>
      <w:r>
        <w:t xml:space="preserve">“</w:t>
      </w:r>
      <w:r>
        <w:t xml:space="preserve">does not move</w:t>
      </w:r>
      <w:r>
        <w:t xml:space="preserve">”</w:t>
      </w:r>
      <w:r>
        <w:t xml:space="preserve"> </w:t>
      </w:r>
      <w:r>
        <w:t xml:space="preserve">understates the risk. A standards body’s acceptance criteria are formed by consensus among parties with divergent commercial interests; a solo-authored artifact optimises instead for internal coherence, because internal coherence is the only constraint its author can feel. Each unreviewed iteration therefore improves the document against the wrong objective function, and may drift</w:t>
      </w:r>
      <w:r>
        <w:t xml:space="preserve"> </w:t>
      </w:r>
      <w:r>
        <w:rPr>
          <w:iCs/>
          <w:i/>
        </w:rPr>
        <w:t xml:space="preserve">further</w:t>
      </w:r>
      <w:r>
        <w:t xml:space="preserve"> </w:t>
      </w:r>
      <w:r>
        <w:t xml:space="preserve">from what a body would accept while appearing, by every internally visible measure, to improve.</w:t>
      </w:r>
      <w:r>
        <w:t xml:space="preserve"> </w:t>
      </w:r>
      <w:r>
        <w:rPr>
          <w:bCs/>
          <w:b/>
        </w:rPr>
        <w:t xml:space="preserve">Unreviewed iteration does not merely fail to accrue legitimacy; it can accumulate reconciliation debt.</w:t>
      </w:r>
      <w:r>
        <w:t xml:space="preserve"> </w:t>
      </w:r>
      <w:r>
        <w:t xml:space="preserve">The version that is technically best is not necessarily the version closest to adoptable, and nothing inside the authoring organisation distinguishes the two.</w:t>
      </w:r>
    </w:p>
    <w:bookmarkEnd w:id="323"/>
    <w:bookmarkStart w:id="324" w:name="Xd26d0e994e72d53ea14283e00e0de11f7b1f8ea"/>
    <w:p>
      <w:pPr>
        <w:pStyle w:val="Heading4"/>
      </w:pPr>
      <w:r>
        <w:t xml:space="preserve">10.27.2 Three jurisdictions make the gap measurable</w:t>
      </w:r>
    </w:p>
    <w:p>
      <w:pPr>
        <w:pStyle w:val="FirstParagraph"/>
      </w:pPr>
      <w:r>
        <w:t xml:space="preserve">Extending KYA across the EU, United States and Singapore sharpens the point from an observation into a constraint. Each jurisdiction runs a different, non-compressible clock, and one of them</w:t>
      </w:r>
      <w:r>
        <w:t xml:space="preserve"> </w:t>
      </w:r>
      <w:r>
        <w:rPr>
          <w:bCs/>
          <w:b/>
        </w:rPr>
        <w:t xml:space="preserve">cannot be entered on the author’s initiative at all</w:t>
      </w:r>
      <w:r>
        <w:t xml:space="preserve">: under EU AI Act Article 40, harmonised standards are produced by CEN/CENELEC in response to a standardisation request from the European Commission. No amount of engineering throughput opens that door.</w:t>
      </w:r>
    </w:p>
    <w:p>
      <w:pPr>
        <w:pStyle w:val="BodyText"/>
      </w:pPr>
      <w:r>
        <w:t xml:space="preserve">The architectural consequence — one jurisdiction-neutral core plus per-jurisdiction conformance</w:t>
      </w:r>
      <w:r>
        <w:t xml:space="preserve"> </w:t>
      </w:r>
      <w:r>
        <w:rPr>
          <w:bCs/>
          <w:b/>
        </w:rPr>
        <w:t xml:space="preserve">profiles</w:t>
      </w:r>
      <w:r>
        <w:t xml:space="preserve">, never three forked specifications — is documented at</w:t>
      </w:r>
      <w:r>
        <w:t xml:space="preserve"> </w:t>
      </w:r>
      <w:r>
        <w:rPr>
          <w:rStyle w:val="VerbatimChar"/>
        </w:rPr>
        <w:t xml:space="preserve">standards/kya-open/SPEC.md</w:t>
      </w:r>
      <w:r>
        <w:t xml:space="preserve"> </w:t>
      </w:r>
      <w:r>
        <w:t xml:space="preserve">§10. The epistemic consequence is the sentence this section exists to record:</w:t>
      </w:r>
    </w:p>
    <w:p>
      <w:pPr>
        <w:pStyle w:val="BlockText"/>
      </w:pPr>
      <w:r>
        <w:rPr>
          <w:bCs/>
          <w:b/>
        </w:rPr>
        <w:t xml:space="preserve">DWS can technically build better KYA versions indefinitely. In practice they remain specifications — and across three jurisdictions, three profiles of one specification.</w:t>
      </w:r>
      <w:r>
        <w:t xml:space="preserve"> </w:t>
      </w:r>
      <w:r>
        <w:t xml:space="preserve">The profiles cannot even be validated without in-jurisdiction legal review, which is a second process the engineering cannot absorb.</w:t>
      </w:r>
    </w:p>
    <w:bookmarkEnd w:id="324"/>
    <w:bookmarkStart w:id="325" w:name="the-implemented-countermeasure"/>
    <w:p>
      <w:pPr>
        <w:pStyle w:val="Heading4"/>
      </w:pPr>
      <w:r>
        <w:t xml:space="preserve">10.27.3 The implemented countermeasure</w:t>
      </w:r>
    </w:p>
    <w:p>
      <w:pPr>
        <w:pStyle w:val="FirstParagraph"/>
      </w:pPr>
      <w:r>
        <w:rPr>
          <w:rStyle w:val="VerbatimChar"/>
        </w:rPr>
        <w:t xml:space="preserve">DWS_LEARNING_STANDARD.md</w:t>
      </w:r>
      <w:r>
        <w:t xml:space="preserve"> </w:t>
      </w:r>
      <w:r>
        <w:t xml:space="preserve">is the mechanism, not a policy statement. Its §10 supplies what an accelerated engineering process lacks by default:</w:t>
      </w:r>
    </w:p>
    <w:tbl>
      <w:tblPr>
        <w:tblStyle w:val="Table"/>
        <w:tblW w:type="pct" w:w="5000"/>
        <w:tblLook w:firstRow="1" w:lastRow="0" w:firstColumn="0" w:lastColumn="0" w:noHBand="0" w:noVBand="0" w:val="0020"/>
        <w:jc w:val="start"/>
      </w:tblPr>
      <w:tblGrid>
        <w:gridCol w:w="1748"/>
        <w:gridCol w:w="6171"/>
      </w:tblGrid>
      <w:tr>
        <w:trPr>
          <w:tblHeader w:val="true"/>
        </w:trPr>
        <w:tc>
          <w:tcPr/>
          <w:p>
            <w:pPr>
              <w:pStyle w:val="Compact"/>
              <w:jc w:val="left"/>
            </w:pPr>
            <w:r>
              <w:t xml:space="preserve">Mechanism</w:t>
            </w:r>
          </w:p>
        </w:tc>
        <w:tc>
          <w:tcPr/>
          <w:p>
            <w:pPr>
              <w:pStyle w:val="Compact"/>
              <w:jc w:val="left"/>
            </w:pPr>
            <w:r>
              <w:t xml:space="preserve">What it constrains</w:t>
            </w:r>
          </w:p>
        </w:tc>
      </w:tr>
      <w:tr>
        <w:tc>
          <w:tcPr/>
          <w:p>
            <w:pPr>
              <w:pStyle w:val="Compact"/>
              <w:jc w:val="left"/>
            </w:pPr>
            <w:r>
              <w:t xml:space="preserve">§10.3 Reversibility classification</w:t>
            </w:r>
          </w:p>
        </w:tc>
        <w:tc>
          <w:tcPr/>
          <w:p>
            <w:pPr>
              <w:pStyle w:val="Compact"/>
              <w:jc w:val="left"/>
            </w:pPr>
            <w:r>
              <w:t xml:space="preserve">Separates two-way doors from ONE-WAY DOORS; sign / publish / send / delete / hand-to-counterparty are one-way by default</w:t>
            </w:r>
          </w:p>
        </w:tc>
      </w:tr>
      <w:tr>
        <w:tc>
          <w:tcPr/>
          <w:p>
            <w:pPr>
              <w:pStyle w:val="Compact"/>
              <w:jc w:val="left"/>
            </w:pPr>
            <w:r>
              <w:t xml:space="preserve">§10.3.1 The cooling gap</w:t>
            </w:r>
          </w:p>
        </w:tc>
        <w:tc>
          <w:tcPr/>
          <w:p>
            <w:pPr>
              <w:pStyle w:val="Compact"/>
              <w:jc w:val="left"/>
            </w:pPr>
            <w:r>
              <w:rPr>
                <w:bCs/>
                <w:b/>
              </w:rPr>
              <w:t xml:space="preserve">Nothing irreversible ships in the session that conceived it</w:t>
            </w:r>
            <w:r>
              <w:t xml:space="preserve"> </w:t>
            </w:r>
            <w:r>
              <w:t xml:space="preserve">— a deliberate gap between decision and act</w:t>
            </w:r>
          </w:p>
        </w:tc>
      </w:tr>
      <w:tr>
        <w:tc>
          <w:tcPr/>
          <w:p>
            <w:pPr>
              <w:pStyle w:val="Compact"/>
              <w:jc w:val="left"/>
            </w:pPr>
            <w:r>
              <w:t xml:space="preserve">§10.4 Verified vs propagated</w:t>
            </w:r>
          </w:p>
        </w:tc>
        <w:tc>
          <w:tcPr/>
          <w:p>
            <w:pPr>
              <w:pStyle w:val="Compact"/>
              <w:jc w:val="left"/>
            </w:pPr>
            <w:r>
              <w:t xml:space="preserve">Forces the evidentiary basis of a decision to be labelled at the point of decision, not in a footnote</w:t>
            </w:r>
          </w:p>
        </w:tc>
      </w:tr>
      <w:tr>
        <w:tc>
          <w:tcPr/>
          <w:p>
            <w:pPr>
              <w:pStyle w:val="Compact"/>
              <w:jc w:val="left"/>
            </w:pPr>
            <w:r>
              <w:t xml:space="preserve">§10.1 / §10.6</w:t>
            </w:r>
          </w:p>
        </w:tc>
        <w:tc>
          <w:tcPr/>
          <w:p>
            <w:pPr>
              <w:pStyle w:val="Compact"/>
              <w:jc w:val="left"/>
            </w:pPr>
            <w:r>
              <w:t xml:space="preserve">A six-field decision format with a mandatory recommendation, capped at four decisions per session</w:t>
            </w:r>
          </w:p>
        </w:tc>
      </w:tr>
      <w:tr>
        <w:tc>
          <w:tcPr/>
          <w:p>
            <w:pPr>
              <w:pStyle w:val="Compact"/>
              <w:jc w:val="left"/>
            </w:pPr>
            <w:r>
              <w:t xml:space="preserve">§4 Five-step HIC Learning Outcome</w:t>
            </w:r>
          </w:p>
        </w:tc>
        <w:tc>
          <w:tcPr/>
          <w:p>
            <w:pPr>
              <w:pStyle w:val="Compact"/>
              <w:jc w:val="left"/>
            </w:pPr>
            <w:r>
              <w:t xml:space="preserve">The EU AI Act Article 14 intervention point at session granularity</w:t>
            </w:r>
          </w:p>
        </w:tc>
      </w:tr>
    </w:tbl>
    <w:p>
      <w:pPr>
        <w:pStyle w:val="BodyText"/>
      </w:pPr>
      <w:r>
        <w:t xml:space="preserve">Read together, the Learning Standard functions as a</w:t>
      </w:r>
      <w:r>
        <w:t xml:space="preserve"> </w:t>
      </w:r>
      <w:r>
        <w:rPr>
          <w:bCs/>
          <w:b/>
        </w:rPr>
        <w:t xml:space="preserve">rate limiter on legitimacy claims</w:t>
      </w:r>
      <w:r>
        <w:t xml:space="preserve">, installed inside an engineering process that has none natively. Its necessity is itself evidence for the thesis of this section: had artifact production and artifact legitimation run at comparable speeds, no such mechanism would have been required.</w:t>
      </w:r>
    </w:p>
    <w:bookmarkEnd w:id="325"/>
    <w:bookmarkStart w:id="326" w:name="X202978e42c72db9104192bc57d2e21180172b37"/>
    <w:p>
      <w:pPr>
        <w:pStyle w:val="Heading4"/>
      </w:pPr>
      <w:r>
        <w:t xml:space="preserve">10.27.4 The design principle for the DWS product platform</w:t>
      </w:r>
    </w:p>
    <w:p>
      <w:pPr>
        <w:pStyle w:val="FirstParagraph"/>
      </w:pPr>
      <w:r>
        <w:t xml:space="preserve">The commercial conclusion follows directly, and it shapes what the platform sells to enterprises.</w:t>
      </w:r>
    </w:p>
    <w:p>
      <w:pPr>
        <w:numPr>
          <w:ilvl w:val="0"/>
          <w:numId w:val="1117"/>
        </w:numPr>
        <w:pStyle w:val="Compact"/>
      </w:pPr>
      <w:r>
        <w:rPr>
          <w:bCs/>
          <w:b/>
        </w:rPr>
        <w:t xml:space="preserve">Default to internal.</w:t>
      </w:r>
      <w:r>
        <w:t xml:space="preserve"> </w:t>
      </w:r>
      <w:r>
        <w:t xml:space="preserve">A specification is an</w:t>
      </w:r>
      <w:r>
        <w:t xml:space="preserve"> </w:t>
      </w:r>
      <w:r>
        <w:rPr>
          <w:bCs/>
          <w:b/>
        </w:rPr>
        <w:t xml:space="preserve">internal working artifact</w:t>
      </w:r>
      <w:r>
        <w:t xml:space="preserve"> </w:t>
      </w:r>
      <w:r>
        <w:t xml:space="preserve">until it earns external validation through the appropriate gate for the jurisdiction it targets. The platform’s posture is not to publish faster but to</w:t>
      </w:r>
      <w:r>
        <w:t xml:space="preserve"> </w:t>
      </w:r>
      <w:r>
        <w:rPr>
          <w:bCs/>
          <w:b/>
        </w:rPr>
        <w:t xml:space="preserve">earn adoption at the pace each body requires</w:t>
      </w:r>
      <w:r>
        <w:t xml:space="preserve"> </w:t>
      </w:r>
      <w:r>
        <w:t xml:space="preserve">— a pace the platform does not set and cannot compress. This is the governing default; the four principles below operate under it.</w:t>
      </w:r>
    </w:p>
    <w:p>
      <w:pPr>
        <w:numPr>
          <w:ilvl w:val="0"/>
          <w:numId w:val="1117"/>
        </w:numPr>
        <w:pStyle w:val="Compact"/>
      </w:pPr>
      <w:r>
        <w:rPr>
          <w:bCs/>
          <w:b/>
        </w:rPr>
        <w:t xml:space="preserve">Sell evidence, not verdicts.</w:t>
      </w:r>
      <w:r>
        <w:t xml:space="preserve"> </w:t>
      </w:r>
      <w:r>
        <w:t xml:space="preserve">Evidence artifacts are producible at machine speed; conformity</w:t>
      </w:r>
      <w:r>
        <w:t xml:space="preserve"> </w:t>
      </w:r>
      <w:r>
        <w:rPr>
          <w:iCs/>
          <w:i/>
        </w:rPr>
        <w:t xml:space="preserve">verdicts</w:t>
      </w:r>
      <w:r>
        <w:t xml:space="preserve"> </w:t>
      </w:r>
      <w:r>
        <w:t xml:space="preserve">require institutions that are not. Platform output should therefore be checkable material an auditor, regulator or counterparty evaluates — never an assertion that compliance obtains. This principle was applied concretely to public copy in the same period:</w:t>
      </w:r>
      <w:r>
        <w:t xml:space="preserve"> </w:t>
      </w:r>
      <w:r>
        <w:rPr>
          <w:iCs/>
          <w:i/>
        </w:rPr>
        <w:t xml:space="preserve">“</w:t>
      </w:r>
      <w:r>
        <w:rPr>
          <w:iCs/>
          <w:i/>
        </w:rPr>
        <w:t xml:space="preserve">court-defensible provenance</w:t>
      </w:r>
      <w:r>
        <w:rPr>
          <w:iCs/>
          <w:i/>
        </w:rPr>
        <w:t xml:space="preserve">”</w:t>
      </w:r>
      <w:r>
        <w:t xml:space="preserve"> </w:t>
      </w:r>
      <w:r>
        <w:t xml:space="preserve">became</w:t>
      </w:r>
      <w:r>
        <w:t xml:space="preserve"> </w:t>
      </w:r>
      <w:r>
        <w:rPr>
          <w:iCs/>
          <w:i/>
        </w:rPr>
        <w:t xml:space="preserve">“</w:t>
      </w:r>
      <w:r>
        <w:rPr>
          <w:iCs/>
          <w:i/>
        </w:rPr>
        <w:t xml:space="preserve">provenance designed against Article 12 record-keeping</w:t>
      </w:r>
      <w:r>
        <w:rPr>
          <w:iCs/>
          <w:i/>
        </w:rPr>
        <w:t xml:space="preserve">”</w:t>
      </w:r>
      <w:r>
        <w:t xml:space="preserve">, and</w:t>
      </w:r>
      <w:r>
        <w:t xml:space="preserve"> </w:t>
      </w:r>
      <w:r>
        <w:rPr>
          <w:iCs/>
          <w:i/>
        </w:rPr>
        <w:t xml:space="preserve">“</w:t>
      </w:r>
      <w:r>
        <w:rPr>
          <w:iCs/>
          <w:i/>
        </w:rPr>
        <w:t xml:space="preserve">KYA becomes the EU AI Act compliance layer</w:t>
      </w:r>
      <w:r>
        <w:rPr>
          <w:iCs/>
          <w:i/>
        </w:rPr>
        <w:t xml:space="preserve">”</w:t>
      </w:r>
      <w:r>
        <w:t xml:space="preserve"> </w:t>
      </w:r>
      <w:r>
        <w:t xml:space="preserve">gained the explicit statement that it does not by itself make a deployment compliant.</w:t>
      </w:r>
    </w:p>
    <w:p>
      <w:pPr>
        <w:numPr>
          <w:ilvl w:val="0"/>
          <w:numId w:val="1117"/>
        </w:numPr>
        <w:pStyle w:val="Compact"/>
      </w:pPr>
      <w:r>
        <w:rPr>
          <w:bCs/>
          <w:b/>
        </w:rPr>
        <w:t xml:space="preserve">Every claim carries its phase.</w:t>
      </w:r>
      <w:r>
        <w:t xml:space="preserve"> </w:t>
      </w:r>
      <w:r>
        <w:t xml:space="preserve">Maturity labelling travels</w:t>
      </w:r>
      <w:r>
        <w:t xml:space="preserve"> </w:t>
      </w:r>
      <w:r>
        <w:rPr>
          <w:bCs/>
          <w:b/>
        </w:rPr>
        <w:t xml:space="preserve">adjacent to the claim</w:t>
      </w:r>
      <w:r>
        <w:t xml:space="preserve"> </w:t>
      </w:r>
      <w:r>
        <w:t xml:space="preserve">— same sentence, same card — not on a separate status page. A phase label three scrolls away is the same over-claim with extra steps.</w:t>
      </w:r>
    </w:p>
    <w:p>
      <w:pPr>
        <w:numPr>
          <w:ilvl w:val="0"/>
          <w:numId w:val="1117"/>
        </w:numPr>
        <w:pStyle w:val="Compact"/>
      </w:pPr>
      <w:r>
        <w:rPr>
          <w:bCs/>
          <w:b/>
        </w:rPr>
        <w:t xml:space="preserve">Profiles, not forks.</w:t>
      </w:r>
      <w:r>
        <w:t xml:space="preserve"> </w:t>
      </w:r>
      <w:r>
        <w:t xml:space="preserve">Jurisdictional divergence is handled by parameterising one core, never by shipping three products. Three products drift; one core with three profiles preserves the portable credential that is the entire point.</w:t>
      </w:r>
    </w:p>
    <w:p>
      <w:pPr>
        <w:numPr>
          <w:ilvl w:val="0"/>
          <w:numId w:val="1117"/>
        </w:numPr>
        <w:pStyle w:val="Compact"/>
      </w:pPr>
      <w:r>
        <w:rPr>
          <w:bCs/>
          <w:b/>
        </w:rPr>
        <w:t xml:space="preserve">Build the rate limiter into the product, not only the process.</w:t>
      </w:r>
      <w:r>
        <w:t xml:space="preserve"> </w:t>
      </w:r>
      <w:r>
        <w:t xml:space="preserve">If this programme’s own engineering required a cooling gap, an enterprise assembling agentic compliance workflows requires one more urgently, having neither the context nor the authorship to notice the gap unaided. Making it structurally difficult to emit a compliance claim faster than its supporting evidence accrues is a</w:t>
      </w:r>
      <w:r>
        <w:t xml:space="preserve"> </w:t>
      </w:r>
      <w:r>
        <w:rPr>
          <w:bCs/>
          <w:b/>
        </w:rPr>
        <w:t xml:space="preserve">product feature</w:t>
      </w:r>
      <w:r>
        <w:t xml:space="preserve">, not an internal discipline.</w:t>
      </w:r>
    </w:p>
    <w:p>
      <w:pPr>
        <w:pStyle w:val="FirstParagraph"/>
      </w:pPr>
      <w:r>
        <w:rPr>
          <w:bCs/>
          <w:b/>
        </w:rPr>
        <w:t xml:space="preserve">Why this is a commercial position rather than a limitation.</w:t>
      </w:r>
      <w:r>
        <w:t xml:space="preserve"> </w:t>
      </w:r>
      <w:r>
        <w:t xml:space="preserve">Enterprises in regulated industries are the population the artifact–legitimacy gap damages most, because in their case an over-claim does not merely embarrass — it becomes a regulatory finding. Generative tooling has made a polished compliance document universally available; what has become scarce, in the same movement, is the ability to say</w:t>
      </w:r>
      <w:r>
        <w:t xml:space="preserve"> </w:t>
      </w:r>
      <w:r>
        <w:rPr>
          <w:bCs/>
          <w:b/>
        </w:rPr>
        <w:t xml:space="preserve">which parts of it are load-bearing</w:t>
      </w:r>
      <w:r>
        <w:t xml:space="preserve">. That discrimination — evidence separated from assertion, verified separated from propagated, phase stated with the claim — is precisely what compliance intelligence means as a product, and it is what DWS IQ offers enterprises.</w:t>
      </w:r>
    </w:p>
    <w:p>
      <w:pPr>
        <w:pStyle w:val="BodyText"/>
      </w:pPr>
      <w:r>
        <w:rPr>
          <w:bCs/>
          <w:b/>
        </w:rPr>
        <w:t xml:space="preserve">Key Contributions:</w:t>
      </w:r>
    </w:p>
    <w:p>
      <w:pPr>
        <w:numPr>
          <w:ilvl w:val="0"/>
          <w:numId w:val="1118"/>
        </w:numPr>
        <w:pStyle w:val="Compact"/>
      </w:pPr>
      <w:r>
        <w:t xml:space="preserve">Lifetime Scope Signals Protocol — Novel multi-agent coordination framework</w:t>
      </w:r>
    </w:p>
    <w:p>
      <w:pPr>
        <w:numPr>
          <w:ilvl w:val="0"/>
          <w:numId w:val="1118"/>
        </w:numPr>
        <w:pStyle w:val="Compact"/>
      </w:pPr>
      <w:r>
        <w:t xml:space="preserve">Solution Factory Model — Replicable industrial AI platform blueprint</w:t>
      </w:r>
    </w:p>
    <w:p>
      <w:pPr>
        <w:numPr>
          <w:ilvl w:val="0"/>
          <w:numId w:val="1118"/>
        </w:numPr>
        <w:pStyle w:val="Compact"/>
      </w:pPr>
      <w:r>
        <w:t xml:space="preserve">AI-Assisted Development — Cursor Pro and Claude Code Max enabling rapid 15-week MVP</w:t>
      </w:r>
    </w:p>
    <w:p>
      <w:pPr>
        <w:numPr>
          <w:ilvl w:val="0"/>
          <w:numId w:val="1118"/>
        </w:numPr>
        <w:pStyle w:val="Compact"/>
      </w:pPr>
      <w:r>
        <w:t xml:space="preserve">Phased Deployment Framework — Building trust for AI in regulated industries</w:t>
      </w:r>
    </w:p>
    <w:p>
      <w:pPr>
        <w:numPr>
          <w:ilvl w:val="0"/>
          <w:numId w:val="1118"/>
        </w:numPr>
        <w:pStyle w:val="Compact"/>
      </w:pPr>
      <w:r>
        <w:t xml:space="preserve">DWS10.com E-Commerce Validation — Google Merchant Center + Revolut Business</w:t>
      </w:r>
    </w:p>
    <w:p>
      <w:pPr>
        <w:numPr>
          <w:ilvl w:val="0"/>
          <w:numId w:val="1118"/>
        </w:numPr>
        <w:pStyle w:val="Compact"/>
      </w:pPr>
      <w:r>
        <w:t xml:space="preserve">HIL Learning Pipeline — Daily human-AI feedback loop</w:t>
      </w:r>
    </w:p>
    <w:p>
      <w:pPr>
        <w:numPr>
          <w:ilvl w:val="0"/>
          <w:numId w:val="1118"/>
        </w:numPr>
        <w:pStyle w:val="Compact"/>
      </w:pPr>
      <w:r>
        <w:t xml:space="preserve">Automated PR Workflow — Dual-model AI review replacing manual code review</w:t>
      </w:r>
    </w:p>
    <w:p>
      <w:pPr>
        <w:numPr>
          <w:ilvl w:val="0"/>
          <w:numId w:val="1118"/>
        </w:numPr>
        <w:pStyle w:val="Compact"/>
      </w:pPr>
      <w:r>
        <w:t xml:space="preserve">DWS7 Agent Modernization — Agentic loops, tool use, MCP server, Build for Agents principle</w:t>
      </w:r>
    </w:p>
    <w:p>
      <w:pPr>
        <w:numPr>
          <w:ilvl w:val="0"/>
          <w:numId w:val="1118"/>
        </w:numPr>
        <w:pStyle w:val="Compact"/>
      </w:pPr>
      <w:r>
        <w:t xml:space="preserve">OpenSandbox Edge Integration — Stage 1.5 agent sandboxing on Acer Veriton GN100; EMPO² agent memory alignment (arXiv:2602.23008)</w:t>
      </w:r>
    </w:p>
    <w:p>
      <w:pPr>
        <w:numPr>
          <w:ilvl w:val="0"/>
          <w:numId w:val="1118"/>
        </w:numPr>
        <w:pStyle w:val="Compact"/>
      </w:pPr>
      <w:r>
        <w:t xml:space="preserve">CEO Automation Agent Suite — Captain Briefing, LinkedIn Scheduler, EU Regulation Monitor; validates Solution Factory replicability for revenue-critical workflows</w:t>
      </w:r>
    </w:p>
    <w:p>
      <w:pPr>
        <w:numPr>
          <w:ilvl w:val="0"/>
          <w:numId w:val="1118"/>
        </w:numPr>
        <w:pStyle w:val="Compact"/>
      </w:pPr>
      <w:r>
        <w:t xml:space="preserve">Multi-Partner AI Ecosystem — NVIDIA, Siemens, ABB, xAI, Mistral; multi-LLM router resolving EU AI Act sovereignty tension in practice</w:t>
      </w:r>
    </w:p>
    <w:p>
      <w:pPr>
        <w:numPr>
          <w:ilvl w:val="0"/>
          <w:numId w:val="1118"/>
        </w:numPr>
        <w:pStyle w:val="Compact"/>
      </w:pPr>
      <w:r>
        <w:t xml:space="preserve">Climate IQ Pantheon — 13-agent Greek/Roman god system (6 orchestrators + 7 industry specialists) with SOUL.md identity pattern, prompt injection security, EU AI Act Article 12 logging, and marketing wedge personas</w:t>
      </w:r>
    </w:p>
    <w:p>
      <w:pPr>
        <w:numPr>
          <w:ilvl w:val="0"/>
          <w:numId w:val="1118"/>
        </w:numPr>
        <w:pStyle w:val="Compact"/>
      </w:pPr>
      <w:r>
        <w:t xml:space="preserve">Claude Code Engineering Structure — CLAUDE.md as project memory, Skills as reusable workflow components, Hooks for automated quality enforcement; demonstrates AI workflow design as software engineering discipline</w:t>
      </w:r>
    </w:p>
    <w:p>
      <w:pPr>
        <w:numPr>
          <w:ilvl w:val="0"/>
          <w:numId w:val="1118"/>
        </w:numPr>
        <w:pStyle w:val="Compact"/>
      </w:pPr>
      <w:r>
        <w:t xml:space="preserve">Learn Thinking — Reflective learning framework: thesis as living document, daily Learn/ folder reflection loop, extension of Build-Measure-Learn cycle for AI-assisted product development</w:t>
      </w:r>
    </w:p>
    <w:p>
      <w:pPr>
        <w:numPr>
          <w:ilvl w:val="0"/>
          <w:numId w:val="1118"/>
        </w:numPr>
        <w:pStyle w:val="Compact"/>
      </w:pPr>
      <w:r>
        <w:t xml:space="preserve">MCP Hub Orchestration + Three-Interface Rule — Four production workflow patterns (Fan-Out, Sequential, Reflection, Pipeline) with documented endpoints; Skills/CLI as mandatory agent interfaces ensuring every agent is accessible to humans, AI systems, and development workflows</w:t>
      </w:r>
    </w:p>
    <w:p>
      <w:pPr>
        <w:numPr>
          <w:ilvl w:val="0"/>
          <w:numId w:val="1118"/>
        </w:numPr>
        <w:pStyle w:val="Compact"/>
      </w:pPr>
      <w:r>
        <w:t xml:space="preserve">Customer-Facing MVP Features — Three production features transitioning DWS IQ from developer tooling to customer-ready SaaS: (a) Self-service API Key Management with SHA-256 hashing and scope-based access, (b) Usage Metering with 3-tier billing enforcement (Free/Pro/Enterprise) and dashboard progress bars, (c) Compliance Report Export with CSV/JSON download and recurring schedule support. Validates Solution Factory productization hypothesis — platform is market-ready for regulated EU industries</w:t>
      </w:r>
    </w:p>
    <w:p>
      <w:pPr>
        <w:numPr>
          <w:ilvl w:val="0"/>
          <w:numId w:val="1118"/>
        </w:numPr>
        <w:pStyle w:val="Compact"/>
      </w:pPr>
      <w:r>
        <w:t xml:space="preserve">Agent System Hardening — Production reliability restoration: 6 TypeScript compilation errors fixed across 5 subsystems, SandboxContext type alignment, MCP/HIL route wiring, locale-deterministic number formatting, dependency hygiene; demonstrates integration debt patterns in multi-agent systems</w:t>
      </w:r>
    </w:p>
    <w:p>
      <w:pPr>
        <w:numPr>
          <w:ilvl w:val="0"/>
          <w:numId w:val="1118"/>
        </w:numPr>
        <w:pStyle w:val="Compact"/>
      </w:pPr>
      <w:r>
        <w:t xml:space="preserve">PostgreSQL Columnar HTAP Architecture — Single-database HTAP via pg_duckdb + TimescaleDB on Aiven EU; DWS Data Standard creation governing storage engines, extension registry, retention policies, and EU regulatory compliance (GDPR, EU AI Act Art 12, NIS2, CSRD, EU Data Act); 4-phase rollout from table partitioning to lakehouse integration</w:t>
      </w:r>
    </w:p>
    <w:p>
      <w:pPr>
        <w:numPr>
          <w:ilvl w:val="0"/>
          <w:numId w:val="1118"/>
        </w:numPr>
        <w:pStyle w:val="Compact"/>
      </w:pPr>
      <w:r>
        <w:t xml:space="preserve">Two-Tier HTAP Architecture — Aiven-first mandate locks TimescaleDB 2.25.x Hypercore as approved standard for managed production (10-100× analytics, 98% compression); pg_duckdb (50-600× OLAP) relegated to edge device only due to Aiven whitelist; GN100 edge PostgreSQL deployed with full extension stack for ad-hoc analytics</w:t>
      </w:r>
    </w:p>
    <w:p>
      <w:pPr>
        <w:numPr>
          <w:ilvl w:val="0"/>
          <w:numId w:val="1118"/>
        </w:numPr>
        <w:pStyle w:val="Compact"/>
      </w:pPr>
      <w:r>
        <w:t xml:space="preserve">Harness Engineering — Analysis of OpenAI’s 8 harness engineering principles against DWS IQ 6 architecture; empirical finding that harness improvements alone yield 52.8%→66.5% benchmark gains (model unchanged); DWS’s L0-L6 six-layer architecture as formal harness framework; EU regulation requires fundamentally different harness (traceability + human-in-the-loop vs Silicon Valley speed optimization)</w:t>
      </w:r>
    </w:p>
    <w:p>
      <w:pPr>
        <w:numPr>
          <w:ilvl w:val="0"/>
          <w:numId w:val="1118"/>
        </w:numPr>
        <w:pStyle w:val="Compact"/>
      </w:pPr>
      <w:r>
        <w:t xml:space="preserve">Carbon Balance Sheet — Conclusion that EU climate compliance (ETS, CBAM, CSRD, Taxonomy) is structurally isomorphic to financial accounting; double-entry bookkeeping for CO2 with dual-unit entries (EUR + tCO2e); cross-regulation reconciliation via shared ledger entries; cross-vertical intelligence thesis (multi-industry ledger produces emergent data no single-vertical tool can replicate); DWS 7 Phase 2.6 implementation plan (8 PRs, persistent ledger, CFO dashboard, ERP GL sync, XBRL export)</w:t>
      </w:r>
    </w:p>
    <w:p>
      <w:pPr>
        <w:numPr>
          <w:ilvl w:val="0"/>
          <w:numId w:val="1118"/>
        </w:numPr>
        <w:pStyle w:val="Compact"/>
      </w:pPr>
      <w:r>
        <w:t xml:space="preserve">LWM Sequencing Strategy — Three-phase sequencing (compliance→fleet→Series A) resolving investor narrative contradictions; LeWorldModel (arXiv:2603.19312) external validation of JEPA world models; Phase 2 technical gap analysis identifying three unsolved problems (input modality, scale, regulatory-physical integration); compliance-first world model thesis (compliance data feeds physical planning, not the reverse); Persefoni/Sweep market comparables positioning EUR 3.8M cap below carbon SaaS benchmarks</w:t>
      </w:r>
    </w:p>
    <w:p>
      <w:pPr>
        <w:numPr>
          <w:ilvl w:val="0"/>
          <w:numId w:val="1118"/>
        </w:numPr>
        <w:pStyle w:val="Compact"/>
      </w:pPr>
      <w:r>
        <w:t xml:space="preserve">Domain-Specific vs Generic AI Harness — Competitive analysis against everything-claude-code (120k stars, 136 skills); six differentiators documented (domain specificity, six-layer architecture, hard gates, trust boundary zones, gstack workflow, agent-first product rule); token budget analysis demonstrating depth outperforms breadth for regulated domains; skills inventory growth from 6 to 21 production skills with 4 blocking discipline gates; validates harness engineering thesis (Section 10.16)</w:t>
      </w:r>
    </w:p>
    <w:p>
      <w:pPr>
        <w:numPr>
          <w:ilvl w:val="0"/>
          <w:numId w:val="1118"/>
        </w:numPr>
        <w:pStyle w:val="Compact"/>
      </w:pPr>
      <w:r>
        <w:t xml:space="preserve">Thesis Versioning Strategy — Dual-version architecture: v3.30.50 frozen 50-page Metropolia outgoing + 82-page living document continues; demonstrates practical solution for AI-assisted academic writing where research velocity exceeds submission format constraints; preserves full research lineage while meeting institutional requirements</w:t>
      </w:r>
    </w:p>
    <w:p>
      <w:pPr>
        <w:numPr>
          <w:ilvl w:val="0"/>
          <w:numId w:val="1118"/>
        </w:numPr>
        <w:pStyle w:val="Compact"/>
      </w:pPr>
      <w:r>
        <w:t xml:space="preserve">Skills Paradigm Validated by Industry Consensus — Anthropic’s 2026-04-16</w:t>
      </w:r>
      <w:r>
        <w:t xml:space="preserve"> </w:t>
      </w:r>
      <w:r>
        <w:t xml:space="preserve">“</w:t>
      </w:r>
      <w:r>
        <w:t xml:space="preserve">Stop Building Agents, Start Building Skills</w:t>
      </w:r>
      <w:r>
        <w:t xml:space="preserve">”</w:t>
      </w:r>
      <w:r>
        <w:t xml:space="preserve"> </w:t>
      </w:r>
      <w:r>
        <w:t xml:space="preserve">essay externally validates the skill-first architecture (§10.13) and the domain-specific-over-generic harness argument (§10.13.7); 24+ production skills with 4 discipline gates now represent industry consensus rather than a DWS-specific bet</w:t>
      </w:r>
    </w:p>
    <w:p>
      <w:pPr>
        <w:numPr>
          <w:ilvl w:val="0"/>
          <w:numId w:val="1118"/>
        </w:numPr>
        <w:pStyle w:val="Compact"/>
      </w:pPr>
      <w:r>
        <w:t xml:space="preserve">Lifetime Fleet Crystallization — Brain-Memory-Body-Hands stack is testable end-to-end: Finland Drone Strategy 2030 alignment + Baltic-first 12–16 week MVP graduate the</w:t>
      </w:r>
      <w:r>
        <w:t xml:space="preserve"> </w:t>
      </w:r>
      <w:r>
        <w:t xml:space="preserve">“</w:t>
      </w:r>
      <w:r>
        <w:t xml:space="preserve">Hands</w:t>
      </w:r>
      <w:r>
        <w:t xml:space="preserve">”</w:t>
      </w:r>
      <w:r>
        <w:t xml:space="preserve"> </w:t>
      </w:r>
      <w:r>
        <w:t xml:space="preserve">layer from specification to concrete hardware timeline with full reuse of KYA/Aegis/Firehorse governance; compliance-first world-model thesis (§10.18) becomes a near-term engineering milestone</w:t>
      </w:r>
    </w:p>
    <w:p>
      <w:pPr>
        <w:numPr>
          <w:ilvl w:val="0"/>
          <w:numId w:val="1118"/>
        </w:numPr>
        <w:pStyle w:val="Compact"/>
      </w:pPr>
      <w:r>
        <w:t xml:space="preserve">22nd Industry via Green Hydrogen Additionality — DWS IQ 7 Datacentre Compliance Agent applies RFNBO Delegated Regulation 2023/1184 (additionality, temporal correlation, geographical correlation) to Finnish datacentres; extends double-entry carbon ledger (§10.17) to data-intensive services and adds NIS2 + CER coverage alongside climate regulation — the first cross-domain extension of platform regulatory scope</w:t>
      </w:r>
    </w:p>
    <w:p>
      <w:pPr>
        <w:numPr>
          <w:ilvl w:val="0"/>
          <w:numId w:val="1118"/>
        </w:numPr>
        <w:pStyle w:val="Compact"/>
      </w:pPr>
      <w:r>
        <w:t xml:space="preserve">Founder→Team Transition as Platform Feature — SOLO_FOUNDER_STATEMENT v1.2 + Anthony Maurin CTO co-builder sequencing +</w:t>
      </w:r>
      <w:r>
        <w:t xml:space="preserve"> </w:t>
      </w:r>
      <w:r>
        <w:rPr>
          <w:rStyle w:val="VerbatimChar"/>
        </w:rPr>
        <w:t xml:space="preserve">/investor-outreach</w:t>
      </w:r>
      <w:r>
        <w:t xml:space="preserve"> </w:t>
      </w:r>
      <w:r>
        <w:t xml:space="preserve">skill (10+ INTRO notes drafted) make investor outreach a reproducible DWS IQ workflow rather than tacit founder knowledge; validates the platform’s own solution-factory claim</w:t>
      </w:r>
    </w:p>
    <w:p>
      <w:pPr>
        <w:numPr>
          <w:ilvl w:val="0"/>
          <w:numId w:val="1118"/>
        </w:numPr>
        <w:pStyle w:val="Compact"/>
      </w:pPr>
      <w:r>
        <w:t xml:space="preserve">KYA Agentic AI Foundation Targeting with Dual-Use Expansion — KYA is elevated toward a general foundational standard for agent trust/governance; DWS 7 is framed as the empirical environment unifying hydrogen-economy continuity (DWS 5 -&gt; DWS 7), sovereignty segmentation (Aegis/Sovereign Infra/Connect), Nokia Defence dual-use track, and Siemens/NVIDIA Connect collaboration anchors</w:t>
      </w:r>
    </w:p>
    <w:p>
      <w:pPr>
        <w:numPr>
          <w:ilvl w:val="0"/>
          <w:numId w:val="1118"/>
        </w:numPr>
        <w:pStyle w:val="Compact"/>
      </w:pPr>
      <w:r>
        <w:t xml:space="preserve">KYA Open-Source Standard Path with Article 1 Lock — explicit standardization route added (Agentic AI Foundation / Linux Foundation), NIST path status recorded (not submitted), and 2026-2029 publication phasing integrated with EIC Step 1 communication assets</w:t>
      </w:r>
    </w:p>
    <w:p>
      <w:pPr>
        <w:numPr>
          <w:ilvl w:val="0"/>
          <w:numId w:val="1118"/>
        </w:numPr>
        <w:pStyle w:val="Compact"/>
      </w:pPr>
      <w:r>
        <w:t xml:space="preserve">Three-Tier Skilled Taxonomy — brand / specification / UI taxonomy (Skilled / Industrial Specialist / Industry) as design pattern for EU-regulated agent platforms; monotone</w:t>
      </w:r>
      <w:r>
        <w:t xml:space="preserve"> </w:t>
      </w:r>
      <w:r>
        <w:rPr>
          <w:rStyle w:val="VerbatimChar"/>
        </w:rPr>
        <w:t xml:space="preserve">Skilled &lt;Axis&gt;</w:t>
      </w:r>
      <w:r>
        <w:t xml:space="preserve"> </w:t>
      </w:r>
      <w:r>
        <w:t xml:space="preserve">pattern across agents, workflows, jurisdictions</w:t>
      </w:r>
    </w:p>
    <w:p>
      <w:pPr>
        <w:numPr>
          <w:ilvl w:val="0"/>
          <w:numId w:val="1118"/>
        </w:numPr>
        <w:pStyle w:val="Compact"/>
      </w:pPr>
      <w:r>
        <w:t xml:space="preserve">Three-Capital Accumulation Model — Implementation evidence from 7-month HIL phase: token capital (30+ skills, 150+ field notes, 50-agent foundry), human capital (pattern recognition, calibration), Control Room capital (thresholds, Article 12 audit); defines HIL → HIC transition</w:t>
      </w:r>
    </w:p>
    <w:p>
      <w:pPr>
        <w:numPr>
          <w:ilvl w:val="0"/>
          <w:numId w:val="1118"/>
        </w:numPr>
        <w:pStyle w:val="Compact"/>
      </w:pPr>
      <w:r>
        <w:t xml:space="preserve">Four-Capital (4P) Architecture Mapping — Prompt, People, Plant, Perception mapped to DWS IQ 6 Brain-Memory-Body-Hands; GTM land-and-expand pattern from Perception Capital accumulation</w:t>
      </w:r>
    </w:p>
    <w:p>
      <w:pPr>
        <w:numPr>
          <w:ilvl w:val="0"/>
          <w:numId w:val="1118"/>
        </w:numPr>
        <w:pStyle w:val="Compact"/>
      </w:pPr>
      <w:r>
        <w:t xml:space="preserve">Capability Ontology and Three-Pillar Consulting GTM — 10 LWM knowledge graph classes organising 80+ agent capabilities; three-pillar delivery model (train → develop → protect) mapping to 4P capital pathway;</w:t>
      </w:r>
      <w:r>
        <w:t xml:space="preserve"> </w:t>
      </w:r>
      <w:r>
        <w:t xml:space="preserve">“</w:t>
      </w:r>
      <w:r>
        <w:t xml:space="preserve">capability-not-role</w:t>
      </w:r>
      <w:r>
        <w:t xml:space="preserve">”</w:t>
      </w:r>
      <w:r>
        <w:t xml:space="preserve"> </w:t>
      </w:r>
      <w:r>
        <w:t xml:space="preserve">framing for B2B agentic platforms; companion artefact:</w:t>
      </w:r>
      <w:r>
        <w:t xml:space="preserve"> </w:t>
      </w:r>
      <w:r>
        <w:rPr>
          <w:rStyle w:val="VerbatimChar"/>
        </w:rPr>
        <w:t xml:space="preserve">docs/KONSULTOINNIN_KASIKIRJA_2026.md</w:t>
      </w:r>
      <w:r>
        <w:t xml:space="preserve"> </w:t>
      </w:r>
      <w:r>
        <w:t xml:space="preserve">v1.5</w:t>
      </w:r>
    </w:p>
    <w:p>
      <w:pPr>
        <w:pStyle w:val="FirstParagraph"/>
      </w:pPr>
      <w:r>
        <w:rPr>
          <w:bCs/>
          <w:b/>
        </w:rPr>
        <w:t xml:space="preserve">License:</w:t>
      </w:r>
      <w:r>
        <w:t xml:space="preserve"> </w:t>
      </w:r>
      <w:r>
        <w:t xml:space="preserve">Proprietary - Lifetime Oy</w:t>
      </w:r>
      <w:r>
        <w:t xml:space="preserve"> </w:t>
      </w:r>
      <w:r>
        <w:rPr>
          <w:bCs/>
          <w:b/>
        </w:rPr>
        <w:t xml:space="preserve">Contact:</w:t>
      </w:r>
      <w:r>
        <w:t xml:space="preserve"> </w:t>
      </w:r>
      <w:r>
        <w:t xml:space="preserve">risto@lifetime.fi</w:t>
      </w:r>
    </w:p>
    <w:p>
      <w:r>
        <w:pict>
          <v:rect style="width:0;height:1.5pt" o:hralign="center" o:hrstd="t" o:hr="t"/>
        </w:pict>
      </w:r>
    </w:p>
    <w:bookmarkEnd w:id="326"/>
    <w:bookmarkEnd w:id="327"/>
    <w:bookmarkEnd w:id="328"/>
    <w:bookmarkStart w:id="332" w:name="Xf76f02197654b50ad1c69730f6ce4333114a861"/>
    <w:p>
      <w:pPr>
        <w:pStyle w:val="Heading2"/>
      </w:pPr>
      <w:r>
        <w:t xml:space="preserve">10.16 EU AI Act Article 50 Content Marking — Implementation</w:t>
      </w:r>
    </w:p>
    <w:bookmarkStart w:id="329" w:name="motivation-6"/>
    <w:p>
      <w:pPr>
        <w:pStyle w:val="Heading3"/>
      </w:pPr>
      <w:r>
        <w:t xml:space="preserve">10.16.1 Motivation</w:t>
      </w:r>
    </w:p>
    <w:p>
      <w:pPr>
        <w:pStyle w:val="FirstParagraph"/>
      </w:pPr>
      <w:r>
        <w:t xml:space="preserve">On 2 August 2026 the AI Office and national market surveillance authorities began enforcing the AI Act, and the Article 50 transparency obligations entered application. DWS publishes AI-generated media on its own public surfaces, which places it in the Article 50(4)</w:t>
      </w:r>
      <w:r>
        <w:t xml:space="preserve"> </w:t>
      </w:r>
      <w:r>
        <w:rPr>
          <w:bCs/>
          <w:b/>
        </w:rPr>
        <w:t xml:space="preserve">deployer</w:t>
      </w:r>
      <w:r>
        <w:t xml:space="preserve"> </w:t>
      </w:r>
      <w:r>
        <w:t xml:space="preserve">role: deepfakes and AI-generated text on matters of public interest published without human review must carry a clear and perceivable label. The obligation is not deferred — unlike the Article 50(2) provider marking duty, which the AI Omnibus defers to December 2026 for generative systems placed on the market before 2 August 2026, deepfake labelling received no equivalent grace period.</w:t>
      </w:r>
    </w:p>
    <w:p>
      <w:pPr>
        <w:pStyle w:val="BodyText"/>
      </w:pPr>
      <w:r>
        <w:t xml:space="preserve">An audit of every public DWS surface (</w:t>
      </w:r>
      <w:r>
        <w:rPr>
          <w:rStyle w:val="VerbatimChar"/>
        </w:rPr>
        <w:t xml:space="preserve">dws6.com</w:t>
      </w:r>
      <w:r>
        <w:t xml:space="preserve">,</w:t>
      </w:r>
      <w:r>
        <w:t xml:space="preserve"> </w:t>
      </w:r>
      <w:r>
        <w:rPr>
          <w:rStyle w:val="VerbatimChar"/>
        </w:rPr>
        <w:t xml:space="preserve">dws10.com</w:t>
      </w:r>
      <w:r>
        <w:t xml:space="preserve">,</w:t>
      </w:r>
      <w:r>
        <w:t xml:space="preserve"> </w:t>
      </w:r>
      <w:r>
        <w:rPr>
          <w:rStyle w:val="VerbatimChar"/>
        </w:rPr>
        <w:t xml:space="preserve">onelifetime.world</w:t>
      </w:r>
      <w:r>
        <w:t xml:space="preserve">,</w:t>
      </w:r>
      <w:r>
        <w:t xml:space="preserve"> </w:t>
      </w:r>
      <w:r>
        <w:rPr>
          <w:rStyle w:val="VerbatimChar"/>
        </w:rPr>
        <w:t xml:space="preserve">lifetime.fi</w:t>
      </w:r>
      <w:r>
        <w:t xml:space="preserve">) identified the exposed assets: two AI-generated presenter videos and four AI-generated persona portraits.</w:t>
      </w:r>
    </w:p>
    <w:bookmarkEnd w:id="329"/>
    <w:bookmarkStart w:id="330" w:name="Xbc040206af05a4f3ecc073bbcb4f2312fd22f8e"/>
    <w:p>
      <w:pPr>
        <w:pStyle w:val="Heading3"/>
      </w:pPr>
      <w:r>
        <w:t xml:space="preserve">10.16.2 Implementation: the mark is composited into the media, not the page</w:t>
      </w:r>
    </w:p>
    <w:p>
      <w:pPr>
        <w:pStyle w:val="FirstParagraph"/>
      </w:pPr>
      <w:r>
        <w:t xml:space="preserve">The first implementation attempt placed the EU</w:t>
      </w:r>
      <w:r>
        <w:t xml:space="preserve"> </w:t>
      </w:r>
      <w:r>
        <w:rPr>
          <w:bCs/>
          <w:b/>
        </w:rPr>
        <w:t xml:space="preserve">AI GENERATED</w:t>
      </w:r>
      <w:r>
        <w:t xml:space="preserve"> </w:t>
      </w:r>
      <w:r>
        <w:t xml:space="preserve">icon as an HTML/CSS overlay positioned above the</w:t>
      </w:r>
      <w:r>
        <w:t xml:space="preserve"> </w:t>
      </w:r>
      <w:r>
        <w:rPr>
          <w:rStyle w:val="VerbatimChar"/>
        </w:rPr>
        <w:t xml:space="preserve">&lt;video&gt;</w:t>
      </w:r>
      <w:r>
        <w:t xml:space="preserve"> </w:t>
      </w:r>
      <w:r>
        <w:t xml:space="preserve">element. This satisfies perceivability while the visitor is on the page and fails the moment the artefact leaves it: a downloaded or re-shared copy carries no label, because the label was a property of the page rather than of the media.</w:t>
      </w:r>
    </w:p>
    <w:p>
      <w:pPr>
        <w:pStyle w:val="BodyText"/>
      </w:pPr>
      <w:r>
        <w:t xml:space="preserve">The shipped implementation composites the icon into the video frames before publication, using an</w:t>
      </w:r>
      <w:r>
        <w:t xml:space="preserve"> </w:t>
      </w:r>
      <w:r>
        <w:rPr>
          <w:rStyle w:val="VerbatimChar"/>
        </w:rPr>
        <w:t xml:space="preserve">ffmpeg</w:t>
      </w:r>
      <w:r>
        <w:t xml:space="preserve"> </w:t>
      </w:r>
      <w:r>
        <w:t xml:space="preserve">overlay filter (icon scaled to ~22% of frame width, bottom-right, 24 px margin, present for the full duration), then derives the poster frame and the VP9/WebM fallback from the already-marked master so every delivered representation carries the mark. Each composite was verified visually — a frame extracted and inspected — before publication, rather than assumed from a successful exit code.</w:t>
      </w:r>
    </w:p>
    <w:p>
      <w:pPr>
        <w:pStyle w:val="BodyText"/>
      </w:pPr>
      <w:r>
        <w:t xml:space="preserve">The persona portraits were resolved differently. Because the AI-persona team section was being replaced by real named industry roles, the section was</w:t>
      </w:r>
      <w:r>
        <w:t xml:space="preserve"> </w:t>
      </w:r>
      <w:r>
        <w:rPr>
          <w:bCs/>
          <w:b/>
        </w:rPr>
        <w:t xml:space="preserve">retired</w:t>
      </w:r>
      <w:r>
        <w:t xml:space="preserve"> </w:t>
      </w:r>
      <w:r>
        <w:t xml:space="preserve">rather than labelled: removing the assets eliminated the exposure without investing marking effort in content scheduled for deletion. This is recorded because it is a general result — where exposed content is already slated for replacement, retirement dominates labelling on both cost and honesty.</w:t>
      </w:r>
    </w:p>
    <w:bookmarkEnd w:id="330"/>
    <w:bookmarkStart w:id="331" w:name="the-engineering-rule-this-produced"/>
    <w:p>
      <w:pPr>
        <w:pStyle w:val="Heading3"/>
      </w:pPr>
      <w:r>
        <w:t xml:space="preserve">10.16.3 The engineering rule this produced</w:t>
      </w:r>
    </w:p>
    <w:p>
      <w:pPr>
        <w:pStyle w:val="BlockText"/>
      </w:pPr>
      <w:r>
        <w:t xml:space="preserve">A transparency marking implemented at the presentation layer is not a marking; it is a caption.</w:t>
      </w:r>
    </w:p>
    <w:p>
      <w:pPr>
        <w:pStyle w:val="FirstParagraph"/>
      </w:pPr>
      <w:r>
        <w:t xml:space="preserve">Article 50’s placement requirement is, in engineering terms, a demand for</w:t>
      </w:r>
      <w:r>
        <w:t xml:space="preserve"> </w:t>
      </w:r>
      <w:r>
        <w:rPr>
          <w:bCs/>
          <w:b/>
        </w:rPr>
        <w:t xml:space="preserve">provenance that survives egress</w:t>
      </w:r>
      <w:r>
        <w:t xml:space="preserve"> </w:t>
      </w:r>
      <w:r>
        <w:t xml:space="preserve">— the same property C2PA content credentials assert for media and the same property the Article 12 evidence chain requires of agent logs. A label that lives in the rendering context cannot satisfy it. Any marking implementation must therefore be evaluated against the question</w:t>
      </w:r>
      <w:r>
        <w:t xml:space="preserve"> </w:t>
      </w:r>
      <w:r>
        <w:rPr>
          <w:iCs/>
          <w:i/>
        </w:rPr>
        <w:t xml:space="preserve">“</w:t>
      </w:r>
      <w:r>
        <w:rPr>
          <w:iCs/>
          <w:i/>
        </w:rPr>
        <w:t xml:space="preserve">does this survive download and re-share?</w:t>
      </w:r>
      <w:r>
        <w:rPr>
          <w:iCs/>
          <w:i/>
        </w:rPr>
        <w:t xml:space="preserve">”</w:t>
      </w:r>
      <w:r>
        <w:t xml:space="preserve">, and only in-media compositing (or a cryptographically bound sidecar the consuming surface is obliged to honour) passes.</w:t>
      </w:r>
    </w:p>
    <w:p>
      <w:pPr>
        <w:pStyle w:val="BodyText"/>
      </w:pPr>
      <w:r>
        <w:t xml:space="preserve">The corresponding operational finding is that</w:t>
      </w:r>
      <w:r>
        <w:t xml:space="preserve"> </w:t>
      </w:r>
      <w:r>
        <w:rPr>
          <w:bCs/>
          <w:b/>
        </w:rPr>
        <w:t xml:space="preserve">deployer-side labelling, not provider-side watermarking, is the near-term binding constraint</w:t>
      </w:r>
      <w:r>
        <w:t xml:space="preserve">: the half of Article 50 that is cheap to implement and immediately verifiable by a regulator is the half with no grace period.</w:t>
      </w:r>
    </w:p>
    <w:p>
      <w:pPr>
        <w:pStyle w:val="BodyText"/>
      </w:pPr>
      <w:r>
        <w:rPr>
          <w:iCs/>
          <w:i/>
        </w:rPr>
        <w:t xml:space="preserve">Field note:</w:t>
      </w:r>
      <w:r>
        <w:rPr>
          <w:iCs/>
          <w:i/>
        </w:rPr>
        <w:t xml:space="preserve"> </w:t>
      </w:r>
      <w:r>
        <w:rPr>
          <w:rStyle w:val="VerbatimChar"/>
          <w:iCs/>
          <w:i/>
        </w:rPr>
        <w:t xml:space="preserve">docs/field-notes/2026-07-31-article-50-transparency-marking-audit.md</w:t>
      </w:r>
      <w:r>
        <w:rPr>
          <w:iCs/>
          <w:i/>
        </w:rPr>
        <w:t xml:space="preserve"> </w:t>
      </w:r>
      <w:r>
        <w:rPr>
          <w:iCs/>
          <w:i/>
        </w:rPr>
        <w:t xml:space="preserve">and</w:t>
      </w:r>
      <w:r>
        <w:rPr>
          <w:iCs/>
          <w:i/>
        </w:rPr>
        <w:t xml:space="preserve"> </w:t>
      </w:r>
      <w:r>
        <w:rPr>
          <w:rStyle w:val="VerbatimChar"/>
          <w:iCs/>
          <w:i/>
        </w:rPr>
        <w:t xml:space="preserve">docs/field-notes/2026-08-01-persona-retirement-and-reveal.md</w:t>
      </w:r>
      <w:r>
        <w:rPr>
          <w:iCs/>
          <w:i/>
        </w:rPr>
        <w:t xml:space="preserve">. Scientific restatement and the obligation–capability analysis: PHD_FIREHORSE §14.46 (Key Contribution #51).</w:t>
      </w:r>
    </w:p>
    <w:p>
      <w:r>
        <w:pict>
          <v:rect style="width:0;height:1.5pt" o:hralign="center" o:hrstd="t" o:hr="t"/>
        </w:pict>
      </w:r>
    </w:p>
    <w:bookmarkEnd w:id="331"/>
    <w:bookmarkEnd w:id="332"/>
    <w:bookmarkStart w:id="371" w:name="X59a2e25a4123114666acfc8d83777fc16ea9645"/>
    <w:p>
      <w:pPr>
        <w:pStyle w:val="Heading2"/>
      </w:pPr>
      <w:r>
        <w:t xml:space="preserve">Bibliography (Oxford Notes-Bibliography Style) — v3.61</w:t>
      </w:r>
    </w:p>
    <w:p>
      <w:pPr>
        <w:pStyle w:val="FirstParagraph"/>
      </w:pPr>
      <w:r>
        <w:t xml:space="preserve">Added in v3.61 (28.05.2026) to enumerate the canonical sources cited by the chapters of this master’s thesis. Citation style is Oxford notes-bibliography: each footnote</w:t>
      </w:r>
      <w:r>
        <w:t xml:space="preserve"> </w:t>
      </w:r>
      <w:r>
        <w:rPr>
          <w:rStyle w:val="VerbatimChar"/>
        </w:rPr>
        <w:t xml:space="preserve">[^N]</w:t>
      </w:r>
      <w:r>
        <w:t xml:space="preserve"> </w:t>
      </w:r>
      <w:r>
        <w:t xml:space="preserve">denotes one source; the chapter index that follows the list shows which chapter relies on which footnote. Chapters not listed in the index do not cite these sources.</w:t>
      </w:r>
    </w:p>
    <w:bookmarkStart w:id="358" w:name="chapter-by-chapter-reference-index"/>
    <w:p>
      <w:pPr>
        <w:pStyle w:val="Heading3"/>
      </w:pPr>
      <w:r>
        <w:t xml:space="preserve">Chapter-by-chapter reference index</w:t>
      </w:r>
    </w:p>
    <w:p>
      <w:pPr>
        <w:pStyle w:val="BlockText"/>
      </w:pPr>
      <w:r>
        <w:rPr>
          <w:bCs/>
          <w:b/>
        </w:rPr>
        <w:t xml:space="preserve">Referenced sources by chapter.</w:t>
      </w:r>
      <w:r>
        <w:t xml:space="preserve"> </w:t>
      </w:r>
      <w:r>
        <w:t xml:space="preserve">Chapters relying on one or more of the footnotes below are listed here so the reader can resolve every in-text reference without scanning the full document.</w:t>
      </w:r>
    </w:p>
    <w:tbl>
      <w:tblPr>
        <w:tblStyle w:val="Table"/>
        <w:tblW w:type="pct" w:w="5000"/>
        <w:tblLook w:firstRow="1" w:lastRow="0" w:firstColumn="0" w:lastColumn="0" w:noHBand="0" w:noVBand="0" w:val="0020"/>
        <w:jc w:val="start"/>
      </w:tblPr>
      <w:tblGrid>
        <w:gridCol w:w="4889"/>
        <w:gridCol w:w="3030"/>
      </w:tblGrid>
      <w:tr>
        <w:trPr>
          <w:tblHeader w:val="true"/>
        </w:trPr>
        <w:tc>
          <w:tcPr/>
          <w:p>
            <w:pPr>
              <w:pStyle w:val="Compact"/>
              <w:jc w:val="left"/>
            </w:pPr>
            <w:r>
              <w:t xml:space="preserve">Chapter</w:t>
            </w:r>
          </w:p>
        </w:tc>
        <w:tc>
          <w:tcPr/>
          <w:p>
            <w:pPr>
              <w:pStyle w:val="Compact"/>
              <w:jc w:val="left"/>
            </w:pPr>
            <w:r>
              <w:t xml:space="preserve">Footnotes cited</w:t>
            </w:r>
          </w:p>
        </w:tc>
      </w:tr>
      <w:tr>
        <w:tc>
          <w:tcPr/>
          <w:p>
            <w:pPr>
              <w:pStyle w:val="Compact"/>
              <w:jc w:val="left"/>
            </w:pPr>
            <w:r>
              <w:t xml:space="preserve">Sovereignty segmentation discussion (Aegis / Sovereign Infra / Connect)</w:t>
            </w:r>
          </w:p>
        </w:tc>
        <w:tc>
          <w:tcPr/>
          <w:p>
            <w:pPr>
              <w:pStyle w:val="Compact"/>
              <w:jc w:val="left"/>
            </w:pPr>
            <w:r>
              <w:rPr>
                <w:rStyle w:val="FootnoteReference"/>
              </w:rPr>
              <w:footnoteReference w:id="333"/>
            </w:r>
            <w:r>
              <w:t xml:space="preserve">,</w:t>
            </w:r>
            <w:r>
              <w:t xml:space="preserve"> </w:t>
            </w:r>
            <w:r>
              <w:rPr>
                <w:rStyle w:val="FootnoteReference"/>
              </w:rPr>
              <w:footnoteReference w:id="334"/>
            </w:r>
            <w:r>
              <w:t xml:space="preserve">,</w:t>
            </w:r>
            <w:r>
              <w:t xml:space="preserve"> </w:t>
            </w:r>
            <w:r>
              <w:rPr>
                <w:rStyle w:val="FootnoteReference"/>
              </w:rPr>
              <w:footnoteReference w:id="335"/>
            </w:r>
            <w:r>
              <w:t xml:space="preserve">,</w:t>
            </w:r>
            <w:r>
              <w:t xml:space="preserve"> </w:t>
            </w:r>
            <w:r>
              <w:rPr>
                <w:rStyle w:val="FootnoteReference"/>
              </w:rPr>
              <w:footnoteReference w:id="337"/>
            </w:r>
            <w:r>
              <w:t xml:space="preserve">,</w:t>
            </w:r>
            <w:r>
              <w:t xml:space="preserve"> </w:t>
            </w:r>
            <w:r>
              <w:rPr>
                <w:rStyle w:val="FootnoteReference"/>
              </w:rPr>
              <w:footnoteReference w:id="338"/>
            </w:r>
            <w:r>
              <w:t xml:space="preserve">,</w:t>
            </w:r>
            <w:r>
              <w:t xml:space="preserve"> </w:t>
            </w:r>
            <w:r>
              <w:rPr>
                <w:rStyle w:val="FootnoteReference"/>
              </w:rPr>
              <w:footnoteReference w:id="339"/>
            </w:r>
            <w:r>
              <w:t xml:space="preserve">,</w:t>
            </w:r>
            <w:r>
              <w:t xml:space="preserve"> </w:t>
            </w:r>
            <w:r>
              <w:rPr>
                <w:rStyle w:val="FootnoteReference"/>
              </w:rPr>
              <w:footnoteReference w:id="340"/>
            </w:r>
          </w:p>
        </w:tc>
      </w:tr>
      <w:tr>
        <w:tc>
          <w:tcPr/>
          <w:p>
            <w:pPr>
              <w:pStyle w:val="Compact"/>
              <w:jc w:val="left"/>
            </w:pPr>
            <w:r>
              <w:t xml:space="preserve">KYA Partner Ecosystem (Appendix H equivalent) and trust-stack chapter</w:t>
            </w:r>
          </w:p>
        </w:tc>
        <w:tc>
          <w:tcPr/>
          <w:p>
            <w:pPr>
              <w:pStyle w:val="Compact"/>
              <w:jc w:val="left"/>
            </w:pPr>
            <w:r>
              <w:rPr>
                <w:rStyle w:val="FootnoteReference"/>
              </w:rPr>
              <w:footnoteReference w:id="342"/>
            </w:r>
            <w:r>
              <w:t xml:space="preserve">,</w:t>
            </w:r>
            <w:r>
              <w:t xml:space="preserve"> </w:t>
            </w:r>
            <w:r>
              <w:rPr>
                <w:rStyle w:val="FootnoteReference"/>
              </w:rPr>
              <w:footnoteReference w:id="343"/>
            </w:r>
          </w:p>
        </w:tc>
      </w:tr>
      <w:tr>
        <w:tc>
          <w:tcPr/>
          <w:p>
            <w:pPr>
              <w:pStyle w:val="Compact"/>
              <w:jc w:val="left"/>
            </w:pPr>
            <w:r>
              <w:t xml:space="preserve">Pilot / case-study chapter (Outokumpu Tier-1)</w:t>
            </w:r>
          </w:p>
        </w:tc>
        <w:tc>
          <w:tcPr/>
          <w:p>
            <w:pPr>
              <w:pStyle w:val="Compact"/>
              <w:jc w:val="left"/>
            </w:pPr>
            <w:r>
              <w:rPr>
                <w:rStyle w:val="FootnoteReference"/>
              </w:rPr>
              <w:footnoteReference w:id="344"/>
            </w:r>
          </w:p>
        </w:tc>
      </w:tr>
      <w:tr>
        <w:tc>
          <w:tcPr/>
          <w:p>
            <w:pPr>
              <w:pStyle w:val="Compact"/>
              <w:jc w:val="left"/>
            </w:pPr>
            <w:r>
              <w:t xml:space="preserve">Domain compliance chapter (construction multi-jurisdiction)</w:t>
            </w:r>
          </w:p>
        </w:tc>
        <w:tc>
          <w:tcPr/>
          <w:p>
            <w:pPr>
              <w:pStyle w:val="Compact"/>
              <w:jc w:val="left"/>
            </w:pPr>
            <w:r>
              <w:rPr>
                <w:rStyle w:val="FootnoteReference"/>
              </w:rPr>
              <w:footnoteReference w:id="345"/>
            </w:r>
          </w:p>
        </w:tc>
      </w:tr>
      <w:tr>
        <w:tc>
          <w:tcPr/>
          <w:p>
            <w:pPr>
              <w:pStyle w:val="Compact"/>
              <w:jc w:val="left"/>
            </w:pPr>
            <w:r>
              <w:t xml:space="preserve">Partnerships chapter (xAI etc.)</w:t>
            </w:r>
          </w:p>
        </w:tc>
        <w:tc>
          <w:tcPr/>
          <w:p>
            <w:pPr>
              <w:pStyle w:val="Compact"/>
              <w:jc w:val="left"/>
            </w:pPr>
            <w:r>
              <w:rPr>
                <w:rStyle w:val="FootnoteReference"/>
              </w:rPr>
              <w:footnoteReference w:id="346"/>
            </w:r>
            <w:r>
              <w:t xml:space="preserve">,</w:t>
            </w:r>
            <w:r>
              <w:t xml:space="preserve"> </w:t>
            </w:r>
            <w:r>
              <w:rPr>
                <w:rStyle w:val="FootnoteReference"/>
              </w:rPr>
              <w:footnoteReference w:id="347"/>
            </w:r>
          </w:p>
        </w:tc>
      </w:tr>
      <w:tr>
        <w:tc>
          <w:tcPr/>
          <w:p>
            <w:pPr>
              <w:pStyle w:val="Compact"/>
              <w:jc w:val="left"/>
            </w:pPr>
            <w:r>
              <w:t xml:space="preserve">Quantum / cryptography chapter</w:t>
            </w:r>
          </w:p>
        </w:tc>
        <w:tc>
          <w:tcPr/>
          <w:p>
            <w:pPr>
              <w:pStyle w:val="Compact"/>
              <w:jc w:val="left"/>
            </w:pPr>
            <w:r>
              <w:rPr>
                <w:rStyle w:val="FootnoteReference"/>
              </w:rPr>
              <w:footnoteReference w:id="348"/>
            </w:r>
            <w:r>
              <w:t xml:space="preserve">,</w:t>
            </w:r>
            <w:r>
              <w:t xml:space="preserve"> </w:t>
            </w:r>
            <w:r>
              <w:rPr>
                <w:rStyle w:val="FootnoteReference"/>
              </w:rPr>
              <w:footnoteReference w:id="349"/>
            </w:r>
            <w:r>
              <w:t xml:space="preserve">,</w:t>
            </w:r>
            <w:r>
              <w:t xml:space="preserve"> </w:t>
            </w:r>
            <w:r>
              <w:rPr>
                <w:rStyle w:val="FootnoteReference"/>
              </w:rPr>
              <w:footnoteReference w:id="351"/>
            </w:r>
            <w:r>
              <w:t xml:space="preserve">,</w:t>
            </w:r>
            <w:r>
              <w:t xml:space="preserve"> </w:t>
            </w:r>
            <w:r>
              <w:rPr>
                <w:rStyle w:val="FootnoteReference"/>
              </w:rPr>
              <w:footnoteReference w:id="353"/>
            </w:r>
          </w:p>
        </w:tc>
      </w:tr>
      <w:tr>
        <w:tc>
          <w:tcPr/>
          <w:p>
            <w:pPr>
              <w:pStyle w:val="Compact"/>
              <w:jc w:val="left"/>
            </w:pPr>
            <w:r>
              <w:t xml:space="preserve">Regulatory chapter (EU AI Act, eIDAS 2.0, EU Data Act)</w:t>
            </w:r>
          </w:p>
        </w:tc>
        <w:tc>
          <w:tcPr/>
          <w:p>
            <w:pPr>
              <w:pStyle w:val="Compact"/>
              <w:jc w:val="left"/>
            </w:pPr>
            <w:r>
              <w:rPr>
                <w:rStyle w:val="FootnoteReference"/>
              </w:rPr>
              <w:footnoteReference w:id="355"/>
            </w:r>
            <w:r>
              <w:t xml:space="preserve">,</w:t>
            </w:r>
            <w:r>
              <w:t xml:space="preserve"> </w:t>
            </w:r>
            <w:r>
              <w:rPr>
                <w:rStyle w:val="FootnoteReference"/>
              </w:rPr>
              <w:footnoteReference w:id="356"/>
            </w:r>
            <w:r>
              <w:t xml:space="preserve">,</w:t>
            </w:r>
            <w:r>
              <w:t xml:space="preserve"> </w:t>
            </w:r>
            <w:r>
              <w:rPr>
                <w:rStyle w:val="FootnoteReference"/>
              </w:rPr>
              <w:footnoteReference w:id="357"/>
            </w:r>
          </w:p>
        </w:tc>
      </w:tr>
    </w:tbl>
    <w:bookmarkEnd w:id="358"/>
    <w:bookmarkStart w:id="359" w:name="footnote-bibliography"/>
    <w:p>
      <w:pPr>
        <w:pStyle w:val="Heading3"/>
      </w:pPr>
      <w:r>
        <w:t xml:space="preserve">Footnote bibliography</w:t>
      </w:r>
    </w:p>
    <w:bookmarkEnd w:id="359"/>
    <w:bookmarkStart w:id="366" w:name="Xbb829561309baa2ae1ac17cca571f56b8a58cc9"/>
    <w:p>
      <w:pPr>
        <w:pStyle w:val="Heading3"/>
      </w:pPr>
      <w:r>
        <w:t xml:space="preserve">10.25 Polyglot Observability in Production: Aspire Dashboard Adoption and the Silent-Telemetry Incident</w:t>
      </w:r>
    </w:p>
    <w:bookmarkStart w:id="360" w:name="context-and-decision-path"/>
    <w:p>
      <w:pPr>
        <w:pStyle w:val="Heading4"/>
      </w:pPr>
      <w:r>
        <w:t xml:space="preserve">10.25.1 Context and Decision Path</w:t>
      </w:r>
    </w:p>
    <w:p>
      <w:pPr>
        <w:pStyle w:val="FirstParagraph"/>
      </w:pPr>
      <w:r>
        <w:t xml:space="preserve">The April 2026 tooling analysis (</w:t>
      </w:r>
      <w:r>
        <w:rPr>
          <w:rStyle w:val="VerbatimChar"/>
        </w:rPr>
        <w:t xml:space="preserve">docs/field-notes/2026-04-10-aspire-13-2-isolated-mode.md</w:t>
      </w:r>
      <w:r>
        <w:t xml:space="preserve">) evaluated three adoption options for Microsoft’s Aspire observability stack on the DGX Spark sovereign-edge device: (1) dashboard-only — run the standalone Aspire Dashboard container as a language-agnostic OTLP receiver; (2) full AppHost + ServiceDefaults orchestration; (3) defer. Option 1 was selected and deployed:</w:t>
      </w:r>
      <w:r>
        <w:t xml:space="preserve"> </w:t>
      </w:r>
      <w:r>
        <w:rPr>
          <w:rStyle w:val="VerbatimChar"/>
        </w:rPr>
        <w:t xml:space="preserve">mcr.microsoft.com/dotnet/aspire-dashboard:13.3.5</w:t>
      </w:r>
      <w:r>
        <w:t xml:space="preserve"> </w:t>
      </w:r>
      <w:r>
        <w:t xml:space="preserve">(version-pinned, never</w:t>
      </w:r>
      <w:r>
        <w:t xml:space="preserve"> </w:t>
      </w:r>
      <w:r>
        <w:rPr>
          <w:rStyle w:val="VerbatimChar"/>
        </w:rPr>
        <w:t xml:space="preserve">:latest</w:t>
      </w:r>
      <w:r>
        <w:t xml:space="preserve">) in</w:t>
      </w:r>
      <w:r>
        <w:t xml:space="preserve"> </w:t>
      </w:r>
      <w:r>
        <w:rPr>
          <w:rStyle w:val="VerbatimChar"/>
        </w:rPr>
        <w:t xml:space="preserve">infrastructure/dgx-spark/docker-compose.yml</w:t>
      </w:r>
      <w:r>
        <w:t xml:space="preserve">. The determining factors were that the dashboard accepts standard OTLP telemetry from any language — the DWS IQ 6 stack is TypeScript (backend, agents) and Python (Firehorse) — and that dashboard-only adoption requires no .NET toolchain on the edge device.</w:t>
      </w:r>
    </w:p>
    <w:bookmarkEnd w:id="360"/>
    <w:bookmarkStart w:id="361" w:name="implementation-inventory"/>
    <w:p>
      <w:pPr>
        <w:pStyle w:val="Heading4"/>
      </w:pPr>
      <w:r>
        <w:t xml:space="preserve">10.25.2 Implementation Inventory</w:t>
      </w:r>
    </w:p>
    <w:p>
      <w:pPr>
        <w:pStyle w:val="FirstParagraph"/>
      </w:pPr>
      <w:r>
        <w:t xml:space="preserve">The observability layer as deployed consists of:</w:t>
      </w:r>
    </w:p>
    <w:p>
      <w:pPr>
        <w:numPr>
          <w:ilvl w:val="0"/>
          <w:numId w:val="1119"/>
        </w:numPr>
        <w:pStyle w:val="Compact"/>
      </w:pPr>
      <w:r>
        <w:rPr>
          <w:rStyle w:val="VerbatimChar"/>
          <w:bCs/>
          <w:b/>
        </w:rPr>
        <w:t xml:space="preserve">src/observability/otel.ts</w:t>
      </w:r>
      <w:r>
        <w:t xml:space="preserve"> </w:t>
      </w:r>
      <w:r>
        <w:t xml:space="preserve">— opt-in OpenTelemetry SDK initialization. If</w:t>
      </w:r>
      <w:r>
        <w:t xml:space="preserve"> </w:t>
      </w:r>
      <w:r>
        <w:rPr>
          <w:rStyle w:val="VerbatimChar"/>
        </w:rPr>
        <w:t xml:space="preserve">OTEL_EXPORTER_OTLP_ENDPOINT</w:t>
      </w:r>
      <w:r>
        <w:t xml:space="preserve"> </w:t>
      </w:r>
      <w:r>
        <w:t xml:space="preserve">is unset, no provider registers and every tracing helper degrades to a no-op; nothing leaves the host until the operator sets the endpoint (sovereignty-by-default). Graceful flush on SIGTERM/SIGINT.</w:t>
      </w:r>
    </w:p>
    <w:p>
      <w:pPr>
        <w:numPr>
          <w:ilvl w:val="0"/>
          <w:numId w:val="1119"/>
        </w:numPr>
        <w:pStyle w:val="Compact"/>
      </w:pPr>
      <w:r>
        <w:rPr>
          <w:rStyle w:val="VerbatimChar"/>
          <w:bCs/>
          <w:b/>
        </w:rPr>
        <w:t xml:space="preserve">src/observability/tracing.ts</w:t>
      </w:r>
      <w:r>
        <w:t xml:space="preserve"> </w:t>
      </w:r>
      <w:r>
        <w:t xml:space="preserve">— span helpers at the four points that matter for postmortems:</w:t>
      </w:r>
      <w:r>
        <w:t xml:space="preserve"> </w:t>
      </w:r>
      <w:r>
        <w:rPr>
          <w:rStyle w:val="VerbatimChar"/>
        </w:rPr>
        <w:t xml:space="preserve">withAgentSpan</w:t>
      </w:r>
      <w:r>
        <w:t xml:space="preserve"> </w:t>
      </w:r>
      <w:r>
        <w:t xml:space="preserve">(one root span per agent execution),</w:t>
      </w:r>
      <w:r>
        <w:t xml:space="preserve"> </w:t>
      </w:r>
      <w:r>
        <w:rPr>
          <w:rStyle w:val="VerbatimChar"/>
        </w:rPr>
        <w:t xml:space="preserve">withWorkflowSpan</w:t>
      </w:r>
      <w:r>
        <w:t xml:space="preserve">/</w:t>
      </w:r>
      <w:r>
        <w:rPr>
          <w:rStyle w:val="VerbatimChar"/>
        </w:rPr>
        <w:t xml:space="preserve">withWorkflowStepSpan</w:t>
      </w:r>
      <w:r>
        <w:t xml:space="preserve">,</w:t>
      </w:r>
      <w:r>
        <w:t xml:space="preserve"> </w:t>
      </w:r>
      <w:r>
        <w:rPr>
          <w:rStyle w:val="VerbatimChar"/>
        </w:rPr>
        <w:t xml:space="preserve">withLLMSpan</w:t>
      </w:r>
      <w:r>
        <w:t xml:space="preserve"> </w:t>
      </w:r>
      <w:r>
        <w:t xml:space="preserve">(per LLM call, emitting OpenTelemetry</w:t>
      </w:r>
      <w:r>
        <w:t xml:space="preserve"> </w:t>
      </w:r>
      <w:r>
        <w:rPr>
          <w:bCs/>
          <w:b/>
        </w:rPr>
        <w:t xml:space="preserve">GenAI semantic-convention</w:t>
      </w:r>
      <w:r>
        <w:t xml:space="preserve"> </w:t>
      </w:r>
      <w:r>
        <w:t xml:space="preserve">attributes:</w:t>
      </w:r>
      <w:r>
        <w:t xml:space="preserve"> </w:t>
      </w:r>
      <w:r>
        <w:rPr>
          <w:rStyle w:val="VerbatimChar"/>
        </w:rPr>
        <w:t xml:space="preserve">gen_ai.system</w:t>
      </w:r>
      <w:r>
        <w:t xml:space="preserve">,</w:t>
      </w:r>
      <w:r>
        <w:t xml:space="preserve"> </w:t>
      </w:r>
      <w:r>
        <w:rPr>
          <w:rStyle w:val="VerbatimChar"/>
        </w:rPr>
        <w:t xml:space="preserve">gen_ai.request.model</w:t>
      </w:r>
      <w:r>
        <w:t xml:space="preserve">,</w:t>
      </w:r>
      <w:r>
        <w:t xml:space="preserve"> </w:t>
      </w:r>
      <w:r>
        <w:rPr>
          <w:rStyle w:val="VerbatimChar"/>
        </w:rPr>
        <w:t xml:space="preserve">gen_ai.usage.input_tokens</w:t>
      </w:r>
      <w:r>
        <w:t xml:space="preserve">/</w:t>
      </w:r>
      <w:r>
        <w:rPr>
          <w:rStyle w:val="VerbatimChar"/>
        </w:rPr>
        <w:t xml:space="preserve">output_tokens</w:t>
      </w:r>
      <w:r>
        <w:t xml:space="preserve">, finish reasons), and</w:t>
      </w:r>
      <w:r>
        <w:t xml:space="preserve"> </w:t>
      </w:r>
      <w:r>
        <w:rPr>
          <w:rStyle w:val="VerbatimChar"/>
        </w:rPr>
        <w:t xml:space="preserve">withToolSpan</w:t>
      </w:r>
      <w:r>
        <w:t xml:space="preserve"> </w:t>
      </w:r>
      <w:r>
        <w:t xml:space="preserve">(per tool invocation, with chain position/length).</w:t>
      </w:r>
    </w:p>
    <w:p>
      <w:pPr>
        <w:numPr>
          <w:ilvl w:val="0"/>
          <w:numId w:val="1119"/>
        </w:numPr>
        <w:pStyle w:val="Compact"/>
      </w:pPr>
      <w:r>
        <w:rPr>
          <w:rStyle w:val="VerbatimChar"/>
          <w:bCs/>
          <w:b/>
        </w:rPr>
        <w:t xml:space="preserve">src/agents/telemetry.types.ts</w:t>
      </w:r>
      <w:r>
        <w:rPr>
          <w:bCs/>
          <w:b/>
        </w:rPr>
        <w:t xml:space="preserve"> </w:t>
      </w:r>
      <w:r>
        <w:rPr>
          <w:bCs/>
          <w:b/>
        </w:rPr>
        <w:t xml:space="preserve">+ migration</w:t>
      </w:r>
      <w:r>
        <w:rPr>
          <w:bCs/>
          <w:b/>
        </w:rPr>
        <w:t xml:space="preserve"> </w:t>
      </w:r>
      <w:r>
        <w:rPr>
          <w:rStyle w:val="VerbatimChar"/>
          <w:bCs/>
          <w:b/>
        </w:rPr>
        <w:t xml:space="preserve">066_tool_telemetry_genai.sql</w:t>
      </w:r>
      <w:r>
        <w:t xml:space="preserve"> </w:t>
      </w:r>
      <w:r>
        <w:t xml:space="preserve">— the same</w:t>
      </w:r>
      <w:r>
        <w:t xml:space="preserve"> </w:t>
      </w:r>
      <w:r>
        <w:rPr>
          <w:rStyle w:val="VerbatimChar"/>
        </w:rPr>
        <w:t xml:space="preserve">gen_ai.*</w:t>
      </w:r>
      <w:r>
        <w:t xml:space="preserve"> </w:t>
      </w:r>
      <w:r>
        <w:t xml:space="preserve">vocabulary persisted to the Supabase</w:t>
      </w:r>
      <w:r>
        <w:t xml:space="preserve"> </w:t>
      </w:r>
      <w:r>
        <w:rPr>
          <w:rStyle w:val="VerbatimChar"/>
        </w:rPr>
        <w:t xml:space="preserve">tool_telemetry</w:t>
      </w:r>
      <w:r>
        <w:t xml:space="preserve"> </w:t>
      </w:r>
      <w:r>
        <w:t xml:space="preserve">table, cross-referenced to OTel traces by</w:t>
      </w:r>
      <w:r>
        <w:t xml:space="preserve"> </w:t>
      </w:r>
      <w:r>
        <w:rPr>
          <w:rStyle w:val="VerbatimChar"/>
        </w:rPr>
        <w:t xml:space="preserve">trace_id</w:t>
      </w:r>
      <w:r>
        <w:t xml:space="preserve">/</w:t>
      </w:r>
      <w:r>
        <w:rPr>
          <w:rStyle w:val="VerbatimChar"/>
        </w:rPr>
        <w:t xml:space="preserve">span_id</w:t>
      </w:r>
      <w:r>
        <w:t xml:space="preserve">. This gives the EU AI Act Article 12 audit trail and the developer-facing trace UI a shared vocabulary rather than two disjoint logging schemes.</w:t>
      </w:r>
    </w:p>
    <w:p>
      <w:pPr>
        <w:numPr>
          <w:ilvl w:val="0"/>
          <w:numId w:val="1119"/>
        </w:numPr>
        <w:pStyle w:val="Compact"/>
      </w:pPr>
      <w:r>
        <w:rPr>
          <w:bCs/>
          <w:b/>
        </w:rPr>
        <w:t xml:space="preserve">Three OTLP producers</w:t>
      </w:r>
      <w:r>
        <w:t xml:space="preserve"> </w:t>
      </w:r>
      <w:r>
        <w:t xml:space="preserve">on the DGX Spark compose network:</w:t>
      </w:r>
      <w:r>
        <w:t xml:space="preserve"> </w:t>
      </w:r>
      <w:r>
        <w:rPr>
          <w:rStyle w:val="VerbatimChar"/>
        </w:rPr>
        <w:t xml:space="preserve">dws-backend</w:t>
      </w:r>
      <w:r>
        <w:t xml:space="preserve">,</w:t>
      </w:r>
      <w:r>
        <w:t xml:space="preserve"> </w:t>
      </w:r>
      <w:r>
        <w:rPr>
          <w:rStyle w:val="VerbatimChar"/>
        </w:rPr>
        <w:t xml:space="preserve">dws-cron</w:t>
      </w:r>
      <w:r>
        <w:t xml:space="preserve">, and the</w:t>
      </w:r>
      <w:r>
        <w:t xml:space="preserve"> </w:t>
      </w:r>
      <w:r>
        <w:rPr>
          <w:rStyle w:val="VerbatimChar"/>
        </w:rPr>
        <w:t xml:space="preserve">bumblebee-collector</w:t>
      </w:r>
      <w:r>
        <w:t xml:space="preserve"> </w:t>
      </w:r>
      <w:r>
        <w:t xml:space="preserve">supply-chain scanner.</w:t>
      </w:r>
    </w:p>
    <w:bookmarkEnd w:id="361"/>
    <w:bookmarkStart w:id="362" w:name="the-silent-telemetry-incident-july-2026"/>
    <w:p>
      <w:pPr>
        <w:pStyle w:val="Heading4"/>
      </w:pPr>
      <w:r>
        <w:t xml:space="preserve">10.25.3 The Silent-Telemetry Incident (July 2026)</w:t>
      </w:r>
    </w:p>
    <w:p>
      <w:pPr>
        <w:pStyle w:val="FirstParagraph"/>
      </w:pPr>
      <w:r>
        <w:t xml:space="preserve">A primary-source verification pass against the Aspire dashboard configuration reference (aspire.dev, fetched 2026-07-07) established that the standalone dashboard serves three distinct endpoints: the browser UI on port 18888, OTLP/gRPC on 18889, and OTLP/HTTP on 18890. All three DWS producers were configured to push</w:t>
      </w:r>
      <w:r>
        <w:t xml:space="preserve"> </w:t>
      </w:r>
      <w:r>
        <w:rPr>
          <w:rStyle w:val="VerbatimChar"/>
        </w:rPr>
        <w:t xml:space="preserve">http/protobuf</w:t>
      </w:r>
      <w:r>
        <w:t xml:space="preserve"> </w:t>
      </w:r>
      <w:r>
        <w:t xml:space="preserve">telemetry to</w:t>
      </w:r>
      <w:r>
        <w:t xml:space="preserve"> </w:t>
      </w:r>
      <w:r>
        <w:rPr>
          <w:bCs/>
          <w:b/>
        </w:rPr>
        <w:t xml:space="preserve">port 18888 — the UI endpoint</w:t>
      </w:r>
      <w:r>
        <w:t xml:space="preserve">. Every span, metric, and log emitted since deployment had been silently dropped.</w:t>
      </w:r>
    </w:p>
    <w:p>
      <w:pPr>
        <w:pStyle w:val="BodyText"/>
      </w:pPr>
      <w:r>
        <w:t xml:space="preserve">The change history makes the incident instructive rather than merely embarrassing. The misconfiguration was introduced by a</w:t>
      </w:r>
      <w:r>
        <w:t xml:space="preserve"> </w:t>
      </w:r>
      <w:r>
        <w:rPr>
          <w:iCs/>
          <w:i/>
        </w:rPr>
        <w:t xml:space="preserve">fix</w:t>
      </w:r>
      <w:r>
        <w:t xml:space="preserve">: compose v1.2.0 had</w:t>
      </w:r>
      <w:r>
        <w:t xml:space="preserve"> </w:t>
      </w:r>
      <w:r>
        <w:t xml:space="preserve">“</w:t>
      </w:r>
      <w:r>
        <w:t xml:space="preserve">corrected</w:t>
      </w:r>
      <w:r>
        <w:t xml:space="preserve">”</w:t>
      </w:r>
      <w:r>
        <w:t xml:space="preserve"> </w:t>
      </w:r>
      <w:r>
        <w:t xml:space="preserve">the OTel wiring by moving the endpoint from 18889 (the gRPC port — wrong protocol for an HTTP exporter) to 18888 (right protocol, wrong endpoint). Both configurations pass every liveness check: the ports accept TCP connections, the container reports healthy, the heartbeat service’s</w:t>
      </w:r>
      <w:r>
        <w:t xml:space="preserve"> </w:t>
      </w:r>
      <w:r>
        <w:rPr>
          <w:rStyle w:val="VerbatimChar"/>
        </w:rPr>
        <w:t xml:space="preserve">CHECK_ASPIRE</w:t>
      </w:r>
      <w:r>
        <w:t xml:space="preserve"> </w:t>
      </w:r>
      <w:r>
        <w:t xml:space="preserve">probe succeeds. The OTel</w:t>
      </w:r>
      <w:r>
        <w:t xml:space="preserve"> </w:t>
      </w:r>
      <w:r>
        <w:rPr>
          <w:rStyle w:val="VerbatimChar"/>
        </w:rPr>
        <w:t xml:space="preserve">BatchSpanProcessor</w:t>
      </w:r>
      <w:r>
        <w:t xml:space="preserve"> </w:t>
      </w:r>
      <w:r>
        <w:t xml:space="preserve">swallows export failures by design, so no error surfaced in any log. The system looked fully instrumented and was completely blind. The correction shipped as compose v1.3.1 (all three producers → 18890).</w:t>
      </w:r>
    </w:p>
    <w:bookmarkEnd w:id="362"/>
    <w:bookmarkStart w:id="363" w:name="engineering-lessons"/>
    <w:p>
      <w:pPr>
        <w:pStyle w:val="Heading4"/>
      </w:pPr>
      <w:r>
        <w:t xml:space="preserve">10.25.4 Engineering Lessons</w:t>
      </w:r>
    </w:p>
    <w:p>
      <w:pPr>
        <w:numPr>
          <w:ilvl w:val="0"/>
          <w:numId w:val="1120"/>
        </w:numPr>
        <w:pStyle w:val="Compact"/>
      </w:pPr>
      <w:r>
        <w:rPr>
          <w:bCs/>
          <w:b/>
        </w:rPr>
        <w:t xml:space="preserve">Verification must include observed behavior, not just artifact presence.</w:t>
      </w:r>
      <w:r>
        <w:t xml:space="preserve"> </w:t>
      </w:r>
      <w:r>
        <w:t xml:space="preserve">The April field note’s gap-detection rule —</w:t>
      </w:r>
      <w:r>
        <w:t xml:space="preserve"> </w:t>
      </w:r>
      <w:r>
        <w:t xml:space="preserve">“</w:t>
      </w:r>
      <w:r>
        <w:t xml:space="preserve">when the narrative layer mentions a version number, verify it against the actual deployed artifact</w:t>
      </w:r>
      <w:r>
        <w:t xml:space="preserve">”</w:t>
      </w:r>
      <w:r>
        <w:t xml:space="preserve"> </w:t>
      </w:r>
      <w:r>
        <w:t xml:space="preserve">— proved insufficient. Here the artifact existed and the narrative had lagged in the</w:t>
      </w:r>
      <w:r>
        <w:t xml:space="preserve"> </w:t>
      </w:r>
      <w:r>
        <w:rPr>
          <w:iCs/>
          <w:i/>
        </w:rPr>
        <w:t xml:space="preserve">pessimistic</w:t>
      </w:r>
      <w:r>
        <w:t xml:space="preserve"> </w:t>
      </w:r>
      <w:r>
        <w:t xml:space="preserve">direction (later documents still described the dashboard as</w:t>
      </w:r>
      <w:r>
        <w:t xml:space="preserve"> </w:t>
      </w:r>
      <w:r>
        <w:t xml:space="preserve">“</w:t>
      </w:r>
      <w:r>
        <w:t xml:space="preserve">not deployed</w:t>
      </w:r>
      <w:r>
        <w:t xml:space="preserve">”</w:t>
      </w:r>
      <w:r>
        <w:t xml:space="preserve">), while the deployed artifact was itself broken. The strengthened rule: verify against the deployed artifact</w:t>
      </w:r>
      <w:r>
        <w:t xml:space="preserve"> </w:t>
      </w:r>
      <w:r>
        <w:rPr>
          <w:iCs/>
          <w:i/>
        </w:rPr>
        <w:t xml:space="preserve">and its observed behavior</w:t>
      </w:r>
      <w:r>
        <w:t xml:space="preserve">. A dashboard receiving zero telemetry is indistinguishable from a dashboard nobody wired up.</w:t>
      </w:r>
    </w:p>
    <w:p>
      <w:pPr>
        <w:numPr>
          <w:ilvl w:val="0"/>
          <w:numId w:val="1120"/>
        </w:numPr>
        <w:pStyle w:val="Compact"/>
      </w:pPr>
      <w:r>
        <w:rPr>
          <w:bCs/>
          <w:b/>
        </w:rPr>
        <w:t xml:space="preserve">Fail-silent subsystems inside a fail-loud architecture need compensating controls.</w:t>
      </w:r>
      <w:r>
        <w:t xml:space="preserve"> </w:t>
      </w:r>
      <w:r>
        <w:t xml:space="preserve">Engineering Discipline Rule 12 (</w:t>
      </w:r>
      <w:r>
        <w:t xml:space="preserve">“</w:t>
      </w:r>
      <w:r>
        <w:t xml:space="preserve">fail loud</w:t>
      </w:r>
      <w:r>
        <w:t xml:space="preserve">”</w:t>
      </w:r>
      <w:r>
        <w:t xml:space="preserve">) is implemented across the DWS agent layer, but the OTel export pipeline is fail-silent by upstream design. The compensating control is an end-to-end assertion — a periodic check that traces</w:t>
      </w:r>
      <w:r>
        <w:t xml:space="preserve"> </w:t>
      </w:r>
      <w:r>
        <w:rPr>
          <w:iCs/>
          <w:i/>
        </w:rPr>
        <w:t xml:space="preserve">arrive</w:t>
      </w:r>
      <w:r>
        <w:t xml:space="preserve">, not merely that the receiving port is open. This is queued as a heartbeat extension.</w:t>
      </w:r>
    </w:p>
    <w:p>
      <w:pPr>
        <w:numPr>
          <w:ilvl w:val="0"/>
          <w:numId w:val="1120"/>
        </w:numPr>
        <w:pStyle w:val="Compact"/>
      </w:pPr>
      <w:r>
        <w:rPr>
          <w:bCs/>
          <w:b/>
        </w:rPr>
        <w:t xml:space="preserve">Adjacent-port misconfiguration is a distinct failure class.</w:t>
      </w:r>
      <w:r>
        <w:t xml:space="preserve"> </w:t>
      </w:r>
      <w:r>
        <w:t xml:space="preserve">Three functionally different endpoints on consecutive ports (18888/18889/18890), all accepting connections, convert a one-character configuration error into a silent data-loss event. Infrastructure comments now document all three ports at the service definition.</w:t>
      </w:r>
    </w:p>
    <w:bookmarkEnd w:id="363"/>
    <w:bookmarkStart w:id="364" w:name="Xe3c9a6f672385b85febd0fa74d8f9d0791426e6"/>
    <w:p>
      <w:pPr>
        <w:pStyle w:val="Heading4"/>
      </w:pPr>
      <w:r>
        <w:t xml:space="preserve">10.25.5 Open Decision: GenAI Message-Content Capture</w:t>
      </w:r>
    </w:p>
    <w:p>
      <w:pPr>
        <w:pStyle w:val="FirstParagraph"/>
      </w:pPr>
      <w:r>
        <w:t xml:space="preserve">The dashboard’s GenAI visualizer (introduced in Aspire 9.5, improved in 13.2) renders LLM spans as a chat log — system prompt, messages, tool calls, token counts — when message content is recorded onto spans. The DWS</w:t>
      </w:r>
      <w:r>
        <w:t xml:space="preserve"> </w:t>
      </w:r>
      <w:r>
        <w:rPr>
          <w:rStyle w:val="VerbatimChar"/>
        </w:rPr>
        <w:t xml:space="preserve">withLLMSpan</w:t>
      </w:r>
      <w:r>
        <w:t xml:space="preserve"> </w:t>
      </w:r>
      <w:r>
        <w:t xml:space="preserve">helper deliberately records</w:t>
      </w:r>
      <w:r>
        <w:t xml:space="preserve"> </w:t>
      </w:r>
      <w:r>
        <w:rPr>
          <w:bCs/>
          <w:b/>
        </w:rPr>
        <w:t xml:space="preserve">metadata only</w:t>
      </w:r>
      <w:r>
        <w:t xml:space="preserve"> </w:t>
      </w:r>
      <w:r>
        <w:t xml:space="preserve">(model identifiers, token counts, finish reasons), not prompt or completion bodies. Enabling content capture would place customer-derived text into dashboard memory; that is a data-protection decision (GDPR scope, customer confidentiality), not a tooling decision, and it remains with the human operator. Default: off.</w:t>
      </w:r>
    </w:p>
    <w:p>
      <w:pPr>
        <w:pStyle w:val="BodyText"/>
      </w:pPr>
      <w:r>
        <w:rPr>
          <w:iCs/>
          <w:i/>
        </w:rPr>
        <w:t xml:space="preserve">Companion artefacts:</w:t>
      </w:r>
      <w:r>
        <w:rPr>
          <w:iCs/>
          <w:i/>
        </w:rPr>
        <w:t xml:space="preserve"> </w:t>
      </w:r>
      <w:r>
        <w:rPr>
          <w:rStyle w:val="VerbatimChar"/>
          <w:iCs/>
          <w:i/>
        </w:rPr>
        <w:t xml:space="preserve">docs/field-notes/2026-07-07-aspire-development-evolution-pr1500-to-main.md</w:t>
      </w:r>
      <w:r>
        <w:rPr>
          <w:iCs/>
          <w:i/>
        </w:rPr>
        <w:t xml:space="preserve"> </w:t>
      </w:r>
      <w:r>
        <w:rPr>
          <w:iCs/>
          <w:i/>
        </w:rPr>
        <w:t xml:space="preserve">(v1.1),</w:t>
      </w:r>
      <w:r>
        <w:rPr>
          <w:iCs/>
          <w:i/>
        </w:rPr>
        <w:t xml:space="preserve"> </w:t>
      </w:r>
      <w:r>
        <w:rPr>
          <w:rStyle w:val="VerbatimChar"/>
          <w:iCs/>
          <w:i/>
        </w:rPr>
        <w:t xml:space="preserve">docs/field-notes/2026-04-10-aspire-13-2-isolated-mode.md</w:t>
      </w:r>
      <w:r>
        <w:rPr>
          <w:iCs/>
          <w:i/>
        </w:rPr>
        <w:t xml:space="preserve">,</w:t>
      </w:r>
      <w:r>
        <w:rPr>
          <w:iCs/>
          <w:i/>
        </w:rPr>
        <w:t xml:space="preserve"> </w:t>
      </w:r>
      <w:r>
        <w:rPr>
          <w:rStyle w:val="VerbatimChar"/>
          <w:iCs/>
          <w:i/>
        </w:rPr>
        <w:t xml:space="preserve">docs/research/2026-04-08-aspire-observability-vs-dotnet-skills.md</w:t>
      </w:r>
      <w:r>
        <w:rPr>
          <w:iCs/>
          <w:i/>
        </w:rPr>
        <w:t xml:space="preserve">. Market-signal and standardisation framing: PHD_FIREHORSE §14.37 per the thesis content-scope rule.</w:t>
      </w:r>
    </w:p>
    <w:bookmarkEnd w:id="364"/>
    <w:bookmarkStart w:id="365" w:name="Xbac07d35bec19a05bb0fd6dead9aa24c23e3f80"/>
    <w:p>
      <w:pPr>
        <w:pStyle w:val="Heading4"/>
      </w:pPr>
      <w:r>
        <w:t xml:space="preserve">10.25.6 Amendment (v3.79): The Span-Stamped Authorization Verdict</w:t>
      </w:r>
    </w:p>
    <w:p>
      <w:pPr>
        <w:pStyle w:val="FirstParagraph"/>
      </w:pPr>
      <w:r>
        <w:t xml:space="preserve">External critique (Hakimi, 07.07.2026) identified the structural limit of this section as originally shipped:</w:t>
      </w:r>
      <w:r>
        <w:t xml:space="preserve"> </w:t>
      </w:r>
      <w:r>
        <w:rPr>
          <w:iCs/>
          <w:i/>
        </w:rPr>
        <w:t xml:space="preserve">“</w:t>
      </w:r>
      <w:r>
        <w:rPr>
          <w:iCs/>
          <w:i/>
        </w:rPr>
        <w:t xml:space="preserve">every LLM call it lights up is a record of what already fired. The trace shows the agent reached prod. It never shows whether it should have been able to.</w:t>
      </w:r>
      <w:r>
        <w:rPr>
          <w:iCs/>
          <w:i/>
        </w:rPr>
        <w:t xml:space="preserve">”</w:t>
      </w:r>
      <w:r>
        <w:t xml:space="preserve"> </w:t>
      </w:r>
      <w:r>
        <w:t xml:space="preserve">Verified against the code, the critique was accurate — the LLM client’s only authorization concept was the provider</w:t>
      </w:r>
      <w:r>
        <w:t xml:space="preserve"> </w:t>
      </w:r>
      <w:r>
        <w:rPr>
          <w:rStyle w:val="VerbatimChar"/>
        </w:rPr>
        <w:t xml:space="preserve">Bearer</w:t>
      </w:r>
      <w:r>
        <w:t xml:space="preserve"> </w:t>
      </w:r>
      <w:r>
        <w:t xml:space="preserve">header, and KYA trust-score enforcement lived solely at the sandbox boundary (</w:t>
      </w:r>
      <w:r>
        <w:rPr>
          <w:rStyle w:val="VerbatimChar"/>
        </w:rPr>
        <w:t xml:space="preserve">nemoclaw-sandbox.ts</w:t>
      </w:r>
      <w:r>
        <w:t xml:space="preserve">,</w:t>
      </w:r>
      <w:r>
        <w:t xml:space="preserve"> </w:t>
      </w:r>
      <w:r>
        <w:rPr>
          <w:rStyle w:val="VerbatimChar"/>
        </w:rPr>
        <w:t xml:space="preserve">nemoclaw-bridge.ts</w:t>
      </w:r>
      <w:r>
        <w:t xml:space="preserve">), on a code path disconnected from telemetry.</w:t>
      </w:r>
    </w:p>
    <w:p>
      <w:pPr>
        <w:pStyle w:val="BodyText"/>
      </w:pPr>
      <w:r>
        <w:t xml:space="preserve">The same-day answer extends the span vocabulary rather than adding a parallel system:</w:t>
      </w:r>
      <w:r>
        <w:t xml:space="preserve"> </w:t>
      </w:r>
      <w:r>
        <w:rPr>
          <w:rStyle w:val="VerbatimChar"/>
        </w:rPr>
        <w:t xml:space="preserve">withAgentSpan</w:t>
      </w:r>
      <w:r>
        <w:t xml:space="preserve"> </w:t>
      </w:r>
      <w:r>
        <w:t xml:space="preserve">and</w:t>
      </w:r>
      <w:r>
        <w:t xml:space="preserve"> </w:t>
      </w:r>
      <w:r>
        <w:rPr>
          <w:rStyle w:val="VerbatimChar"/>
        </w:rPr>
        <w:t xml:space="preserve">withLLMSpan</w:t>
      </w:r>
      <w:r>
        <w:t xml:space="preserve"> </w:t>
      </w:r>
      <w:r>
        <w:t xml:space="preserve">now accept a</w:t>
      </w:r>
      <w:r>
        <w:t xml:space="preserve"> </w:t>
      </w:r>
      <w:r>
        <w:rPr>
          <w:rStyle w:val="VerbatimChar"/>
        </w:rPr>
        <w:t xml:space="preserve">KYAVerdict</w:t>
      </w:r>
      <w:r>
        <w:t xml:space="preserve"> </w:t>
      </w:r>
      <w:r>
        <w:t xml:space="preserve">(</w:t>
      </w:r>
      <w:r>
        <w:rPr>
          <w:rStyle w:val="VerbatimChar"/>
        </w:rPr>
        <w:t xml:space="preserve">decision</w:t>
      </w:r>
      <w:r>
        <w:t xml:space="preserve">,</w:t>
      </w:r>
      <w:r>
        <w:t xml:space="preserve"> </w:t>
      </w:r>
      <w:r>
        <w:rPr>
          <w:rStyle w:val="VerbatimChar"/>
        </w:rPr>
        <w:t xml:space="preserve">trustScore</w:t>
      </w:r>
      <w:r>
        <w:t xml:space="preserve">,</w:t>
      </w:r>
      <w:r>
        <w:t xml:space="preserve"> </w:t>
      </w:r>
      <w:r>
        <w:rPr>
          <w:rStyle w:val="VerbatimChar"/>
        </w:rPr>
        <w:t xml:space="preserve">policyVersion</w:t>
      </w:r>
      <w:r>
        <w:t xml:space="preserve">,</w:t>
      </w:r>
      <w:r>
        <w:t xml:space="preserve"> </w:t>
      </w:r>
      <w:r>
        <w:rPr>
          <w:rStyle w:val="VerbatimChar"/>
        </w:rPr>
        <w:t xml:space="preserve">gate</w:t>
      </w:r>
      <w:r>
        <w:t xml:space="preserve">) and stamp</w:t>
      </w:r>
      <w:r>
        <w:t xml:space="preserve"> </w:t>
      </w:r>
      <w:r>
        <w:rPr>
          <w:rStyle w:val="VerbatimChar"/>
        </w:rPr>
        <w:t xml:space="preserve">dws.kya.verdict</w:t>
      </w:r>
      <w:r>
        <w:t xml:space="preserve"> </w:t>
      </w:r>
      <w:r>
        <w:t xml:space="preserve">/</w:t>
      </w:r>
      <w:r>
        <w:t xml:space="preserve"> </w:t>
      </w:r>
      <w:r>
        <w:rPr>
          <w:rStyle w:val="VerbatimChar"/>
        </w:rPr>
        <w:t xml:space="preserve">dws.kya.trust_score</w:t>
      </w:r>
      <w:r>
        <w:t xml:space="preserve"> </w:t>
      </w:r>
      <w:r>
        <w:t xml:space="preserve">/</w:t>
      </w:r>
      <w:r>
        <w:t xml:space="preserve"> </w:t>
      </w:r>
      <w:r>
        <w:rPr>
          <w:rStyle w:val="VerbatimChar"/>
        </w:rPr>
        <w:t xml:space="preserve">dws.kya.policy_version</w:t>
      </w:r>
      <w:r>
        <w:t xml:space="preserve"> </w:t>
      </w:r>
      <w:r>
        <w:t xml:space="preserve">/</w:t>
      </w:r>
      <w:r>
        <w:t xml:space="preserve"> </w:t>
      </w:r>
      <w:r>
        <w:rPr>
          <w:rStyle w:val="VerbatimChar"/>
        </w:rPr>
        <w:t xml:space="preserve">dws.kya.gate</w:t>
      </w:r>
      <w:r>
        <w:t xml:space="preserve"> </w:t>
      </w:r>
      <w:r>
        <w:t xml:space="preserve">alongside the</w:t>
      </w:r>
      <w:r>
        <w:t xml:space="preserve"> </w:t>
      </w:r>
      <w:r>
        <w:rPr>
          <w:rStyle w:val="VerbatimChar"/>
        </w:rPr>
        <w:t xml:space="preserve">gen_ai.*</w:t>
      </w:r>
      <w:r>
        <w:t xml:space="preserve"> </w:t>
      </w:r>
      <w:r>
        <w:t xml:space="preserve">attributes, so one trace answers both questions — what fired, and under what authority it was allowed to fire. The load-bearing design decision is the default: a span with no verdict is stamped</w:t>
      </w:r>
      <w:r>
        <w:t xml:space="preserve"> </w:t>
      </w:r>
      <w:r>
        <w:rPr>
          <w:rStyle w:val="VerbatimChar"/>
        </w:rPr>
        <w:t xml:space="preserve">dws.kya.verdict: "ungated"</w:t>
      </w:r>
      <w:r>
        <w:t xml:space="preserve">, never left blank. Absence becomes a queryable finding — filtering the trace UI on</w:t>
      </w:r>
      <w:r>
        <w:t xml:space="preserve"> </w:t>
      </w:r>
      <w:r>
        <w:rPr>
          <w:rStyle w:val="VerbatimChar"/>
        </w:rPr>
        <w:t xml:space="preserve">ungated</w:t>
      </w:r>
      <w:r>
        <w:t xml:space="preserve"> </w:t>
      </w:r>
      <w:r>
        <w:t xml:space="preserve">enumerates every execution path no gate cleared — instead of being indistinguishable from gated execution (Engineering Discipline Rule 12 applied to authorization coverage).</w:t>
      </w:r>
    </w:p>
    <w:p>
      <w:pPr>
        <w:pStyle w:val="BodyText"/>
      </w:pPr>
      <w:r>
        <w:t xml:space="preserve">The honest baseline this makes visible: as of v3.79 every production span reads</w:t>
      </w:r>
      <w:r>
        <w:t xml:space="preserve"> </w:t>
      </w:r>
      <w:r>
        <w:rPr>
          <w:rStyle w:val="VerbatimChar"/>
        </w:rPr>
        <w:t xml:space="preserve">ungated</w:t>
      </w:r>
      <w:r>
        <w:t xml:space="preserve">, because no call site yet threads the sandbox verdict through. The count of ungated spans</w:t>
      </w:r>
      <w:r>
        <w:t xml:space="preserve"> </w:t>
      </w:r>
      <w:r>
        <w:rPr>
          <w:iCs/>
          <w:i/>
        </w:rPr>
        <w:t xml:space="preserve">is</w:t>
      </w:r>
      <w:r>
        <w:t xml:space="preserve"> </w:t>
      </w:r>
      <w:r>
        <w:t xml:space="preserve">the authorization-coverage gap metric; driving it to zero (verdict emission at the sandbox gate, threading through the agent runner and LLM client) is the named follow-up. Unit tests cover both the stamped-verdict and ungated-default paths.</w:t>
      </w:r>
      <w:r>
        <w:t xml:space="preserve"> </w:t>
      </w:r>
      <w:r>
        <w:rPr>
          <w:iCs/>
          <w:i/>
        </w:rPr>
        <w:t xml:space="preserve">Field note:</w:t>
      </w:r>
      <w:r>
        <w:rPr>
          <w:iCs/>
          <w:i/>
        </w:rPr>
        <w:t xml:space="preserve"> </w:t>
      </w:r>
      <w:r>
        <w:rPr>
          <w:rStyle w:val="VerbatimChar"/>
          <w:iCs/>
          <w:i/>
        </w:rPr>
        <w:t xml:space="preserve">docs/field-notes/2026-07-07-hakimi-observability-vs-authorization.md</w:t>
      </w:r>
      <w:r>
        <w:rPr>
          <w:iCs/>
          <w:i/>
        </w:rPr>
        <w:t xml:space="preserve">; scientific restatement: PHD_FIREHORSE §14.37.4.</w:t>
      </w:r>
    </w:p>
    <w:bookmarkEnd w:id="365"/>
    <w:bookmarkEnd w:id="366"/>
    <w:bookmarkStart w:id="370" w:name="X604b9f522d3f03f9824dc613faad9b8a4830105"/>
    <w:p>
      <w:pPr>
        <w:pStyle w:val="Heading3"/>
      </w:pPr>
      <w:r>
        <w:t xml:space="preserve">10.28 Trajectory-Aware Model Escalation: The DWS Factory Router</w:t>
      </w:r>
    </w:p>
    <w:p>
      <w:pPr>
        <w:pStyle w:val="FirstParagraph"/>
      </w:pPr>
      <w:r>
        <w:t xml:space="preserve">DWS IQ 6 runs agents on a cost ladder: cheap models take every task first, and capability is bought only when evidence demands it. Until August 2026 that escalation was manual — an operator noticed a stuck session and re-ran it on a stronger model. This section records the implementation that mechanized the decision, and the audit-driven adopt/adapt path that produced it.</w:t>
      </w:r>
    </w:p>
    <w:bookmarkStart w:id="367" w:name="the-adoptadapt-decision"/>
    <w:p>
      <w:pPr>
        <w:pStyle w:val="Heading4"/>
      </w:pPr>
      <w:r>
        <w:t xml:space="preserve">10.28.1 The adopt/adapt decision</w:t>
      </w:r>
    </w:p>
    <w:p>
      <w:pPr>
        <w:pStyle w:val="FirstParagraph"/>
      </w:pPr>
      <w:r>
        <w:t xml:space="preserve">The candidate was SageRoute (codejunkie99/sageroute, MIT), a trajectory-aware routing proxy published July 2026. A source-level audit (field note</w:t>
      </w:r>
      <w:r>
        <w:t xml:space="preserve"> </w:t>
      </w:r>
      <w:r>
        <w:rPr>
          <w:rStyle w:val="VerbatimChar"/>
        </w:rPr>
        <w:t xml:space="preserve">docs/field-notes/2026-08-03-agent-factory-sageroute-audit.md</w:t>
      </w:r>
      <w:r>
        <w:t xml:space="preserve">) found the deterministic core excellent and the deployment posture unacceptable for DWS on three grounds: every routing verdict shipped task-text and tool-output fragments to an external decision API (Levanto Sage) with no discoverable GDPR posture; the OAuth module impersonated first-party CLI clients to route consumer-subscription quota through the proxy — a provider-ToS violation vector; and the codebase was two days old with a single observed live escalation. The decision — REJECT deployment, ADAPT the deterministic pieces — was ratified by the HIC and shipped the same day as</w:t>
      </w:r>
      <w:r>
        <w:t xml:space="preserve"> </w:t>
      </w:r>
      <w:r>
        <w:rPr>
          <w:rStyle w:val="VerbatimChar"/>
        </w:rPr>
        <w:t xml:space="preserve">src/factory/</w:t>
      </w:r>
      <w:r>
        <w:t xml:space="preserve">.</w:t>
      </w:r>
    </w:p>
    <w:bookmarkEnd w:id="367"/>
    <w:bookmarkStart w:id="368" w:name="architecture-1"/>
    <w:p>
      <w:pPr>
        <w:pStyle w:val="Heading4"/>
      </w:pPr>
      <w:r>
        <w:t xml:space="preserve">10.28.2 Architecture</w:t>
      </w:r>
    </w:p>
    <w:p>
      <w:pPr>
        <w:pStyle w:val="FirstParagraph"/>
      </w:pPr>
      <w:r>
        <w:t xml:space="preserve">The router is three pure stages, all offline.</w:t>
      </w:r>
      <w:r>
        <w:t xml:space="preserve"> </w:t>
      </w:r>
      <w:r>
        <w:rPr>
          <w:bCs/>
          <w:b/>
        </w:rPr>
        <w:t xml:space="preserve">Evidence recovery</w:t>
      </w:r>
      <w:r>
        <w:t xml:space="preserve"> </w:t>
      </w:r>
      <w:r>
        <w:t xml:space="preserve">maps both agent wire formats DWS encounters (Anthropic Messages</w:t>
      </w:r>
      <w:r>
        <w:t xml:space="preserve"> </w:t>
      </w:r>
      <w:r>
        <w:rPr>
          <w:rStyle w:val="VerbatimChar"/>
        </w:rPr>
        <w:t xml:space="preserve">tool_use</w:t>
      </w:r>
      <w:r>
        <w:t xml:space="preserve">/</w:t>
      </w:r>
      <w:r>
        <w:rPr>
          <w:rStyle w:val="VerbatimChar"/>
        </w:rPr>
        <w:t xml:space="preserve">tool_result</w:t>
      </w:r>
      <w:r>
        <w:t xml:space="preserve"> </w:t>
      </w:r>
      <w:r>
        <w:t xml:space="preserve">blocks and OpenAI Responses</w:t>
      </w:r>
      <w:r>
        <w:t xml:space="preserve"> </w:t>
      </w:r>
      <w:r>
        <w:rPr>
          <w:rStyle w:val="VerbatimChar"/>
        </w:rPr>
        <w:t xml:space="preserve">function_call</w:t>
      </w:r>
      <w:r>
        <w:t xml:space="preserve">/</w:t>
      </w:r>
      <w:r>
        <w:rPr>
          <w:rStyle w:val="VerbatimChar"/>
        </w:rPr>
        <w:t xml:space="preserve">function_call_output</w:t>
      </w:r>
      <w:r>
        <w:t xml:space="preserve"> </w:t>
      </w:r>
      <w:r>
        <w:t xml:space="preserve">items) onto one trajectory model: per-step tool name, argument digest, output digest, success flag, and a coarse comparable error class.</w:t>
      </w:r>
      <w:r>
        <w:t xml:space="preserve"> </w:t>
      </w:r>
      <w:r>
        <w:rPr>
          <w:bCs/>
          <w:b/>
        </w:rPr>
        <w:t xml:space="preserve">Deterministic detectors</w:t>
      </w:r>
      <w:r>
        <w:t xml:space="preserve"> </w:t>
      </w:r>
      <w:r>
        <w:t xml:space="preserve">then compute signals no model is consulted for (Engineering Discipline Rule 5): identical action+observation 3×, the same error class 3× back-to-back, ping-pong alternation 4×, write→failing-test thrash cycles, steps-since-progress (a rewrite is not progress; only a passing execution resets the counter), and budget burn.</w:t>
      </w:r>
      <w:r>
        <w:t xml:space="preserve"> </w:t>
      </w:r>
      <w:r>
        <w:rPr>
          <w:bCs/>
          <w:b/>
        </w:rPr>
        <w:t xml:space="preserve">The ladder</w:t>
      </w:r>
      <w:r>
        <w:t xml:space="preserve"> </w:t>
      </w:r>
      <w:r>
        <w:t xml:space="preserve">converts signals into one of four actions —</w:t>
      </w:r>
      <w:r>
        <w:t xml:space="preserve"> </w:t>
      </w:r>
      <w:r>
        <w:rPr>
          <w:rStyle w:val="VerbatimChar"/>
        </w:rPr>
        <w:t xml:space="preserve">continue</w:t>
      </w:r>
      <w:r>
        <w:t xml:space="preserve"> </w:t>
      </w:r>
      <w:r>
        <w:t xml:space="preserve">→</w:t>
      </w:r>
      <w:r>
        <w:t xml:space="preserve"> </w:t>
      </w:r>
      <w:r>
        <w:rPr>
          <w:rStyle w:val="VerbatimChar"/>
        </w:rPr>
        <w:t xml:space="preserve">switch_model</w:t>
      </w:r>
      <w:r>
        <w:t xml:space="preserve"> </w:t>
      </w:r>
      <w:r>
        <w:t xml:space="preserve">→</w:t>
      </w:r>
      <w:r>
        <w:t xml:space="preserve"> </w:t>
      </w:r>
      <w:r>
        <w:rPr>
          <w:rStyle w:val="VerbatimChar"/>
        </w:rPr>
        <w:t xml:space="preserve">restart_clean</w:t>
      </w:r>
      <w:r>
        <w:t xml:space="preserve"> </w:t>
      </w:r>
      <w:r>
        <w:t xml:space="preserve">→</w:t>
      </w:r>
      <w:r>
        <w:t xml:space="preserve"> </w:t>
      </w:r>
      <w:r>
        <w:rPr>
          <w:rStyle w:val="VerbatimChar"/>
        </w:rPr>
        <w:t xml:space="preserve">escalate_human</w:t>
      </w:r>
      <w:r>
        <w:t xml:space="preserve"> </w:t>
      </w:r>
      <w:r>
        <w:t xml:space="preserve">— behind guardrails: budget stop before any other logic, capability-before-retry (a cheap-tier restart becomes a switch while a switch remains), asymmetric hysteresis (the first cheap→strong hop fires on one bad checkpoint; disruptive actions need two agreeing ones), and a strictly one-way climb.</w:t>
      </w:r>
    </w:p>
    <w:p>
      <w:pPr>
        <w:pStyle w:val="BodyText"/>
      </w:pPr>
      <w:r>
        <w:t xml:space="preserve">The upstream design consulted a remote</w:t>
      </w:r>
      <w:r>
        <w:t xml:space="preserve"> </w:t>
      </w:r>
      <w:r>
        <w:t xml:space="preserve">“</w:t>
      </w:r>
      <w:r>
        <w:t xml:space="preserve">calibrated confidence</w:t>
      </w:r>
      <w:r>
        <w:t xml:space="preserve">”</w:t>
      </w:r>
      <w:r>
        <w:t xml:space="preserve"> </w:t>
      </w:r>
      <w:r>
        <w:t xml:space="preserve">API at the decision point; the DWS adaptation replaces that call with a transparent additive heuristic over the same signal report, making every verdict explainable from the evidence block and making the router EU-sovereign by construction — nothing leaves the machine.</w:t>
      </w:r>
      <w:r>
        <w:t xml:space="preserve"> </w:t>
      </w:r>
      <w:r>
        <w:rPr>
          <w:rStyle w:val="VerbatimChar"/>
        </w:rPr>
        <w:t xml:space="preserve">escalate_human</w:t>
      </w:r>
      <w:r>
        <w:t xml:space="preserve"> </w:t>
      </w:r>
      <w:r>
        <w:t xml:space="preserve">is surfaced as a hard stop, which is the EU AI Act Article 14 intervention point expressed in the routing layer.</w:t>
      </w:r>
    </w:p>
    <w:bookmarkEnd w:id="368"/>
    <w:bookmarkStart w:id="369" w:name="verification-and-productization"/>
    <w:p>
      <w:pPr>
        <w:pStyle w:val="Heading4"/>
      </w:pPr>
      <w:r>
        <w:t xml:space="preserve">10.28.3 Verification and productization</w:t>
      </w:r>
    </w:p>
    <w:p>
      <w:pPr>
        <w:pStyle w:val="FirstParagraph"/>
      </w:pPr>
      <w:r>
        <w:t xml:space="preserve">Fifteen tests assert detector and ladder intent (loop kinds, thrash counting that naive loop detection misses, gate calibration, hysteresis, one-way-ladder invariants, budget and switch/restart exhaustion); the full repository suite passed unchanged. The capability is agent-accessible per the Agent Productization Rule:</w:t>
      </w:r>
      <w:r>
        <w:t xml:space="preserve"> </w:t>
      </w:r>
      <w:r>
        <w:rPr>
          <w:rStyle w:val="VerbatimChar"/>
        </w:rPr>
        <w:t xml:space="preserve">npm run factory:route</w:t>
      </w:r>
      <w:r>
        <w:t xml:space="preserve"> </w:t>
      </w:r>
      <w:r>
        <w:t xml:space="preserve">emits a structured JSON verdict with exit codes 0/2/3/4 so shell pipelines branch without parsing, and</w:t>
      </w:r>
      <w:r>
        <w:t xml:space="preserve"> </w:t>
      </w:r>
      <w:r>
        <w:rPr>
          <w:rStyle w:val="VerbatimChar"/>
        </w:rPr>
        <w:t xml:space="preserve">/factory-route</w:t>
      </w:r>
      <w:r>
        <w:t xml:space="preserve"> </w:t>
      </w:r>
      <w:r>
        <w:t xml:space="preserve">registers the procedure as a skill. The engineering lesson mirrors §10.27’s artifact–legitimacy gap from the consumer side: a 48-hour agent-written codebase can be distribution-grade in its deterministic core and simultaneously undeployable in its trust posture — the audit boundary, not the code quality, decided what was adopted.</w:t>
      </w:r>
    </w:p>
    <w:bookmarkEnd w:id="369"/>
    <w:bookmarkEnd w:id="370"/>
    <w:bookmarkEnd w:id="371"/>
    <w:bookmarkEnd w:id="3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3">
    <w:p>
      <w:pPr>
        <w:pStyle w:val="FootnoteText"/>
      </w:pPr>
      <w:r>
        <w:rPr>
          <w:rStyle w:val="FootnoteReference"/>
        </w:rPr>
        <w:footnoteRef/>
      </w:r>
      <w:r>
        <w:t xml:space="preserve"> </w:t>
      </w:r>
      <w:r>
        <w:t xml:space="preserve">Päärni, R. A. (2026).</w:t>
      </w:r>
      <w:r>
        <w:t xml:space="preserve"> </w:t>
      </w:r>
      <w:r>
        <w:rPr>
          <w:iCs/>
          <w:i/>
        </w:rPr>
        <w:t xml:space="preserve">PHD_FIREHORSE_EN.md §14.23 — Three-Pillar Sovereignty Taxonomy and Jurisdiction-Dependent Dynamics in Global Enterprises.</w:t>
      </w:r>
      <w:r>
        <w:t xml:space="preserve"> </w:t>
      </w:r>
      <w:r>
        <w:t xml:space="preserve">Lifetime Oy / LUT University. Local repository path:</w:t>
      </w:r>
      <w:r>
        <w:t xml:space="preserve"> </w:t>
      </w:r>
      <w:r>
        <w:rPr>
          <w:rStyle w:val="VerbatimChar"/>
        </w:rPr>
        <w:t xml:space="preserve">docs/PHD_FIREHORSE_EN.md</w:t>
      </w:r>
      <w:r>
        <w:t xml:space="preserve">. Accessed 28 May 2026.</w:t>
      </w:r>
    </w:p>
  </w:footnote>
  <w:footnote w:id="334">
    <w:p>
      <w:pPr>
        <w:pStyle w:val="FootnoteText"/>
      </w:pPr>
      <w:r>
        <w:rPr>
          <w:rStyle w:val="FootnoteReference"/>
        </w:rPr>
        <w:footnoteRef/>
      </w:r>
      <w:r>
        <w:t xml:space="preserve"> </w:t>
      </w:r>
      <w:r>
        <w:t xml:space="preserve">Päärni, R. A. (2026).</w:t>
      </w:r>
      <w:r>
        <w:t xml:space="preserve"> </w:t>
      </w:r>
      <w:r>
        <w:rPr>
          <w:iCs/>
          <w:i/>
        </w:rPr>
        <w:t xml:space="preserve">Field Note: EU Tech-Stack Sovereignty Positioning (Field Note #1).</w:t>
      </w:r>
      <w:r>
        <w:t xml:space="preserve"> </w:t>
      </w:r>
      <w:r>
        <w:t xml:space="preserve">Lifetime Oy. Local repository path:</w:t>
      </w:r>
      <w:r>
        <w:t xml:space="preserve"> </w:t>
      </w:r>
      <w:r>
        <w:rPr>
          <w:rStyle w:val="VerbatimChar"/>
        </w:rPr>
        <w:t xml:space="preserve">docs/field-notes/2026-01-28-eu-tech-stack-sovereignty-positioning.md</w:t>
      </w:r>
      <w:r>
        <w:t xml:space="preserve">. Dated 28 January 2026.</w:t>
      </w:r>
    </w:p>
  </w:footnote>
  <w:footnote w:id="335">
    <w:p>
      <w:pPr>
        <w:pStyle w:val="FootnoteText"/>
      </w:pPr>
      <w:r>
        <w:rPr>
          <w:rStyle w:val="FootnoteReference"/>
        </w:rPr>
        <w:footnoteRef/>
      </w:r>
      <w:r>
        <w:t xml:space="preserve"> </w:t>
      </w:r>
      <w:r>
        <w:t xml:space="preserve">Päärni, R. A. (2026).</w:t>
      </w:r>
      <w:r>
        <w:t xml:space="preserve"> </w:t>
      </w:r>
      <w:r>
        <w:rPr>
          <w:iCs/>
          <w:i/>
        </w:rPr>
        <w:t xml:space="preserve">Sovereignty Field Note #2 — The Three Pillars Every Global Enterprise Needs.</w:t>
      </w:r>
      <w:r>
        <w:t xml:space="preserve"> </w:t>
      </w:r>
      <w:r>
        <w:t xml:space="preserve">Lifetime Oy. Local repository path:</w:t>
      </w:r>
      <w:r>
        <w:t xml:space="preserve"> </w:t>
      </w:r>
      <w:r>
        <w:rPr>
          <w:rStyle w:val="VerbatimChar"/>
        </w:rPr>
        <w:t xml:space="preserve">docs/field-notes/2026-05-28-three-pillars-sovereignty-global.md</w:t>
      </w:r>
      <w:r>
        <w:t xml:space="preserve">. Published HTML:</w:t>
      </w:r>
      <w:r>
        <w:t xml:space="preserve"> </w:t>
      </w:r>
      <w:hyperlink r:id="rId336">
        <w:r>
          <w:rPr>
            <w:rStyle w:val="Hyperlink"/>
          </w:rPr>
          <w:t xml:space="preserve">https://onelifetime.world/posts/sovereignty-field-note-2-three-pillars.html</w:t>
        </w:r>
      </w:hyperlink>
      <w:r>
        <w:t xml:space="preserve">. Dated 28 May 2026.</w:t>
      </w:r>
    </w:p>
  </w:footnote>
  <w:footnote w:id="337">
    <w:p>
      <w:pPr>
        <w:pStyle w:val="FootnoteText"/>
      </w:pPr>
      <w:r>
        <w:rPr>
          <w:rStyle w:val="FootnoteReference"/>
        </w:rPr>
        <w:footnoteRef/>
      </w:r>
      <w:r>
        <w:t xml:space="preserve"> </w:t>
      </w:r>
      <w:r>
        <w:t xml:space="preserve">Lifetime Oy. (2026).</w:t>
      </w:r>
      <w:r>
        <w:t xml:space="preserve"> </w:t>
      </w:r>
      <w:r>
        <w:rPr>
          <w:iCs/>
          <w:i/>
        </w:rPr>
        <w:t xml:space="preserve">DWS_DEPLOYMENT_STANDARD.md lines 165–172 — DWS IQ Connect / Sovereign Infra / Aegis product tier definitions.</w:t>
      </w:r>
      <w:r>
        <w:t xml:space="preserve"> </w:t>
      </w:r>
      <w:r>
        <w:t xml:space="preserve">Internal canonical standard. Local repository path:</w:t>
      </w:r>
      <w:r>
        <w:t xml:space="preserve"> </w:t>
      </w:r>
      <w:r>
        <w:rPr>
          <w:rStyle w:val="VerbatimChar"/>
        </w:rPr>
        <w:t xml:space="preserve">DWS_DEPLOYMENT_STANDARD.md</w:t>
      </w:r>
      <w:r>
        <w:t xml:space="preserve">. Accessed 28 May 2026.</w:t>
      </w:r>
    </w:p>
  </w:footnote>
  <w:footnote w:id="338">
    <w:p>
      <w:pPr>
        <w:pStyle w:val="FootnoteText"/>
      </w:pPr>
      <w:r>
        <w:rPr>
          <w:rStyle w:val="FootnoteReference"/>
        </w:rPr>
        <w:footnoteRef/>
      </w:r>
      <w:r>
        <w:t xml:space="preserve"> </w:t>
      </w:r>
      <w:r>
        <w:t xml:space="preserve">Lifetime Oy. (2026).</w:t>
      </w:r>
      <w:r>
        <w:t xml:space="preserve"> </w:t>
      </w:r>
      <w:r>
        <w:rPr>
          <w:iCs/>
          <w:i/>
        </w:rPr>
        <w:t xml:space="preserve">DWS_SOVEREIGNTY_STANDARD.md v1.2 — CLOUD Act / FISA 702 / Schrems II framing.</w:t>
      </w:r>
      <w:r>
        <w:t xml:space="preserve"> </w:t>
      </w:r>
      <w:r>
        <w:t xml:space="preserve">Internal canonical standard. Local repository path:</w:t>
      </w:r>
      <w:r>
        <w:t xml:space="preserve"> </w:t>
      </w:r>
      <w:r>
        <w:rPr>
          <w:rStyle w:val="VerbatimChar"/>
        </w:rPr>
        <w:t xml:space="preserve">DWS_SOVEREIGNTY_STANDARD.md</w:t>
      </w:r>
      <w:r>
        <w:t xml:space="preserve">. Accessed 28 May 2026.</w:t>
      </w:r>
    </w:p>
  </w:footnote>
  <w:footnote w:id="339">
    <w:p>
      <w:pPr>
        <w:pStyle w:val="FootnoteText"/>
      </w:pPr>
      <w:r>
        <w:rPr>
          <w:rStyle w:val="FootnoteReference"/>
        </w:rPr>
        <w:footnoteRef/>
      </w:r>
      <w:r>
        <w:t xml:space="preserve"> </w:t>
      </w:r>
      <w:r>
        <w:t xml:space="preserve">Lifetime Oy. (2026).</w:t>
      </w:r>
      <w:r>
        <w:t xml:space="preserve"> </w:t>
      </w:r>
      <w:r>
        <w:rPr>
          <w:iCs/>
          <w:i/>
        </w:rPr>
        <w:t xml:space="preserve">DWS_STANDARDS_LIBRARY.md §3.6 — Sovereignty Tier Map (vendor classification T1/T2/T3).</w:t>
      </w:r>
      <w:r>
        <w:t xml:space="preserve"> </w:t>
      </w:r>
      <w:r>
        <w:t xml:space="preserve">Internal canonical standard. Local repository path:</w:t>
      </w:r>
      <w:r>
        <w:t xml:space="preserve"> </w:t>
      </w:r>
      <w:r>
        <w:rPr>
          <w:rStyle w:val="VerbatimChar"/>
        </w:rPr>
        <w:t xml:space="preserve">DWS_STANDARDS_LIBRARY.md</w:t>
      </w:r>
      <w:r>
        <w:t xml:space="preserve">. Accessed 28 May 2026.</w:t>
      </w:r>
    </w:p>
  </w:footnote>
  <w:footnote w:id="340">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Partner artefact received 28 May 2026 (infographic) and described at</w:t>
      </w:r>
      <w:r>
        <w:t xml:space="preserve"> </w:t>
      </w:r>
      <w:hyperlink r:id="rId341">
        <w:r>
          <w:rPr>
            <w:rStyle w:val="Hyperlink"/>
          </w:rPr>
          <w:t xml:space="preserve">https://www.rightful.fi/</w:t>
        </w:r>
      </w:hyperlink>
      <w:r>
        <w:t xml:space="preserve">. Five-stage methodology: Identify → Assess → Plan → Implement → Monitor. Accessed 28 May 2026.</w:t>
      </w:r>
    </w:p>
  </w:footnote>
  <w:footnote w:id="342">
    <w:p>
      <w:pPr>
        <w:pStyle w:val="FootnoteText"/>
      </w:pPr>
      <w:r>
        <w:rPr>
          <w:rStyle w:val="FootnoteReference"/>
        </w:rPr>
        <w:footnoteRef/>
      </w:r>
      <w:r>
        <w:t xml:space="preserve"> </w:t>
      </w:r>
      <w:r>
        <w:t xml:space="preserve">Päärni, R. A. (2026).</w:t>
      </w:r>
      <w:r>
        <w:t xml:space="preserve"> </w:t>
      </w:r>
      <w:r>
        <w:rPr>
          <w:iCs/>
          <w:i/>
        </w:rPr>
        <w:t xml:space="preserve">PHD_FIREHORSE_EN.md §14.21 — KYA Substrate-Integrity Conformance (SIB-track).</w:t>
      </w:r>
      <w:r>
        <w:t xml:space="preserve"> </w:t>
      </w:r>
      <w:r>
        <w:t xml:space="preserve">Lifetime Oy / LUT University. Local repository path:</w:t>
      </w:r>
      <w:r>
        <w:t xml:space="preserve"> </w:t>
      </w:r>
      <w:r>
        <w:rPr>
          <w:rStyle w:val="VerbatimChar"/>
        </w:rPr>
        <w:t xml:space="preserve">docs/PHD_FIREHORSE_EN.md</w:t>
      </w:r>
      <w:r>
        <w:t xml:space="preserve">. Accessed 28 May 2026.</w:t>
      </w:r>
    </w:p>
  </w:footnote>
  <w:footnote w:id="343">
    <w:p>
      <w:pPr>
        <w:pStyle w:val="FootnoteText"/>
      </w:pPr>
      <w:r>
        <w:rPr>
          <w:rStyle w:val="FootnoteReference"/>
        </w:rPr>
        <w:footnoteRef/>
      </w:r>
      <w:r>
        <w:t xml:space="preserve"> </w:t>
      </w:r>
      <w:r>
        <w:t xml:space="preserve">Päärni, R. A. (2026).</w:t>
      </w:r>
      <w:r>
        <w:t xml:space="preserve"> </w:t>
      </w:r>
      <w:r>
        <w:rPr>
          <w:iCs/>
          <w:i/>
        </w:rPr>
        <w:t xml:space="preserve">Shufti KYA Whitepaper — IDV Provider Certification under the KYA Standard.</w:t>
      </w:r>
      <w:r>
        <w:t xml:space="preserve"> </w:t>
      </w:r>
      <w:r>
        <w:t xml:space="preserve">Lifetime Oy. Local repository path:</w:t>
      </w:r>
      <w:r>
        <w:t xml:space="preserve"> </w:t>
      </w:r>
      <w:r>
        <w:rPr>
          <w:rStyle w:val="VerbatimChar"/>
        </w:rPr>
        <w:t xml:space="preserve">docs/field-notes/2026-03-17-shufti-kya-whitepaper.md</w:t>
      </w:r>
      <w:r>
        <w:t xml:space="preserve">. Version 2.0 dated 13 April 2026.</w:t>
      </w:r>
    </w:p>
  </w:footnote>
  <w:footnote w:id="344">
    <w:p>
      <w:pPr>
        <w:pStyle w:val="FootnoteText"/>
      </w:pPr>
      <w:r>
        <w:rPr>
          <w:rStyle w:val="FootnoteReference"/>
        </w:rPr>
        <w:footnoteRef/>
      </w:r>
      <w:r>
        <w:t xml:space="preserve"> </w:t>
      </w:r>
      <w:r>
        <w:t xml:space="preserve">Päärni, R. A. (2026).</w:t>
      </w:r>
      <w:r>
        <w:t xml:space="preserve"> </w:t>
      </w:r>
      <w:r>
        <w:rPr>
          <w:iCs/>
          <w:i/>
        </w:rPr>
        <w:t xml:space="preserve">Field Note: Tier-1 Sovereignty Pilot for Outokumpu — robotics stack intel + DGX / Jetson T5000 sovereignty assessment.</w:t>
      </w:r>
      <w:r>
        <w:t xml:space="preserve"> </w:t>
      </w:r>
      <w:r>
        <w:t xml:space="preserve">Lifetime Oy. Local repository path:</w:t>
      </w:r>
      <w:r>
        <w:t xml:space="preserve"> </w:t>
      </w:r>
      <w:r>
        <w:rPr>
          <w:rStyle w:val="VerbatimChar"/>
        </w:rPr>
        <w:t xml:space="preserve">docs/field-notes/2026-05-25-tier1-sovereignty-pilot-outokumpu-dgx-t5000.md</w:t>
      </w:r>
      <w:r>
        <w:t xml:space="preserve">. Dated 25 May 2026.</w:t>
      </w:r>
    </w:p>
  </w:footnote>
  <w:footnote w:id="345">
    <w:p>
      <w:pPr>
        <w:pStyle w:val="FootnoteText"/>
      </w:pPr>
      <w:r>
        <w:rPr>
          <w:rStyle w:val="FootnoteReference"/>
        </w:rPr>
        <w:footnoteRef/>
      </w:r>
      <w:r>
        <w:t xml:space="preserve"> </w:t>
      </w:r>
      <w:r>
        <w:t xml:space="preserve">Päärni, R. A. (2026).</w:t>
      </w:r>
      <w:r>
        <w:t xml:space="preserve"> </w:t>
      </w:r>
      <w:r>
        <w:rPr>
          <w:iCs/>
          <w:i/>
        </w:rPr>
        <w:t xml:space="preserve">Construction Compliance Multi-Jurisdiction Brief.</w:t>
      </w:r>
      <w:r>
        <w:t xml:space="preserve"> </w:t>
      </w:r>
      <w:r>
        <w:t xml:space="preserve">Lifetime Oy. Local repository path:</w:t>
      </w:r>
      <w:r>
        <w:t xml:space="preserve"> </w:t>
      </w:r>
      <w:r>
        <w:rPr>
          <w:rStyle w:val="VerbatimChar"/>
        </w:rPr>
        <w:t xml:space="preserve">docs/briefs/construction-compliance-brief.md</w:t>
      </w:r>
      <w:r>
        <w:t xml:space="preserve">. Dated 22 May 2026.</w:t>
      </w:r>
    </w:p>
  </w:footnote>
  <w:footnote w:id="346">
    <w:p>
      <w:pPr>
        <w:pStyle w:val="FootnoteText"/>
      </w:pPr>
      <w:r>
        <w:rPr>
          <w:rStyle w:val="FootnoteReference"/>
        </w:rPr>
        <w:footnoteRef/>
      </w:r>
      <w:r>
        <w:t xml:space="preserve"> </w:t>
      </w:r>
      <w:r>
        <w:t xml:space="preserve">Päärni, R. A. (2026).</w:t>
      </w:r>
      <w:r>
        <w:t xml:space="preserve"> </w:t>
      </w:r>
      <w:r>
        <w:rPr>
          <w:iCs/>
          <w:i/>
        </w:rPr>
        <w:t xml:space="preserve">xAI Grok Partnership Proposal v1.0.</w:t>
      </w:r>
      <w:r>
        <w:t xml:space="preserve"> </w:t>
      </w:r>
      <w:r>
        <w:t xml:space="preserve">Lifetime Oy. Local repository path:</w:t>
      </w:r>
      <w:r>
        <w:t xml:space="preserve"> </w:t>
      </w:r>
      <w:r>
        <w:rPr>
          <w:rStyle w:val="VerbatimChar"/>
        </w:rPr>
        <w:t xml:space="preserve">docs/2026-02-26-xai-grok-partnership-proposal.md</w:t>
      </w:r>
      <w:r>
        <w:t xml:space="preserve">. Dated 26 February 2026.</w:t>
      </w:r>
    </w:p>
  </w:footnote>
  <w:footnote w:id="347">
    <w:p>
      <w:pPr>
        <w:pStyle w:val="FootnoteText"/>
      </w:pPr>
      <w:r>
        <w:rPr>
          <w:rStyle w:val="FootnoteReference"/>
        </w:rPr>
        <w:footnoteRef/>
      </w:r>
      <w:r>
        <w:t xml:space="preserve"> </w:t>
      </w:r>
      <w:r>
        <w:t xml:space="preserve">Päärni, R. A. (2026).</w:t>
      </w:r>
      <w:r>
        <w:t xml:space="preserve"> </w:t>
      </w:r>
      <w:r>
        <w:rPr>
          <w:iCs/>
          <w:i/>
        </w:rPr>
        <w:t xml:space="preserve">xAI Optimus Partnership Proposal v2.0.</w:t>
      </w:r>
      <w:r>
        <w:t xml:space="preserve"> </w:t>
      </w:r>
      <w:r>
        <w:t xml:space="preserve">Lifetime Oy. Local repository path:</w:t>
      </w:r>
      <w:r>
        <w:t xml:space="preserve"> </w:t>
      </w:r>
      <w:r>
        <w:rPr>
          <w:rStyle w:val="VerbatimChar"/>
        </w:rPr>
        <w:t xml:space="preserve">docs/sales/xAI-Optimus-Partnership-Proposal-v2.0.md</w:t>
      </w:r>
      <w:r>
        <w:t xml:space="preserve">. Dated 22 May 2026.</w:t>
      </w:r>
    </w:p>
  </w:footnote>
  <w:footnote w:id="348">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Partner artefact received 28 May 2026 (infographic) and described at</w:t>
      </w:r>
      <w:r>
        <w:t xml:space="preserve"> </w:t>
      </w:r>
      <w:hyperlink r:id="rId341">
        <w:r>
          <w:rPr>
            <w:rStyle w:val="Hyperlink"/>
          </w:rPr>
          <w:t xml:space="preserve">https://www.rightful.fi/</w:t>
        </w:r>
      </w:hyperlink>
      <w:r>
        <w:t xml:space="preserve">. Five-stage methodology: Identify → Assess → Plan → Implement → Monitor. Accessed 28 May 2026.</w:t>
      </w:r>
    </w:p>
  </w:footnote>
  <w:footnote w:id="349">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203 — Module-Lattice-Based Key-Encapsulation Mechanism (ML-KEM, Kyber).</w:t>
      </w:r>
      <w:r>
        <w:t xml:space="preserve"> </w:t>
      </w:r>
      <w:r>
        <w:t xml:space="preserve">U.S. Department of Commerce.</w:t>
      </w:r>
      <w:r>
        <w:t xml:space="preserve"> </w:t>
      </w:r>
      <w:hyperlink r:id="rId350">
        <w:r>
          <w:rPr>
            <w:rStyle w:val="Hyperlink"/>
          </w:rPr>
          <w:t xml:space="preserve">https://csrc.nist.gov/pubs/fips/203/final</w:t>
        </w:r>
      </w:hyperlink>
      <w:r>
        <w:t xml:space="preserve">.</w:t>
      </w:r>
    </w:p>
  </w:footnote>
  <w:footnote w:id="351">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204 — Module-Lattice-Based Digital Signature (ML-DSA, Dilithium).</w:t>
      </w:r>
      <w:r>
        <w:t xml:space="preserve"> </w:t>
      </w:r>
      <w:r>
        <w:t xml:space="preserve">U.S. Department of Commerce.</w:t>
      </w:r>
      <w:r>
        <w:t xml:space="preserve"> </w:t>
      </w:r>
      <w:hyperlink r:id="rId352">
        <w:r>
          <w:rPr>
            <w:rStyle w:val="Hyperlink"/>
          </w:rPr>
          <w:t xml:space="preserve">https://csrc.nist.gov/pubs/fips/204/final</w:t>
        </w:r>
      </w:hyperlink>
      <w:r>
        <w:t xml:space="preserve">.</w:t>
      </w:r>
    </w:p>
  </w:footnote>
  <w:footnote w:id="353">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205 — Stateless Hash-Based Digital Signature (SLH-DSA, SPHINCS+).</w:t>
      </w:r>
      <w:r>
        <w:t xml:space="preserve"> </w:t>
      </w:r>
      <w:r>
        <w:t xml:space="preserve">U.S. Department of Commerce.</w:t>
      </w:r>
      <w:r>
        <w:t xml:space="preserve"> </w:t>
      </w:r>
      <w:hyperlink r:id="rId354">
        <w:r>
          <w:rPr>
            <w:rStyle w:val="Hyperlink"/>
          </w:rPr>
          <w:t xml:space="preserve">https://csrc.nist.gov/pubs/fips/205/final</w:t>
        </w:r>
      </w:hyperlink>
      <w:r>
        <w:t xml:space="preserve">.</w:t>
      </w:r>
    </w:p>
  </w:footnote>
  <w:footnote w:id="355">
    <w:p>
      <w:pPr>
        <w:pStyle w:val="FootnoteText"/>
      </w:pPr>
      <w:r>
        <w:rPr>
          <w:rStyle w:val="FootnoteReference"/>
        </w:rPr>
        <w:footnoteRef/>
      </w:r>
      <w:r>
        <w:t xml:space="preserve"> </w:t>
      </w:r>
      <w:r>
        <w:t xml:space="preserve">European Parliament and Council. (2024).</w:t>
      </w:r>
      <w:r>
        <w:t xml:space="preserve"> </w:t>
      </w:r>
      <w:r>
        <w:rPr>
          <w:iCs/>
          <w:i/>
        </w:rPr>
        <w:t xml:space="preserve">Regulation (EU) 2024/1689 of 13 June 2024 laying down harmonised rules on artificial intelligence (EU AI Act).</w:t>
      </w:r>
      <w:r>
        <w:t xml:space="preserve"> </w:t>
      </w:r>
      <w:r>
        <w:t xml:space="preserve">Articles 9, 12, 13, 14 cited.</w:t>
      </w:r>
    </w:p>
  </w:footnote>
  <w:footnote w:id="356">
    <w:p>
      <w:pPr>
        <w:pStyle w:val="FootnoteText"/>
      </w:pPr>
      <w:r>
        <w:rPr>
          <w:rStyle w:val="FootnoteReference"/>
        </w:rPr>
        <w:footnoteRef/>
      </w:r>
      <w:r>
        <w:t xml:space="preserve"> </w:t>
      </w:r>
      <w:r>
        <w:t xml:space="preserve">European Parliament and Council. (2024).</w:t>
      </w:r>
      <w:r>
        <w:t xml:space="preserve"> </w:t>
      </w:r>
      <w:r>
        <w:rPr>
          <w:iCs/>
          <w:i/>
        </w:rPr>
        <w:t xml:space="preserve">Regulation (EU) 2024/1183 amending Regulation (EU) No 910/2014 as regards establishing the European Digital Identity Framework (eIDAS 2.0).</w:t>
      </w:r>
    </w:p>
  </w:footnote>
  <w:footnote w:id="357">
    <w:p>
      <w:pPr>
        <w:pStyle w:val="FootnoteText"/>
      </w:pPr>
      <w:r>
        <w:rPr>
          <w:rStyle w:val="FootnoteReference"/>
        </w:rPr>
        <w:footnoteRef/>
      </w:r>
      <w:r>
        <w:t xml:space="preserve"> </w:t>
      </w:r>
      <w:r>
        <w:t xml:space="preserve">European Parliament and Council. (2023).</w:t>
      </w:r>
      <w:r>
        <w:t xml:space="preserve"> </w:t>
      </w:r>
      <w:r>
        <w:rPr>
          <w:iCs/>
          <w:i/>
        </w:rPr>
        <w:t xml:space="preserve">Regulation (EU) 2023/2854 on harmonised rules on fair access to and use of data (EU Data Act).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6" Target="../../../.workflows/agents/AGENT_SIGNAL_INSTRUCTIONS.md" TargetMode="External" /><Relationship Type="http://schemas.openxmlformats.org/officeDocument/2006/relationships/hyperlink" Id="rId319" Target="../../../Admin/ADMIN_MANUAL.md" TargetMode="External" /><Relationship Type="http://schemas.openxmlformats.org/officeDocument/2006/relationships/hyperlink" Id="rId317" Target="../../../AgentFoundry/AGENT_FOUNDRY_ARCHITECTURE_STANDARD.md" TargetMode="External" /><Relationship Type="http://schemas.openxmlformats.org/officeDocument/2006/relationships/hyperlink" Id="rId318" Target="../../../product-catalog/LWM/training-manual.md" TargetMode="External" /><Relationship Type="http://schemas.openxmlformats.org/officeDocument/2006/relationships/hyperlink" Id="rId315" Target="../fi/V3Thesis_FI.md" TargetMode="External" /><Relationship Type="http://schemas.openxmlformats.org/officeDocument/2006/relationships/hyperlink" Id="rId350" Target="https://csrc.nist.gov/pubs/fips/203/final" TargetMode="External" /><Relationship Type="http://schemas.openxmlformats.org/officeDocument/2006/relationships/hyperlink" Id="rId352" Target="https://csrc.nist.gov/pubs/fips/204/final" TargetMode="External" /><Relationship Type="http://schemas.openxmlformats.org/officeDocument/2006/relationships/hyperlink" Id="rId354"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36" Target="https://onelifetime.world/posts/sovereignty-field-note-2-three-pillars.html" TargetMode="External" /><Relationship Type="http://schemas.openxmlformats.org/officeDocument/2006/relationships/hyperlink" Id="rId341" Target="https://www.rightful.fi/" TargetMode="External" /></Relationships>
</file>

<file path=word/_rels/footnotes.xml.rels><?xml version="1.0" encoding="UTF-8"?><Relationships xmlns="http://schemas.openxmlformats.org/package/2006/relationships"><Relationship Type="http://schemas.openxmlformats.org/officeDocument/2006/relationships/hyperlink" Id="rId316" Target="../../../.workflows/agents/AGENT_SIGNAL_INSTRUCTIONS.md" TargetMode="External" /><Relationship Type="http://schemas.openxmlformats.org/officeDocument/2006/relationships/hyperlink" Id="rId319" Target="../../../Admin/ADMIN_MANUAL.md" TargetMode="External" /><Relationship Type="http://schemas.openxmlformats.org/officeDocument/2006/relationships/hyperlink" Id="rId317" Target="../../../AgentFoundry/AGENT_FOUNDRY_ARCHITECTURE_STANDARD.md" TargetMode="External" /><Relationship Type="http://schemas.openxmlformats.org/officeDocument/2006/relationships/hyperlink" Id="rId318" Target="../../../product-catalog/LWM/training-manual.md" TargetMode="External" /><Relationship Type="http://schemas.openxmlformats.org/officeDocument/2006/relationships/hyperlink" Id="rId315" Target="../fi/V3Thesis_FI.md" TargetMode="External" /><Relationship Type="http://schemas.openxmlformats.org/officeDocument/2006/relationships/hyperlink" Id="rId350" Target="https://csrc.nist.gov/pubs/fips/203/final" TargetMode="External" /><Relationship Type="http://schemas.openxmlformats.org/officeDocument/2006/relationships/hyperlink" Id="rId352" Target="https://csrc.nist.gov/pubs/fips/204/final" TargetMode="External" /><Relationship Type="http://schemas.openxmlformats.org/officeDocument/2006/relationships/hyperlink" Id="rId354"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36" Target="https://onelifetime.world/posts/sovereignty-field-note-2-three-pillars.html" TargetMode="External" /><Relationship Type="http://schemas.openxmlformats.org/officeDocument/2006/relationships/hyperlink" Id="rId341" Target="https://www.rightful.f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2026-08-03T16:50:55Z</dcterms:created>
  <dcterms:modified xsi:type="dcterms:W3CDTF">2026-08-03T16:50:55Z</dcterms:modified>
</cp:coreProperties>
</file>

<file path=docProps/custom.xml><?xml version="1.0" encoding="utf-8"?>
<Properties xmlns="http://schemas.openxmlformats.org/officeDocument/2006/custom-properties" xmlns:vt="http://schemas.openxmlformats.org/officeDocument/2006/docPropsVTypes"/>
</file>