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b87cb0c639e2ff5f4c5b864f36b3457a90d0914"/>
    <w:p>
      <w:pPr>
        <w:pStyle w:val="Heading1"/>
      </w:pPr>
      <w:r>
        <w:t xml:space="preserve">Field Note — Investor Seat Structure Superseded (LD-2026-017); a Six-Week-Stale PR Caught Before Merge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2026-09-09</w:t>
      </w:r>
      <w:r>
        <w:t xml:space="preserve"> </w:t>
      </w: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claude/truth-register-investor-seats</w:t>
      </w:r>
      <w:r>
        <w:t xml:space="preserve"> </w:t>
      </w:r>
      <w:r>
        <w:rPr>
          <w:bCs/>
          <w:b/>
        </w:rPr>
        <w:t xml:space="preserve">HIC decisions this session:</w:t>
      </w:r>
      <w:r>
        <w:t xml:space="preserve"> </w:t>
      </w:r>
      <w:r>
        <w:t xml:space="preserve">“</w:t>
      </w:r>
      <w:r>
        <w:t xml:space="preserve">we stick now with 250 plus 8 captains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approve investor centre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D1 do recommended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Start w:id="20" w:name="what-happened"/>
    <w:p>
      <w:pPr>
        <w:pStyle w:val="Heading2"/>
      </w:pPr>
      <w:r>
        <w:t xml:space="preserve">1. What happened</w:t>
      </w:r>
    </w:p>
    <w:p>
      <w:pPr>
        <w:pStyle w:val="FirstParagraph"/>
      </w:pPr>
      <w:r>
        <w:t xml:space="preserve">The session resumed on a six-week-old PR (#1778,</w:t>
      </w:r>
      <w:r>
        <w:t xml:space="preserve"> </w:t>
      </w:r>
      <w:r>
        <w:rPr>
          <w:rStyle w:val="VerbatimChar"/>
        </w:rPr>
        <w:t xml:space="preserve">claude/captain-admiral-pages-sync</w:t>
      </w:r>
      <w:r>
        <w:t xml:space="preserve">) with an instruction to fix its conflicts and merge it.</w:t>
      </w:r>
      <w:r>
        <w:t xml:space="preserve"> </w:t>
      </w:r>
      <w:r>
        <w:rPr>
          <w:bCs/>
          <w:b/>
        </w:rPr>
        <w:t xml:space="preserve">It was not merged.</w:t>
      </w:r>
      <w:r>
        <w:t xml:space="preserve"> </w:t>
      </w:r>
      <w:r>
        <w:t xml:space="preserve">Investigating the conflicts surfaced three findings that each independently disqualified the merge, and the outcome instead was a new locked decision.</w:t>
      </w:r>
    </w:p>
    <w:bookmarkEnd w:id="20"/>
    <w:bookmarkStart w:id="21" w:name="why-the-merge-was-refused"/>
    <w:p>
      <w:pPr>
        <w:pStyle w:val="Heading2"/>
      </w:pPr>
      <w:r>
        <w:t xml:space="preserve">2. Why the merge was refused</w:t>
      </w:r>
    </w:p>
    <w:p>
      <w:pPr>
        <w:pStyle w:val="FirstParagraph"/>
      </w:pPr>
      <w:r>
        <w:rPr>
          <w:bCs/>
          <w:b/>
        </w:rPr>
        <w:t xml:space="preserve">Main’s history was rewritten.</w:t>
      </w:r>
      <w:r>
        <w:t xml:space="preserve"> </w:t>
      </w:r>
      <w:r>
        <w:rPr>
          <w:rStyle w:val="VerbatimChar"/>
        </w:rPr>
        <w:t xml:space="preserve">329eec3e</w:t>
      </w:r>
      <w:r>
        <w:t xml:space="preserve"> </w:t>
      </w:r>
      <w:r>
        <w:t xml:space="preserve">— main’s HEAD on 2026-07-31 and the commit PR #1778 was built on — is no longer an ancestor of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. The merge-base fell back to</w:t>
      </w:r>
      <w:r>
        <w:t xml:space="preserve"> </w:t>
      </w:r>
      <w:r>
        <w:rPr>
          <w:rStyle w:val="VerbatimChar"/>
        </w:rPr>
        <w:t xml:space="preserve">46ec6805</w:t>
      </w:r>
      <w:r>
        <w:t xml:space="preserve"> </w:t>
      </w:r>
      <w:r>
        <w:t xml:space="preserve">(2026-07-13, the</w:t>
      </w:r>
      <w:r>
        <w:t xml:space="preserve"> </w:t>
      </w:r>
      <w:r>
        <w:rPr>
          <w:rStyle w:val="VerbatimChar"/>
        </w:rPr>
        <w:t xml:space="preserve">remove-committed-env-file</w:t>
      </w:r>
      <w:r>
        <w:t xml:space="preserve"> </w:t>
      </w:r>
      <w:r>
        <w:t xml:space="preserve">merge), three weeks earlier than the branch point. The result was</w:t>
      </w:r>
      <w:r>
        <w:t xml:space="preserve"> </w:t>
      </w:r>
      <w:r>
        <w:rPr>
          <w:bCs/>
          <w:b/>
        </w:rPr>
        <w:t xml:space="preserve">579 conflicted files</w:t>
      </w:r>
      <w:r>
        <w:t xml:space="preserve">, 263 of them in files the branch never touched, and 222 of the delete/modify class that silently resurrect or destroy files when resolved carelessly. Neither tree carries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so the secrets purge itself is intact.</w:t>
      </w:r>
    </w:p>
    <w:p>
      <w:pPr>
        <w:pStyle w:val="BodyText"/>
      </w:pPr>
      <w:r>
        <w:t xml:space="preserve">Conflict-count alone is a weak signal; the decisive checks were what main actually contains now:</w:t>
      </w:r>
    </w:p>
    <w:p>
      <w:pPr>
        <w:pStyle w:val="BodyText"/>
      </w:pPr>
      <w:r>
        <w:rPr>
          <w:bCs/>
          <w:b/>
        </w:rPr>
        <w:t xml:space="preserve">The target pages were deliberately retired.</w:t>
      </w:r>
      <w:r>
        <w:t xml:space="preserve"> </w:t>
      </w:r>
      <w:r>
        <w:rPr>
          <w:rStyle w:val="VerbatimChar"/>
        </w:rPr>
        <w:t xml:space="preserve">dws10.com/captain/index.html</w:t>
      </w:r>
      <w:r>
        <w:t xml:space="preserve"> </w:t>
      </w:r>
      <w:r>
        <w:t xml:space="preserve">is now a 37-line redirect to</w:t>
      </w:r>
      <w:r>
        <w:t xml:space="preserve"> </w:t>
      </w:r>
      <w:r>
        <w:rPr>
          <w:rStyle w:val="VerbatimChar"/>
        </w:rPr>
        <w:t xml:space="preserve">/investor-centre/captain/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fleet-admiral/index.html</w:t>
      </w:r>
      <w:r>
        <w:t xml:space="preserve"> </w:t>
      </w:r>
      <w:r>
        <w:t xml:space="preserve">redirects to</w:t>
      </w:r>
      <w:r>
        <w:t xml:space="preserve"> </w:t>
      </w:r>
      <w:r>
        <w:rPr>
          <w:rStyle w:val="VerbatimChar"/>
        </w:rPr>
        <w:t xml:space="preserve">/investor-centre/admiral/</w:t>
      </w:r>
      <w:r>
        <w:t xml:space="preserve">. PR #1778 would have restored 3,159- and 1,431-line page bodies over them, breaking both redirects and resurrecting a retired commerce surface.</w:t>
      </w:r>
    </w:p>
    <w:p>
      <w:pPr>
        <w:pStyle w:val="BodyText"/>
      </w:pPr>
      <w:r>
        <w:rPr>
          <w:bCs/>
          <w:b/>
        </w:rPr>
        <w:t xml:space="preserve">The structure the PR applied had itself been superseded.</w:t>
      </w:r>
      <w:r>
        <w:t xml:space="preserve"> </w:t>
      </w:r>
      <w:r>
        <w:t xml:space="preserve">PR #1778 propagated LD-2026-014 (Fleet Admiral €200K + Captain €50K × 9). The live investor-centre pages sell</w:t>
      </w:r>
      <w:r>
        <w:t xml:space="preserve"> </w:t>
      </w:r>
      <w:r>
        <w:rPr>
          <w:bCs/>
          <w:b/>
        </w:rPr>
        <w:t xml:space="preserve">€250K + 8 × €50K</w:t>
      </w:r>
      <w:r>
        <w:t xml:space="preserve">. Merging would have pushed a stale seat structure onto a live investor surface — the precise failure class this repo’s traction and pricing drift logs already record twice.</w:t>
      </w:r>
    </w:p>
    <w:p>
      <w:pPr>
        <w:pStyle w:val="BodyText"/>
      </w:pPr>
      <w:r>
        <w:rPr>
          <w:bCs/>
          <w:b/>
        </w:rPr>
        <w:t xml:space="preserve">Lesson.</w:t>
      </w:r>
      <w:r>
        <w:t xml:space="preserve"> </w:t>
      </w:r>
      <w:r>
        <w:t xml:space="preserve">A PR’s age is not the risk; a rewritten base is.</w:t>
      </w:r>
      <w:r>
        <w:t xml:space="preserve"> </w:t>
      </w:r>
      <w:r>
        <w:rPr>
          <w:rStyle w:val="VerbatimChar"/>
        </w:rPr>
        <w:t xml:space="preserve">mergeable_state: dirty</w:t>
      </w:r>
      <w:r>
        <w:t xml:space="preserve"> </w:t>
      </w:r>
      <w:r>
        <w:t xml:space="preserve">on a branch whose base commit has left main’s history is not a merge to repair — it is a signal to re-derive the work against current main. Checking</w:t>
      </w:r>
      <w:r>
        <w:t xml:space="preserve"> </w:t>
      </w:r>
      <w:r>
        <w:rPr>
          <w:iCs/>
          <w:i/>
        </w:rPr>
        <w:t xml:space="preserve">what main now says about the same facts</w:t>
      </w:r>
      <w:r>
        <w:t xml:space="preserve"> </w:t>
      </w:r>
      <w:r>
        <w:t xml:space="preserve">is faster and safer than resolving conflicts, and it is what caught all three problems here.</w:t>
      </w:r>
    </w:p>
    <w:bookmarkEnd w:id="21"/>
    <w:bookmarkStart w:id="22" w:name="what-was-decided-ld-2026-017"/>
    <w:p>
      <w:pPr>
        <w:pStyle w:val="Heading2"/>
      </w:pPr>
      <w:r>
        <w:t xml:space="preserve">3. What was decided (LD-2026-017)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Fleet Admiral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Industry Captain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€400,000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€650,000</w:t>
            </w:r>
          </w:p>
        </w:tc>
      </w:tr>
    </w:tbl>
    <w:p>
      <w:pPr>
        <w:pStyle w:val="BodyText"/>
      </w:pPr>
      <w:r>
        <w:t xml:space="preserve">€650,000 SAFE at a €3.8M cap;</w:t>
      </w:r>
      <w:r>
        <w:t xml:space="preserve"> </w:t>
      </w:r>
      <w:r>
        <w:rPr>
          <w:rStyle w:val="VerbatimChar"/>
        </w:rPr>
        <w:t xml:space="preserve">dws10.com/investor-centre/</w:t>
      </w:r>
      <w:r>
        <w:t xml:space="preserve"> </w:t>
      </w:r>
      <w:r>
        <w:t xml:space="preserve">is the canonical investor surface; the two retired pages stay redirects. LD-2026-014 is marked SUPERSEDED but</w:t>
      </w:r>
      <w:r>
        <w:t xml:space="preserve"> </w:t>
      </w:r>
      <w:r>
        <w:rPr>
          <w:bCs/>
          <w:b/>
        </w:rPr>
        <w:t xml:space="preserve">kept intact, not rewritten</w:t>
      </w:r>
      <w:r>
        <w:t xml:space="preserve"> </w:t>
      </w:r>
      <w:r>
        <w:t xml:space="preserve">— PR #1778 applied it across investor collateral in good faith while it was LOCKED, and readers of those documents need to trace where the figures came from.</w:t>
      </w:r>
    </w:p>
    <w:bookmarkEnd w:id="22"/>
    <w:bookmarkStart w:id="23" w:name="Xb3d4408bac7c425791cd72ef0216360abc0d76b"/>
    <w:p>
      <w:pPr>
        <w:pStyle w:val="Heading2"/>
      </w:pPr>
      <w:r>
        <w:t xml:space="preserve">4. The real defect: this number has drifted four times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9"/>
        <w:gridCol w:w="3727"/>
        <w:gridCol w:w="332"/>
        <w:gridCol w:w="36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LD-2026-007: Admiral €500K / Captain €150K / IC €50K×8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 2026-07-31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LD-2026-014: Admiral €200K / Captain €50K×9 / Deputy €5K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 2026-09-09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Boardy pack: Admiral €500K + 8 × €50K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€900K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locked; math never closed to its own stated €650K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LD-2026-017: Admiral €250K + 8 × €50K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€650K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LOCKED</w:t>
            </w:r>
          </w:p>
        </w:tc>
      </w:tr>
    </w:tbl>
    <w:p>
      <w:pPr>
        <w:pStyle w:val="BodyText"/>
      </w:pPr>
      <w:r>
        <w:t xml:space="preserve">Each variant reached live investor-facing pages before it was caught. The cause is structural, not clerical: the seat structure is repeated across 100+ investor-facing files but lives only in</w:t>
      </w:r>
      <w:r>
        <w:t xml:space="preserve"> </w:t>
      </w:r>
      <w:r>
        <w:rPr>
          <w:rStyle w:val="VerbatimChar"/>
        </w:rPr>
        <w:t xml:space="preserve">LOCKED_DECISIONS.md</w:t>
      </w:r>
      <w:r>
        <w:t xml:space="preserve"> </w:t>
      </w:r>
      <w:r>
        <w:t xml:space="preserve">— a</w:t>
      </w:r>
      <w:r>
        <w:t xml:space="preserve"> </w:t>
      </w:r>
      <w:r>
        <w:rPr>
          <w:iCs/>
          <w:i/>
        </w:rPr>
        <w:t xml:space="preserve">decision log</w:t>
      </w:r>
      <w:r>
        <w:t xml:space="preserve">, not the</w:t>
      </w:r>
      <w:r>
        <w:t xml:space="preserve"> </w:t>
      </w:r>
      <w:r>
        <w:rPr>
          <w:iCs/>
          <w:i/>
        </w:rPr>
        <w:t xml:space="preserve">truth registry</w:t>
      </w:r>
      <w:r>
        <w:t xml:space="preserve">.</w:t>
      </w:r>
      <w:r>
        <w:t xml:space="preserve"> </w:t>
      </w:r>
      <w:r>
        <w:rPr>
          <w:rStyle w:val="VerbatimChar"/>
        </w:rPr>
        <w:t xml:space="preserve">DWS_TRUTH_STANDARD.md</w:t>
      </w:r>
      <w:r>
        <w:t xml:space="preserve"> </w:t>
      </w:r>
      <w:r>
        <w:t xml:space="preserve">§3A (</w:t>
      </w:r>
      <w:r>
        <w:t xml:space="preserve">“</w:t>
      </w:r>
      <w:r>
        <w:t xml:space="preserve">Register-or-it-drifts</w:t>
      </w:r>
      <w:r>
        <w:t xml:space="preserve">”</w:t>
      </w:r>
      <w:r>
        <w:t xml:space="preserve">) says a claim repeated across 3+ customer/investor-facing docs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a canonical fact and must be registered with a canonical source, structured mirror, and deprecated phrasings,</w:t>
      </w:r>
      <w:r>
        <w:t xml:space="preserve"> </w:t>
      </w:r>
      <w:r>
        <w:t xml:space="preserve">“</w:t>
      </w:r>
      <w:r>
        <w:t xml:space="preserve">not merely fixed</w:t>
      </w:r>
      <w:r>
        <w:t xml:space="preserve">”</w:t>
      </w:r>
      <w:r>
        <w:t xml:space="preserve">. This one never was — so</w:t>
      </w:r>
      <w:r>
        <w:t xml:space="preserve"> </w:t>
      </w:r>
      <w:r>
        <w:rPr>
          <w:rStyle w:val="VerbatimChar"/>
        </w:rPr>
        <w:t xml:space="preserve">scripts/lint-truth-claims.mjs</w:t>
      </w:r>
      <w:r>
        <w:t xml:space="preserve"> </w:t>
      </w:r>
      <w:r>
        <w:t xml:space="preserve">cannot catch a regression to €200K, and nothing did.</w:t>
      </w:r>
    </w:p>
    <w:p>
      <w:pPr>
        <w:pStyle w:val="BodyText"/>
      </w:pPr>
      <w:r>
        <w:t xml:space="preserve">Registering it was item D7 of the decision dialog.</w:t>
      </w:r>
      <w:r>
        <w:t xml:space="preserve"> </w:t>
      </w:r>
      <w:r>
        <w:rPr>
          <w:bCs/>
          <w:b/>
        </w:rPr>
        <w:t xml:space="preserve">The HIC approved it (</w:t>
      </w:r>
      <w:r>
        <w:rPr>
          <w:bCs/>
          <w:b/>
        </w:rPr>
        <w:t xml:space="preserve">“</w:t>
      </w:r>
      <w:r>
        <w:rPr>
          <w:bCs/>
          <w:b/>
        </w:rPr>
        <w:t xml:space="preserve">Truth standard wins</w:t>
      </w:r>
      <w:r>
        <w:rPr>
          <w:bCs/>
          <w:b/>
        </w:rPr>
        <w:t xml:space="preserve">”</w:t>
      </w:r>
      <w:r>
        <w:rPr>
          <w:bCs/>
          <w:b/>
        </w:rPr>
        <w:t xml:space="preserve">), and it is now done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DWS_TRUTH_STANDARD.md</w:t>
      </w:r>
      <w:r>
        <w:t xml:space="preserve"> </w:t>
      </w:r>
      <w:r>
        <w:t xml:space="preserve">row 34 plus the structured mirror</w:t>
      </w:r>
      <w:r>
        <w:t xml:space="preserve"> </w:t>
      </w:r>
      <w:r>
        <w:rPr>
          <w:rStyle w:val="VerbatimChar"/>
        </w:rPr>
        <w:t xml:space="preserve">config/truth/investor-seat-tiers.json</w:t>
      </w:r>
      <w:r>
        <w:t xml:space="preserve">, carrying all three superseded structures as deprecated phrasings. Verified:</w:t>
      </w:r>
      <w:r>
        <w:t xml:space="preserve"> </w:t>
      </w:r>
      <w:r>
        <w:rPr>
          <w:rStyle w:val="VerbatimChar"/>
        </w:rPr>
        <w:t xml:space="preserve">"Fleet Admiral €200,000"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"9 Captain seats"</w:t>
      </w:r>
      <w:r>
        <w:t xml:space="preserve"> </w:t>
      </w:r>
      <w:r>
        <w:t xml:space="preserve">now FAIL the linter;</w:t>
      </w:r>
      <w:r>
        <w:t xml:space="preserve"> </w:t>
      </w:r>
      <w:r>
        <w:rPr>
          <w:rStyle w:val="VerbatimChar"/>
        </w:rPr>
        <w:t xml:space="preserve">"8 Captain seats"</w:t>
      </w:r>
      <w:r>
        <w:t xml:space="preserve"> </w:t>
      </w:r>
      <w:r>
        <w:t xml:space="preserve">passes.</w:t>
      </w:r>
    </w:p>
    <w:bookmarkEnd w:id="23"/>
    <w:bookmarkStart w:id="24" w:name="what-the-hic-ruled-and-what-shipped"/>
    <w:p>
      <w:pPr>
        <w:pStyle w:val="Heading2"/>
      </w:pPr>
      <w:r>
        <w:t xml:space="preserve">5. What the HIC ruled, and what shipped</w:t>
      </w:r>
    </w:p>
    <w:p>
      <w:pPr>
        <w:pStyle w:val="FirstParagraph"/>
      </w:pPr>
      <w:r>
        <w:t xml:space="preserve">A nine-item decision dialog was put to the HIC; all nine were answered.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 LD-2026-014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Done</w:t>
            </w:r>
            <w:r>
              <w:t xml:space="preserve"> </w:t>
            </w:r>
            <w:r>
              <w:t xml:space="preserve">— LD-2026-017 (PR #1986)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the €200K cohort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Done</w:t>
            </w:r>
            <w:r>
              <w:t xml:space="preserve"> </w:t>
            </w:r>
            <w:r>
              <w:t xml:space="preserve">— part of the 32-hit sweep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Deputy Captain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Shelved</w:t>
            </w:r>
            <w:r>
              <w:t xml:space="preserve"> </w:t>
            </w:r>
            <w:r>
              <w:t xml:space="preserve">— registered, not deleted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€150K triple bundle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Retired</w:t>
            </w:r>
            <w:r>
              <w:t xml:space="preserve"> </w:t>
            </w:r>
            <w:r>
              <w:t xml:space="preserve">— registered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Captain = investment 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Done</w:t>
            </w:r>
            <w:r>
              <w:t xml:space="preserve"> </w:t>
            </w:r>
            <w:r>
              <w:t xml:space="preserve">— client-role framing deprecated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industries.json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change needed</w:t>
            </w:r>
            <w:r>
              <w:t xml:space="preserve"> </w:t>
            </w:r>
            <w:r>
              <w:t xml:space="preserve">— see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 into the truth standard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Done</w:t>
            </w:r>
            <w:r>
              <w:t xml:space="preserve"> </w:t>
            </w:r>
            <w:r>
              <w:t xml:space="preserve">— row 34 + mirror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the stale one-offs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Done</w:t>
            </w:r>
            <w:r>
              <w:t xml:space="preserve"> </w:t>
            </w:r>
            <w:r>
              <w:t xml:space="preserve">— 32 → 0 FAILs, 14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#1778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Closed as superseded</w:t>
            </w:r>
            <w:r>
              <w:t xml:space="preserve">; store fix salvaged into #1987</w:t>
            </w:r>
          </w:p>
        </w:tc>
      </w:tr>
    </w:tbl>
    <w:p>
      <w:pPr>
        <w:pStyle w:val="BodyText"/>
      </w:pPr>
      <w:r>
        <w:rPr>
          <w:bCs/>
          <w:b/>
        </w:rPr>
        <w:t xml:space="preserve">D6 was answered from the registry rather than by editing anything.</w:t>
      </w:r>
      <w:r>
        <w:t xml:space="preserve"> </w:t>
      </w:r>
      <w:r>
        <w:rPr>
          <w:rStyle w:val="VerbatimChar"/>
        </w:rPr>
        <w:t xml:space="preserve">industries.json</w:t>
      </w:r>
      <w:r>
        <w:t xml:space="preserve"> </w:t>
      </w:r>
      <w:r>
        <w:t xml:space="preserve">already registers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16 captain hats covering 25 EU-regulated industries</w:t>
      </w:r>
      <w:r>
        <w:rPr>
          <w:iCs/>
          <w:i/>
        </w:rPr>
        <w:t xml:space="preserve">”</w:t>
      </w:r>
      <w:r>
        <w:t xml:space="preserve"> </w:t>
      </w:r>
      <w:r>
        <w:t xml:space="preserve">as an</w:t>
      </w:r>
      <w:r>
        <w:t xml:space="preserve"> </w:t>
      </w:r>
      <w:r>
        <w:rPr>
          <w:bCs/>
          <w:b/>
        </w:rPr>
        <w:t xml:space="preserve">approved</w:t>
      </w:r>
      <w:r>
        <w:t xml:space="preserve"> </w:t>
      </w:r>
      <w:r>
        <w:t xml:space="preserve">phrase. It is product taxonomy, not an investor seat count — so the truth standard’s version stands and nothing needed changing. A WARN guard now prevents the two counts being reconciled against each other, which is what the previous three passes kept attempting.</w:t>
      </w:r>
    </w:p>
    <w:p>
      <w:pPr>
        <w:pStyle w:val="BodyText"/>
      </w:pPr>
      <w:r>
        <w:rPr>
          <w:bCs/>
          <w:b/>
        </w:rPr>
        <w:t xml:space="preserve">The sweep’s real lesson:</w:t>
      </w:r>
      <w:r>
        <w:t xml:space="preserve"> </w:t>
      </w:r>
      <w:r>
        <w:t xml:space="preserve">registering the fact first turned a guess into a measurement. The pre-registration estimate was</w:t>
      </w:r>
      <w:r>
        <w:t xml:space="preserve"> </w:t>
      </w:r>
      <w:r>
        <w:t xml:space="preserve">“</w:t>
      </w:r>
      <w:r>
        <w:t xml:space="preserve">23 files</w:t>
      </w:r>
      <w:r>
        <w:t xml:space="preserve">”</w:t>
      </w:r>
      <w:r>
        <w:t xml:space="preserve">; the linter found</w:t>
      </w:r>
      <w:r>
        <w:t xml:space="preserve"> </w:t>
      </w:r>
      <w:r>
        <w:rPr>
          <w:bCs/>
          <w:b/>
        </w:rPr>
        <w:t xml:space="preserve">32 hits across 14 files</w:t>
      </w:r>
      <w:r>
        <w:t xml:space="preserve">, and 19 further hits were false positives in dated field notes and</w:t>
      </w:r>
      <w:r>
        <w:t xml:space="preserve"> </w:t>
      </w:r>
      <w:r>
        <w:rPr>
          <w:rStyle w:val="VerbatimChar"/>
        </w:rPr>
        <w:t xml:space="preserve">LOCKED_DECISIONS.md</w:t>
      </w:r>
      <w:r>
        <w:t xml:space="preserve"> </w:t>
      </w:r>
      <w:r>
        <w:t xml:space="preserve">— historical records correctly quoting what was once true. Linting the audit trail forces it to lie, so</w:t>
      </w:r>
      <w:r>
        <w:t xml:space="preserve"> </w:t>
      </w:r>
      <w:r>
        <w:rPr>
          <w:rStyle w:val="VerbatimChar"/>
        </w:rPr>
        <w:t xml:space="preserve">docs/field-notes/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LOCKED_DECISIONS.md</w:t>
      </w:r>
      <w:r>
        <w:t xml:space="preserve"> </w:t>
      </w:r>
      <w:r>
        <w:t xml:space="preserve">and (after a CI failure proved the gap)</w:t>
      </w:r>
      <w:r>
        <w:t xml:space="preserve"> </w:t>
      </w:r>
      <w:r>
        <w:rPr>
          <w:rStyle w:val="VerbatimChar"/>
        </w:rPr>
        <w:t xml:space="preserve">Learn/</w:t>
      </w:r>
      <w:r>
        <w:t xml:space="preserve"> </w:t>
      </w:r>
      <w:r>
        <w:t xml:space="preserve">are excluded. Excluding a source but not its rendered mirror defeats the exclusion at the render step.</w:t>
      </w:r>
    </w:p>
    <w:bookmarkEnd w:id="24"/>
    <w:bookmarkStart w:id="25" w:name="Xdd3b5c27f8dd421f1dca76438d42e172dfed342"/>
    <w:p>
      <w:pPr>
        <w:pStyle w:val="Heading2"/>
      </w:pPr>
      <w:r>
        <w:t xml:space="preserve">5b. Corrections made to this note’s own earlier claims</w:t>
      </w:r>
    </w:p>
    <w:p>
      <w:pPr>
        <w:pStyle w:val="FirstParagraph"/>
      </w:pPr>
      <w:r>
        <w:t xml:space="preserve">Three assertions in §2 above were stated more confidently than the evidence supported, and are corrected here rather than quietly edited: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Main’s history was rewritten</w:t>
      </w:r>
      <w:r>
        <w:rPr>
          <w:bCs/>
          <w:b/>
        </w:rPr>
        <w:t xml:space="preserve">”</w:t>
      </w:r>
      <w:r>
        <w:t xml:space="preserve"> </w:t>
      </w:r>
      <w:r>
        <w:t xml:space="preserve">— it was not.</w:t>
      </w:r>
      <w:r>
        <w:t xml:space="preserve"> </w:t>
      </w:r>
      <w:r>
        <w:rPr>
          <w:rStyle w:val="VerbatimChar"/>
        </w:rPr>
        <w:t xml:space="preserve">docs/field-notes/2026-08-24-repo-wipe-recovery-defense-stack.md</w:t>
      </w:r>
      <w:r>
        <w:t xml:space="preserve"> </w:t>
      </w:r>
      <w:r>
        <w:t xml:space="preserve">records incident</w:t>
      </w:r>
      <w:r>
        <w:t xml:space="preserve"> </w:t>
      </w:r>
      <w:r>
        <w:rPr>
          <w:bCs/>
          <w:b/>
        </w:rPr>
        <w:t xml:space="preserve">#1888</w:t>
      </w:r>
      <w:r>
        <w:t xml:space="preserve">: a regression-test fixture escaped its sandbox, deleted 5,755 files under the identity</w:t>
      </w:r>
      <w:r>
        <w:t xml:space="preserve"> </w:t>
      </w:r>
      <w:r>
        <w:rPr>
          <w:rStyle w:val="VerbatimChar"/>
        </w:rPr>
        <w:t xml:space="preserve">Retry Test &lt;test@lifetime.fi&gt;</w:t>
      </w:r>
      <w:r>
        <w:t xml:space="preserve">, and was merged. The recovery (PR #1890) made a single restore commit with</w:t>
      </w:r>
      <w:r>
        <w:t xml:space="preserve"> </w:t>
      </w:r>
      <w:r>
        <w:rPr>
          <w:iCs/>
          <w:i/>
        </w:rPr>
        <w:t xml:space="preserve">parent = poisoned main, tree = verified tree</w:t>
      </w:r>
      <w:r>
        <w:t xml:space="preserve"> </w:t>
      </w:r>
      <w:r>
        <w:t xml:space="preserve">— restoring contents while abandoning ancestry. That is what orphaned 4,695 commits. No filter-repo, no force-push. The merge-base landing on the</w:t>
      </w:r>
      <w:r>
        <w:t xml:space="preserve"> </w:t>
      </w:r>
      <w:r>
        <w:rPr>
          <w:rStyle w:val="VerbatimChar"/>
        </w:rPr>
        <w:t xml:space="preserve">remove-committed-env-file</w:t>
      </w:r>
      <w:r>
        <w:t xml:space="preserve"> </w:t>
      </w:r>
      <w:r>
        <w:t xml:space="preserve">merge was coincidence, not evidence of a purge.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the secrets purge is intact</w:t>
      </w:r>
      <w:r>
        <w:rPr>
          <w:bCs/>
          <w:b/>
        </w:rPr>
        <w:t xml:space="preserve">”</w:t>
      </w:r>
      <w:r>
        <w:t xml:space="preserve"> </w:t>
      </w:r>
      <w:r>
        <w:t xml:space="preserve">— there was no purge.</w:t>
      </w:r>
      <w:r>
        <w:t xml:space="preserve"> </w:t>
      </w:r>
      <w:r>
        <w:rPr>
          <w:rStyle w:val="VerbatimChar"/>
        </w:rPr>
        <w:t xml:space="preserve">gcp-sa-key-new.json</w:t>
      </w:r>
      <w:r>
        <w:t xml:space="preserve"> </w:t>
      </w:r>
      <w:r>
        <w:t xml:space="preserve">has</w:t>
      </w:r>
      <w:r>
        <w:t xml:space="preserve"> </w:t>
      </w:r>
      <w:r>
        <w:rPr>
          <w:bCs/>
          <w:b/>
        </w:rPr>
        <w:t xml:space="preserve">no deletion commit anywhere</w:t>
      </w:r>
      <w:r>
        <w:t xml:space="preserve">; its absence from main is a side effect of the tree-restore. It remains in the tree of two branches.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Nothing is lost.</w:t>
      </w:r>
      <w:r>
        <w:t xml:space="preserve"> </w:t>
      </w:r>
      <w:r>
        <w:t xml:space="preserve">All 4,762 commits back to</w:t>
      </w:r>
      <w:r>
        <w:t xml:space="preserve"> </w:t>
      </w:r>
      <w:r>
        <w:rPr>
          <w:rStyle w:val="VerbatimChar"/>
        </w:rPr>
        <w:t xml:space="preserve">f5343a44</w:t>
      </w:r>
      <w:r>
        <w:t xml:space="preserve"> </w:t>
      </w:r>
      <w:r>
        <w:t xml:space="preserve">(2025-12-22) are intact and were unreferenced, not destroyed.</w:t>
      </w:r>
    </w:p>
    <w:bookmarkEnd w:id="25"/>
    <w:bookmarkStart w:id="26" w:name="hic-learning-outcome"/>
    <w:p>
      <w:pPr>
        <w:pStyle w:val="Heading2"/>
      </w:pPr>
      <w:r>
        <w:t xml:space="preserve">6. HIC Learning Outcome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KB</w:t>
      </w:r>
      <w:r>
        <w:t xml:space="preserve"> </w:t>
      </w:r>
      <w:r>
        <w:t xml:space="preserve">— N/A: no new domain knowledge; this is a governance record captured in LD-2026-017 and this note.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Field note</w:t>
      </w:r>
      <w:r>
        <w:t xml:space="preserve"> </w:t>
      </w:r>
      <w:r>
        <w:t xml:space="preserve">— this file.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Learn/</w:t>
      </w:r>
      <w:r>
        <w:rPr>
          <w:bCs/>
          <w:b/>
        </w:rPr>
        <w:t xml:space="preserve"> </w:t>
      </w:r>
      <w:r>
        <w:rPr>
          <w:bCs/>
          <w:b/>
        </w:rPr>
        <w:t xml:space="preserve">HTML</w:t>
      </w:r>
      <w:r>
        <w:t xml:space="preserve"> </w:t>
      </w:r>
      <w:r>
        <w:t xml:space="preserve">— rendered alongside this note.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Drive export</w:t>
      </w:r>
      <w:r>
        <w:t xml:space="preserve"> </w:t>
      </w:r>
      <w:r>
        <w:t xml:space="preserve">— N/A: repo is source-of-truth (</w:t>
      </w:r>
      <w:r>
        <w:rPr>
          <w:rStyle w:val="VerbatimChar"/>
        </w:rPr>
        <w:t xml:space="preserve">DWS_TRUTH_STANDARD</w:t>
      </w:r>
      <w:r>
        <w:t xml:space="preserve"> </w:t>
      </w:r>
      <w:r>
        <w:t xml:space="preserve">§2E) and this note carries no external-audience content.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Decision question</w:t>
      </w:r>
      <w:r>
        <w:t xml:space="preserve"> </w:t>
      </w:r>
      <w:r>
        <w:t xml:space="preserve">— put to the HIC as a 9-item dialog; D1 approved and executed. D2–D9 remain open, above.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Calendar</w:t>
      </w:r>
      <w:r>
        <w:t xml:space="preserve"> </w:t>
      </w:r>
      <w:r>
        <w:t xml:space="preserve">— N/A: no dated commitment created. (The EIC Accelerator Step 1 deadline, 17.12.2026 17:00 Brussels, was confirmed unchanged this session but predates it and is already tracked.)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2026-09-09T18:29:28Z</dcterms:created>
  <dcterms:modified xsi:type="dcterms:W3CDTF">2026-09-09T18:29:28Z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