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218219e17f4b920c4c84981d5780dce35d2ef7"/>
    <w:p>
      <w:pPr>
        <w:pStyle w:val="Heading1"/>
      </w:pPr>
      <w:r>
        <w:t xml:space="preserve">Field Note: KYA-S1 Is a Specification — and Two Silent Defects a Merge Surfaced</w:t>
      </w:r>
    </w:p>
    <w:p>
      <w:r>
        <w:pict>
          <v:rect style="width:0;height:1.5pt" o:hralign="center" o:hrstd="t" o:hr="t"/>
        </w:pict>
      </w:r>
    </w:p>
    <w:bookmarkEnd w:id="20"/>
    <w:bookmarkStart w:id="26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(Opus 5) | Session: claude/arvonluonnin-ajurit-research-hpiipo | Date: 07.08.2026 | Changes: Initial field note. Records the KYA-S1 standard→specification reclassification, the new Approval Request Rule, and two defects the branch/main merge surfaced: a deleted VERSION AND AGENT HISTORY entry present on neither side, and a formatter hook that silently reverts the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delimiter rule on every edit.</w:t>
      </w:r>
    </w:p>
    <w:p>
      <w:pPr>
        <w:pStyle w:val="FirstParagraph"/>
      </w:pPr>
      <w:r>
        <w:t xml:space="preserve">Session Links &amp; References:</w:t>
      </w:r>
    </w:p>
    <w:p>
      <w:pPr>
        <w:numPr>
          <w:ilvl w:val="0"/>
          <w:numId w:val="1002"/>
        </w:numPr>
        <w:pStyle w:val="Compact"/>
      </w:pPr>
      <w:r>
        <w:t xml:space="preserve">Claude Code (claude/arvonluonnin-ajurit-research-hpiipo): https://claude.ai/code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3"/>
        </w:numPr>
        <w:pStyle w:val="Compact"/>
      </w:pPr>
      <w:r>
        <w:t xml:space="preserve">Created: 07.08.2026</w:t>
      </w:r>
    </w:p>
    <w:p>
      <w:pPr>
        <w:numPr>
          <w:ilvl w:val="0"/>
          <w:numId w:val="1003"/>
        </w:numPr>
        <w:pStyle w:val="Compact"/>
      </w:pPr>
      <w:r>
        <w:t xml:space="preserve">Last Modified: 07.08.2026</w:t>
      </w:r>
    </w:p>
    <w:p>
      <w:pPr>
        <w:numPr>
          <w:ilvl w:val="0"/>
          <w:numId w:val="1003"/>
        </w:numPr>
        <w:pStyle w:val="Compact"/>
      </w:pPr>
      <w:r>
        <w:t xml:space="preserve">Language: English</w:t>
      </w:r>
    </w:p>
    <w:p>
      <w:pPr>
        <w:numPr>
          <w:ilvl w:val="0"/>
          <w:numId w:val="1003"/>
        </w:numPr>
        <w:pStyle w:val="Compact"/>
      </w:pPr>
      <w:r>
        <w:t xml:space="preserve">Publication Status: ACTIVE</w:t>
      </w:r>
    </w:p>
    <w:p>
      <w:pPr>
        <w:numPr>
          <w:ilvl w:val="0"/>
          <w:numId w:val="1003"/>
        </w:numPr>
        <w:pStyle w:val="Compact"/>
      </w:pPr>
      <w:r>
        <w:t xml:space="preserve">Classification: INTERNAL</w:t>
      </w:r>
    </w:p>
    <w:p>
      <w:pPr>
        <w:numPr>
          <w:ilvl w:val="0"/>
          <w:numId w:val="1003"/>
        </w:numPr>
        <w:pStyle w:val="Compact"/>
      </w:pPr>
      <w:r>
        <w:t xml:space="preserve">Document Type: Field Note / HIC Learning Outcome</w:t>
      </w:r>
    </w:p>
    <w:p>
      <w:pPr>
        <w:pStyle w:val="FirstParagraph"/>
      </w:pPr>
      <w:r>
        <w:t xml:space="preserve">Related Documents: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Legal/KYA_S1.md</w:t>
      </w:r>
      <w:r>
        <w:t xml:space="preserve"> </w:t>
      </w:r>
      <w:r>
        <w:t xml:space="preserve">v1.3 (the reclassified specification)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DWS_TRUTH_STANDARD.md</w:t>
      </w:r>
      <w:r>
        <w:t xml:space="preserve"> </w:t>
      </w:r>
      <w:r>
        <w:t xml:space="preserve">v4.7 (row 35 corrected, row 36 added)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Approval Request Rule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docs/KONSULTOINNIN_KASIKIRJA_2026.md</w:t>
      </w:r>
      <w:r>
        <w:t xml:space="preserve"> </w:t>
      </w:r>
      <w:r>
        <w:t xml:space="preserve">v1.12 (§2.1 driver 1)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docs/blog-drafts/kya-s1-one-signed-page.fi.md</w:t>
      </w:r>
      <w:r>
        <w:t xml:space="preserve"> </w:t>
      </w:r>
      <w:r>
        <w:t xml:space="preserve">(DRAFT)</w:t>
      </w:r>
    </w:p>
    <w:p>
      <w:r>
        <w:pict>
          <v:rect style="width:0;height:1.5pt" o:hralign="center" o:hrstd="t" o:hr="t"/>
        </w:pict>
      </w:r>
    </w:p>
    <w:bookmarkStart w:id="21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Four threads, one session.</w:t>
      </w:r>
    </w:p>
    <w:p>
      <w:pPr>
        <w:pStyle w:val="BodyText"/>
      </w:pPr>
      <w:r>
        <w:rPr>
          <w:bCs/>
          <w:b/>
        </w:rPr>
        <w:t xml:space="preserve">1. KYA-S1 is a specification, not a standard.</w:t>
      </w:r>
      <w:r>
        <w:t xml:space="preserve"> </w:t>
      </w:r>
      <w:r>
        <w:t xml:space="preserve">The HIC corrected a claim that had propagated into the canonical spec’s own title, both registries, the compliance hub, and a published post. A standard comes out of a standards body with a consensus process; KYA-S1 came out of one company and was published for comment. Reclassified throughout (</w:t>
      </w:r>
      <w:r>
        <w:rPr>
          <w:rStyle w:val="VerbatimChar"/>
        </w:rPr>
        <w:t xml:space="preserve">Legal/KYA_S1.md</w:t>
      </w:r>
      <w:r>
        <w:t xml:space="preserve"> </w:t>
      </w:r>
      <w:r>
        <w:t xml:space="preserve">v1.2 → v1.3), with a third drift guard added to Truth Standard row 35. The HIC’s follow-up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cannot publish standards</w:t>
      </w:r>
      <w:r>
        <w:rPr>
          <w:iCs/>
          <w:i/>
        </w:rPr>
        <w:t xml:space="preserve">”</w:t>
      </w:r>
      <w:r>
        <w:t xml:space="preserve"> </w:t>
      </w:r>
      <w:r>
        <w:t xml:space="preserve">— is the sharper form: the word was not a label error, it was an implicit claim to be a standards body.</w:t>
      </w:r>
    </w:p>
    <w:p>
      <w:pPr>
        <w:pStyle w:val="BodyText"/>
      </w:pPr>
      <w:r>
        <w:rPr>
          <w:bCs/>
          <w:b/>
        </w:rPr>
        <w:t xml:space="preserve">2. The approval gate had a device bug.</w:t>
      </w:r>
      <w:r>
        <w:t xml:space="preserve"> </w:t>
      </w:r>
      <w:r>
        <w:t xml:space="preserve">A fenced markdown block does not render on a phone. The HIC could not read the draft I asked them to approve. Added the</w:t>
      </w:r>
      <w:r>
        <w:t xml:space="preserve"> </w:t>
      </w:r>
      <w:r>
        <w:rPr>
          <w:bCs/>
          <w:b/>
        </w:rPr>
        <w:t xml:space="preserve">Approval Request 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then amended it within the same session: default to a published Artifact for anything meant to be read and judged; fenced blocks remain only for an explicit</w:t>
      </w:r>
      <w:r>
        <w:t xml:space="preserve"> </w:t>
      </w:r>
      <w:r>
        <w:t xml:space="preserve">“</w:t>
      </w:r>
      <w:r>
        <w:t xml:space="preserve">give me a copy-paste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Positioning sharpened.</w:t>
      </w:r>
      <w:r>
        <w:t xml:space="preserve"> </w:t>
      </w:r>
      <w:r>
        <w:t xml:space="preserve">§2.1 driver 1 now leads with quantified capacity, then value creation, then who decides.</w:t>
      </w:r>
      <w:r>
        <w:t xml:space="preserve"> </w:t>
      </w:r>
      <w:r>
        <w:t xml:space="preserve">“</w:t>
      </w:r>
      <w:r>
        <w:t xml:space="preserve">Zero rekrytointiviive</w:t>
      </w:r>
      <w:r>
        <w:t xml:space="preserve">”</w:t>
      </w:r>
      <w:r>
        <w:t xml:space="preserve"> </w:t>
      </w:r>
      <w:r>
        <w:t xml:space="preserve">moved from headline claim to explained footnote, per Boardy’s direction. New capacity figures registered as Truth Standard row 36.</w:t>
      </w:r>
    </w:p>
    <w:p>
      <w:pPr>
        <w:pStyle w:val="BodyText"/>
      </w:pPr>
      <w:r>
        <w:rPr>
          <w:bCs/>
          <w:b/>
        </w:rPr>
        <w:t xml:space="preserve">4. The blog was rewritten for a reader who knows nothing.</w:t>
      </w:r>
      <w:r>
        <w:t xml:space="preserve"> </w:t>
      </w:r>
      <w:r>
        <w:t xml:space="preserve">The KYA-S1 post was accurate and unreadable. Rewritten in Finnish with the KYC→KYA analogy carrying the concept and every term explained. FI is now the translation base.</w:t>
      </w:r>
    </w:p>
    <w:bookmarkEnd w:id="21"/>
    <w:bookmarkStart w:id="22" w:name="X2279cefd7babb71e2b29fd1d39b1e30b735ff34"/>
    <w:p>
      <w:pPr>
        <w:pStyle w:val="Heading2"/>
      </w:pPr>
      <w:r>
        <w:t xml:space="preserve">The insight: a merge is a detection mechanism, not just an integration step</w:t>
      </w:r>
    </w:p>
    <w:p>
      <w:pPr>
        <w:pStyle w:val="FirstParagraph"/>
      </w:pPr>
      <w:r>
        <w:t xml:space="preserve">Merging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produced one conflict. Resolving it surfaced two defects neither side was reporting.</w:t>
      </w:r>
    </w:p>
    <w:p>
      <w:pPr>
        <w:pStyle w:val="BodyText"/>
      </w:pPr>
      <w:r>
        <w:rPr>
          <w:bCs/>
          <w:b/>
        </w:rPr>
        <w:t xml:space="preserve">Defect 1 — a changelog entry deleted on both sides.</w:t>
      </w:r>
      <w:r>
        <w:t xml:space="preserve"> </w:t>
      </w:r>
      <w:r>
        <w:t xml:space="preserve">The v1.81 entry existed at merge-base</w:t>
      </w:r>
      <w:r>
        <w:t xml:space="preserve"> </w:t>
      </w:r>
      <w:r>
        <w:rPr>
          <w:rStyle w:val="VerbatimChar"/>
        </w:rPr>
        <w:t xml:space="preserve">7eea44e</w:t>
      </w:r>
      <w:r>
        <w:t xml:space="preserve"> </w:t>
      </w:r>
      <w:r>
        <w:t xml:space="preserve">and was missing from the branch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from main. The v1.9 session dropped it; this session propagated the loss to main by copying the branch’s file across. Neither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nor any lint flagged it, because both sides agreed. Only the three-way comparison against merge-base made it visible. Deleting</w:t>
      </w:r>
      <w:r>
        <w:t xml:space="preserve"> </w:t>
      </w:r>
      <w:r>
        <w:rPr>
          <w:rStyle w:val="VerbatimChar"/>
        </w:rPr>
        <w:t xml:space="preserve">VERSION AND AGENT HISTORY</w:t>
      </w:r>
      <w:r>
        <w:t xml:space="preserve"> </w:t>
      </w:r>
      <w:r>
        <w:t xml:space="preserve">entries violates CLAUDE.md Rule 12; restored verbatim.</w:t>
      </w:r>
    </w:p>
    <w:p>
      <w:pPr>
        <w:pStyle w:val="BlockText"/>
      </w:pPr>
      <w:r>
        <w:rPr>
          <w:bCs/>
          <w:b/>
        </w:rPr>
        <w:t xml:space="preserve">The general form:</w:t>
      </w:r>
      <w:r>
        <w:t xml:space="preserve"> </w:t>
      </w:r>
      <w:r>
        <w:t xml:space="preserve">a defect that exists identically on both branches is invisible to a two-way diff. It becomes visible the moment you diff both against their common ancestor.</w:t>
      </w:r>
      <w:r>
        <w:t xml:space="preserve"> </w:t>
      </w:r>
      <w:r>
        <w:rPr>
          <w:rStyle w:val="VerbatimChar"/>
        </w:rPr>
        <w:t xml:space="preserve">git diff &lt;merge-base&gt; &lt;side&gt;</w:t>
      </w:r>
      <w:r>
        <w:t xml:space="preserve"> </w:t>
      </w:r>
      <w:r>
        <w:t xml:space="preserve">is a history-loss detector, and it costs one command.</w:t>
      </w:r>
    </w:p>
    <w:p>
      <w:pPr>
        <w:pStyle w:val="FirstParagraph"/>
      </w:pPr>
      <w:r>
        <w:rPr>
          <w:bCs/>
          <w:b/>
        </w:rPr>
        <w:t xml:space="preserve">Defect 2 — the formatter fights the document standard.</w:t>
      </w:r>
      <w:r>
        <w:t xml:space="preserve"> </w:t>
      </w:r>
      <w:r>
        <w:t xml:space="preserve">The prettier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hook rewrites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. CLAUDE.md’s Markdown Delimiter Rule requires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VERSION AND AGENT HISTORY</w:t>
      </w:r>
      <w:r>
        <w:t xml:space="preserve"> </w:t>
      </w:r>
      <w:r>
        <w:t xml:space="preserve">block for Pandoc compatibility. A parallel session had</w:t>
      </w:r>
      <w:r>
        <w:t xml:space="preserve"> </w:t>
      </w:r>
      <w:r>
        <w:rPr>
          <w:iCs/>
          <w:i/>
        </w:rPr>
        <w:t xml:space="preserve">just</w:t>
      </w:r>
      <w:r>
        <w:t xml:space="preserve"> </w:t>
      </w:r>
      <w:r>
        <w:t xml:space="preserve">landed a commit fixing those delimiters (</w:t>
      </w:r>
      <w:r>
        <w:rPr>
          <w:rStyle w:val="VerbatimChar"/>
        </w:rPr>
        <w:t xml:space="preserve">ff9df71</w:t>
      </w:r>
      <w:r>
        <w:t xml:space="preserve">); my first edit to the same file silently undid it.</w:t>
      </w:r>
    </w:p>
    <w:p>
      <w:pPr>
        <w:pStyle w:val="BodyText"/>
      </w:pPr>
      <w:r>
        <w:t xml:space="preserve">This is not a one-off. Every future edit to any handbook-class document re-breaks the rule, and the fix commit looks like it worked because the reverting write happens afterwards. The workaround used here — apply delimiter fixes via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in Bash, which the Edit-hook formatter does not intercept — is a workaround, not a fix.</w:t>
      </w:r>
    </w:p>
    <w:p>
      <w:pPr>
        <w:pStyle w:val="BodyText"/>
      </w:pPr>
      <w:r>
        <w:rPr>
          <w:bCs/>
          <w:b/>
        </w:rPr>
        <w:t xml:space="preserve">Reproduced live while writing this note.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that created this file had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delimiters; the hook rewrote both to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before the file was read back. The defect demonstrated itself inside the document reporting it, which is about as clean a reproduction as one gets.</w:t>
      </w:r>
    </w:p>
    <w:p>
      <w:pPr>
        <w:pStyle w:val="BodyText"/>
      </w:pPr>
      <w:r>
        <w:rPr>
          <w:bCs/>
          <w:b/>
        </w:rPr>
        <w:t xml:space="preserve">Third observation, smaller:</w:t>
      </w:r>
      <w:r>
        <w:t xml:space="preserve"> </w:t>
      </w:r>
      <w:r>
        <w:t xml:space="preserve">a parallel session had already landed an equivalent merge resolution while this one was working. Discarding the duplicate local merge and re-applying only the unique contribution (the v1.81 restoration) on top of their work was cheaper and cleaner than merging two merges. Tagged</w:t>
      </w:r>
      <w:r>
        <w:t xml:space="preserve"> </w:t>
      </w:r>
      <w:r>
        <w:rPr>
          <w:rStyle w:val="VerbatimChar"/>
        </w:rPr>
        <w:t xml:space="preserve">backup/local-merge-74ca6f4</w:t>
      </w:r>
      <w:r>
        <w:t xml:space="preserve"> </w:t>
      </w:r>
      <w:r>
        <w:t xml:space="preserve">before resetting.</w:t>
      </w:r>
    </w:p>
    <w:bookmarkEnd w:id="22"/>
    <w:bookmarkStart w:id="2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formatter defect needs a real fix.</w:t>
      </w:r>
      <w:r>
        <w:t xml:space="preserve"> </w:t>
      </w:r>
      <w:r>
        <w:t xml:space="preserve">Either exclude the</w:t>
      </w:r>
      <w:r>
        <w:t xml:space="preserve"> </w:t>
      </w:r>
      <w:r>
        <w:rPr>
          <w:rStyle w:val="VerbatimChar"/>
        </w:rPr>
        <w:t xml:space="preserve">VERSION AND AGENT HISTORY</w:t>
      </w:r>
      <w:r>
        <w:t xml:space="preserve"> </w:t>
      </w:r>
      <w:r>
        <w:t xml:space="preserve">block from prettier, or add a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step that re-asserts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after formatting. Until then every handbook-class edit silently breaks the rule.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KYA-S1’s named models are unpinned.</w:t>
      </w:r>
      <w:r>
        <w:t xml:space="preserve"> </w:t>
      </w:r>
      <w:r>
        <w:t xml:space="preserve">Truth Standard row 36 carries a WARN: the</w:t>
      </w:r>
      <w:r>
        <w:t xml:space="preserve"> </w:t>
      </w:r>
      <w:r>
        <w:rPr>
          <w:iCs/>
          <w:i/>
        </w:rPr>
        <w:t xml:space="preserve">counts</w:t>
      </w:r>
      <w:r>
        <w:t xml:space="preserve"> </w:t>
      </w:r>
      <w:r>
        <w:t xml:space="preserve">(3 open / 3 frontier) are registered on HIC authority, but the model names are not in any canonical file. The counts must not be quoted as an implied roster in customer-facing material until listed.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 blog drafts await the HIC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, neither published:</w:t>
      </w:r>
      <w:r>
        <w:t xml:space="preserve"> </w:t>
      </w:r>
      <w:r>
        <w:rPr>
          <w:rStyle w:val="VerbatimChar"/>
        </w:rPr>
        <w:t xml:space="preserve">kya-s1-one-signed-page.md</w:t>
      </w:r>
      <w:r>
        <w:t xml:space="preserve"> </w:t>
      </w:r>
      <w:r>
        <w:t xml:space="preserve">(EN, reopened by the specification correction) and</w:t>
      </w:r>
      <w:r>
        <w:t xml:space="preserve"> </w:t>
      </w:r>
      <w:r>
        <w:rPr>
          <w:rStyle w:val="VerbatimChar"/>
        </w:rPr>
        <w:t xml:space="preserve">kya-s1-one-signed-page.fi.md</w:t>
      </w:r>
      <w:r>
        <w:t xml:space="preserve"> </w:t>
      </w:r>
      <w:r>
        <w:t xml:space="preserve">(FI rewrite). The FI text goes to Gemini for translation once approved.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DWS IQ 10 has no roadmap.</w:t>
      </w:r>
      <w:r>
        <w:t xml:space="preserve"> </w:t>
      </w:r>
      <w:r>
        <w:t xml:space="preserve">It was requested for the release timeline infographic;</w:t>
      </w:r>
      <w:r>
        <w:t xml:space="preserve"> </w:t>
      </w:r>
      <w:r>
        <w:rPr>
          <w:rStyle w:val="VerbatimChar"/>
        </w:rPr>
        <w:t xml:space="preserve">DWS10_ROADMAP.md</w:t>
      </w:r>
      <w:r>
        <w:t xml:space="preserve"> </w:t>
      </w:r>
      <w:r>
        <w:t xml:space="preserve">does not exist and</w:t>
      </w:r>
      <w:r>
        <w:t xml:space="preserve"> </w:t>
      </w:r>
      <w:r>
        <w:rPr>
          <w:rStyle w:val="VerbatimChar"/>
        </w:rPr>
        <w:t xml:space="preserve">dws10.com</w:t>
      </w:r>
      <w:r>
        <w:t xml:space="preserve"> </w:t>
      </w:r>
      <w:r>
        <w:t xml:space="preserve">is the store domain, not a version. Marked</w:t>
      </w:r>
      <w:r>
        <w:t xml:space="preserve"> </w:t>
      </w:r>
      <w:r>
        <w:t xml:space="preserve">“</w:t>
      </w:r>
      <w:r>
        <w:t xml:space="preserve">horizon — no published date</w:t>
      </w:r>
      <w:r>
        <w:t xml:space="preserve">”</w:t>
      </w:r>
      <w:r>
        <w:t xml:space="preserve"> </w:t>
      </w:r>
      <w:r>
        <w:t xml:space="preserve">in the infographic prompt pending a decision.</w:t>
      </w:r>
    </w:p>
    <w:bookmarkEnd w:id="23"/>
    <w:bookmarkStart w:id="24" w:name="hic-learning-outcome-six-step-record"/>
    <w:p>
      <w:pPr>
        <w:pStyle w:val="Heading2"/>
      </w:pPr>
      <w:r>
        <w:t xml:space="preserve">HIC Learning Outcome — six-step record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Knowledge base:</w:t>
      </w:r>
      <w:r>
        <w:t xml:space="preserve"> </w:t>
      </w:r>
      <w:r>
        <w:t xml:space="preserve">N/A — no</w:t>
      </w:r>
      <w:r>
        <w:t xml:space="preserve"> </w:t>
      </w:r>
      <w:r>
        <w:rPr>
          <w:rStyle w:val="VerbatimChar"/>
        </w:rPr>
        <w:t xml:space="preserve">kb/</w:t>
      </w:r>
      <w:r>
        <w:t xml:space="preserve"> </w:t>
      </w:r>
      <w:r>
        <w:t xml:space="preserve">directory in this clone; content carried by this note and Truth Standard rows 35–36.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Field note:</w:t>
      </w:r>
      <w:r>
        <w:t xml:space="preserve"> </w:t>
      </w:r>
      <w:r>
        <w:t xml:space="preserve">this document.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HTML:</w:t>
      </w:r>
      <w:r>
        <w:t xml:space="preserve"> </w:t>
      </w:r>
      <w:r>
        <w:rPr>
          <w:rStyle w:val="VerbatimChar"/>
        </w:rPr>
        <w:t xml:space="preserve">Learn/2026-08-07-kya-s1-specification-and-two-silent-defects.html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Drive export:</w:t>
      </w:r>
      <w:r>
        <w:t xml:space="preserve"> </w:t>
      </w:r>
      <w:r>
        <w:t xml:space="preserve">pending — this note follows the diff-export convention agreed 06.08.2026 (increments, not whole documents).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HIC decision-shaped question:</w:t>
      </w:r>
      <w:r>
        <w:t xml:space="preserve"> </w:t>
      </w:r>
      <w:r>
        <w:t xml:space="preserve">see §Decision below.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Calendar:</w:t>
      </w:r>
      <w:r>
        <w:t xml:space="preserve"> </w:t>
      </w:r>
      <w:r>
        <w:t xml:space="preserve">no new dated commitment. The KYA-S1 comment window closes 04.11.2026 and is already calendared.</w:t>
      </w:r>
    </w:p>
    <w:bookmarkEnd w:id="24"/>
    <w:bookmarkStart w:id="25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rPr>
          <w:bCs/>
          <w:b/>
        </w:rPr>
        <w:t xml:space="preserve">Should the prettier hook be changed, or should the delimiter rule be?</w:t>
      </w:r>
    </w:p>
    <w:p>
      <w:pPr>
        <w:pStyle w:val="BodyText"/>
      </w:pPr>
      <w:r>
        <w:t xml:space="preserve">Two defensible answers, and they lead to different work.</w:t>
      </w:r>
    </w:p>
    <w:p>
      <w:pPr>
        <w:pStyle w:val="BodyText"/>
      </w:pPr>
      <w:r>
        <w:rPr>
          <w:bCs/>
          <w:b/>
        </w:rPr>
        <w:t xml:space="preserve">(A) Fix the hook.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***</w:t>
      </w:r>
      <w:r>
        <w:t xml:space="preserve">. Exclude the</w:t>
      </w:r>
      <w:r>
        <w:t xml:space="preserve"> </w:t>
      </w:r>
      <w:r>
        <w:rPr>
          <w:rStyle w:val="VerbatimChar"/>
        </w:rPr>
        <w:t xml:space="preserve">VERSION AND AGENT HISTORY</w:t>
      </w:r>
      <w:r>
        <w:t xml:space="preserve"> </w:t>
      </w:r>
      <w:r>
        <w:t xml:space="preserve">block from prettier, or re-assert the delimiters after formatting. Preserves Pandoc compatibility and every existing document. Cost: hook work, and the exclusion has to hold across every document class that uses the block.</w:t>
      </w:r>
    </w:p>
    <w:p>
      <w:pPr>
        <w:pStyle w:val="BodyText"/>
      </w:pPr>
      <w:r>
        <w:rPr>
          <w:bCs/>
          <w:b/>
        </w:rPr>
        <w:t xml:space="preserve">(B) Drop the rule.</w:t>
      </w:r>
      <w:r>
        <w:t xml:space="preserve"> </w:t>
      </w:r>
      <w:r>
        <w:t xml:space="preserve">Let prettier win and standardise on</w:t>
      </w:r>
      <w:r>
        <w:t xml:space="preserve"> </w:t>
      </w:r>
      <w:r>
        <w:rPr>
          <w:rStyle w:val="VerbatimChar"/>
        </w:rPr>
        <w:t xml:space="preserve">---</w:t>
      </w:r>
      <w:r>
        <w:t xml:space="preserve">. Cheaper — no hook work — but it requires confirming that Pandoc rendering actually still holds for the thesis and handbook pipelines, and it rewrites a rule that exists because someone hit that Pandoc problem before.</w:t>
      </w:r>
    </w:p>
    <w:p>
      <w:pPr>
        <w:pStyle w:val="BodyText"/>
      </w:pPr>
      <w:r>
        <w:rPr>
          <w:bCs/>
          <w:b/>
        </w:rPr>
        <w:t xml:space="preserve">(RECOMMEND: A.)</w:t>
      </w:r>
      <w:r>
        <w:t xml:space="preserve"> </w:t>
      </w:r>
      <w:r>
        <w:t xml:space="preserve">The rule was written from a real failure; the formatter is the newer arrival and the easier thing to bend. But A is only correct if Pandoc genuinely still needs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— if that constraint has lapsed, B is the honest simplification and I would rather find out than keep patching around a rule nobody needs.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2026-08-07T02:37:12Z</dcterms:created>
  <dcterms:modified xsi:type="dcterms:W3CDTF">2026-08-07T02:37:12Z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