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be5f3b4628134c27fcbfeb15ab78d4889d98e77"/>
    <w:p>
      <w:pPr>
        <w:pStyle w:val="Heading1"/>
      </w:pPr>
      <w:r>
        <w:t xml:space="preserve">2026-08-05 — Doctorate/Post-Doctorate Intelligence Catalog Gate</w:t>
      </w:r>
    </w:p>
    <w:p>
      <w:pPr>
        <w:pStyle w:val="FirstParagraph"/>
      </w:pPr>
      <w:r>
        <w:t xml:space="preserve">Supersedes</w:t>
      </w:r>
      <w:r>
        <w:t xml:space="preserve"> </w:t>
      </w:r>
      <w:r>
        <w:rPr>
          <w:rStyle w:val="VerbatimChar"/>
        </w:rPr>
        <w:t xml:space="preserve">2026-08-05-doctorate-strategy-research-in-progress.md</w:t>
      </w:r>
      <w:r>
        <w:t xml:space="preserve"> </w:t>
      </w:r>
      <w:r>
        <w:t xml:space="preserve">(research now complete).</w:t>
      </w:r>
    </w:p>
    <w:bookmarkStart w:id="20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HIC’s own working framing from the loop: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doctorate-level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must mean reproducible</w:t>
      </w:r>
      <w:r>
        <w:rPr>
          <w:iCs/>
          <w:i/>
        </w:rPr>
        <w:t xml:space="preserve"> </w:t>
      </w:r>
      <w:r>
        <w:rPr>
          <w:iCs/>
          <w:i/>
        </w:rPr>
        <w:t xml:space="preserve">inquiry and defensible evidence, while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post-doctorate-level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must mean discovering</w:t>
      </w:r>
      <w:r>
        <w:rPr>
          <w:iCs/>
          <w:i/>
        </w:rPr>
        <w:t xml:space="preserve"> </w:t>
      </w:r>
      <w:r>
        <w:rPr>
          <w:iCs/>
          <w:i/>
        </w:rPr>
        <w:t xml:space="preserve">and validating new enterprise knowledge.</w:t>
      </w:r>
      <w:r>
        <w:t xml:space="preserve"> </w:t>
      </w:r>
      <w:r>
        <w:t xml:space="preserve">This note converts that into a testable</w:t>
      </w:r>
      <w:r>
        <w:t xml:space="preserve"> </w:t>
      </w:r>
      <w:r>
        <w:t xml:space="preserve">gate and runs it against the current 121-SKU product catalog. It deliberately reuses</w:t>
      </w:r>
      <w:r>
        <w:t xml:space="preserve"> </w:t>
      </w:r>
      <w:r>
        <w:t xml:space="preserve">machinery already canonical in the repo rather than inventing new instruments — see</w:t>
      </w:r>
      <w:r>
        <w:t xml:space="preserve"> </w:t>
      </w:r>
      <w:r>
        <w:t xml:space="preserve">“</w:t>
      </w:r>
      <w:r>
        <w:t xml:space="preserve">Grounding</w:t>
      </w:r>
      <w:r>
        <w:t xml:space="preserve">”</w:t>
      </w:r>
      <w:r>
        <w:t xml:space="preserve"> </w:t>
      </w:r>
      <w:r>
        <w:t xml:space="preserve">below.</w:t>
      </w:r>
    </w:p>
    <w:p>
      <w:pPr>
        <w:pStyle w:val="BodyText"/>
      </w:pPr>
      <w:r>
        <w:rPr>
          <w:rStyle w:val="VerbatimChar"/>
        </w:rPr>
        <w:t xml:space="preserve">Strategy_Loop.md</w:t>
      </w:r>
      <w:r>
        <w:t xml:space="preserve"> </w:t>
      </w:r>
      <w:r>
        <w:t xml:space="preserve">(claimed Copilot/DGX origin) remains unfound after a GitHub-wide</w:t>
      </w:r>
      <w:r>
        <w:t xml:space="preserve"> </w:t>
      </w:r>
      <w:r>
        <w:t xml:space="preserve">search and a scheduled 10-minute recheck; see the superseded note for the full</w:t>
      </w:r>
      <w:r>
        <w:t xml:space="preserve"> </w:t>
      </w:r>
      <w:r>
        <w:t xml:space="preserve">verification trail. Nothing in this note depends on that file existing.</w:t>
      </w:r>
    </w:p>
    <w:bookmarkEnd w:id="20"/>
    <w:bookmarkStart w:id="21" w:name="Xf1f85b5aceac8f722f27ff4027ba72b22c3bf70"/>
    <w:p>
      <w:pPr>
        <w:pStyle w:val="Heading2"/>
      </w:pPr>
      <w:r>
        <w:t xml:space="preserve">Grounding (what already exists in the repo)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KYA four-gate falsifiability criterion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docs/PHD_FIREHORSE_EN.md:3557</w:t>
      </w:r>
      <w:r>
        <w:t xml:space="preserve"> </w:t>
      </w:r>
      <w:r>
        <w:t xml:space="preserve">(§14.42)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standards/kya-open/SPEC.md:60</w:t>
      </w:r>
      <w:r>
        <w:t xml:space="preserve"> </w:t>
      </w:r>
      <w:r>
        <w:t xml:space="preserve">(§0.6), identical wording: (1) two+ independent</w:t>
      </w:r>
      <w:r>
        <w:t xml:space="preserve"> </w:t>
      </w:r>
      <w:r>
        <w:t xml:space="preserve">implementations, (2) a conformance suite an implementation can fail, (3) de jure</w:t>
      </w:r>
      <w:r>
        <w:t xml:space="preserve"> </w:t>
      </w:r>
      <w:r>
        <w:t xml:space="preserve">body acceptance or genuine de facto multi-party adoption, (4) change control that</w:t>
      </w:r>
      <w:r>
        <w:t xml:space="preserve"> </w:t>
      </w:r>
      <w:r>
        <w:t xml:space="preserve">outlives the originating organisation (</w:t>
      </w:r>
      <w:r>
        <w:t xml:space="preserve">“</w:t>
      </w:r>
      <w:r>
        <w:t xml:space="preserve">the decisive one</w:t>
      </w:r>
      <w:r>
        <w:t xml:space="preserve">”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KYA’s own self-assessment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standards/kya-open/SPEC.md:207-209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No</w:t>
      </w:r>
      <w:r>
        <w:t xml:space="preserve"> </w:t>
      </w:r>
      <w:r>
        <w:t xml:space="preserve">conformance test suite exists yet…</w:t>
      </w:r>
      <w:r>
        <w:t xml:space="preserve"> </w:t>
      </w:r>
      <w:r>
        <w:t xml:space="preserve">‘</w:t>
      </w:r>
      <w:r>
        <w:t xml:space="preserve">KYA-compliant</w:t>
      </w:r>
      <w:r>
        <w:t xml:space="preserve">’</w:t>
      </w:r>
      <w:r>
        <w:t xml:space="preserve"> </w:t>
      </w:r>
      <w:r>
        <w:t xml:space="preserve">is an unverified</w:t>
      </w:r>
      <w:r>
        <w:t xml:space="preserve"> </w:t>
      </w:r>
      <w:r>
        <w:t xml:space="preserve">self-assertion.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DWS_TRUTH_STANDARD row 35 (KYA-S1)</w:t>
      </w:r>
      <w:r>
        <w:t xml:space="preserve">:</w:t>
      </w:r>
      <w:r>
        <w:t xml:space="preserve"> </w:t>
      </w:r>
      <w:r>
        <w:t xml:space="preserve">“</w:t>
      </w:r>
      <w:r>
        <w:t xml:space="preserve">self-attestation is not acceptable</w:t>
      </w:r>
      <w:r>
        <w:t xml:space="preserve"> </w:t>
      </w:r>
      <w:r>
        <w:t xml:space="preserve">evidence in any domain; Bronze/Silver/Gold differ on revocation + chain-termination</w:t>
      </w:r>
      <w:r>
        <w:t xml:space="preserve"> </w:t>
      </w:r>
      <w:r>
        <w:t xml:space="preserve">SLAs.</w:t>
      </w:r>
      <w:r>
        <w:t xml:space="preserve">”</w:t>
      </w:r>
      <w:r>
        <w:t xml:space="preserve"> </w:t>
      </w:r>
      <w:r>
        <w:t xml:space="preserve">Status: draft, public comment 04.08.2026–04.11.2026.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DWS_TRUTH_STANDARD row 29 (MGD)</w:t>
      </w:r>
      <w:r>
        <w:t xml:space="preserve">: a governed decision</w:t>
      </w:r>
      <w:r>
        <w:t xml:space="preserve"> </w:t>
      </w:r>
      <w:r>
        <w:t xml:space="preserve">“</w:t>
      </w:r>
      <w:r>
        <w:t xml:space="preserve">counts only when it…</w:t>
      </w:r>
      <w:r>
        <w:t xml:space="preserve"> </w:t>
      </w:r>
      <w:r>
        <w:t xml:space="preserve">carries full Article 12 reasoning lineage, and is audit-grade.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V1_FEATURE_LIST.md:358</w:t>
      </w:r>
      <w:r>
        <w:t xml:space="preserve">:</w:t>
      </w:r>
      <w:r>
        <w:t xml:space="preserve"> </w:t>
      </w:r>
      <w:r>
        <w:t xml:space="preserve">“</w:t>
      </w:r>
      <w:r>
        <w:t xml:space="preserve">⏳ Green ratification — every SKU stays Blue/pilot</w:t>
      </w:r>
      <w:r>
        <w:t xml:space="preserve"> </w:t>
      </w:r>
      <w:r>
        <w:t xml:space="preserve">until Risto signs it Green</w:t>
      </w:r>
      <w:r>
        <w:t xml:space="preserve">”</w:t>
      </w:r>
      <w:r>
        <w:t xml:space="preserve"> </w:t>
      </w:r>
      <w:r>
        <w:t xml:space="preserve">— the 64-SKU labor-anchored catalog is explicitly</w:t>
      </w:r>
      <w:r>
        <w:t xml:space="preserve"> </w:t>
      </w:r>
      <w:r>
        <w:t xml:space="preserve">pre-ratification.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Existing PhD RQ set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docs/PHD_FIREHORSE_EN.md:158-178</w:t>
      </w:r>
      <w:r>
        <w:t xml:space="preserve">, §1.2): 7 RQs</w:t>
      </w:r>
      <w:r>
        <w:t xml:space="preserve"> </w:t>
      </w:r>
      <w:r>
        <w:t xml:space="preserve">(sovereignty frame, ontologies, KYA standard, standardization pathway, agentic</w:t>
      </w:r>
      <w:r>
        <w:t xml:space="preserve"> </w:t>
      </w:r>
      <w:r>
        <w:t xml:space="preserve">commerce, EU eWallet, transactions). None of the 7 currently formalizes a</w:t>
      </w:r>
      <w:r>
        <w:t xml:space="preserve"> </w:t>
      </w:r>
      <w:r>
        <w:t xml:space="preserve">catalog-wide evidence gate — this proposal is additive, not a replacement for any</w:t>
      </w:r>
      <w:r>
        <w:t xml:space="preserve"> </w:t>
      </w:r>
      <w:r>
        <w:t xml:space="preserve">of them.</w:t>
      </w:r>
    </w:p>
    <w:bookmarkEnd w:id="21"/>
    <w:bookmarkStart w:id="22" w:name="Xce89825aa81dfdbde99b01479bbf550f49dd129"/>
    <w:p>
      <w:pPr>
        <w:pStyle w:val="Heading2"/>
      </w:pPr>
      <w:r>
        <w:t xml:space="preserve">Proposed Research Question (draft, not yet added to §1.2 — see HIC action)</w:t>
      </w:r>
    </w:p>
    <w:p>
      <w:pPr>
        <w:pStyle w:val="BlockText"/>
      </w:pPr>
      <w:r>
        <w:rPr>
          <w:bCs/>
          <w:b/>
        </w:rPr>
        <w:t xml:space="preserve">RQ8 (proposed, catalog-scoped).</w:t>
      </w:r>
      <w:r>
        <w:t xml:space="preserve"> </w:t>
      </w:r>
      <w:r>
        <w:t xml:space="preserve">What evidentiary and reproducibility criteria</w:t>
      </w:r>
      <w:r>
        <w:t xml:space="preserve"> </w:t>
      </w:r>
      <w:r>
        <w:t xml:space="preserve">distinguish a DWS IQ product/service that merely generates enterprise output from</w:t>
      </w:r>
      <w:r>
        <w:t xml:space="preserve"> </w:t>
      </w:r>
      <w:r>
        <w:t xml:space="preserve">one that constitutes doctorate-level (reproducible, defensibly-evidenced) or</w:t>
      </w:r>
      <w:r>
        <w:t xml:space="preserve"> </w:t>
      </w:r>
      <w:r>
        <w:t xml:space="preserve">post-doctorate-level (novel, independently-validated) enterprise intelligence —</w:t>
      </w:r>
      <w:r>
        <w:t xml:space="preserve"> </w:t>
      </w:r>
      <w:r>
        <w:t xml:space="preserve">and what fraction of the current product catalog clears that bar?</w:t>
      </w:r>
    </w:p>
    <w:p>
      <w:pPr>
        <w:pStyle w:val="FirstParagraph"/>
      </w:pPr>
      <w:r>
        <w:t xml:space="preserve">This is the KYA four-gate instrument applied one level down: not</w:t>
      </w:r>
      <w:r>
        <w:t xml:space="preserve"> </w:t>
      </w:r>
      <w:r>
        <w:t xml:space="preserve">“</w:t>
      </w:r>
      <w:r>
        <w:t xml:space="preserve">is the</w:t>
      </w:r>
      <w:r>
        <w:t xml:space="preserve"> </w:t>
      </w:r>
      <w:r>
        <w:rPr>
          <w:iCs/>
          <w:i/>
        </w:rPr>
        <w:t xml:space="preserve">standard</w:t>
      </w:r>
      <w:r>
        <w:t xml:space="preserve"> </w:t>
      </w:r>
      <w:r>
        <w:t xml:space="preserve">falsifiable</w:t>
      </w:r>
      <w:r>
        <w:t xml:space="preserve">”</w:t>
      </w:r>
      <w:r>
        <w:t xml:space="preserve"> </w:t>
      </w:r>
      <w:r>
        <w:t xml:space="preserve">but</w:t>
      </w:r>
      <w:r>
        <w:t xml:space="preserve"> </w:t>
      </w:r>
      <w:r>
        <w:t xml:space="preserve">“</w:t>
      </w:r>
      <w:r>
        <w:t xml:space="preserve">does each</w:t>
      </w:r>
      <w:r>
        <w:t xml:space="preserve"> </w:t>
      </w:r>
      <w:r>
        <w:rPr>
          <w:iCs/>
          <w:i/>
        </w:rPr>
        <w:t xml:space="preserve">product claim</w:t>
      </w:r>
      <w:r>
        <w:t xml:space="preserve"> </w:t>
      </w:r>
      <w:r>
        <w:t xml:space="preserve">built on top of it clear the same bar.</w:t>
      </w:r>
      <w:r>
        <w:t xml:space="preserve">”</w:t>
      </w:r>
    </w:p>
    <w:bookmarkEnd w:id="22"/>
    <w:bookmarkStart w:id="23" w:name="the-gate"/>
    <w:p>
      <w:pPr>
        <w:pStyle w:val="Heading2"/>
      </w:pPr>
      <w:r>
        <w:t xml:space="preserve">The gate</w:t>
      </w:r>
    </w:p>
    <w:p>
      <w:pPr>
        <w:pStyle w:val="FirstParagraph"/>
      </w:pPr>
      <w:r>
        <w:rPr>
          <w:bCs/>
          <w:b/>
        </w:rPr>
        <w:t xml:space="preserve">Doctorate-level (G1–G4, all required — reproducible inquiry + defensible evidence):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7"/>
        <w:gridCol w:w="5309"/>
        <w:gridCol w:w="152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anchor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 Reproducibility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input reliably reproduces the same defensible output — independently re-derivable, not just a deterministic code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(new — no existing row)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 Evidence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Article 12 reasoning lineage, audit-grade; not self-attested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TRUTH row 29 (MGD), row 35 (KYA-S1)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 Falsifiability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independent conformance check can fail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KYA SPEC §9 / four-gate #2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 Provenance persistence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Versioned, revocable, chain-terminating record survives the single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KYA-S1 Bronze/Silver/Gold SLA</w:t>
            </w:r>
          </w:p>
        </w:tc>
      </w:tr>
    </w:tbl>
    <w:p>
      <w:pPr>
        <w:pStyle w:val="BodyText"/>
      </w:pPr>
      <w:r>
        <w:rPr>
          <w:bCs/>
          <w:b/>
        </w:rPr>
        <w:t xml:space="preserve">Post-doctorate-level (G5–G6, on top of G1–G4 — discovering + validating new</w:t>
      </w:r>
      <w:r>
        <w:rPr>
          <w:bCs/>
          <w:b/>
        </w:rPr>
        <w:t xml:space="preserve"> </w:t>
      </w:r>
      <w:r>
        <w:rPr>
          <w:bCs/>
          <w:b/>
        </w:rPr>
        <w:t xml:space="preserve">enterprise knowledge):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04"/>
        <w:gridCol w:w="65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 Novelty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contains a claim not already contained in its inputs (synthesis, not retrieval/summarization)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 Independent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novel claim is checked against ground truth or an independent verifier before surfacing, not generated-and-shown</w:t>
            </w:r>
          </w:p>
        </w:tc>
      </w:tr>
    </w:tbl>
    <w:bookmarkEnd w:id="23"/>
    <w:bookmarkStart w:id="26" w:name="test-result-121-sku-catalog-against-g1g4"/>
    <w:p>
      <w:pPr>
        <w:pStyle w:val="Heading2"/>
      </w:pPr>
      <w:r>
        <w:t xml:space="preserve">Test result: 121-SKU catalog against G1–G4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dws10.com/config/products.json</w:t>
      </w:r>
      <w:r>
        <w:t xml:space="preserve"> </w:t>
      </w:r>
      <w:r>
        <w:t xml:space="preserve">(121 SKUs, byte-identical to the</w:t>
      </w:r>
      <w:r>
        <w:t xml:space="preserve"> </w:t>
      </w:r>
      <w:r>
        <w:rPr>
          <w:rStyle w:val="VerbatimChar"/>
        </w:rPr>
        <w:t xml:space="preserve">landing-pages/</w:t>
      </w:r>
      <w:r>
        <w:t xml:space="preserve"> </w:t>
      </w:r>
      <w:r>
        <w:t xml:space="preserve">mirror — dual-folder sync intact).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29 / 121 SKUs</w:t>
      </w:r>
      <w:r>
        <w:t xml:space="preserve"> </w:t>
      </w:r>
      <w:r>
        <w:t xml:space="preserve">carry any evidence-trail language (audit / attestation / signed</w:t>
      </w:r>
      <w:r>
        <w:t xml:space="preserve"> </w:t>
      </w:r>
      <w:r>
        <w:t xml:space="preserve">/ verified / watermark) in their product definition — the only candidates for G2.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92 / 121 SKUs</w:t>
      </w:r>
      <w:r>
        <w:t xml:space="preserve"> </w:t>
      </w:r>
      <w:r>
        <w:t xml:space="preserve">carry none — fail G2 outright by omission.</w:t>
      </w:r>
    </w:p>
    <w:p>
      <w:pPr>
        <w:numPr>
          <w:ilvl w:val="0"/>
          <w:numId w:val="1002"/>
        </w:numPr>
        <w:pStyle w:val="Compact"/>
      </w:pPr>
      <w:r>
        <w:t xml:space="preserve">Of the 29 candidates,</w:t>
      </w:r>
      <w:r>
        <w:t xml:space="preserve"> </w:t>
      </w:r>
      <w:r>
        <w:rPr>
          <w:bCs/>
          <w:b/>
        </w:rPr>
        <w:t xml:space="preserve">G3 fails catalog-wide</w:t>
      </w:r>
      <w:r>
        <w:t xml:space="preserve">: they rest on KYA, and KYA’s own</w:t>
      </w:r>
      <w:r>
        <w:t xml:space="preserve"> </w:t>
      </w:r>
      <w:r>
        <w:t xml:space="preserve">spec admits no conformance suite exists — a SKU cannot clear a gate its evidence</w:t>
      </w:r>
      <w:r>
        <w:t xml:space="preserve"> </w:t>
      </w:r>
      <w:r>
        <w:t xml:space="preserve">layer hasn’t cleared yet.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G4 is catalog-wide aspirational</w:t>
      </w:r>
      <w:r>
        <w:t xml:space="preserve">: the Bronze/Silver/Gold SLA it depends on is</w:t>
      </w:r>
      <w:r>
        <w:t xml:space="preserve"> </w:t>
      </w:r>
      <w:r>
        <w:t xml:space="preserve">still in public comment (closes 04.11.2026).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Finding: 0 of 121 SKUs currently clear the full doctorate-level gate.</w:t>
      </w:r>
      <w:r>
        <w:t xml:space="preserve"> </w:t>
      </w:r>
      <w:r>
        <w:t xml:space="preserve">Not a</w:t>
      </w:r>
      <w:r>
        <w:t xml:space="preserve"> </w:t>
      </w:r>
      <w:r>
        <w:t xml:space="preserve">product-logic defect — the evidence layer underneath (KYA) hasn’t cleared its own</w:t>
      </w:r>
      <w:r>
        <w:t xml:space="preserve"> </w:t>
      </w:r>
      <w:r>
        <w:t xml:space="preserve">four gates, so every downstream claim inherits that gap.</w:t>
      </w:r>
    </w:p>
    <w:bookmarkStart w:id="24" w:name="X3995cde56bb72f2c28727cd619c659b3b606909"/>
    <w:p>
      <w:pPr>
        <w:pStyle w:val="Heading3"/>
      </w:pPr>
      <w:r>
        <w:t xml:space="preserve">Candidate set (29 SKUs) — blocked only on KYA reaching its own gates, not on product logic</w:t>
      </w:r>
    </w:p>
    <w:p>
      <w:pPr>
        <w:pStyle w:val="FirstParagraph"/>
      </w:pPr>
      <w:r>
        <w:rPr>
          <w:rStyle w:val="VerbatimChar"/>
        </w:rPr>
        <w:t xml:space="preserve">DWS-AEGIS-PILOT-001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DWS-AEGIS-IMPL-001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DWS-CLIMATE-001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DWS-IQ-006</w:t>
      </w:r>
      <w:r>
        <w:t xml:space="preserve">,</w:t>
      </w:r>
      <w:r>
        <w:t xml:space="preserve"> </w:t>
      </w:r>
      <w:r>
        <w:rPr>
          <w:rStyle w:val="VerbatimChar"/>
        </w:rPr>
        <w:t xml:space="preserve">DWS-IQ-FREE-2026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FH-SIGN-001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FH-CMS-001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FH-SKILL-T3</w:t>
      </w:r>
      <w:r>
        <w:t xml:space="preserve">,</w:t>
      </w:r>
      <w:r>
        <w:t xml:space="preserve"> </w:t>
      </w:r>
      <w:r>
        <w:rPr>
          <w:rStyle w:val="VerbatimChar"/>
        </w:rPr>
        <w:t xml:space="preserve">CMP-T0/T1/T2</w:t>
      </w:r>
      <w:r>
        <w:t xml:space="preserve">,</w:t>
      </w:r>
      <w:r>
        <w:t xml:space="preserve"> </w:t>
      </w:r>
      <w:r>
        <w:rPr>
          <w:rStyle w:val="VerbatimChar"/>
        </w:rPr>
        <w:t xml:space="preserve">CMP-OC-STD/ENT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SS-T0/T1/T2</w:t>
      </w:r>
      <w:r>
        <w:t xml:space="preserve">,</w:t>
      </w:r>
      <w:r>
        <w:t xml:space="preserve"> </w:t>
      </w:r>
      <w:r>
        <w:rPr>
          <w:rStyle w:val="VerbatimChar"/>
        </w:rPr>
        <w:t xml:space="preserve">SS-OC-ENT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MO-T0/T1/T2</w:t>
      </w:r>
      <w:r>
        <w:t xml:space="preserve">,</w:t>
      </w:r>
      <w:r>
        <w:t xml:space="preserve"> </w:t>
      </w:r>
      <w:r>
        <w:rPr>
          <w:rStyle w:val="VerbatimChar"/>
        </w:rPr>
        <w:t xml:space="preserve">MO-OC-ENT</w:t>
      </w:r>
      <w:r>
        <w:t xml:space="preserve">,</w:t>
      </w:r>
      <w:r>
        <w:t xml:space="preserve"> </w:t>
      </w:r>
      <w:r>
        <w:rPr>
          <w:rStyle w:val="VerbatimChar"/>
        </w:rPr>
        <w:t xml:space="preserve">QG-T1/T2</w:t>
      </w:r>
      <w:r>
        <w:t xml:space="preserve">,</w:t>
      </w:r>
      <w:r>
        <w:t xml:space="preserve"> </w:t>
      </w:r>
      <w:r>
        <w:rPr>
          <w:rStyle w:val="VerbatimChar"/>
        </w:rPr>
        <w:t xml:space="preserve">SEO-T1/T2</w:t>
      </w:r>
      <w:r>
        <w:t xml:space="preserve">,</w:t>
      </w:r>
      <w:r>
        <w:t xml:space="preserve"> </w:t>
      </w:r>
      <w:r>
        <w:rPr>
          <w:rStyle w:val="VerbatimChar"/>
        </w:rPr>
        <w:t xml:space="preserve">GTM-T3</w:t>
      </w:r>
      <w:r>
        <w:t xml:space="preserve">,</w:t>
      </w:r>
      <w:r>
        <w:t xml:space="preserve"> </w:t>
      </w:r>
      <w:r>
        <w:rPr>
          <w:rStyle w:val="VerbatimChar"/>
        </w:rPr>
        <w:t xml:space="preserve">HSE-T3</w:t>
      </w:r>
      <w:r>
        <w:t xml:space="preserve">,</w:t>
      </w:r>
      <w:r>
        <w:t xml:space="preserve"> </w:t>
      </w:r>
      <w:r>
        <w:rPr>
          <w:rStyle w:val="VerbatimChar"/>
        </w:rPr>
        <w:t xml:space="preserve">AIS-EU-SOV-OC</w:t>
      </w:r>
      <w:r>
        <w:t xml:space="preserve">, plus the T2 tier of</w:t>
      </w:r>
      <w:r>
        <w:t xml:space="preserve"> </w:t>
      </w:r>
      <w:r>
        <w:t xml:space="preserve">the ED/SG/LOG/SOV/CSAT/LF/CS bundle family that carries</w:t>
      </w:r>
      <w:r>
        <w:t xml:space="preserve"> </w:t>
      </w:r>
      <w:r>
        <w:t xml:space="preserve">“</w:t>
      </w:r>
      <w:r>
        <w:t xml:space="preserve">audit</w:t>
      </w:r>
      <w:r>
        <w:t xml:space="preserve">”</w:t>
      </w:r>
      <w:r>
        <w:t xml:space="preserve"> </w:t>
      </w:r>
      <w:r>
        <w:t xml:space="preserve">language.</w:t>
      </w:r>
    </w:p>
    <w:bookmarkEnd w:id="24"/>
    <w:bookmarkStart w:id="25" w:name="X6111852c804636bf27711699340e07993551a2f"/>
    <w:p>
      <w:pPr>
        <w:pStyle w:val="Heading3"/>
      </w:pPr>
      <w:r>
        <w:t xml:space="preserve">Does-not-meet list (92 SKUs) — no evidence/audit/attestation language at all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All 9 industry-vertical pods</w:t>
      </w:r>
      <w:r>
        <w:t xml:space="preserve">: IND-MARS, HELIOS, VULCAN, TALOS, GAIA, CERES,</w:t>
      </w:r>
      <w:r>
        <w:t xml:space="preserve"> </w:t>
      </w:r>
      <w:r>
        <w:t xml:space="preserve">NEPTUN, PROM, BESS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Nearly all consulting/training/coaching SKUs</w:t>
      </w:r>
      <w:r>
        <w:t xml:space="preserve">: consulting-hourly,</w:t>
      </w:r>
      <w:r>
        <w:t xml:space="preserve"> </w:t>
      </w:r>
      <w:r>
        <w:t xml:space="preserve">consulting-fit55, aws-consultancy, m365-consultancy, business-mentor-30,</w:t>
      </w:r>
      <w:r>
        <w:t xml:space="preserve"> </w:t>
      </w:r>
      <w:r>
        <w:t xml:space="preserve">ai-koulutus-3d, claude-code-coaching-* (4 SKUs), lean-project, ai-consultant-day,</w:t>
      </w:r>
      <w:r>
        <w:t xml:space="preserve"> </w:t>
      </w:r>
      <w:r>
        <w:t xml:space="preserve">firehorse-coach, ai-consulting-agentic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Edge hardware resale SKUs</w:t>
      </w:r>
      <w:r>
        <w:t xml:space="preserve">: edge-node-gn100, LF-JETSON-*, LF-DGX-SPARK,</w:t>
      </w:r>
      <w:r>
        <w:t xml:space="preserve"> </w:t>
      </w:r>
      <w:r>
        <w:t xml:space="preserve">LF-IGX-ORIN, LF-NVIDIA-INSTALL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Sovereign DB / cloud-migration consulting</w:t>
      </w:r>
      <w:r>
        <w:t xml:space="preserve">: DWS-SOVEREIGN-DB-001,</w:t>
      </w:r>
      <w:r>
        <w:t xml:space="preserve"> </w:t>
      </w:r>
      <w:r>
        <w:t xml:space="preserve">sovereignty-cloud-consulting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Marketing/comms/design/IT SKUs</w:t>
      </w:r>
      <w:r>
        <w:t xml:space="preserve">: firehorse-flow, omnichannel-multimodal,</w:t>
      </w:r>
      <w:r>
        <w:t xml:space="preserve"> </w:t>
      </w:r>
      <w:r>
        <w:t xml:space="preserve">FH-OMNI-001, professional-web-pages, secure-email-proton,</w:t>
      </w:r>
      <w:r>
        <w:t xml:space="preserve"> </w:t>
      </w:r>
      <w:r>
        <w:t xml:space="preserve">firehorse-data-services, digital-design-gold, cloud-ready-teams, devops-lead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Most single-domain agent SKUs below Pro tier</w:t>
      </w:r>
      <w:r>
        <w:t xml:space="preserve">: Emissions Data, Schedule</w:t>
      </w:r>
      <w:r>
        <w:t xml:space="preserve"> </w:t>
      </w:r>
      <w:r>
        <w:t xml:space="preserve">Genius, Logistics, Customer Sat, Lead Feedback, Competitor Surveillance,</w:t>
      </w:r>
      <w:r>
        <w:t xml:space="preserve"> </w:t>
      </w:r>
      <w:r>
        <w:t xml:space="preserve">Deepwiki Extractor, Viability, Themis Coordinator (T1)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Bundle/report/misc</w:t>
      </w:r>
      <w:r>
        <w:t xml:space="preserve">: LIFETIME-BUNDLE-2026, FH-RPT-001, FLEET-VIP-001,</w:t>
      </w:r>
      <w:r>
        <w:t xml:space="preserve"> </w:t>
      </w:r>
      <w:r>
        <w:t xml:space="preserve">DWS-US/EU-STARTER/PILOT, LAND-* overlay bundles not already listed above,</w:t>
      </w:r>
      <w:r>
        <w:t xml:space="preserve"> </w:t>
      </w:r>
      <w:r>
        <w:t xml:space="preserve">AIS-OUTCOME-PILOT, DWS365-CMP-T3, AC365-T3</w:t>
      </w:r>
    </w:p>
    <w:p>
      <w:pPr>
        <w:pStyle w:val="FirstParagraph"/>
      </w:pPr>
      <w:r>
        <w:rPr>
          <w:bCs/>
          <w:b/>
        </w:rPr>
        <w:t xml:space="preserve">Caveat, stated plainly so the list isn’t misread</w:t>
      </w:r>
      <w:r>
        <w:t xml:space="preserve">: several</w:t>
      </w:r>
      <w:r>
        <w:t xml:space="preserve"> </w:t>
      </w:r>
      <w:r>
        <w:t xml:space="preserve">“</w:t>
      </w:r>
      <w:r>
        <w:t xml:space="preserve">does-not-meet</w:t>
      </w:r>
      <w:r>
        <w:t xml:space="preserve">”</w:t>
      </w:r>
      <w:r>
        <w:t xml:space="preserve"> </w:t>
      </w:r>
      <w:r>
        <w:t xml:space="preserve">SKUs</w:t>
      </w:r>
      <w:r>
        <w:t xml:space="preserve"> </w:t>
      </w:r>
      <w:r>
        <w:t xml:space="preserve">were never meant to carry an evidence-chain claim — hardware resale and</w:t>
      </w:r>
      <w:r>
        <w:t xml:space="preserve"> </w:t>
      </w:r>
      <w:r>
        <w:t xml:space="preserve">human-delivered consulting are not intelligence claims by design, and</w:t>
      </w:r>
      <w:r>
        <w:t xml:space="preserve"> </w:t>
      </w:r>
      <w:r>
        <w:t xml:space="preserve">“</w:t>
      </w:r>
      <w:r>
        <w:t xml:space="preserve">no evidence</w:t>
      </w:r>
      <w:r>
        <w:t xml:space="preserve"> </w:t>
      </w:r>
      <w:r>
        <w:t xml:space="preserve">language</w:t>
      </w:r>
      <w:r>
        <w:t xml:space="preserve">”</w:t>
      </w:r>
      <w:r>
        <w:t xml:space="preserve"> </w:t>
      </w:r>
      <w:r>
        <w:t xml:space="preserve">on those is correct, not a defect. The gate applies to SKUs that</w:t>
      </w:r>
      <w:r>
        <w:t xml:space="preserve"> </w:t>
      </w:r>
      <w:r>
        <w:rPr>
          <w:iCs/>
          <w:i/>
        </w:rPr>
        <w:t xml:space="preserve">claim</w:t>
      </w:r>
      <w:r>
        <w:t xml:space="preserve"> </w:t>
      </w:r>
      <w:r>
        <w:t xml:space="preserve">an intelligence outcome. First remediation step is tagging each SKU with whether it</w:t>
      </w:r>
      <w:r>
        <w:t xml:space="preserve"> </w:t>
      </w:r>
      <w:r>
        <w:t xml:space="preserve">makes an intelligence claim at all, before treating absence of evidence language as</w:t>
      </w:r>
      <w:r>
        <w:t xml:space="preserve"> </w:t>
      </w:r>
      <w:r>
        <w:t xml:space="preserve">a finding.</w:t>
      </w:r>
    </w:p>
    <w:bookmarkEnd w:id="25"/>
    <w:bookmarkEnd w:id="26"/>
    <w:bookmarkStart w:id="27" w:name="X22c067954ef66c2535c73396061cd6a9667a58a"/>
    <w:p>
      <w:pPr>
        <w:pStyle w:val="Heading2"/>
      </w:pPr>
      <w:r>
        <w:t xml:space="preserve">Reconciliation —</w:t>
      </w:r>
      <w:r>
        <w:t xml:space="preserve"> </w:t>
      </w:r>
      <w:r>
        <w:rPr>
          <w:rStyle w:val="VerbatimChar"/>
        </w:rPr>
        <w:t xml:space="preserve">Strategy_Loop.md</w:t>
      </w:r>
      <w:r>
        <w:t xml:space="preserve"> </w:t>
      </w:r>
      <w:r>
        <w:t xml:space="preserve">(merged main, PR #1795, ~03:36 UTC 05.08.2026)</w:t>
      </w:r>
    </w:p>
    <w:p>
      <w:pPr>
        <w:pStyle w:val="FirstParagraph"/>
      </w:pPr>
      <w:r>
        <w:t xml:space="preserve">The claimed file was real, just not findable earlier because it hadn’t been</w:t>
      </w:r>
      <w:r>
        <w:t xml:space="preserve"> </w:t>
      </w:r>
      <w:r>
        <w:t xml:space="preserve">authored yet: it landed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directly (self-merged, no review window) as</w:t>
      </w:r>
      <w:r>
        <w:t xml:space="preserve"> </w:t>
      </w:r>
      <w:r>
        <w:rPr>
          <w:rStyle w:val="VerbatimChar"/>
        </w:rPr>
        <w:t xml:space="preserve">Strategy_Loop.md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docs/field-notes/2026-08-05-dws-iq-intelligence-growth-strategy.md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Learn/2026-08-05-dws-iq-intelligence-growth-strategy.html</w:t>
      </w:r>
      <w:r>
        <w:t xml:space="preserve">, authored by</w:t>
      </w:r>
      <w:r>
        <w:t xml:space="preserve"> </w:t>
      </w:r>
      <w:r>
        <w:t xml:space="preserve">GitHub Copilot CLI (GPT-5.6 Sol) with Cursor AI as co-author per the commit</w:t>
      </w:r>
      <w:r>
        <w:t xml:space="preserve"> </w:t>
      </w:r>
      <w:r>
        <w:t xml:space="preserve">trailer — confirming the HIC’s stated origin.</w:t>
      </w:r>
    </w:p>
    <w:p>
      <w:pPr>
        <w:pStyle w:val="FirstParagraph"/>
      </w:pPr>
      <w:r>
        <w:rPr>
          <w:bCs/>
          <w:b/>
        </w:rPr>
        <w:t xml:space="preserve">It supersedes this note as the canonical document.</w:t>
      </w:r>
      <w:r>
        <w:t xml:space="preserve"> </w:t>
      </w:r>
      <w:r>
        <w:t xml:space="preserve">It is broader (a full</w:t>
      </w:r>
      <w:r>
        <w:t xml:space="preserve"> </w:t>
      </w:r>
      <w:r>
        <w:t xml:space="preserve">6-level intelligence maturity model 0–5, not a flat pass/fail; a scored</w:t>
      </w:r>
      <w:r>
        <w:t xml:space="preserve"> </w:t>
      </w:r>
      <w:r>
        <w:t xml:space="preserve">10-point Product Gate 0–3 per gate, ≥24/30 threshold, mandatory production</w:t>
      </w:r>
      <w:r>
        <w:t xml:space="preserve"> </w:t>
      </w:r>
      <w:r>
        <w:t xml:space="preserve">proof on gates 1/3/6/7/9; a 10-step Strategy Loop; a 90-day programme; an</w:t>
      </w:r>
      <w:r>
        <w:t xml:space="preserve"> </w:t>
      </w:r>
      <w:r>
        <w:t xml:space="preserve">“</w:t>
      </w:r>
      <w:r>
        <w:t xml:space="preserve">Evidence Room</w:t>
      </w:r>
      <w:r>
        <w:t xml:space="preserve">”</w:t>
      </w:r>
      <w:r>
        <w:t xml:space="preserve"> </w:t>
      </w:r>
      <w:r>
        <w:t xml:space="preserve">concept), externally grounded (Stanford HAI 2025 AI Index,</w:t>
      </w:r>
      <w:r>
        <w:t xml:space="preserve"> </w:t>
      </w:r>
      <w:r>
        <w:t xml:space="preserve">McKinsey State of AI 2025, NIST AI RMF, EU AI Act Art. 12/14, OECD), and gives</w:t>
      </w:r>
      <w:r>
        <w:t xml:space="preserve"> </w:t>
      </w:r>
      <w:r>
        <w:t xml:space="preserve">every flagged SKU a specific qualitative disposition (sunset / infra-enabler /</w:t>
      </w:r>
      <w:r>
        <w:t xml:space="preserve"> </w:t>
      </w:r>
      <w:r>
        <w:t xml:space="preserve">adoption-service / needs-upgrade / strategic-inconsistency) rather than this</w:t>
      </w:r>
      <w:r>
        <w:t xml:space="preserve"> </w:t>
      </w:r>
      <w:r>
        <w:t xml:space="preserve">note’s binary keyword-presence split. It also already carries a pending HIC</w:t>
      </w:r>
      <w:r>
        <w:t xml:space="preserve"> </w:t>
      </w:r>
      <w:r>
        <w:t xml:space="preserve">decision (</w:t>
      </w:r>
      <w:r>
        <w:rPr>
          <w:bCs/>
          <w:b/>
        </w:rPr>
        <w:t xml:space="preserve">Q1 — adopt the Intelligence Product Gate from Q4 2026, answer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Q1 APPROVE</w:t>
      </w:r>
      <w:r>
        <w:rPr>
          <w:bCs/>
          <w:b/>
        </w:rPr>
        <w:t xml:space="preserve"> </w:t>
      </w:r>
      <w:r>
        <w:rPr>
          <w:bCs/>
          <w:b/>
        </w:rPr>
        <w:t xml:space="preserve">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Q1 REJECT — &lt;reason&gt;</w:t>
      </w:r>
      <w:r>
        <w:t xml:space="preserve">) — that decision, not a second one</w:t>
      </w:r>
      <w:r>
        <w:t xml:space="preserve"> </w:t>
      </w:r>
      <w:r>
        <w:t xml:space="preserve">from this note, is the one the HIC should act on. The</w:t>
      </w:r>
      <w:r>
        <w:t xml:space="preserve"> </w:t>
      </w:r>
      <w:r>
        <w:t xml:space="preserve">“</w:t>
      </w:r>
      <w:r>
        <w:t xml:space="preserve">HIC decision needed</w:t>
      </w:r>
      <w:r>
        <w:t xml:space="preserve">”</w:t>
      </w:r>
      <w:r>
        <w:t xml:space="preserve"> </w:t>
      </w:r>
      <w:r>
        <w:t xml:space="preserve">ask originally here is retracted as redundant.</w:t>
      </w:r>
    </w:p>
    <w:p>
      <w:pPr>
        <w:pStyle w:val="BodyText"/>
      </w:pPr>
      <w:r>
        <w:rPr>
          <w:bCs/>
          <w:b/>
        </w:rPr>
        <w:t xml:space="preserve">Cross-validation.</w:t>
      </w:r>
      <w:r>
        <w:t xml:space="preserve"> </w:t>
      </w:r>
      <w:r>
        <w:t xml:space="preserve">This note’s crude</w:t>
      </w:r>
      <w:r>
        <w:t xml:space="preserve"> </w:t>
      </w:r>
      <w:r>
        <w:t xml:space="preserve">“</w:t>
      </w:r>
      <w:r>
        <w:t xml:space="preserve">does-not-meet</w:t>
      </w:r>
      <w:r>
        <w:t xml:space="preserve">”</w:t>
      </w:r>
      <w:r>
        <w:t xml:space="preserve"> </w:t>
      </w:r>
      <w:r>
        <w:t xml:space="preserve">list (built from a</w:t>
      </w:r>
      <w:r>
        <w:t xml:space="preserve"> </w:t>
      </w:r>
      <w:r>
        <w:t xml:space="preserve">products.json keyword scan for audit/attestation/signed/verified/watermark)</w:t>
      </w:r>
      <w:r>
        <w:t xml:space="preserve"> </w:t>
      </w:r>
      <w:r>
        <w:t xml:space="preserve">matched</w:t>
      </w:r>
      <w:r>
        <w:t xml:space="preserve"> </w:t>
      </w:r>
      <w:r>
        <w:rPr>
          <w:rStyle w:val="VerbatimChar"/>
        </w:rPr>
        <w:t xml:space="preserve">Strategy_Loop.md</w:t>
      </w:r>
      <w:r>
        <w:t xml:space="preserve">’s qualitative</w:t>
      </w:r>
      <w:r>
        <w:t xml:space="preserve"> </w:t>
      </w:r>
      <w:r>
        <w:t xml:space="preserve">“</w:t>
      </w:r>
      <w:r>
        <w:t xml:space="preserve">remove/sunset</w:t>
      </w:r>
      <w:r>
        <w:t xml:space="preserve">”</w:t>
      </w:r>
      <w:r>
        <w:t xml:space="preserve"> </w:t>
      </w:r>
      <w:r>
        <w:t xml:space="preserve">list exactly on all</w:t>
      </w:r>
      <w:r>
        <w:t xml:space="preserve"> </w:t>
      </w:r>
      <w:r>
        <w:t xml:space="preserve">7 SKUs it names:</w:t>
      </w:r>
      <w:r>
        <w:t xml:space="preserve"> </w:t>
      </w:r>
      <w:r>
        <w:rPr>
          <w:rStyle w:val="VerbatimChar"/>
        </w:rPr>
        <w:t xml:space="preserve">professional-web-pages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secure-email-proton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m365-consultancy</w:t>
      </w:r>
      <w:r>
        <w:t xml:space="preserve">,</w:t>
      </w:r>
      <w:r>
        <w:t xml:space="preserve"> </w:t>
      </w:r>
      <w:r>
        <w:rPr>
          <w:rStyle w:val="VerbatimChar"/>
        </w:rPr>
        <w:t xml:space="preserve">digital-design-gold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cloud-ready-teams</w:t>
      </w:r>
      <w:r>
        <w:t xml:space="preserve">,</w:t>
      </w:r>
      <w:r>
        <w:t xml:space="preserve"> </w:t>
      </w:r>
      <w:r>
        <w:rPr>
          <w:rStyle w:val="VerbatimChar"/>
        </w:rPr>
        <w:t xml:space="preserve">business-mentor-30</w:t>
      </w:r>
      <w:r>
        <w:t xml:space="preserve">,</w:t>
      </w:r>
      <w:r>
        <w:t xml:space="preserve"> </w:t>
      </w:r>
      <w:r>
        <w:rPr>
          <w:rStyle w:val="VerbatimChar"/>
        </w:rPr>
        <w:t xml:space="preserve">FLEET-VIP-001</w:t>
      </w:r>
      <w:r>
        <w:t xml:space="preserve">. Keyword absence was a reliable signal</w:t>
      </w:r>
      <w:r>
        <w:t xml:space="preserve"> </w:t>
      </w:r>
      <w:r>
        <w:t xml:space="preserve">at the bottom of the distribution.</w:t>
      </w:r>
    </w:p>
    <w:p>
      <w:pPr>
        <w:pStyle w:val="BodyText"/>
      </w:pPr>
      <w:r>
        <w:rPr>
          <w:bCs/>
          <w:b/>
        </w:rPr>
        <w:t xml:space="preserve">Corrections to this note’s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candidate set.</w:t>
      </w:r>
      <w:r>
        <w:rPr>
          <w:bCs/>
          <w:b/>
        </w:rPr>
        <w:t xml:space="preserve">”</w:t>
      </w:r>
      <w:r>
        <w:t xml:space="preserve"> </w:t>
      </w:r>
      <w:r>
        <w:t xml:space="preserve">Keyword</w:t>
      </w:r>
      <w:r>
        <w:t xml:space="preserve"> </w:t>
      </w:r>
      <w:r>
        <w:rPr>
          <w:iCs/>
          <w:i/>
        </w:rPr>
        <w:t xml:space="preserve">presence</w:t>
      </w:r>
      <w:r>
        <w:t xml:space="preserve"> </w:t>
      </w:r>
      <w:r>
        <w:t xml:space="preserve">was a</w:t>
      </w:r>
      <w:r>
        <w:t xml:space="preserve"> </w:t>
      </w:r>
      <w:r>
        <w:t xml:space="preserve">noisier signal —</w:t>
      </w:r>
      <w:r>
        <w:t xml:space="preserve"> </w:t>
      </w:r>
      <w:r>
        <w:rPr>
          <w:rStyle w:val="VerbatimChar"/>
        </w:rPr>
        <w:t xml:space="preserve">Strategy_Loop.md</w:t>
      </w:r>
      <w:r>
        <w:t xml:space="preserve">’s qualitative read demotes four SKUs this</w:t>
      </w:r>
      <w:r>
        <w:t xml:space="preserve"> </w:t>
      </w:r>
      <w:r>
        <w:t xml:space="preserve">note had wrongly promoted to</w:t>
      </w:r>
      <w:r>
        <w:t xml:space="preserve"> </w:t>
      </w:r>
      <w:r>
        <w:t xml:space="preserve">“</w:t>
      </w:r>
      <w:r>
        <w:t xml:space="preserve">candidate</w:t>
      </w:r>
      <w:r>
        <w:t xml:space="preserve">”</w:t>
      </w:r>
      <w:r>
        <w:t xml:space="preserve"> </w:t>
      </w:r>
      <w:r>
        <w:t xml:space="preserve">on surface language alone: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36"/>
        <w:gridCol w:w="1896"/>
        <w:gridCol w:w="518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note said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Strategy_Loop.md</w:t>
            </w:r>
            <w:r>
              <w:t xml:space="preserve"> </w:t>
            </w:r>
            <w:r>
              <w:t xml:space="preserve">says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AIS-EU-SOV-OC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 (has</w:t>
            </w:r>
            <w:r>
              <w:t xml:space="preserve"> </w:t>
            </w:r>
            <w:r>
              <w:t xml:space="preserve">“</w:t>
            </w:r>
            <w:r>
              <w:t xml:space="preserve">audit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 enabler, not an intelligence product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FH-CMS-001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 (has</w:t>
            </w:r>
            <w:r>
              <w:t xml:space="preserve"> </w:t>
            </w:r>
            <w:r>
              <w:t xml:space="preserve">“</w:t>
            </w:r>
            <w:r>
              <w:t xml:space="preserve">audit</w:t>
            </w:r>
            <w:r>
              <w:t xml:space="preserve">”</w:t>
            </w:r>
            <w:r>
              <w:t xml:space="preserve">/</w:t>
            </w:r>
            <w:r>
              <w:t xml:space="preserve">“</w:t>
            </w:r>
            <w:r>
              <w:t xml:space="preserve">evidence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assistant — needs contradiction/expiry-impact/evidence-quality/lineage features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FH-SIGN-001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 (has</w:t>
            </w:r>
            <w:r>
              <w:t xml:space="preserve"> </w:t>
            </w:r>
            <w:r>
              <w:t xml:space="preserve">“</w:t>
            </w:r>
            <w:r>
              <w:t xml:space="preserve">audit</w:t>
            </w:r>
            <w:r>
              <w:t xml:space="preserve">”</w:t>
            </w:r>
            <w:r>
              <w:t xml:space="preserve">/</w:t>
            </w:r>
            <w:r>
              <w:t xml:space="preserve">“</w:t>
            </w:r>
            <w:r>
              <w:t xml:space="preserve">signed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only as a governed-artifact add-on, not a flagship product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SEO-T1/T2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candidate, T2 (has</w:t>
            </w:r>
            <w:r>
              <w:t xml:space="preserve"> </w:t>
            </w:r>
            <w:r>
              <w:t xml:space="preserve">“</w:t>
            </w:r>
            <w:r>
              <w:t xml:space="preserve">audit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separate, or connect to causal commercial experiments</w:t>
            </w:r>
          </w:p>
        </w:tc>
      </w:tr>
    </w:tbl>
    <w:p>
      <w:pPr>
        <w:pStyle w:val="BodyText"/>
      </w:pPr>
      <w:r>
        <w:t xml:space="preserve">The lesson: a keyword match on</w:t>
      </w:r>
      <w:r>
        <w:t xml:space="preserve"> </w:t>
      </w:r>
      <w:r>
        <w:t xml:space="preserve">“</w:t>
      </w:r>
      <w:r>
        <w:t xml:space="preserve">audit</w:t>
      </w:r>
      <w:r>
        <w:t xml:space="preserve">”</w:t>
      </w:r>
      <w:r>
        <w:t xml:space="preserve">/</w:t>
      </w:r>
      <w:r>
        <w:t xml:space="preserve">“</w:t>
      </w:r>
      <w:r>
        <w:t xml:space="preserve">verified</w:t>
      </w:r>
      <w:r>
        <w:t xml:space="preserve">”</w:t>
      </w:r>
      <w:r>
        <w:t xml:space="preserve"> </w:t>
      </w:r>
      <w:r>
        <w:t xml:space="preserve">in a product’s JSON record</w:t>
      </w:r>
      <w:r>
        <w:t xml:space="preserve"> </w:t>
      </w:r>
      <w:r>
        <w:t xml:space="preserve">is necessary but not sufficient evidence of doctorate-level intelligence —</w:t>
      </w:r>
      <w:r>
        <w:t xml:space="preserve"> </w:t>
      </w:r>
      <w:r>
        <w:t xml:space="preserve">exactly the point G2–G3 were trying to make, now demonstrated on the tool</w:t>
      </w:r>
      <w:r>
        <w:t xml:space="preserve"> </w:t>
      </w:r>
      <w:r>
        <w:t xml:space="preserve">itself. Treat this note’s candidate-set table above as superseded by</w:t>
      </w:r>
      <w:r>
        <w:t xml:space="preserve"> </w:t>
      </w:r>
      <w:r>
        <w:rPr>
          <w:rStyle w:val="VerbatimChar"/>
        </w:rPr>
        <w:t xml:space="preserve">Strategy_Loop.md</w:t>
      </w:r>
      <w:r>
        <w:t xml:space="preserve"> </w:t>
      </w:r>
      <w:r>
        <w:t xml:space="preserve">§8; its does-not-meet list stands as corroborated.</w:t>
      </w:r>
    </w:p>
    <w:p>
      <w:pPr>
        <w:pStyle w:val="BodyText"/>
      </w:pPr>
      <w:r>
        <w:rPr>
          <w:bCs/>
          <w:b/>
        </w:rPr>
        <w:t xml:space="preserve">Process gaps this note has, that the superseding document doesn’t:</w:t>
      </w:r>
      <w:r>
        <w:t xml:space="preserve"> </w:t>
      </w:r>
      <w:r>
        <w:t xml:space="preserve">it was</w:t>
      </w:r>
      <w:r>
        <w:t xml:space="preserve"> </w:t>
      </w:r>
      <w:r>
        <w:t xml:space="preserve">not run through</w:t>
      </w:r>
      <w:r>
        <w:t xml:space="preserve"> </w:t>
      </w:r>
      <w:r>
        <w:rPr>
          <w:rStyle w:val="VerbatimChar"/>
        </w:rPr>
        <w:t xml:space="preserve">/truth-check</w:t>
      </w:r>
      <w:r>
        <w:t xml:space="preserve"> </w:t>
      </w:r>
      <w:r>
        <w:t xml:space="preserve">(its authors’ was, per their version history:</w:t>
      </w:r>
      <w:r>
        <w:t xml:space="preserve"> </w:t>
      </w:r>
      <w:r>
        <w:t xml:space="preserve">“</w:t>
      </w:r>
      <w:r>
        <w:t xml:space="preserve">replaced deprecated activity-metric phrases after truth-lint</w:t>
      </w:r>
      <w:r>
        <w:t xml:space="preserve">”</w:t>
      </w:r>
      <w:r>
        <w:t xml:space="preserve">); it did not</w:t>
      </w:r>
      <w:r>
        <w:t xml:space="preserve"> </w:t>
      </w:r>
      <w:r>
        <w:t xml:space="preserve">cite external market evidence.</w:t>
      </w:r>
      <w:r>
        <w:t xml:space="preserve"> </w:t>
      </w:r>
      <w:r>
        <w:rPr>
          <w:bCs/>
          <w:b/>
        </w:rPr>
        <w:t xml:space="preserve">Process gaps the superseding document has,</w:t>
      </w:r>
      <w:r>
        <w:rPr>
          <w:bCs/>
          <w:b/>
        </w:rPr>
        <w:t xml:space="preserve"> </w:t>
      </w:r>
      <w:r>
        <w:rPr>
          <w:bCs/>
          <w:b/>
        </w:rPr>
        <w:t xml:space="preserve">that this note doesn’t:</w:t>
      </w:r>
      <w:r>
        <w:t xml:space="preserve"> </w:t>
      </w:r>
      <w:r>
        <w:t xml:space="preserve">its own field note records Drive export and</w:t>
      </w:r>
      <w:r>
        <w:t xml:space="preserve"> </w:t>
      </w:r>
      <w:r>
        <w:t xml:space="preserve">Calendar as N/A (</w:t>
      </w:r>
      <w:r>
        <w:t xml:space="preserve">“</w:t>
      </w:r>
      <w:r>
        <w:t xml:space="preserve">no connector available in this tool session</w:t>
      </w:r>
      <w:r>
        <w:t xml:space="preserve">”</w:t>
      </w:r>
      <w:r>
        <w:t xml:space="preserve">) — this</w:t>
      </w:r>
      <w:r>
        <w:t xml:space="preserve"> </w:t>
      </w:r>
      <w:r>
        <w:t xml:space="preserve">session’s connectors were available and did complete both (Drive doc:</w:t>
      </w:r>
      <w:r>
        <w:t xml:space="preserve"> </w:t>
      </w:r>
      <w:r>
        <w:rPr>
          <w:rStyle w:val="VerbatimChar"/>
        </w:rPr>
        <w:t xml:space="preserve">https://docs.google.com/document/d/1WYxaxJicFXMZ6kO4KTkkkDbJjam0p77SlO8ZmKJNNvU/edit</w:t>
      </w:r>
      <w:r>
        <w:t xml:space="preserve">).</w:t>
      </w:r>
      <w:r>
        <w:t xml:space="preserve"> </w:t>
      </w:r>
      <w:r>
        <w:t xml:space="preserve">That Drive doc should be treated as covering this note only, not as the</w:t>
      </w:r>
      <w:r>
        <w:t xml:space="preserve"> </w:t>
      </w:r>
      <w:r>
        <w:t xml:space="preserve">Learning Standard Drive record for</w:t>
      </w:r>
      <w:r>
        <w:t xml:space="preserve"> </w:t>
      </w:r>
      <w:r>
        <w:rPr>
          <w:rStyle w:val="VerbatimChar"/>
        </w:rPr>
        <w:t xml:space="preserve">Strategy_Loop.md</w:t>
      </w:r>
      <w:r>
        <w:t xml:space="preserve"> </w:t>
      </w:r>
      <w:r>
        <w:t xml:space="preserve">— that record is still</w:t>
      </w:r>
      <w:r>
        <w:t xml:space="preserve"> </w:t>
      </w:r>
      <w:r>
        <w:t xml:space="preserve">open on the other side.</w:t>
      </w:r>
    </w:p>
    <w:bookmarkEnd w:id="27"/>
    <w:bookmarkStart w:id="28" w:name="Xebb3415cf496dd5c0eec23e61be0a0b88fabcf5"/>
    <w:p>
      <w:pPr>
        <w:pStyle w:val="Heading2"/>
      </w:pPr>
      <w:r>
        <w:t xml:space="preserve">HIC correction to the</w:t>
      </w:r>
      <w:r>
        <w:t xml:space="preserve"> </w:t>
      </w:r>
      <w:r>
        <w:t xml:space="preserve">“</w:t>
      </w:r>
      <w:r>
        <w:t xml:space="preserve">remove/sunset</w:t>
      </w:r>
      <w:r>
        <w:t xml:space="preserve">”</w:t>
      </w:r>
      <w:r>
        <w:t xml:space="preserve"> </w:t>
      </w:r>
      <w:r>
        <w:t xml:space="preserve">list — 05.08.2026</w:t>
      </w:r>
    </w:p>
    <w:p>
      <w:pPr>
        <w:pStyle w:val="FirstParagraph"/>
      </w:pPr>
      <w:r>
        <w:t xml:space="preserve">The HIC agreed the does-not-meet direction but corrected 2 of the 7 SKUs: they</w:t>
      </w:r>
      <w:r>
        <w:t xml:space="preserve"> </w:t>
      </w:r>
      <w:r>
        <w:t xml:space="preserve">were never meant to be sunset, only mispositioned.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professional-web-pages</w:t>
      </w:r>
      <w:r>
        <w:t xml:space="preserve"> </w:t>
      </w:r>
      <w:r>
        <w:t xml:space="preserve">— kept, repositioned around the proven</w:t>
      </w:r>
      <w:r>
        <w:t xml:space="preserve"> </w:t>
      </w:r>
      <w:r>
        <w:rPr>
          <w:rStyle w:val="VerbatimChar"/>
        </w:rPr>
        <w:t xml:space="preserve">cari.fi</w:t>
      </w:r>
      <w:r>
        <w:t xml:space="preserve"> </w:t>
      </w:r>
      <w:r>
        <w:t xml:space="preserve">delivery (SME web presence, live in 12 hours, non-technical</w:t>
      </w:r>
      <w:r>
        <w:t xml:space="preserve"> </w:t>
      </w:r>
      <w:r>
        <w:t xml:space="preserve">copy), not removed.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business-mentor-30</w:t>
      </w:r>
      <w:r>
        <w:t xml:space="preserve"> </w:t>
      </w:r>
      <w:r>
        <w:t xml:space="preserve">— kept, renamed</w:t>
      </w:r>
      <w:r>
        <w:t xml:space="preserve"> </w:t>
      </w:r>
      <w:r>
        <w:t xml:space="preserve">“</w:t>
      </w:r>
      <w:r>
        <w:t xml:space="preserve">Claude Code AI Coaching — 30</w:t>
      </w:r>
      <w:r>
        <w:t xml:space="preserve"> </w:t>
      </w:r>
      <w:r>
        <w:t xml:space="preserve">Hours</w:t>
      </w:r>
      <w:r>
        <w:t xml:space="preserve">”</w:t>
      </w:r>
      <w:r>
        <w:t xml:space="preserve"> </w:t>
      </w:r>
      <w:r>
        <w:t xml:space="preserve">— singled out from the coaching family for this treatment; the four</w:t>
      </w:r>
      <w:r>
        <w:t xml:space="preserve"> </w:t>
      </w:r>
      <w:r>
        <w:rPr>
          <w:rStyle w:val="VerbatimChar"/>
        </w:rPr>
        <w:t xml:space="preserve">claude-code-coaching-*</w:t>
      </w:r>
      <w:r>
        <w:t xml:space="preserve"> </w:t>
      </w:r>
      <w:r>
        <w:t xml:space="preserve">SKUs are untouched.</w:t>
      </w:r>
    </w:p>
    <w:p>
      <w:pPr>
        <w:numPr>
          <w:ilvl w:val="0"/>
          <w:numId w:val="1005"/>
        </w:numPr>
        <w:pStyle w:val="Compact"/>
      </w:pPr>
      <w:r>
        <w:t xml:space="preserve">The remaining 5 (</w:t>
      </w:r>
      <w:r>
        <w:rPr>
          <w:rStyle w:val="VerbatimChar"/>
        </w:rPr>
        <w:t xml:space="preserve">secure-email-proton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m365-consultancy</w:t>
      </w:r>
      <w:r>
        <w:t xml:space="preserve">,</w:t>
      </w:r>
      <w:r>
        <w:t xml:space="preserve"> </w:t>
      </w:r>
      <w:r>
        <w:rPr>
          <w:rStyle w:val="VerbatimChar"/>
        </w:rPr>
        <w:t xml:space="preserve">digital-design-gold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cloud-ready-teams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FLEET-VIP-001</w:t>
      </w:r>
      <w:r>
        <w:t xml:space="preserve"> </w:t>
      </w:r>
      <w:r>
        <w:t xml:space="preserve">— the last now</w:t>
      </w:r>
      <w:r>
        <w:t xml:space="preserve"> </w:t>
      </w:r>
      <w:r>
        <w:t xml:space="preserve">living on lifetime.fi careers, not a product) were removed from</w:t>
      </w:r>
      <w:r>
        <w:t xml:space="preserve"> </w:t>
      </w:r>
      <w:r>
        <w:rPr>
          <w:rStyle w:val="VerbatimChar"/>
        </w:rPr>
        <w:t xml:space="preserve">dws10.com/config/products.json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landing-pages/</w:t>
      </w:r>
      <w:r>
        <w:t xml:space="preserve"> </w:t>
      </w:r>
      <w:r>
        <w:t xml:space="preserve">mirror in this</w:t>
      </w:r>
      <w:r>
        <w:t xml:space="preserve"> </w:t>
      </w:r>
      <w:r>
        <w:t xml:space="preserve">session. Standalone product pages for</w:t>
      </w:r>
      <w:r>
        <w:t xml:space="preserve"> </w:t>
      </w:r>
      <w:r>
        <w:rPr>
          <w:rStyle w:val="VerbatimChar"/>
        </w:rPr>
        <w:t xml:space="preserve">digital-design-gold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FLEET-VIP-001</w:t>
      </w:r>
      <w:r>
        <w:t xml:space="preserve"> </w:t>
      </w:r>
      <w:r>
        <w:t xml:space="preserve">(</w:t>
      </w:r>
      <w:r>
        <w:rPr>
          <w:rStyle w:val="VerbatimChar"/>
        </w:rPr>
        <w:t xml:space="preserve">lifetime-vip-ai-services.html</w:t>
      </w:r>
      <w:r>
        <w:t xml:space="preserve">) were retired to</w:t>
      </w:r>
      <w:r>
        <w:t xml:space="preserve"> </w:t>
      </w:r>
      <w:r>
        <w:rPr>
          <w:rStyle w:val="VerbatimChar"/>
        </w:rPr>
        <w:t xml:space="preserve">*_RETIRED.html</w:t>
      </w:r>
      <w:r>
        <w:t xml:space="preserve"> </w:t>
      </w:r>
      <w:r>
        <w:t xml:space="preserve">in both copies rather than deleted (Non-Negotiable Rule 6).</w:t>
      </w:r>
    </w:p>
    <w:p>
      <w:pPr>
        <w:pStyle w:val="FirstParagraph"/>
      </w:pPr>
      <w:r>
        <w:t xml:space="preserve">Net effect: the</w:t>
      </w:r>
      <w:r>
        <w:t xml:space="preserve"> </w:t>
      </w:r>
      <w:r>
        <w:t xml:space="preserve">“</w:t>
      </w:r>
      <w:r>
        <w:t xml:space="preserve">cross-validation: 7/7 exact match</w:t>
      </w:r>
      <w:r>
        <w:t xml:space="preserve">”</w:t>
      </w:r>
      <w:r>
        <w:t xml:space="preserve"> </w:t>
      </w:r>
      <w:r>
        <w:t xml:space="preserve">claim above is now</w:t>
      </w:r>
      <w:r>
        <w:t xml:space="preserve"> </w:t>
      </w:r>
      <w:r>
        <w:t xml:space="preserve">partial — 5/7 held, 2/7 were corrected.</w:t>
      </w:r>
      <w:r>
        <w:t xml:space="preserve"> </w:t>
      </w:r>
      <w:r>
        <w:rPr>
          <w:rStyle w:val="VerbatimChar"/>
        </w:rPr>
        <w:t xml:space="preserve">Strategy_Loop.md</w:t>
      </w:r>
      <w:r>
        <w:t xml:space="preserve"> </w:t>
      </w:r>
      <w:r>
        <w:t xml:space="preserve">§8 was updated to</w:t>
      </w:r>
      <w:r>
        <w:t xml:space="preserve"> </w:t>
      </w:r>
      <w:r>
        <w:t xml:space="preserve">match (v1.1 → v1.2); see its own version history for the full record.</w:t>
      </w:r>
    </w:p>
    <w:bookmarkEnd w:id="28"/>
    <w:bookmarkStart w:id="29" w:name="X6ecfeadedabd212f3f217b67634f2192af23561"/>
    <w:p>
      <w:pPr>
        <w:pStyle w:val="Heading2"/>
      </w:pPr>
      <w:r>
        <w:t xml:space="preserve">Also surfaced this session (parked, not this task’s scope)</w:t>
      </w:r>
    </w:p>
    <w:p>
      <w:pPr>
        <w:pStyle w:val="FirstParagraph"/>
      </w:pPr>
      <w:r>
        <w:rPr>
          <w:rStyle w:val="VerbatimChar"/>
        </w:rPr>
        <w:t xml:space="preserve">docs/blog-drafts/kya-s1-one-signed-page.md</w:t>
      </w:r>
      <w:r>
        <w:t xml:space="preserve"> </w:t>
      </w:r>
      <w:r>
        <w:t xml:space="preserve">is a drafted-but-unpublished blog post</w:t>
      </w:r>
      <w:r>
        <w:t xml:space="preserve"> </w:t>
      </w:r>
      <w:r>
        <w:t xml:space="preserve">flagged by the session-stop hook. Parked — not read or acted on here; a separate</w:t>
      </w:r>
      <w:r>
        <w:t xml:space="preserve"> </w:t>
      </w:r>
      <w:r>
        <w:rPr>
          <w:rStyle w:val="VerbatimChar"/>
        </w:rPr>
        <w:t xml:space="preserve">/blog-draft</w:t>
      </w:r>
      <w:r>
        <w:t xml:space="preserve"> </w:t>
      </w:r>
      <w:r>
        <w:t xml:space="preserve">pass is needed to show the HIC the full text and get</w:t>
      </w:r>
      <w:r>
        <w:t xml:space="preserve"> </w:t>
      </w:r>
      <w:r>
        <w:rPr>
          <w:rStyle w:val="VerbatimChar"/>
        </w:rPr>
        <w:t xml:space="preserve">Status: APPROVED</w:t>
      </w:r>
      <w:r>
        <w:t xml:space="preserve"> </w:t>
      </w:r>
      <w:r>
        <w:t xml:space="preserve">per Non-Negotiable Rule 13. Not touched in this session (out of scope,</w:t>
      </w:r>
      <w:r>
        <w:t xml:space="preserve"> </w:t>
      </w:r>
      <w:r>
        <w:t xml:space="preserve">Rule 3 surgical changes).</w:t>
      </w:r>
    </w:p>
    <w:bookmarkEnd w:id="29"/>
    <w:bookmarkStart w:id="30" w:name="X26f318154c2647b8983a8cf154527397adaec0a"/>
    <w:p>
      <w:pPr>
        <w:pStyle w:val="Heading2"/>
      </w:pPr>
      <w:r>
        <w:t xml:space="preserve">Merge resolution — PR #1797 vs. the independently-merged Q1-approval PR #1796</w:t>
      </w:r>
    </w:p>
    <w:p>
      <w:pPr>
        <w:pStyle w:val="FirstParagraph"/>
      </w:pPr>
      <w:r>
        <w:t xml:space="preserve">While this branch’s PR #1797 sat open, a parallel GitHub Copilot CLI session</w:t>
      </w:r>
      <w:r>
        <w:t xml:space="preserve"> </w:t>
      </w:r>
      <w:r>
        <w:t xml:space="preserve">recorded the HIC’s Q1 approval directly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(PR #1796) and, in the same</w:t>
      </w:r>
      <w:r>
        <w:t xml:space="preserve"> </w:t>
      </w:r>
      <w:r>
        <w:t xml:space="preserve">pass, re-derived its own version of the SKU disposition table — independently</w:t>
      </w:r>
      <w:r>
        <w:t xml:space="preserve"> </w:t>
      </w:r>
      <w:r>
        <w:t xml:space="preserve">reaching the same 5-remove/2-reposition split, but</w:t>
      </w:r>
      <w:r>
        <w:t xml:space="preserve"> </w:t>
      </w:r>
      <w:r>
        <w:rPr>
          <w:bCs/>
          <w:b/>
        </w:rPr>
        <w:t xml:space="preserve">swapping which SKU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lifetime.fi careers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reason attaches to</w:t>
      </w:r>
      <w:r>
        <w:t xml:space="preserve">: their table removed</w:t>
      </w:r>
      <w:r>
        <w:t xml:space="preserve"> </w:t>
      </w:r>
      <w:r>
        <w:rPr>
          <w:rStyle w:val="VerbatimChar"/>
        </w:rPr>
        <w:t xml:space="preserve">business-mentor-30</w:t>
      </w:r>
      <w:r>
        <w:t xml:space="preserve"> </w:t>
      </w:r>
      <w:r>
        <w:t xml:space="preserve">and left</w:t>
      </w:r>
      <w:r>
        <w:t xml:space="preserve"> </w:t>
      </w:r>
      <w:r>
        <w:rPr>
          <w:rStyle w:val="VerbatimChar"/>
        </w:rPr>
        <w:t xml:space="preserve">FLEET-VIP-001</w:t>
      </w:r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w:r>
        <w:t xml:space="preserve">the active Claude Code</w:t>
      </w:r>
      <w:r>
        <w:t xml:space="preserve"> </w:t>
      </w:r>
      <w:r>
        <w:t xml:space="preserve">session</w:t>
      </w:r>
      <w:r>
        <w:t xml:space="preserve">”</w:t>
      </w:r>
      <w:r>
        <w:t xml:space="preserve"> </w:t>
      </w:r>
      <w:r>
        <w:t xml:space="preserve">to handle.</w:t>
      </w:r>
    </w:p>
    <w:p>
      <w:pPr>
        <w:pStyle w:val="BodyText"/>
      </w:pPr>
      <w:r>
        <w:t xml:space="preserve">Merging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into this branch surfaced the conflict. Resolved against</w:t>
      </w:r>
      <w:r>
        <w:t xml:space="preserve"> </w:t>
      </w:r>
      <w:r>
        <w:t xml:space="preserve">the HIC’s original instruction plus a verified fact, not a guess:</w:t>
      </w:r>
      <w:r>
        <w:t xml:space="preserve"> </w:t>
      </w:r>
      <w:r>
        <w:rPr>
          <w:rStyle w:val="VerbatimChar"/>
        </w:rPr>
        <w:t xml:space="preserve">lifetime.fi/careers/index.html</w:t>
      </w:r>
      <w:r>
        <w:t xml:space="preserve"> </w:t>
      </w:r>
      <w:r>
        <w:t xml:space="preserve">already carries the Uber Comfort/Priority +</w:t>
      </w:r>
      <w:r>
        <w:t xml:space="preserve"> </w:t>
      </w:r>
      <w:r>
        <w:t xml:space="preserve">edge-robotics copy that is</w:t>
      </w:r>
      <w:r>
        <w:t xml:space="preserve"> </w:t>
      </w:r>
      <w:r>
        <w:rPr>
          <w:rStyle w:val="VerbatimChar"/>
        </w:rPr>
        <w:t xml:space="preserve">FLEET-VIP-001</w:t>
      </w:r>
      <w:r>
        <w:t xml:space="preserve">‘</w:t>
      </w:r>
      <w:r>
        <w:t xml:space="preserve">s own product description —</w:t>
      </w:r>
      <w:r>
        <w:t xml:space="preserve"> </w:t>
      </w:r>
      <w:r>
        <w:rPr>
          <w:rStyle w:val="VerbatimChar"/>
        </w:rPr>
        <w:t xml:space="preserve">business-mentor-30</w:t>
      </w:r>
      <w:r>
        <w:t xml:space="preserve"> </w:t>
      </w:r>
      <w:r>
        <w:t xml:space="preserve">(AI coaching) has no relationship to a careers page.</w:t>
      </w:r>
      <w:r>
        <w:t xml:space="preserve"> </w:t>
      </w:r>
      <w:r>
        <w:rPr>
          <w:rStyle w:val="VerbatimChar"/>
        </w:rPr>
        <w:t xml:space="preserve">dws10.com/config/products.json</w:t>
      </w:r>
      <w:r>
        <w:t xml:space="preserve"> </w:t>
      </w:r>
      <w:r>
        <w:t xml:space="preserve">itself was never wrong (both branches</w:t>
      </w:r>
      <w:r>
        <w:t xml:space="preserve">’</w:t>
      </w:r>
      <w:r>
        <w:t xml:space="preserve"> </w:t>
      </w:r>
      <w:r>
        <w:t xml:space="preserve">implementation code agreed:</w:t>
      </w:r>
      <w:r>
        <w:t xml:space="preserve"> </w:t>
      </w:r>
      <w:r>
        <w:rPr>
          <w:rStyle w:val="VerbatimChar"/>
        </w:rPr>
        <w:t xml:space="preserve">business-mentor-30</w:t>
      </w:r>
      <w:r>
        <w:t xml:space="preserve"> </w:t>
      </w:r>
      <w:r>
        <w:t xml:space="preserve">kept,</w:t>
      </w:r>
      <w:r>
        <w:t xml:space="preserve"> </w:t>
      </w:r>
      <w:r>
        <w:rPr>
          <w:rStyle w:val="VerbatimChar"/>
        </w:rPr>
        <w:t xml:space="preserve">FLEET-VIP-001</w:t>
      </w:r>
      <w:r>
        <w:t xml:space="preserve"> </w:t>
      </w:r>
      <w:r>
        <w:t xml:space="preserve">removed) — only the Copilot-authored</w:t>
      </w:r>
      <w:r>
        <w:t xml:space="preserve"> </w:t>
      </w:r>
      <w:r>
        <w:rPr>
          <w:iCs/>
          <w:i/>
        </w:rPr>
        <w:t xml:space="preserve">documentation</w:t>
      </w:r>
      <w:r>
        <w:t xml:space="preserve"> </w:t>
      </w:r>
      <w:r>
        <w:t xml:space="preserve">of that state was</w:t>
      </w:r>
      <w:r>
        <w:t xml:space="preserve"> </w:t>
      </w:r>
      <w:r>
        <w:t xml:space="preserve">wrong, in four places:</w:t>
      </w:r>
      <w:r>
        <w:t xml:space="preserve"> </w:t>
      </w:r>
      <w:r>
        <w:rPr>
          <w:rStyle w:val="VerbatimChar"/>
        </w:rPr>
        <w:t xml:space="preserve">Strategy_Loop.md</w:t>
      </w:r>
      <w:r>
        <w:t xml:space="preserve"> </w:t>
      </w:r>
      <w:r>
        <w:t xml:space="preserve">§8, its companion field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docs/field-notes/2026-08-05-dws-iq-intelligence-growth-strategy.md</w:t>
      </w:r>
      <w:r>
        <w:t xml:space="preserve">), and</w:t>
      </w:r>
      <w:r>
        <w:t xml:space="preserve"> </w:t>
      </w:r>
      <w:r>
        <w:t xml:space="preserve">two</w:t>
      </w:r>
      <w:r>
        <w:t xml:space="preserve"> </w:t>
      </w:r>
      <w:r>
        <w:rPr>
          <w:rStyle w:val="VerbatimChar"/>
        </w:rPr>
        <w:t xml:space="preserve">.claude/handoffs/*.md</w:t>
      </w:r>
      <w:r>
        <w:t xml:space="preserve"> </w:t>
      </w:r>
      <w:r>
        <w:t xml:space="preserve">files. All four corrected in this pass;</w:t>
      </w:r>
      <w:r>
        <w:t xml:space="preserve"> </w:t>
      </w:r>
      <w:r>
        <w:rPr>
          <w:rStyle w:val="VerbatimChar"/>
        </w:rPr>
        <w:t xml:space="preserve">Strategy_Loop.md</w:t>
      </w:r>
      <w:r>
        <w:t xml:space="preserve"> </w:t>
      </w:r>
      <w:r>
        <w:t xml:space="preserve">bumped v1.2 → v1.3 with the correction recorded in its own</w:t>
      </w:r>
      <w:r>
        <w:t xml:space="preserve"> </w:t>
      </w:r>
      <w:r>
        <w:t xml:space="preserve">version history (not silently overwritten, per Rule 12).</w:t>
      </w:r>
    </w:p>
    <w:p>
      <w:pPr>
        <w:pStyle w:val="BodyText"/>
      </w:pPr>
      <w:r>
        <w:rPr>
          <w:bCs/>
          <w:b/>
        </w:rPr>
        <w:t xml:space="preserve">Lesson for the record:</w:t>
      </w:r>
      <w:r>
        <w:t xml:space="preserve"> </w:t>
      </w:r>
      <w:r>
        <w:t xml:space="preserve">two independently-reasoning agents converged on</w:t>
      </w:r>
      <w:r>
        <w:t xml:space="preserve"> </w:t>
      </w:r>
      <w:r>
        <w:t xml:space="preserve">the same numeric split (5 removed, 2 repositioned) from the same HIC</w:t>
      </w:r>
      <w:r>
        <w:t xml:space="preserve"> </w:t>
      </w:r>
      <w:r>
        <w:t xml:space="preserve">instruction, but diverged on which specific SKU carried which reason. Same</w:t>
      </w:r>
      <w:r>
        <w:t xml:space="preserve"> </w:t>
      </w:r>
      <w:r>
        <w:t xml:space="preserve">class of error as this note’s own keyword-heuristic miss earlier — a</w:t>
      </w:r>
      <w:r>
        <w:t xml:space="preserve"> </w:t>
      </w:r>
      <w:r>
        <w:t xml:space="preserve">plausible-sounding attribution (</w:t>
      </w:r>
      <w:r>
        <w:t xml:space="preserve">“</w:t>
      </w:r>
      <w:r>
        <w:t xml:space="preserve">careers pathway… adoption offer</w:t>
      </w:r>
      <w:r>
        <w:t xml:space="preserve">”</w:t>
      </w:r>
      <w:r>
        <w:t xml:space="preserve">) that</w:t>
      </w:r>
      <w:r>
        <w:t xml:space="preserve"> </w:t>
      </w:r>
      <w:r>
        <w:t xml:space="preserve">wasn’t checked against the actual page content. Checking the claim against</w:t>
      </w:r>
      <w:r>
        <w:t xml:space="preserve"> </w:t>
      </w:r>
      <w:r>
        <w:rPr>
          <w:rStyle w:val="VerbatimChar"/>
        </w:rPr>
        <w:t xml:space="preserve">lifetime.fi/careers/index.html</w:t>
      </w:r>
      <w:r>
        <w:t xml:space="preserve"> </w:t>
      </w:r>
      <w:r>
        <w:t xml:space="preserve">directly, rather than trusting either</w:t>
      </w:r>
      <w:r>
        <w:t xml:space="preserve"> </w:t>
      </w:r>
      <w:r>
        <w:t xml:space="preserve">agent’s prose, is what resolved it.</w:t>
      </w:r>
    </w:p>
    <w:bookmarkEnd w:id="30"/>
    <w:bookmarkStart w:id="31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06"/>
        </w:numPr>
        <w:pStyle w:val="Compact"/>
      </w:pPr>
      <w:r>
        <w:t xml:space="preserve">HIC answers the decision above.</w:t>
      </w:r>
    </w:p>
    <w:p>
      <w:pPr>
        <w:numPr>
          <w:ilvl w:val="0"/>
          <w:numId w:val="1006"/>
        </w:numPr>
        <w:pStyle w:val="Compact"/>
      </w:pPr>
      <w:r>
        <w:t xml:space="preserve">If canonicalized: add</w:t>
      </w:r>
      <w:r>
        <w:t xml:space="preserve"> </w:t>
      </w:r>
      <w:r>
        <w:rPr>
          <w:rStyle w:val="VerbatimChar"/>
        </w:rPr>
        <w:t xml:space="preserve">DWS_TRUTH_STANDARD</w:t>
      </w:r>
      <w:r>
        <w:t xml:space="preserve"> </w:t>
      </w:r>
      <w:r>
        <w:t xml:space="preserve">row, register</w:t>
      </w:r>
      <w:r>
        <w:t xml:space="preserve"> </w:t>
      </w:r>
      <w:r>
        <w:rPr>
          <w:rStyle w:val="VerbatimChar"/>
        </w:rPr>
        <w:t xml:space="preserve">/catalog-gate</w:t>
      </w:r>
      <w:r>
        <w:t xml:space="preserve"> </w:t>
      </w:r>
      <w:r>
        <w:t xml:space="preserve">skill in</w:t>
      </w:r>
      <w:r>
        <w:t xml:space="preserve"> </w:t>
      </w:r>
      <w:r>
        <w:rPr>
          <w:rStyle w:val="VerbatimChar"/>
        </w:rPr>
        <w:t xml:space="preserve">skills/manifest.json</w:t>
      </w:r>
      <w:r>
        <w:t xml:space="preserve">, sync</w:t>
      </w:r>
      <w:r>
        <w:t xml:space="preserve"> </w:t>
      </w:r>
      <w:r>
        <w:rPr>
          <w:rStyle w:val="VerbatimChar"/>
        </w:rPr>
        <w:t xml:space="preserve">docs/DWS_SKILLS_GUIDE.md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If RQ8 is wanted in the formal PhD RQ set: that’s a</w:t>
      </w:r>
      <w:r>
        <w:t xml:space="preserve"> </w:t>
      </w:r>
      <w:r>
        <w:rPr>
          <w:bCs/>
          <w:b/>
        </w:rPr>
        <w:t xml:space="preserve">structural thesis edit</w:t>
      </w:r>
      <w:r>
        <w:t xml:space="preserve"> </w:t>
      </w:r>
      <w:r>
        <w:t xml:space="preserve">(new numbered RQ in §1.2) — RED zone, requires explicit HIC go-ahead per the</w:t>
      </w:r>
      <w:r>
        <w:t xml:space="preserve"> </w:t>
      </w:r>
      <w:r>
        <w:t xml:space="preserve">Thesis Autonomy Boundary, and the four-file lockstep (master’s EN/FI + PhD EN/FI)</w:t>
      </w:r>
      <w:r>
        <w:t xml:space="preserve"> </w:t>
      </w:r>
      <w:r>
        <w:t xml:space="preserve">applies once approved.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2026-08-05T06:13:01Z</dcterms:created>
  <dcterms:modified xsi:type="dcterms:W3CDTF">2026-08-05T06:13:01Z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