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b958cc73f41fac221bb8c9c5a8ad4b7e9ac46ce"/>
    <w:p>
      <w:pPr>
        <w:pStyle w:val="Heading1"/>
      </w:pPr>
      <w:r>
        <w:t xml:space="preserve">Field Note — Session Close: the Merge, and the First Real Test of the Cooling Gap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2026-07-25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Author:</w:t>
      </w:r>
      <w:r>
        <w:t xml:space="preserve"> </w:t>
      </w:r>
      <w:r>
        <w:t xml:space="preserve">Risto Anton Päärni (Founder, CEO · Lifetime Oy) — via Claude Code session</w:t>
      </w:r>
      <w:r>
        <w:t xml:space="preserve"> </w:t>
      </w:r>
      <w:r>
        <w:rPr>
          <w:rStyle w:val="VerbatimChar"/>
        </w:rPr>
        <w:t xml:space="preserve">claude/greg-isenberg-field-notes-a2r544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t xml:space="preserve">Europe &gt; Finland &gt; Espoo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Context:</w:t>
      </w:r>
      <w:r>
        <w:t xml:space="preserve"> </w:t>
      </w:r>
      <w:r>
        <w:t xml:space="preserve">DWS6 — final HIC Learning Outcome; branch merge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Confidence:</w:t>
      </w:r>
      <w:r>
        <w:t xml:space="preserve"> </w:t>
      </w:r>
      <w:r>
        <w:t xml:space="preserve">High (branch state verified: 24 commits ahead, 0 behind, 0 conflicts)</w:t>
      </w:r>
    </w:p>
    <w:bookmarkStart w:id="20" w:name="ontology-tags"/>
    <w:p>
      <w:pPr>
        <w:pStyle w:val="Heading2"/>
      </w:pPr>
      <w:r>
        <w:t xml:space="preserve">Ontology Tags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Geography:</w:t>
      </w:r>
      <w:r>
        <w:t xml:space="preserve"> </w:t>
      </w:r>
      <w:r>
        <w:t xml:space="preserve">Europe &gt; EU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Sector:</w:t>
      </w:r>
      <w:r>
        <w:t xml:space="preserve"> </w:t>
      </w:r>
      <w:r>
        <w:t xml:space="preserve">Governance &gt; AI_Compliance &gt; Engineering practice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Entities:</w:t>
      </w:r>
      <w:r>
        <w:t xml:space="preserve"> </w:t>
      </w:r>
      <w:r>
        <w:t xml:space="preserve">DWS_LEARNING_STANDARD §10.3.1, V3Thesis §10.27, KYA Specification v1.5,</w:t>
      </w:r>
      <w:r>
        <w:t xml:space="preserve"> </w:t>
      </w:r>
      <w:r>
        <w:rPr>
          <w:rStyle w:val="VerbatimChar"/>
        </w:rPr>
        <w:t xml:space="preserve">dws10.com/kya-standard/</w:t>
      </w:r>
      <w:r>
        <w:t xml:space="preserve">, backlog D5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Temporal Context:</w:t>
      </w:r>
      <w:r>
        <w:t xml:space="preserve"> </w:t>
      </w:r>
      <w:r>
        <w:t xml:space="preserve">2026-Q3</w:t>
      </w:r>
    </w:p>
    <w:p>
      <w:r>
        <w:pict>
          <v:rect style="width:0;height:1.5pt" o:hralign="center" o:hrstd="t" o:hr="t"/>
        </w:pict>
      </w:r>
    </w:p>
    <w:bookmarkEnd w:id="20"/>
    <w:bookmarkStart w:id="21" w:name="the-story"/>
    <w:p>
      <w:pPr>
        <w:pStyle w:val="Heading2"/>
      </w:pPr>
      <w:r>
        <w:t xml:space="preserve">The Story</w:t>
      </w:r>
    </w:p>
    <w:p>
      <w:pPr>
        <w:pStyle w:val="FirstParagraph"/>
      </w:pPr>
      <w:r>
        <w:t xml:space="preserve">Closing a long session that began as a field note on an external thread and ended with a thesis section, a specification, a crypto fix, and a new rule in the Learning Standard.</w:t>
      </w:r>
    </w:p>
    <w:p>
      <w:pPr>
        <w:pStyle w:val="BodyText"/>
      </w:pPr>
      <w:r>
        <w:t xml:space="preserve">The merge request created the session’s most interesting moment:</w:t>
      </w:r>
      <w:r>
        <w:t xml:space="preserve"> </w:t>
      </w:r>
      <w:r>
        <w:rPr>
          <w:bCs/>
          <w:b/>
        </w:rPr>
        <w:t xml:space="preserve">the rule written this session immediately governed the session’s own last action.</w:t>
      </w:r>
      <w:r>
        <w:t xml:space="preserve"> </w:t>
      </w:r>
      <w:r>
        <w:rPr>
          <w:rStyle w:val="VerbatimChar"/>
        </w:rPr>
        <w:t xml:space="preserve">§10.3.1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nothing irreversible ships in the session that conceived it</w:t>
      </w:r>
      <w:r>
        <w:t xml:space="preserve"> </w:t>
      </w:r>
      <w:r>
        <w:t xml:space="preserve">— names</w:t>
      </w:r>
      <w:r>
        <w:t xml:space="preserve"> </w:t>
      </w:r>
      <w:r>
        <w:rPr>
          <w:bCs/>
          <w:b/>
        </w:rPr>
        <w:t xml:space="preserve">publish</w:t>
      </w:r>
      <w:r>
        <w:t xml:space="preserve"> </w:t>
      </w:r>
      <w:r>
        <w:t xml:space="preserve">as one-way by default. Merging this branch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deploys four public-site files. So the rule applied, on its first real test, to its own author.</w:t>
      </w:r>
    </w:p>
    <w:bookmarkEnd w:id="21"/>
    <w:bookmarkStart w:id="22" w:name="X984b3d9f51c3c330112d182de9cd31ac8d35c7d"/>
    <w:p>
      <w:pPr>
        <w:pStyle w:val="Heading2"/>
      </w:pPr>
      <w:r>
        <w:t xml:space="preserve">The Insight — a retraction is not a publication</w:t>
      </w:r>
    </w:p>
    <w:p>
      <w:pPr>
        <w:pStyle w:val="FirstParagraph"/>
      </w:pPr>
      <w:r>
        <w:t xml:space="preserve">The gap’s purpose decides the case, not its literal wording.</w:t>
      </w:r>
    </w:p>
    <w:p>
      <w:pPr>
        <w:pStyle w:val="BodyText"/>
      </w:pPr>
      <w:r>
        <w:rPr>
          <w:rStyle w:val="VerbatimChar"/>
        </w:rPr>
        <w:t xml:space="preserve">§10.3.1</w:t>
      </w:r>
      <w:r>
        <w:t xml:space="preserve"> </w:t>
      </w:r>
      <w:r>
        <w:t xml:space="preserve">exists to stop</w:t>
      </w:r>
      <w:r>
        <w:t xml:space="preserve"> </w:t>
      </w:r>
      <w:r>
        <w:rPr>
          <w:bCs/>
          <w:b/>
        </w:rPr>
        <w:t xml:space="preserve">over-claims reaching the public at machine speed</w:t>
      </w:r>
      <w:r>
        <w:t xml:space="preserve">. The public-site change in this branch does the opposite: it</w:t>
      </w:r>
      <w:r>
        <w:t xml:space="preserve"> </w:t>
      </w:r>
      <w:r>
        <w:rPr>
          <w:bCs/>
          <w:b/>
        </w:rPr>
        <w:t xml:space="preserve">removes</w:t>
      </w:r>
      <w:r>
        <w:t xml:space="preserve"> </w:t>
      </w:r>
      <w:r>
        <w:t xml:space="preserve">over-claims. What is live on</w:t>
      </w:r>
      <w:r>
        <w:t xml:space="preserve"> </w:t>
      </w:r>
      <w:r>
        <w:rPr>
          <w:rStyle w:val="VerbatimChar"/>
        </w:rPr>
        <w:t xml:space="preserve">dws10.com/kya-standard/</w:t>
      </w:r>
      <w:r>
        <w:t xml:space="preserve"> </w:t>
      </w:r>
      <w:r>
        <w:t xml:space="preserve">right now asserts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ensures legal accountability</w:t>
      </w:r>
      <w:r>
        <w:rPr>
          <w:iCs/>
          <w:i/>
        </w:rPr>
        <w:t xml:space="preserve">”</w:t>
      </w:r>
      <w:r>
        <w:t xml:space="preserve">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court-defensible provenance</w:t>
      </w:r>
      <w:r>
        <w:rPr>
          <w:iCs/>
          <w:i/>
        </w:rPr>
        <w:t xml:space="preserve">”</w:t>
      </w:r>
      <w:r>
        <w:t xml:space="preserve">, and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KYA becomes the EU AI Act compliance layer</w:t>
      </w:r>
      <w:r>
        <w:rPr>
          <w:iCs/>
          <w:i/>
        </w:rPr>
        <w:t xml:space="preserve">”</w:t>
      </w:r>
      <w:r>
        <w:t xml:space="preserve">. The branch replaces all three with design-intent language.</w:t>
      </w:r>
    </w:p>
    <w:p>
      <w:pPr>
        <w:pStyle w:val="BodyText"/>
      </w:pPr>
      <w:r>
        <w:t xml:space="preserve">So the two options are not</w:t>
      </w:r>
      <w:r>
        <w:t xml:space="preserve"> </w:t>
      </w:r>
      <w:r>
        <w:t xml:space="preserve">“</w:t>
      </w:r>
      <w:r>
        <w:t xml:space="preserve">risk now</w:t>
      </w:r>
      <w:r>
        <w:t xml:space="preserve">”</w:t>
      </w:r>
      <w:r>
        <w:t xml:space="preserve"> </w:t>
      </w:r>
      <w:r>
        <w:t xml:space="preserve">versus</w:t>
      </w:r>
      <w:r>
        <w:t xml:space="preserve"> </w:t>
      </w:r>
      <w:r>
        <w:t xml:space="preserve">“</w:t>
      </w:r>
      <w:r>
        <w:t xml:space="preserve">safety later.</w:t>
      </w:r>
      <w:r>
        <w:t xml:space="preserve">”</w:t>
      </w:r>
      <w:r>
        <w:t xml:space="preserve"> </w:t>
      </w:r>
      <w:r>
        <w:t xml:space="preserve">They are: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Merge</w:t>
      </w:r>
      <w:r>
        <w:t xml:space="preserve"> </w:t>
      </w:r>
      <w:r>
        <w:t xml:space="preserve">— the weaker, more defensible claims go live today; backlog</w:t>
      </w:r>
      <w:r>
        <w:t xml:space="preserve"> </w:t>
      </w:r>
      <w:r>
        <w:rPr>
          <w:bCs/>
          <w:b/>
        </w:rPr>
        <w:t xml:space="preserve">D5</w:t>
      </w:r>
      <w:r>
        <w:t xml:space="preserve"> </w:t>
      </w:r>
      <w:r>
        <w:t xml:space="preserve">stays open for the counsel pass.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Hold</w:t>
      </w:r>
      <w:r>
        <w:t xml:space="preserve"> </w:t>
      </w:r>
      <w:r>
        <w:t xml:space="preserve">— the</w:t>
      </w:r>
      <w:r>
        <w:t xml:space="preserve"> </w:t>
      </w:r>
      <w:r>
        <w:rPr>
          <w:iCs/>
          <w:i/>
        </w:rPr>
        <w:t xml:space="preserve">stronger, less defensible</w:t>
      </w:r>
      <w:r>
        <w:t xml:space="preserve"> </w:t>
      </w:r>
      <w:r>
        <w:t xml:space="preserve">claims stay live for as long as the hold lasts.</w:t>
      </w:r>
    </w:p>
    <w:p>
      <w:pPr>
        <w:pStyle w:val="FirstParagraph"/>
      </w:pPr>
      <w:r>
        <w:rPr>
          <w:bCs/>
          <w:b/>
        </w:rPr>
        <w:t xml:space="preserve">Holding is the riskier option.</w:t>
      </w:r>
      <w:r>
        <w:t xml:space="preserve"> </w:t>
      </w:r>
      <w:r>
        <w:t xml:space="preserve">Delay preserves the worse state. A cooling gap applied to a retraction protects nothing and costs exposure every day it runs.</w:t>
      </w:r>
    </w:p>
    <w:p>
      <w:pPr>
        <w:pStyle w:val="BodyText"/>
      </w:pPr>
      <w:r>
        <w:rPr>
          <w:bCs/>
          <w:b/>
        </w:rPr>
        <w:t xml:space="preserve">The principled distinction, recorded for reuse:</w:t>
      </w:r>
      <w:r>
        <w:t xml:space="preserve"> </w:t>
      </w:r>
      <w:r>
        <w:t xml:space="preserve">the cooling gap governs</w:t>
      </w:r>
      <w:r>
        <w:t xml:space="preserve"> </w:t>
      </w:r>
      <w:r>
        <w:rPr>
          <w:bCs/>
          <w:b/>
        </w:rPr>
        <w:t xml:space="preserve">claims being made</w:t>
      </w:r>
      <w:r>
        <w:t xml:space="preserve">, not</w:t>
      </w:r>
      <w:r>
        <w:t xml:space="preserve"> </w:t>
      </w:r>
      <w:r>
        <w:rPr>
          <w:bCs/>
          <w:b/>
        </w:rPr>
        <w:t xml:space="preserve">claims being withdrawn</w:t>
      </w:r>
      <w:r>
        <w:t xml:space="preserve">. Adding an assertion to a public surface is one-way; removing one is a return to a weaker position, which is where the gap would have wanted the artifact anyway. A rule that cannot distinguish those two is a rule that punishes correction — which would have produced exactly the opposite of the behaviour it was written to encourage.</w:t>
      </w:r>
    </w:p>
    <w:p>
      <w:pPr>
        <w:pStyle w:val="BodyText"/>
      </w:pPr>
      <w:r>
        <w:t xml:space="preserve">This is also the first evidence that</w:t>
      </w:r>
      <w:r>
        <w:t xml:space="preserve"> </w:t>
      </w:r>
      <w:r>
        <w:rPr>
          <w:rStyle w:val="VerbatimChar"/>
        </w:rPr>
        <w:t xml:space="preserve">§10.3.1</w:t>
      </w:r>
      <w:r>
        <w:t xml:space="preserve"> </w:t>
      </w:r>
      <w:r>
        <w:t xml:space="preserve">is a usable rule rather than ceremony: it forced the question, the question had a clear answer, and the answer took a minute. Earlier the same day the gap correctly</w:t>
      </w:r>
      <w:r>
        <w:t xml:space="preserve"> </w:t>
      </w:r>
      <w:r>
        <w:rPr>
          <w:bCs/>
          <w:b/>
        </w:rPr>
        <w:t xml:space="preserve">did not</w:t>
      </w:r>
      <w:r>
        <w:t xml:space="preserve"> </w:t>
      </w:r>
      <w:r>
        <w:t xml:space="preserve">fire on a thesis edit (writing a document is not publishing it). Two tests, two correct outcomes, no obstruction.</w:t>
      </w:r>
    </w:p>
    <w:bookmarkEnd w:id="22"/>
    <w:bookmarkStart w:id="23" w:name="what-merged"/>
    <w:p>
      <w:pPr>
        <w:pStyle w:val="Heading2"/>
      </w:pPr>
      <w:r>
        <w:t xml:space="preserve">What merged</w:t>
      </w:r>
    </w:p>
    <w:p>
      <w:pPr>
        <w:pStyle w:val="FirstParagraph"/>
      </w:pPr>
      <w:r>
        <w:t xml:space="preserve">24 commits, 0 conflicts, no production code. Field notes (7),</w:t>
      </w:r>
      <w:r>
        <w:t xml:space="preserve"> </w:t>
      </w:r>
      <w:r>
        <w:rPr>
          <w:rStyle w:val="VerbatimChar"/>
        </w:rPr>
        <w:t xml:space="preserve">standards/kya-open/</w:t>
      </w:r>
      <w:r>
        <w:t xml:space="preserve"> </w:t>
      </w:r>
      <w:r>
        <w:t xml:space="preserve">(KYA</w:t>
      </w:r>
      <w:r>
        <w:t xml:space="preserve"> </w:t>
      </w:r>
      <w:r>
        <w:rPr>
          <w:bCs/>
          <w:b/>
        </w:rPr>
        <w:t xml:space="preserve">Specification</w:t>
      </w:r>
      <w:r>
        <w:t xml:space="preserve"> </w:t>
      </w:r>
      <w:r>
        <w:t xml:space="preserve">v1.5 + Apache-2.0 + NOTICE), a crypto review with a verified patch, three KB concepts,</w:t>
      </w:r>
      <w:r>
        <w:t xml:space="preserve"> </w:t>
      </w:r>
      <w:r>
        <w:rPr>
          <w:rStyle w:val="VerbatimChar"/>
        </w:rPr>
        <w:t xml:space="preserve">DWS_LEARNING_STANDARD</w:t>
      </w:r>
      <w:r>
        <w:t xml:space="preserve"> </w:t>
      </w:r>
      <w:r>
        <w:t xml:space="preserve">v1.3, thesis v3.87 (four files, lockstep), research scope v1.1 (EN/FI), four P0 backlog items, and the corrected public KYA page.</w:t>
      </w:r>
    </w:p>
    <w:bookmarkEnd w:id="23"/>
    <w:bookmarkStart w:id="26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D5 counsel pass</w:t>
      </w:r>
      <w:r>
        <w:t xml:space="preserve"> </w:t>
      </w:r>
      <w:r>
        <w:t xml:space="preserve">on the softened compliance claims — merged, still not legally reviewed.</w:t>
      </w:r>
    </w:p>
    <w:p>
      <w:pPr>
        <w:numPr>
          <w:ilvl w:val="0"/>
          <w:numId w:val="1004"/>
        </w:numPr>
        <w:pStyle w:val="Compact"/>
      </w:pPr>
      <w:r>
        <w:t xml:space="preserve">Push the</w:t>
      </w:r>
      <w:r>
        <w:t xml:space="preserve"> </w:t>
      </w:r>
      <w:r>
        <w:rPr>
          <w:bCs/>
          <w:b/>
        </w:rPr>
        <w:t xml:space="preserve">F1/F3 patch</w:t>
      </w:r>
      <w:r>
        <w:t xml:space="preserve"> </w:t>
      </w:r>
      <w:r>
        <w:t xml:space="preserve">to PR #1716’s branch (needs permission; not this branch’s to push).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B9</w:t>
      </w:r>
      <w:r>
        <w:t xml:space="preserve"> </w:t>
      </w:r>
      <w:r>
        <w:t xml:space="preserve">— settle the 074/079 production-state contradiction (needs Supabase approval).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Migration 080</w:t>
      </w:r>
      <w:r>
        <w:t xml:space="preserve"> </w:t>
      </w:r>
      <w:r>
        <w:t xml:space="preserve">= B7 + B8 + D4, gated on B9.</w:t>
      </w:r>
    </w:p>
    <w:p>
      <w:pPr>
        <w:numPr>
          <w:ilvl w:val="0"/>
          <w:numId w:val="1004"/>
        </w:numPr>
        <w:pStyle w:val="Compact"/>
      </w:pPr>
      <w:r>
        <w:t xml:space="preserve">The three</w:t>
      </w:r>
      <w:r>
        <w:t xml:space="preserve"> </w:t>
      </w:r>
      <w:r>
        <w:rPr>
          <w:rStyle w:val="VerbatimChar"/>
        </w:rPr>
        <w:t xml:space="preserve">[HIC INPUT NEEDED]</w:t>
      </w:r>
      <w:r>
        <w:t xml:space="preserve"> </w:t>
      </w:r>
      <w:r>
        <w:t xml:space="preserve">on the Specification remain</w:t>
      </w:r>
      <w:r>
        <w:t xml:space="preserve"> </w:t>
      </w:r>
      <w:r>
        <w:rPr>
          <w:bCs/>
          <w:b/>
        </w:rPr>
        <w:t xml:space="preserve">open</w:t>
      </w:r>
      <w:r>
        <w:t xml:space="preserve">, whatever a summary may say.</w:t>
      </w:r>
    </w:p>
    <w:bookmarkStart w:id="24" w:name="Xce55c366a2163ce7d26a6d14f57ee19da5200bc"/>
    <w:p>
      <w:pPr>
        <w:pStyle w:val="Heading3"/>
      </w:pPr>
      <w:r>
        <w:t xml:space="preserve">Learning-loop steps (DWS_LEARNING_STANDARD five-step)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(1) KB entry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kb/wiki/concepts/artifact-legitimacy-gap.md</w:t>
      </w:r>
      <w:r>
        <w:t xml:space="preserve"> </w:t>
      </w:r>
      <w:r>
        <w:t xml:space="preserve">(new). 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(2) Field note</w:t>
      </w:r>
      <w:r>
        <w:t xml:space="preserve"> </w:t>
      </w:r>
      <w:r>
        <w:t xml:space="preserve">— this file. 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(3)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Learn/</w:t>
      </w:r>
      <w:r>
        <w:rPr>
          <w:bCs/>
          <w:b/>
        </w:rPr>
        <w:t xml:space="preserve"> </w:t>
      </w:r>
      <w:r>
        <w:rPr>
          <w:bCs/>
          <w:b/>
        </w:rPr>
        <w:t xml:space="preserve">HTML render</w:t>
      </w:r>
      <w:r>
        <w:t xml:space="preserve"> </w:t>
      </w:r>
      <w:r>
        <w:t xml:space="preserve">— this note + thesis v3.87 renders. ✅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(4) Drive export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N/A. Ninth consecutive skip this session.</w:t>
      </w:r>
      <w:r>
        <w:t xml:space="preserve"> </w:t>
      </w:r>
      <w:r>
        <w:t xml:space="preserve">Repo remains source of truth (Truth Standard §2E), but step 4 has now not run once across nine notes. It is not an exemption; it is a step that is not implemented in this environment, and it should either be automated or removed from the five-step minimum. Recorded rather than quietly repeated.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(5) HIC question</w:t>
      </w:r>
      <w:r>
        <w:t xml:space="preserve"> </w:t>
      </w:r>
      <w:r>
        <w:t xml:space="preserve">— below. ✅</w:t>
      </w:r>
    </w:p>
    <w:bookmarkEnd w:id="24"/>
    <w:bookmarkStart w:id="25" w:name="X0f904fed17943f32c7eda98943820956407d805"/>
    <w:p>
      <w:pPr>
        <w:pStyle w:val="Heading3"/>
      </w:pPr>
      <w:r>
        <w:t xml:space="preserve">HIC question (EU AI Act Art. 14 intervention point)</w:t>
      </w:r>
    </w:p>
    <w:p>
      <w:pPr>
        <w:pStyle w:val="BlockText"/>
      </w:pPr>
      <w:r>
        <w:rPr>
          <w:bCs/>
          <w:b/>
        </w:rPr>
        <w:t xml:space="preserve">Step 4 of your own five-step minimum has not run once in nine attempts. Do you automate it, scope it, or drop it?</w:t>
      </w:r>
      <w:r>
        <w:t xml:space="preserve"> </w:t>
      </w:r>
      <w:r>
        <w:t xml:space="preserve">A standard whose step is skipped every time is not a standard being followed — it is a standard being routinely violated with a note attached, which is worse than not having the step, because the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line makes the omission look governed. Three options:</w:t>
      </w:r>
      <w:r>
        <w:t xml:space="preserve"> </w:t>
      </w:r>
      <w:r>
        <w:rPr>
          <w:bCs/>
          <w:b/>
        </w:rPr>
        <w:t xml:space="preserve">automate</w:t>
      </w:r>
      <w:r>
        <w:t xml:space="preserve"> </w:t>
      </w:r>
      <w:r>
        <w:t xml:space="preserve">it (a Drive MCP export in the session-stop hook, so it happens without anyone remembering);</w:t>
      </w:r>
      <w:r>
        <w:t xml:space="preserve"> </w:t>
      </w:r>
      <w:r>
        <w:rPr>
          <w:bCs/>
          <w:b/>
        </w:rPr>
        <w:t xml:space="preserve">scope</w:t>
      </w:r>
      <w:r>
        <w:t xml:space="preserve"> </w:t>
      </w:r>
      <w:r>
        <w:t xml:space="preserve">it (require export only for HIC-facing artifacts — decisions, standards, customer-facing material — not every field note); or</w:t>
      </w:r>
      <w:r>
        <w:t xml:space="preserve"> </w:t>
      </w:r>
      <w:r>
        <w:rPr>
          <w:bCs/>
          <w:b/>
        </w:rPr>
        <w:t xml:space="preserve">drop</w:t>
      </w:r>
      <w:r>
        <w:t xml:space="preserve"> </w:t>
      </w:r>
      <w:r>
        <w:t xml:space="preserve">it and let the repo plus</w:t>
      </w:r>
      <w:r>
        <w:t xml:space="preserve"> </w:t>
      </w:r>
      <w:r>
        <w:rPr>
          <w:rStyle w:val="VerbatimChar"/>
        </w:rPr>
        <w:t xml:space="preserve">Learn/</w:t>
      </w:r>
      <w:r>
        <w:t xml:space="preserve"> </w:t>
      </w:r>
      <w:r>
        <w:t xml:space="preserve">be the whole delivery.</w:t>
      </w:r>
      <w:r>
        <w:t xml:space="preserve"> </w:t>
      </w:r>
      <w:r>
        <w:rPr>
          <w:bCs/>
          <w:b/>
        </w:rPr>
        <w:t xml:space="preserve">My recommendation: scope it.</w:t>
      </w:r>
      <w:r>
        <w:t xml:space="preserve"> </w:t>
      </w:r>
      <w:r>
        <w:t xml:space="preserve">The step exists so a HIC can reach the material from a phone without the repo, which matters for a decision brief and does not matter for an engineering field note. Automating an unscoped step would just produce nine Drive files nobody opens; dropping it loses the one case where it genuinely helps.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© Lifetime Oy — all rights reserved. Business Confidential. Field note · 25.07.2026.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2026-07-25T04:42:53Z</dcterms:created>
  <dcterms:modified xsi:type="dcterms:W3CDTF">2026-07-25T04:42:53Z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