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074b470d5b6d193bcd81a4c9e259c46448cbc8"/>
    <w:p>
      <w:pPr>
        <w:pStyle w:val="Heading1"/>
      </w:pPr>
      <w:r>
        <w:t xml:space="preserve">Field Note: Graph Engineering — First Slice (Triple Store + Multi-Hop KB Query)</w:t>
      </w:r>
    </w:p>
    <w:p>
      <w:r>
        <w:pict>
          <v:rect style="width:0;height:1.5pt" o:hralign="center" o:hrstd="t" o:hr="t"/>
        </w:pict>
      </w:r>
    </w:p>
    <w:bookmarkEnd w:id="20"/>
    <w:bookmarkStart w:id="27" w:name="version-and-agent-history"/>
    <w:p>
      <w:pPr>
        <w:pStyle w:val="Heading1"/>
      </w:pPr>
      <w:r>
        <w:t xml:space="preserve">VERSION AND AGENT HISTORY</w:t>
      </w:r>
    </w:p>
    <w:p>
      <w:pPr>
        <w:pStyle w:val="FirstParagraph"/>
      </w:pPr>
      <w:r>
        <w:t xml:space="preserve">Version: 1.0</w:t>
      </w:r>
      <w:r>
        <w:t xml:space="preserve"> </w:t>
      </w:r>
      <w:r>
        <w:t xml:space="preserve">Sessions &amp; Modifications:</w:t>
      </w:r>
    </w:p>
    <w:p>
      <w:pPr>
        <w:numPr>
          <w:ilvl w:val="0"/>
          <w:numId w:val="1001"/>
        </w:numPr>
        <w:pStyle w:val="Compact"/>
      </w:pPr>
      <w:r>
        <w:t xml:space="preserve">Version: 1.0 | Agent: Claude Code (Sonnet 5) | Session: claude/graph-engineering-kimi-k3-yuifga | Date: 17.08.2026 | Changes: Initial field note documenting the graph-engineering first slice:</w:t>
      </w:r>
      <w:r>
        <w:t xml:space="preserve"> </w:t>
      </w:r>
      <w:r>
        <w:rPr>
          <w:rStyle w:val="VerbatimChar"/>
        </w:rPr>
        <w:t xml:space="preserve">graph_facts</w:t>
      </w:r>
      <w:r>
        <w:t xml:space="preserve"> </w:t>
      </w:r>
      <w:r>
        <w:t xml:space="preserve">triple store,</w:t>
      </w:r>
      <w:r>
        <w:t xml:space="preserve"> </w:t>
      </w:r>
      <w:r>
        <w:rPr>
          <w:rStyle w:val="VerbatimChar"/>
        </w:rPr>
        <w:t xml:space="preserve">graph_traverse</w:t>
      </w:r>
      <w:r>
        <w:t xml:space="preserve"> </w:t>
      </w:r>
      <w:r>
        <w:t xml:space="preserve">query function, extraction hook on</w:t>
      </w:r>
      <w:r>
        <w:t xml:space="preserve"> </w:t>
      </w:r>
      <w:r>
        <w:rPr>
          <w:rStyle w:val="VerbatimChar"/>
        </w:rPr>
        <w:t xml:space="preserve">/kb</w:t>
      </w:r>
      <w:r>
        <w:t xml:space="preserve"> </w:t>
      </w:r>
      <w:r>
        <w:t xml:space="preserve">compile,</w:t>
      </w:r>
      <w:r>
        <w:t xml:space="preserve"> </w:t>
      </w:r>
      <w:r>
        <w:rPr>
          <w:rStyle w:val="VerbatimChar"/>
        </w:rPr>
        <w:t xml:space="preserve">dws_graph_query</w:t>
      </w:r>
      <w:r>
        <w:t xml:space="preserve"> </w:t>
      </w:r>
      <w:r>
        <w:t xml:space="preserve">MCP tool. PR #1852.</w:t>
      </w:r>
    </w:p>
    <w:p>
      <w:r>
        <w:pict>
          <v:rect style="width:0;height:1.5pt" o:hralign="center" o:hrstd="t" o:hr="t"/>
        </w:pict>
      </w:r>
    </w:p>
    <w:bookmarkStart w:id="2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user shared a Twitter/X article arguing that standard vector-similarity RAG cannot answer multi-hop causal questions (</w:t>
      </w:r>
      <w:r>
        <w:t xml:space="preserve">“</w:t>
      </w:r>
      <w:r>
        <w:t xml:space="preserve">why did sales drop in March?</w:t>
      </w:r>
      <w:r>
        <w:t xml:space="preserve">”</w:t>
      </w:r>
      <w:r>
        <w:t xml:space="preserve">) because it retrieves text that</w:t>
      </w:r>
      <w:r>
        <w:t xml:space="preserve"> </w:t>
      </w:r>
      <w:r>
        <w:rPr>
          <w:iCs/>
          <w:i/>
        </w:rPr>
        <w:t xml:space="preserve">looks</w:t>
      </w:r>
      <w:r>
        <w:t xml:space="preserve"> </w:t>
      </w:r>
      <w:r>
        <w:t xml:space="preserve">similar, not facts that</w:t>
      </w:r>
      <w:r>
        <w:t xml:space="preserve"> </w:t>
      </w:r>
      <w:r>
        <w:rPr>
          <w:iCs/>
          <w:i/>
        </w:rPr>
        <w:t xml:space="preserve">connect</w:t>
      </w:r>
      <w:r>
        <w:t xml:space="preserve"> </w:t>
      </w:r>
      <w:r>
        <w:t xml:space="preserve">— the causal chain lives across documents sharing no keywords. The article’s proposed fix is a knowledge graph: store facts as subject → relation → object triples and query the relationships directly, rather than relying on an LLM agent to loop through repeated re-queries to assemble a causal chain by hand. The article recommended Moonshot AI’s</w:t>
      </w:r>
      <w:r>
        <w:t xml:space="preserve"> </w:t>
      </w:r>
      <w:r>
        <w:t xml:space="preserve">“</w:t>
      </w:r>
      <w:r>
        <w:t xml:space="preserve">Kimi K3</w:t>
      </w:r>
      <w:r>
        <w:t xml:space="preserve">”</w:t>
      </w:r>
      <w:r>
        <w:t xml:space="preserve"> </w:t>
      </w:r>
      <w:r>
        <w:t xml:space="preserve">as the model to run this on.</w:t>
      </w:r>
    </w:p>
    <w:p>
      <w:pPr>
        <w:pStyle w:val="BodyText"/>
      </w:pPr>
      <w:r>
        <w:t xml:space="preserve">DWS6 had no graph storage before this session. It had agent</w:t>
      </w:r>
      <w:r>
        <w:t xml:space="preserve"> </w:t>
      </w:r>
      <w:r>
        <w:rPr>
          <w:iCs/>
          <w:i/>
        </w:rPr>
        <w:t xml:space="preserve">memory</w:t>
      </w:r>
      <w:r>
        <w:t xml:space="preserve"> </w:t>
      </w:r>
      <w:r>
        <w:t xml:space="preserve">(pgvector similarity search in</w:t>
      </w:r>
      <w:r>
        <w:t xml:space="preserve"> </w:t>
      </w:r>
      <w:r>
        <w:rPr>
          <w:rStyle w:val="VerbatimChar"/>
        </w:rPr>
        <w:t xml:space="preserve">semantic_memories</w:t>
      </w:r>
      <w:r>
        <w:t xml:space="preserve"> </w:t>
      </w:r>
      <w:r>
        <w:t xml:space="preserve">— unrelated to document RAG, and not what the article’s argument was about) and an agent-loop framework (</w:t>
      </w:r>
      <w:r>
        <w:rPr>
          <w:rStyle w:val="VerbatimChar"/>
        </w:rPr>
        <w:t xml:space="preserve">BaseAgent.runLoop()</w:t>
      </w:r>
      <w:r>
        <w:t xml:space="preserve">) that could already call tools repeatedly to chain facts, but nothing that stored or traversed relationships deterministically.</w:t>
      </w:r>
    </w:p>
    <w:bookmarkEnd w:id="21"/>
    <w:bookmarkStart w:id="22" w:name="what-shipped"/>
    <w:p>
      <w:pPr>
        <w:pStyle w:val="Heading2"/>
      </w:pPr>
      <w:r>
        <w:t xml:space="preserve">What shipped</w:t>
      </w:r>
    </w:p>
    <w:p>
      <w:pPr>
        <w:pStyle w:val="FirstParagraph"/>
      </w:pPr>
      <w:r>
        <w:t xml:space="preserve">A deliberately small first slice, scoped down from a broader design pass by two explicit HIC instructions (</w:t>
      </w:r>
      <w:r>
        <w:t xml:space="preserve">“</w:t>
      </w:r>
      <w:r>
        <w:t xml:space="preserve">the model has to fit DGX, so Qwen 27B MoE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do not plan a church, but a small effective solution</w:t>
      </w:r>
      <w:r>
        <w:t xml:space="preserve">”</w:t>
      </w:r>
      <w:r>
        <w:t xml:space="preserve">):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Schema:</w:t>
      </w:r>
      <w:r>
        <w:t xml:space="preserve"> </w:t>
      </w:r>
      <w:r>
        <w:rPr>
          <w:rStyle w:val="VerbatimChar"/>
        </w:rPr>
        <w:t xml:space="preserve">graph_facts</w:t>
      </w:r>
      <w:r>
        <w:t xml:space="preserve"> </w:t>
      </w:r>
      <w:r>
        <w:t xml:space="preserve">table +</w:t>
      </w:r>
      <w:r>
        <w:t xml:space="preserve"> </w:t>
      </w:r>
      <w:r>
        <w:rPr>
          <w:rStyle w:val="VerbatimChar"/>
        </w:rPr>
        <w:t xml:space="preserve">graph_traverse</w:t>
      </w:r>
      <w:r>
        <w:t xml:space="preserve"> </w:t>
      </w:r>
      <w:r>
        <w:t xml:space="preserve">recursive-CTE function, on the DGX-Spark-internal Postgres — same access-control convention as</w:t>
      </w:r>
      <w:r>
        <w:t xml:space="preserve"> </w:t>
      </w:r>
      <w:r>
        <w:rPr>
          <w:rStyle w:val="VerbatimChar"/>
        </w:rPr>
        <w:t xml:space="preserve">semantic_memories</w:t>
      </w:r>
      <w:r>
        <w:t xml:space="preserve"> </w:t>
      </w:r>
      <w:r>
        <w:t xml:space="preserve">(connection-level isolation, no RLS, never exposed via PostgREST).</w:t>
      </w:r>
      <w:r>
        <w:t xml:space="preserve"> </w:t>
      </w:r>
      <w:r>
        <w:rPr>
          <w:rStyle w:val="VerbatimChar"/>
        </w:rPr>
        <w:t xml:space="preserve">infrastructure/dgx-spark/migrations/022_graph_facts.sql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Extraction:</w:t>
      </w:r>
      <w:r>
        <w:t xml:space="preserve"> </w:t>
      </w:r>
      <w:r>
        <w:rPr>
          <w:rStyle w:val="VerbatimChar"/>
        </w:rPr>
        <w:t xml:space="preserve">src/agents/graph-extraction.service.ts</w:t>
      </w:r>
      <w:r>
        <w:t xml:space="preserve"> </w:t>
      </w:r>
      <w:r>
        <w:t xml:space="preserve">— sibling of the existing</w:t>
      </w:r>
      <w:r>
        <w:t xml:space="preserve"> </w:t>
      </w:r>
      <w:r>
        <w:rPr>
          <w:rStyle w:val="VerbatimChar"/>
        </w:rPr>
        <w:t xml:space="preserve">fact-extraction.service.ts</w:t>
      </w:r>
      <w:r>
        <w:t xml:space="preserve">, retargeted toward causal/relational predicates (</w:t>
      </w:r>
      <w:r>
        <w:rPr>
          <w:rStyle w:val="VerbatimChar"/>
        </w:rPr>
        <w:t xml:space="preserve">caused_by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led_to</w:t>
      </w:r>
      <w:r>
        <w:t xml:space="preserve">,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,</w:t>
      </w:r>
      <w:r>
        <w:t xml:space="preserve"> </w:t>
      </w:r>
      <w:r>
        <w:rPr>
          <w:rStyle w:val="VerbatimChar"/>
        </w:rPr>
        <w:t xml:space="preserve">is_regulated_by</w:t>
      </w:r>
      <w:r>
        <w:t xml:space="preserve">), hooked into</w:t>
      </w:r>
      <w:r>
        <w:t xml:space="preserve"> </w:t>
      </w:r>
      <w:r>
        <w:rPr>
          <w:rStyle w:val="VerbatimChar"/>
        </w:rPr>
        <w:t xml:space="preserve">KBAgent</w:t>
      </w:r>
      <w:r>
        <w:t xml:space="preserve">’s</w:t>
      </w:r>
      <w:r>
        <w:t xml:space="preserve"> </w:t>
      </w:r>
      <w:r>
        <w:rPr>
          <w:rStyle w:val="VerbatimChar"/>
        </w:rPr>
        <w:t xml:space="preserve">kb_write_article</w:t>
      </w:r>
      <w:r>
        <w:t xml:space="preserve"> </w:t>
      </w:r>
      <w:r>
        <w:t xml:space="preserve">tool handler for</w:t>
      </w:r>
      <w:r>
        <w:t xml:space="preserve"> </w:t>
      </w:r>
      <w:r>
        <w:rPr>
          <w:rStyle w:val="VerbatimChar"/>
        </w:rPr>
        <w:t xml:space="preserve">wiki/concepts/**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wiki/entities/**</w:t>
      </w:r>
      <w:r>
        <w:t xml:space="preserve"> </w:t>
      </w:r>
      <w:r>
        <w:t xml:space="preserve">articles only (not summaries/reports/indexes).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Query:</w:t>
      </w:r>
      <w:r>
        <w:t xml:space="preserve"> </w:t>
      </w:r>
      <w:r>
        <w:rPr>
          <w:rStyle w:val="VerbatimChar"/>
        </w:rPr>
        <w:t xml:space="preserve">src/agents/graph.service.ts</w:t>
      </w:r>
      <w:r>
        <w:t xml:space="preserve"> </w:t>
      </w:r>
      <w:r>
        <w:t xml:space="preserve">(allowlisted wrapper, mirrors</w:t>
      </w:r>
      <w:r>
        <w:t xml:space="preserve"> </w:t>
      </w:r>
      <w:r>
        <w:rPr>
          <w:rStyle w:val="VerbatimChar"/>
        </w:rPr>
        <w:t xml:space="preserve">memory.service.ts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callDbFunction</w:t>
      </w:r>
      <w:r>
        <w:t xml:space="preserve"> </w:t>
      </w:r>
      <w:r>
        <w:t xml:space="preserve">pattern) + a new</w:t>
      </w:r>
      <w:r>
        <w:t xml:space="preserve"> </w:t>
      </w:r>
      <w:r>
        <w:rPr>
          <w:rStyle w:val="VerbatimChar"/>
        </w:rPr>
        <w:t xml:space="preserve">dws_graph_query</w:t>
      </w:r>
      <w:r>
        <w:t xml:space="preserve"> </w:t>
      </w:r>
      <w:r>
        <w:t xml:space="preserve">MCP tool +</w:t>
      </w:r>
      <w:r>
        <w:t xml:space="preserve"> </w:t>
      </w:r>
      <w:r>
        <w:rPr>
          <w:rStyle w:val="VerbatimChar"/>
        </w:rPr>
        <w:t xml:space="preserve">/kb graph "&lt;entity&gt;"</w:t>
      </w:r>
      <w:r>
        <w:t xml:space="preserve"> </w:t>
      </w:r>
      <w:r>
        <w:t xml:space="preserve">subcommand. One function serves both</w:t>
      </w:r>
      <w:r>
        <w:t xml:space="preserve"> </w:t>
      </w:r>
      <w:r>
        <w:t xml:space="preserve">“</w:t>
      </w:r>
      <w:r>
        <w:t xml:space="preserve">local search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max_hops=1</w:t>
      </w:r>
      <w:r>
        <w:t xml:space="preserve">, direct neighbors) and multi-hop causal chains (</w:t>
      </w:r>
      <w:r>
        <w:rPr>
          <w:rStyle w:val="VerbatimChar"/>
        </w:rPr>
        <w:t xml:space="preserve">max_hops&gt;1</w:t>
      </w:r>
      <w:r>
        <w:t xml:space="preserve">) — Microsoft’s GraphRAG local-search/global-search framing collapsed into a single parameterized query, per the simplicity-first engineering rule.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Model:</w:t>
      </w:r>
      <w:r>
        <w:t xml:space="preserve"> </w:t>
      </w:r>
      <w:r>
        <w:t xml:space="preserve">local</w:t>
      </w:r>
      <w:r>
        <w:t xml:space="preserve"> </w:t>
      </w:r>
      <w:r>
        <w:rPr>
          <w:rStyle w:val="VerbatimChar"/>
        </w:rPr>
        <w:t xml:space="preserve">qwen3-coder:30b</w:t>
      </w:r>
      <w:r>
        <w:t xml:space="preserve"> </w:t>
      </w:r>
      <w:r>
        <w:t xml:space="preserve">(Qwen3-Coder-30B-A3B MoE), already deployed on DGX Spark and already in</w:t>
      </w:r>
      <w:r>
        <w:t xml:space="preserve"> </w:t>
      </w:r>
      <w:r>
        <w:rPr>
          <w:rStyle w:val="VerbatimChar"/>
        </w:rPr>
        <w:t xml:space="preserve">AGENT_TIER_MAP</w:t>
      </w:r>
      <w:r>
        <w:t xml:space="preserve"> </w:t>
      </w:r>
      <w:r>
        <w:t xml:space="preserve">— one additive line (</w:t>
      </w:r>
      <w:r>
        <w:rPr>
          <w:rStyle w:val="VerbatimChar"/>
        </w:rPr>
        <w:t xml:space="preserve">'graph-extract': 'standard'</w:t>
      </w:r>
      <w:r>
        <w:t xml:space="preserve">), zero new provider, zero new API key.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Tests:</w:t>
      </w:r>
      <w:r>
        <w:t xml:space="preserve"> </w:t>
      </w:r>
      <w:r>
        <w:t xml:space="preserve">13 unit tests (</w:t>
      </w:r>
      <w:r>
        <w:rPr>
          <w:rStyle w:val="VerbatimChar"/>
        </w:rPr>
        <w:t xml:space="preserve">graph-extraction.test.ts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graph.service.test.ts</w:t>
      </w:r>
      <w:r>
        <w:t xml:space="preserve">), all passing.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clean.</w:t>
      </w:r>
    </w:p>
    <w:bookmarkEnd w:id="22"/>
    <w:bookmarkStart w:id="23" w:name="key-decisions-and-why"/>
    <w:p>
      <w:pPr>
        <w:pStyle w:val="Heading2"/>
      </w:pPr>
      <w:r>
        <w:t xml:space="preserve">Key decisions and why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Kimi excluded.</w:t>
      </w:r>
      <w:r>
        <w:t xml:space="preserve"> </w:t>
      </w:r>
      <w:r>
        <w:t xml:space="preserve">No</w:t>
      </w:r>
      <w:r>
        <w:t xml:space="preserve"> </w:t>
      </w:r>
      <w:r>
        <w:t xml:space="preserve">“</w:t>
      </w:r>
      <w:r>
        <w:t xml:space="preserve">Kimi K3</w:t>
      </w:r>
      <w:r>
        <w:t xml:space="preserve">”</w:t>
      </w:r>
      <w:r>
        <w:t xml:space="preserve"> </w:t>
      </w:r>
      <w:r>
        <w:t xml:space="preserve">exists in our documentation — only Kimi K2.5 (Moonshot AI, via Ollama Cloud) is documented, and it’s a cloud model. The HIC’s hardware constraint (</w:t>
      </w:r>
      <w:r>
        <w:t xml:space="preserve">“</w:t>
      </w:r>
      <w:r>
        <w:t xml:space="preserve">has to fit DGX</w:t>
      </w:r>
      <w:r>
        <w:t xml:space="preserve">”</w:t>
      </w:r>
      <w:r>
        <w:t xml:space="preserve">) ruled out any cloud model regardless of naming, so extraction uses the already-deployed local Qwen MoE model instead. This is the single most important correction from the source article: the article’s headline recommendation was not adoptable as stated, for two independent reasons (wrong model name, wrong deployment target).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DGX-Spark-internal Postgres, not Supabase.</w:t>
      </w:r>
      <w:r>
        <w:t xml:space="preserve"> </w:t>
      </w:r>
      <w:r>
        <w:t xml:space="preserve">The architect-agent design pass flagged this as a deviation from a literal</w:t>
      </w:r>
      <w:r>
        <w:t xml:space="preserve"> </w:t>
      </w:r>
      <w:r>
        <w:t xml:space="preserve">“</w:t>
      </w:r>
      <w:r>
        <w:t xml:space="preserve">Supabase migration</w:t>
      </w:r>
      <w:r>
        <w:t xml:space="preserve">”</w:t>
      </w:r>
      <w:r>
        <w:t xml:space="preserve"> </w:t>
      </w:r>
      <w:r>
        <w:t xml:space="preserve">framing implicit in early planning.</w:t>
      </w:r>
      <w:r>
        <w:t xml:space="preserve"> </w:t>
      </w:r>
      <w:r>
        <w:rPr>
          <w:rStyle w:val="VerbatimChar"/>
        </w:rPr>
        <w:t xml:space="preserve">semantic_memories</w:t>
      </w:r>
      <w:r>
        <w:t xml:space="preserve"> </w:t>
      </w:r>
      <w:r>
        <w:t xml:space="preserve">— the closest existing analogue — lives on the internal DB with no RLS by design (connection-level isolation only), and</w:t>
      </w:r>
      <w:r>
        <w:t xml:space="preserve"> </w:t>
      </w:r>
      <w:r>
        <w:rPr>
          <w:rStyle w:val="VerbatimChar"/>
        </w:rPr>
        <w:t xml:space="preserve">graph_facts</w:t>
      </w:r>
      <w:r>
        <w:t xml:space="preserve"> </w:t>
      </w:r>
      <w:r>
        <w:t xml:space="preserve">is the same kind of agent-internal derived knowledge. HIC confirmed this via</w:t>
      </w:r>
      <w:r>
        <w:t xml:space="preserve"> </w:t>
      </w:r>
      <w:r>
        <w:rPr>
          <w:rStyle w:val="VerbatimChar"/>
        </w:rPr>
        <w:t xml:space="preserve">AskUserQuestion</w:t>
      </w:r>
      <w:r>
        <w:t xml:space="preserve"> </w:t>
      </w:r>
      <w:r>
        <w:t xml:space="preserve">before implementation.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Naive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ILIKE</w:t>
      </w:r>
      <w:r>
        <w:rPr>
          <w:bCs/>
          <w:b/>
        </w:rPr>
        <w:t xml:space="preserve"> </w:t>
      </w:r>
      <w:r>
        <w:rPr>
          <w:bCs/>
          <w:b/>
        </w:rPr>
        <w:t xml:space="preserve">entity matching, not fuzzy/alias resolution, in v1.</w:t>
      </w:r>
      <w:r>
        <w:t xml:space="preserve"> </w:t>
      </w:r>
      <w:r>
        <w:t xml:space="preserve">Differently-worded mentions of the same entity (</w:t>
      </w:r>
      <w:r>
        <w:t xml:space="preserve">“</w:t>
      </w:r>
      <w:r>
        <w:t xml:space="preserve">CBAM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Carbon Border Adjustment Mechanism</w:t>
      </w:r>
      <w:r>
        <w:t xml:space="preserve">”</w:t>
      </w:r>
      <w:r>
        <w:t xml:space="preserve">) form disconnected subgraphs until a later slice. HIC confirmed this tradeoff explicitly rather than it being silently assumed.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Extraction is not inside any agent’s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runLoop()</w:t>
      </w:r>
      <w:r>
        <w:rPr>
          <w:bCs/>
          <w:b/>
        </w:rPr>
        <w:t xml:space="preserve">.</w:t>
      </w:r>
      <w:r>
        <w:t xml:space="preserve"> </w:t>
      </w:r>
      <w:r>
        <w:t xml:space="preserve">It fires deterministically from the</w:t>
      </w:r>
      <w:r>
        <w:t xml:space="preserve"> </w:t>
      </w:r>
      <w:r>
        <w:rPr>
          <w:rStyle w:val="VerbatimChar"/>
        </w:rPr>
        <w:t xml:space="preserve">kb_write_article</w:t>
      </w:r>
      <w:r>
        <w:t xml:space="preserve"> </w:t>
      </w:r>
      <w:r>
        <w:t xml:space="preserve">tool</w:t>
      </w:r>
      <w:r>
        <w:t xml:space="preserve"> </w:t>
      </w:r>
      <w:r>
        <w:rPr>
          <w:iCs/>
          <w:i/>
        </w:rPr>
        <w:t xml:space="preserve">handler</w:t>
      </w:r>
      <w:r>
        <w:t xml:space="preserve"> </w:t>
      </w:r>
      <w:r>
        <w:t xml:space="preserve">(plain TypeScript), not something an LLM decides to invoke — matching the engineering rule that the model is used only for the judgment call (extraction) while</w:t>
      </w:r>
      <w:r>
        <w:t xml:space="preserve"> </w:t>
      </w:r>
      <w:r>
        <w:rPr>
          <w:iCs/>
          <w:i/>
        </w:rPr>
        <w:t xml:space="preserve">whether it runs</w:t>
      </w:r>
      <w:r>
        <w:t xml:space="preserve"> </w:t>
      </w:r>
      <w:r>
        <w:t xml:space="preserve">stays deterministic orchestration code. The query tool (</w:t>
      </w:r>
      <w:r>
        <w:rPr>
          <w:rStyle w:val="VerbatimChar"/>
        </w:rPr>
        <w:t xml:space="preserve">dws_graph_query</w:t>
      </w:r>
      <w:r>
        <w:t xml:space="preserve">) is additive to the loop framework, not a replacement for it: a single traversal call can now replace several loop iterations of</w:t>
      </w:r>
      <w:r>
        <w:t xml:space="preserve"> </w:t>
      </w:r>
      <w:r>
        <w:t xml:space="preserve">“</w:t>
      </w:r>
      <w:r>
        <w:t xml:space="preserve">recall → re-query → recall</w:t>
      </w:r>
      <w:r>
        <w:t xml:space="preserve">”</w:t>
      </w:r>
      <w:r>
        <w:t xml:space="preserve"> </w:t>
      </w:r>
      <w:r>
        <w:t xml:space="preserve">for causal questions, but</w:t>
      </w:r>
      <w:r>
        <w:t xml:space="preserve"> </w:t>
      </w:r>
      <w:r>
        <w:rPr>
          <w:rStyle w:val="VerbatimChar"/>
        </w:rPr>
        <w:t xml:space="preserve">runLoop()</w:t>
      </w:r>
      <w:r>
        <w:t xml:space="preserve">, its iteration cap, and its audit logging are untouched.</w:t>
      </w:r>
    </w:p>
    <w:bookmarkEnd w:id="23"/>
    <w:bookmarkStart w:id="24" w:name="Xdf01206dd6fa10736742a00432814a6673c5cdd"/>
    <w:p>
      <w:pPr>
        <w:pStyle w:val="Heading2"/>
      </w:pPr>
      <w:r>
        <w:t xml:space="preserve">What’s explicitly deferred (not silently dropped)</w:t>
      </w:r>
    </w:p>
    <w:p>
      <w:pPr>
        <w:pStyle w:val="FirstParagraph"/>
      </w:pPr>
      <w:r>
        <w:t xml:space="preserve">Extraction from field notes or other agent outputs (kb/ only for now); entity dedup/aliasing; a standalone</w:t>
      </w:r>
      <w:r>
        <w:t xml:space="preserve"> </w:t>
      </w:r>
      <w:r>
        <w:rPr>
          <w:rStyle w:val="VerbatimChar"/>
        </w:rPr>
        <w:t xml:space="preserve">skills/graph-engineering/SKILL.md</w:t>
      </w:r>
      <w:r>
        <w:t xml:space="preserve"> </w:t>
      </w:r>
      <w:r>
        <w:t xml:space="preserve">(extends</w:t>
      </w:r>
      <w:r>
        <w:t xml:space="preserve"> </w:t>
      </w:r>
      <w:r>
        <w:rPr>
          <w:rStyle w:val="VerbatimChar"/>
        </w:rPr>
        <w:t xml:space="preserve">/kb</w:t>
      </w:r>
      <w:r>
        <w:t xml:space="preserve"> </w:t>
      </w:r>
      <w:r>
        <w:t xml:space="preserve">instead, per the Skill Codification Rule — not yet run-and-approved as a distinct capability); a dedicated</w:t>
      </w:r>
      <w:r>
        <w:t xml:space="preserve"> </w:t>
      </w:r>
      <w:r>
        <w:rPr>
          <w:rStyle w:val="VerbatimChar"/>
        </w:rPr>
        <w:t xml:space="preserve">dws graph</w:t>
      </w:r>
      <w:r>
        <w:t xml:space="preserve"> </w:t>
      </w:r>
      <w:r>
        <w:t xml:space="preserve">CLI subcommand (</w:t>
      </w:r>
      <w:r>
        <w:rPr>
          <w:rStyle w:val="VerbatimChar"/>
        </w:rPr>
        <w:t xml:space="preserve">dws mcp call dws_graph_query</w:t>
      </w:r>
      <w:r>
        <w:t xml:space="preserve"> </w:t>
      </w:r>
      <w:r>
        <w:t xml:space="preserve">already covers it); an update/supersede path for a triple (v1 only inserts); a second</w:t>
      </w:r>
      <w:r>
        <w:t xml:space="preserve"> </w:t>
      </w:r>
      <w:r>
        <w:t xml:space="preserve">“</w:t>
      </w:r>
      <w:r>
        <w:t xml:space="preserve">global search</w:t>
      </w:r>
      <w:r>
        <w:t xml:space="preserve">”</w:t>
      </w:r>
      <w:r>
        <w:t xml:space="preserve"> </w:t>
      </w:r>
      <w:r>
        <w:t xml:space="preserve">pattern-matching function (relation-filter-without-start-entity could serve this later).</w:t>
      </w:r>
    </w:p>
    <w:bookmarkEnd w:id="24"/>
    <w:bookmarkStart w:id="25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04"/>
        </w:numPr>
        <w:pStyle w:val="Compact"/>
      </w:pPr>
      <w:r>
        <w:t xml:space="preserve">Apply migration</w:t>
      </w:r>
      <w:r>
        <w:t xml:space="preserve"> </w:t>
      </w:r>
      <w:r>
        <w:rPr>
          <w:rStyle w:val="VerbatimChar"/>
        </w:rPr>
        <w:t xml:space="preserve">022_graph_facts.sql</w:t>
      </w:r>
      <w:r>
        <w:t xml:space="preserve"> </w:t>
      </w:r>
      <w:r>
        <w:t xml:space="preserve">to the live DGX Spark Postgres (requires DB credentials the agent does not hold — HIC action).</w:t>
      </w:r>
    </w:p>
    <w:p>
      <w:pPr>
        <w:numPr>
          <w:ilvl w:val="0"/>
          <w:numId w:val="1004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/kb compile</w:t>
      </w:r>
      <w:r>
        <w:t xml:space="preserve"> </w:t>
      </w:r>
      <w:r>
        <w:t xml:space="preserve">against real kb/ content once the migration is live, to validate the extraction → traversal path end-to-end outside of unit-test mocks.</w:t>
      </w:r>
    </w:p>
    <w:p>
      <w:pPr>
        <w:numPr>
          <w:ilvl w:val="0"/>
          <w:numId w:val="1004"/>
        </w:numPr>
        <w:pStyle w:val="Compact"/>
      </w:pPr>
      <w:r>
        <w:t xml:space="preserve">If this proves useful, the next slice candidates are (in order of likely value): entity alias resolution (fixes the disconnected-subgraph problem), a second content source (field notes), and a</w:t>
      </w:r>
      <w:r>
        <w:t xml:space="preserve"> </w:t>
      </w:r>
      <w:r>
        <w:rPr>
          <w:rStyle w:val="VerbatimChar"/>
        </w:rPr>
        <w:t xml:space="preserve">skills/graph-engineering/SKILL.md</w:t>
      </w:r>
      <w:r>
        <w:t xml:space="preserve"> </w:t>
      </w:r>
      <w:r>
        <w:t xml:space="preserve">promotion once the capability has been run and approved per the Skill Codification Rule.</w:t>
      </w:r>
    </w:p>
    <w:bookmarkEnd w:id="25"/>
    <w:bookmarkStart w:id="26" w:name="hic-decision-point"/>
    <w:p>
      <w:pPr>
        <w:pStyle w:val="Heading2"/>
      </w:pPr>
      <w:r>
        <w:t xml:space="preserve">HIC decision point</w:t>
      </w:r>
    </w:p>
    <w:p>
      <w:pPr>
        <w:pStyle w:val="FirstParagraph"/>
      </w:pPr>
      <w:r>
        <w:t xml:space="preserve">Should the next slice prioritize</w:t>
      </w:r>
      <w:r>
        <w:t xml:space="preserve"> </w:t>
      </w:r>
      <w:r>
        <w:rPr>
          <w:bCs/>
          <w:b/>
        </w:rPr>
        <w:t xml:space="preserve">entity alias resolution</w:t>
      </w:r>
      <w:r>
        <w:t xml:space="preserve"> </w:t>
      </w:r>
      <w:r>
        <w:t xml:space="preserve">(makes the existing kb/ graph actually connected and demo-able) or</w:t>
      </w:r>
      <w:r>
        <w:t xml:space="preserve"> </w:t>
      </w:r>
      <w:r>
        <w:rPr>
          <w:bCs/>
          <w:b/>
        </w:rPr>
        <w:t xml:space="preserve">a second content source</w:t>
      </w:r>
      <w:r>
        <w:t xml:space="preserve"> </w:t>
      </w:r>
      <w:r>
        <w:t xml:space="preserve">(field notes, widening what’s covered but leaving the disconnected-subgraph problem in place)? Recommendation: alias resolution first — a wider but still-disconnected graph doesn’t answer more multi-hop questions than a narrower connected one.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2026-08-17T16:15:05Z</dcterms:created>
  <dcterms:modified xsi:type="dcterms:W3CDTF">2026-08-17T16:15:05Z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