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3.85</w:t>
      </w:r>
      <w:r>
        <w:t xml:space="preserve"> </w:t>
      </w:r>
      <w:r>
        <w:t xml:space="preserve">Sessions &amp; Modifications:</w:t>
      </w:r>
    </w:p>
    <w:p>
      <w:pPr>
        <w:numPr>
          <w:ilvl w:val="0"/>
          <w:numId w:val="1001"/>
        </w:numPr>
      </w:pPr>
      <w:r>
        <w:t xml:space="preserve">Version: 3.85 | Tool: Claude Code (claude-opus-5) | Session: claude/greg-isenberg-field-notes-a2r544 | Date: 25.07.2026 | Changes: Lockstep version bump 3.84 → 3.85 across all 4 thesis files per the CLAUDE.md Thesis Rule. No content change in this file: the session’s new material is standardisation-route and jurisdiction-architecture analysis, which belongs to the PhD per the Thesis Content Scope Rule (see PHD_FIREHORSE §14.43). Implementation evidence from this session remains at §10.26.</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industries-affected-by-fit-for-55"/>
    <w:p>
      <w:pPr>
        <w:pStyle w:val="Heading3"/>
      </w:pPr>
      <w:r>
        <w:t xml:space="preserve">3.1.1 The 16 Industries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Uber, Bolt, Kela, DB Schenker, DHL (EUR 7k MRR live)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X7b224d7d0d9a011eeed39c92b9a9d1bef8c9c6e"/>
    <w:p>
      <w:pPr>
        <w:pStyle w:val="Heading3"/>
      </w:pPr>
      <w:r>
        <w:t xml:space="preserve">Industry Carbon Profiles (16 EU Industries)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industries-make-dws-iq-stronger"/>
    <w:p>
      <w:pPr>
        <w:pStyle w:val="Heading3"/>
      </w:pPr>
      <w:r>
        <w:t xml:space="preserve">10.6.1 Why 16 Industries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32"/>
        <w:gridCol w:w="3344"/>
        <w:gridCol w:w="1452"/>
        <w:gridCol w:w="2992"/>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count</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58"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5"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End w:id="215"/>
    <w:bookmarkStart w:id="216"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6"/>
    <w:bookmarkStart w:id="221" w:name="appendix-g-glossary"/>
    <w:p>
      <w:pPr>
        <w:pStyle w:val="Heading2"/>
      </w:pPr>
      <w:r>
        <w:t xml:space="preserve">Appendix G: Glossary</w:t>
      </w:r>
    </w:p>
    <w:bookmarkStart w:id="217"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7"/>
    <w:bookmarkStart w:id="218"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8"/>
    <w:bookmarkStart w:id="219"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19"/>
    <w:bookmarkStart w:id="220"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0"/>
    <w:bookmarkEnd w:id="221"/>
    <w:bookmarkStart w:id="228" w:name="X913c5d6278562a2088bf833de44a465c3cc1013"/>
    <w:p>
      <w:pPr>
        <w:pStyle w:val="Heading2"/>
      </w:pPr>
      <w:r>
        <w:t xml:space="preserve">Appendix H: Automated PR Workflow (HIL Automation)</w:t>
      </w:r>
    </w:p>
    <w:bookmarkStart w:id="222"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2"/>
    <w:bookmarkStart w:id="223"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3"/>
    <w:bookmarkStart w:id="224"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4"/>
    <w:bookmarkStart w:id="225"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5"/>
    <w:bookmarkStart w:id="226"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6"/>
    <w:bookmarkStart w:id="227"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7"/>
    <w:bookmarkEnd w:id="228"/>
    <w:bookmarkStart w:id="235"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29"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29"/>
    <w:bookmarkStart w:id="230"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0"/>
    <w:bookmarkStart w:id="231"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1"/>
    <w:bookmarkStart w:id="232"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2"/>
    <w:bookmarkStart w:id="233"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3"/>
    <w:bookmarkStart w:id="234"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4"/>
    <w:bookmarkEnd w:id="235"/>
    <w:bookmarkStart w:id="242" w:name="Xe3d903b88289159370153659501fd21cf674755"/>
    <w:p>
      <w:pPr>
        <w:pStyle w:val="Heading2"/>
      </w:pPr>
      <w:r>
        <w:t xml:space="preserve">10.14 Agent System Hardening — Production Reliability</w:t>
      </w:r>
    </w:p>
    <w:bookmarkStart w:id="236"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6"/>
    <w:bookmarkStart w:id="237"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7"/>
    <w:bookmarkStart w:id="238"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8"/>
    <w:bookmarkStart w:id="239"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39"/>
    <w:bookmarkStart w:id="240"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0"/>
    <w:bookmarkStart w:id="241"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1"/>
    <w:bookmarkEnd w:id="242"/>
    <w:bookmarkStart w:id="322" w:name="Xc84102b46314a206f007a2278365afe61845d6d"/>
    <w:p>
      <w:pPr>
        <w:pStyle w:val="Heading2"/>
      </w:pPr>
      <w:r>
        <w:t xml:space="preserve">10.15 PostgreSQL Columnar HTAP Architecture — DWS Data Standard</w:t>
      </w:r>
    </w:p>
    <w:bookmarkStart w:id="243"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3"/>
    <w:bookmarkStart w:id="244"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4"/>
    <w:bookmarkStart w:id="245"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5"/>
    <w:bookmarkStart w:id="246"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6"/>
    <w:bookmarkStart w:id="247"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7"/>
    <w:bookmarkStart w:id="248"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8"/>
    <w:bookmarkStart w:id="256"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49"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49"/>
    <w:bookmarkStart w:id="250"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0"/>
    <w:bookmarkStart w:id="251"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1"/>
    <w:bookmarkStart w:id="252"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2"/>
    <w:bookmarkStart w:id="253"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3"/>
    <w:bookmarkStart w:id="254"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4"/>
    <w:bookmarkStart w:id="255"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5"/>
    <w:bookmarkEnd w:id="256"/>
    <w:bookmarkStart w:id="263" w:name="X82c3cb5b3f96223a00cb9a57ff5ba43a4ef193f"/>
    <w:p>
      <w:pPr>
        <w:pStyle w:val="Heading3"/>
      </w:pPr>
      <w:r>
        <w:t xml:space="preserve">10.17 Conclusion: The Carbon Balance Sheet as Compliance Infrastructure</w:t>
      </w:r>
    </w:p>
    <w:bookmarkStart w:id="257"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7"/>
    <w:bookmarkStart w:id="258"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8"/>
    <w:bookmarkStart w:id="259"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59"/>
    <w:bookmarkStart w:id="260"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0"/>
    <w:bookmarkStart w:id="261"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1"/>
    <w:bookmarkStart w:id="262"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2"/>
    <w:bookmarkEnd w:id="263"/>
    <w:bookmarkStart w:id="270" w:name="Xb4ae91a050c08ad4c62396846880f6708c37124"/>
    <w:p>
      <w:pPr>
        <w:pStyle w:val="Heading3"/>
      </w:pPr>
      <w:r>
        <w:t xml:space="preserve">10.18 LWM Sequencing Strategy — From Regulatory Intelligence to Physical AI</w:t>
      </w:r>
    </w:p>
    <w:bookmarkStart w:id="264"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4"/>
    <w:bookmarkStart w:id="265"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5"/>
    <w:bookmarkStart w:id="266"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6"/>
    <w:bookmarkStart w:id="267"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7"/>
    <w:bookmarkStart w:id="268"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8"/>
    <w:bookmarkStart w:id="269"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69"/>
    <w:bookmarkEnd w:id="270"/>
    <w:bookmarkStart w:id="275" w:name="Xffdfef13a0852165795bac8c15daacb1d6dc62a"/>
    <w:p>
      <w:pPr>
        <w:pStyle w:val="Heading3"/>
      </w:pPr>
      <w:r>
        <w:t xml:space="preserve">10.19 Thesis Versioning Strategy: v3.30.50 Metropolia Freeze</w:t>
      </w:r>
    </w:p>
    <w:bookmarkStart w:id="271"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1"/>
    <w:bookmarkStart w:id="272"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2"/>
    <w:bookmarkStart w:id="273"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3"/>
    <w:bookmarkStart w:id="274"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4"/>
    <w:bookmarkEnd w:id="275"/>
    <w:bookmarkStart w:id="282"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6"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6"/>
    <w:bookmarkStart w:id="277"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7"/>
    <w:bookmarkStart w:id="278"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8"/>
    <w:bookmarkStart w:id="279"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79"/>
    <w:bookmarkStart w:id="280"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0"/>
    <w:bookmarkStart w:id="281"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1"/>
    <w:bookmarkEnd w:id="282"/>
    <w:bookmarkStart w:id="291" w:name="X77ddb91e7fdb68b40cc1db7b9a0417293ce1dc7"/>
    <w:p>
      <w:pPr>
        <w:pStyle w:val="Heading3"/>
      </w:pPr>
      <w:r>
        <w:t xml:space="preserve">10.21 Doctoral Track Targeting: KYA Foundation, DWS 7 Objectives, and Dual-Use Expansion</w:t>
      </w:r>
    </w:p>
    <w:bookmarkStart w:id="283"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3"/>
    <w:bookmarkStart w:id="284"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4"/>
    <w:bookmarkStart w:id="285"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5"/>
    <w:bookmarkStart w:id="286"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6"/>
    <w:bookmarkStart w:id="287"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7"/>
    <w:bookmarkStart w:id="288"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8"/>
    <w:bookmarkStart w:id="289"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89"/>
    <w:bookmarkStart w:id="290"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0"/>
    <w:bookmarkEnd w:id="291"/>
    <w:bookmarkStart w:id="299"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2"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2"/>
    <w:bookmarkStart w:id="293"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3"/>
    <w:bookmarkStart w:id="294"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4"/>
    <w:bookmarkStart w:id="295"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5"/>
    <w:bookmarkStart w:id="296"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6"/>
    <w:bookmarkStart w:id="297"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7"/>
    <w:bookmarkStart w:id="298"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8"/>
    <w:bookmarkEnd w:id="299"/>
    <w:bookmarkStart w:id="307" w:name="Xe83162b5c540d5392c7c3cb92605c79fe18dc9a"/>
    <w:p>
      <w:pPr>
        <w:pStyle w:val="Heading3"/>
      </w:pPr>
      <w:r>
        <w:t xml:space="preserve">10.23 Three-Capital Accumulation Model: Token Capital, Human Capital, and Control Room Capital as Durable Assets of the DWS IQ 6 Operating Model</w:t>
      </w:r>
    </w:p>
    <w:bookmarkStart w:id="300"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0"/>
    <w:bookmarkStart w:id="301"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tokens consumed;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1"/>
    <w:bookmarkStart w:id="302"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2"/>
    <w:bookmarkStart w:id="303"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3"/>
    <w:bookmarkStart w:id="304"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4"/>
    <w:bookmarkStart w:id="305" w:name="research-contribution-13"/>
    <w:p>
      <w:pPr>
        <w:pStyle w:val="Heading4"/>
      </w:pPr>
      <w:r>
        <w:t xml:space="preserve">10.23.6 Research Contribution</w:t>
      </w:r>
    </w:p>
    <w:p>
      <w:pPr>
        <w:pStyle w:val="FirstParagraph"/>
      </w:pPr>
      <w:r>
        <w:t xml:space="preserve">The three-capital model,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5"/>
    <w:bookmarkStart w:id="306"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6"/>
    <w:bookmarkEnd w:id="307"/>
    <w:bookmarkStart w:id="320" w:name="X035343df090b4320fc94df62c99c12c4e54431b"/>
    <w:p>
      <w:pPr>
        <w:pStyle w:val="Heading3"/>
      </w:pPr>
      <w:r>
        <w:t xml:space="preserve">10.24 Capability Ontology and Three-Pillar Consulting GTM — From Agent Taxonomy to Enterprise Delivery</w:t>
      </w:r>
    </w:p>
    <w:bookmarkStart w:id="308"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8"/>
    <w:bookmarkStart w:id="309"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09"/>
    <w:bookmarkStart w:id="310"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0"/>
    <w:bookmarkStart w:id="311"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1"/>
    <w:bookmarkStart w:id="312"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2"/>
    <w:bookmarkStart w:id="313"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3"/>
    <w:bookmarkStart w:id="319"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4">
        <w:r>
          <w:rPr>
            <w:rStyle w:val="Hyperlink"/>
          </w:rPr>
          <w:t xml:space="preserve">Finnish Version</w:t>
        </w:r>
      </w:hyperlink>
    </w:p>
    <w:p>
      <w:pPr>
        <w:numPr>
          <w:ilvl w:val="0"/>
          <w:numId w:val="1115"/>
        </w:numPr>
        <w:pStyle w:val="Compact"/>
      </w:pPr>
      <w:hyperlink r:id="rId315">
        <w:r>
          <w:rPr>
            <w:rStyle w:val="Hyperlink"/>
          </w:rPr>
          <w:t xml:space="preserve">Agent Signal Instructions</w:t>
        </w:r>
      </w:hyperlink>
    </w:p>
    <w:p>
      <w:pPr>
        <w:numPr>
          <w:ilvl w:val="0"/>
          <w:numId w:val="1115"/>
        </w:numPr>
        <w:pStyle w:val="Compact"/>
      </w:pPr>
      <w:hyperlink r:id="rId316">
        <w:r>
          <w:rPr>
            <w:rStyle w:val="Hyperlink"/>
          </w:rPr>
          <w:t xml:space="preserve">AgentFoundry Architecture</w:t>
        </w:r>
      </w:hyperlink>
    </w:p>
    <w:p>
      <w:pPr>
        <w:numPr>
          <w:ilvl w:val="0"/>
          <w:numId w:val="1115"/>
        </w:numPr>
        <w:pStyle w:val="Compact"/>
      </w:pPr>
      <w:hyperlink r:id="rId317">
        <w:r>
          <w:rPr>
            <w:rStyle w:val="Hyperlink"/>
          </w:rPr>
          <w:t xml:space="preserve">LWM Training Manual</w:t>
        </w:r>
      </w:hyperlink>
    </w:p>
    <w:p>
      <w:pPr>
        <w:numPr>
          <w:ilvl w:val="0"/>
          <w:numId w:val="1115"/>
        </w:numPr>
        <w:pStyle w:val="Compact"/>
      </w:pPr>
      <w:hyperlink r:id="rId318">
        <w:r>
          <w:rPr>
            <w:rStyle w:val="Hyperlink"/>
          </w:rPr>
          <w:t xml:space="preserve">System Administrator Manual</w:t>
        </w:r>
      </w:hyperlink>
    </w:p>
    <w:bookmarkEnd w:id="319"/>
    <w:bookmarkEnd w:id="320"/>
    <w:bookmarkStart w:id="321"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p>
      <w:pPr>
        <w:pStyle w:val="BodyText"/>
      </w:pPr>
      <w:r>
        <w:rPr>
          <w:bCs/>
          <w:b/>
        </w:rPr>
        <w:t xml:space="preserve">Key Contributions:</w:t>
      </w:r>
    </w:p>
    <w:p>
      <w:pPr>
        <w:numPr>
          <w:ilvl w:val="0"/>
          <w:numId w:val="1117"/>
        </w:numPr>
        <w:pStyle w:val="Compact"/>
      </w:pPr>
      <w:r>
        <w:t xml:space="preserve">Lifetime Scope Signals Protocol — Novel multi-agent coordination framework</w:t>
      </w:r>
    </w:p>
    <w:p>
      <w:pPr>
        <w:numPr>
          <w:ilvl w:val="0"/>
          <w:numId w:val="1117"/>
        </w:numPr>
        <w:pStyle w:val="Compact"/>
      </w:pPr>
      <w:r>
        <w:t xml:space="preserve">Solution Factory Model — Replicable industrial AI platform blueprint</w:t>
      </w:r>
    </w:p>
    <w:p>
      <w:pPr>
        <w:numPr>
          <w:ilvl w:val="0"/>
          <w:numId w:val="1117"/>
        </w:numPr>
        <w:pStyle w:val="Compact"/>
      </w:pPr>
      <w:r>
        <w:t xml:space="preserve">AI-Assisted Development — Cursor Pro and Claude Code Max enabling rapid 15-week MVP</w:t>
      </w:r>
    </w:p>
    <w:p>
      <w:pPr>
        <w:numPr>
          <w:ilvl w:val="0"/>
          <w:numId w:val="1117"/>
        </w:numPr>
        <w:pStyle w:val="Compact"/>
      </w:pPr>
      <w:r>
        <w:t xml:space="preserve">Phased Deployment Framework — Building trust for AI in regulated industries</w:t>
      </w:r>
    </w:p>
    <w:p>
      <w:pPr>
        <w:numPr>
          <w:ilvl w:val="0"/>
          <w:numId w:val="1117"/>
        </w:numPr>
        <w:pStyle w:val="Compact"/>
      </w:pPr>
      <w:r>
        <w:t xml:space="preserve">DWS10.com E-Commerce Validation — Google Merchant Center + Revolut Business</w:t>
      </w:r>
    </w:p>
    <w:p>
      <w:pPr>
        <w:numPr>
          <w:ilvl w:val="0"/>
          <w:numId w:val="1117"/>
        </w:numPr>
        <w:pStyle w:val="Compact"/>
      </w:pPr>
      <w:r>
        <w:t xml:space="preserve">HIL Learning Pipeline — Daily human-AI feedback loop</w:t>
      </w:r>
    </w:p>
    <w:p>
      <w:pPr>
        <w:numPr>
          <w:ilvl w:val="0"/>
          <w:numId w:val="1117"/>
        </w:numPr>
        <w:pStyle w:val="Compact"/>
      </w:pPr>
      <w:r>
        <w:t xml:space="preserve">Automated PR Workflow — Dual-model AI review replacing manual code review</w:t>
      </w:r>
    </w:p>
    <w:p>
      <w:pPr>
        <w:numPr>
          <w:ilvl w:val="0"/>
          <w:numId w:val="1117"/>
        </w:numPr>
        <w:pStyle w:val="Compact"/>
      </w:pPr>
      <w:r>
        <w:t xml:space="preserve">DWS7 Agent Modernization — Agentic loops, tool use, MCP server, Build for Agents principle</w:t>
      </w:r>
    </w:p>
    <w:p>
      <w:pPr>
        <w:numPr>
          <w:ilvl w:val="0"/>
          <w:numId w:val="1117"/>
        </w:numPr>
        <w:pStyle w:val="Compact"/>
      </w:pPr>
      <w:r>
        <w:t xml:space="preserve">OpenSandbox Edge Integration — Stage 1.5 agent sandboxing on Acer Veriton GN100; EMPO² agent memory alignment (arXiv:2602.23008)</w:t>
      </w:r>
    </w:p>
    <w:p>
      <w:pPr>
        <w:numPr>
          <w:ilvl w:val="0"/>
          <w:numId w:val="1117"/>
        </w:numPr>
        <w:pStyle w:val="Compact"/>
      </w:pPr>
      <w:r>
        <w:t xml:space="preserve">CEO Automation Agent Suite — Captain Briefing, LinkedIn Scheduler, EU Regulation Monitor; validates Solution Factory replicability for revenue-critical workflows</w:t>
      </w:r>
    </w:p>
    <w:p>
      <w:pPr>
        <w:numPr>
          <w:ilvl w:val="0"/>
          <w:numId w:val="1117"/>
        </w:numPr>
        <w:pStyle w:val="Compact"/>
      </w:pPr>
      <w:r>
        <w:t xml:space="preserve">Multi-Partner AI Ecosystem — NVIDIA, Siemens, ABB, xAI, Mistral; multi-LLM router resolving EU AI Act sovereignty tension in practice</w:t>
      </w:r>
    </w:p>
    <w:p>
      <w:pPr>
        <w:numPr>
          <w:ilvl w:val="0"/>
          <w:numId w:val="1117"/>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7"/>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7"/>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7"/>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7"/>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7"/>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7"/>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7"/>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7"/>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7"/>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7"/>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7"/>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7"/>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7"/>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7"/>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7"/>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7"/>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7"/>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7"/>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7"/>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7"/>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7"/>
        </w:numPr>
        <w:pStyle w:val="Compact"/>
      </w:pPr>
      <w:r>
        <w:t xml:space="preserve">Four-Capital (4P) Architecture Mapping — Prompt, People, Plant, Perception mapped to DWS IQ 6 Brain-Memory-Body-Hands; GTM land-and-expand pattern from Perception Capital accumulation</w:t>
      </w:r>
    </w:p>
    <w:p>
      <w:pPr>
        <w:numPr>
          <w:ilvl w:val="0"/>
          <w:numId w:val="1117"/>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1"/>
    <w:bookmarkEnd w:id="322"/>
    <w:bookmarkStart w:id="357"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48"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23"/>
            </w:r>
            <w:r>
              <w:t xml:space="preserve">,</w:t>
            </w:r>
            <w:r>
              <w:t xml:space="preserve"> </w:t>
            </w:r>
            <w:r>
              <w:rPr>
                <w:rStyle w:val="FootnoteReference"/>
              </w:rPr>
              <w:footnoteReference w:id="324"/>
            </w:r>
            <w:r>
              <w:t xml:space="preserve">,</w:t>
            </w:r>
            <w:r>
              <w:t xml:space="preserve"> </w:t>
            </w:r>
            <w:r>
              <w:rPr>
                <w:rStyle w:val="FootnoteReference"/>
              </w:rPr>
              <w:footnoteReference w:id="325"/>
            </w:r>
            <w:r>
              <w:t xml:space="preserve">,</w:t>
            </w:r>
            <w:r>
              <w:t xml:space="preserve"> </w:t>
            </w:r>
            <w:r>
              <w:rPr>
                <w:rStyle w:val="FootnoteReference"/>
              </w:rPr>
              <w:footnoteReference w:id="327"/>
            </w:r>
            <w:r>
              <w:t xml:space="preserve">,</w:t>
            </w:r>
            <w:r>
              <w:t xml:space="preserve"> </w:t>
            </w:r>
            <w:r>
              <w:rPr>
                <w:rStyle w:val="FootnoteReference"/>
              </w:rPr>
              <w:footnoteReference w:id="328"/>
            </w:r>
            <w:r>
              <w:t xml:space="preserve">,</w:t>
            </w:r>
            <w:r>
              <w:t xml:space="preserve"> </w:t>
            </w:r>
            <w:r>
              <w:rPr>
                <w:rStyle w:val="FootnoteReference"/>
              </w:rPr>
              <w:footnoteReference w:id="329"/>
            </w:r>
            <w:r>
              <w:t xml:space="preserve">,</w:t>
            </w:r>
            <w:r>
              <w:t xml:space="preserve"> </w:t>
            </w:r>
            <w:r>
              <w:rPr>
                <w:rStyle w:val="FootnoteReference"/>
              </w:rPr>
              <w:footnoteReference w:id="330"/>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32"/>
            </w:r>
            <w:r>
              <w:t xml:space="preserve">,</w:t>
            </w:r>
            <w:r>
              <w:t xml:space="preserve"> </w:t>
            </w:r>
            <w:r>
              <w:rPr>
                <w:rStyle w:val="FootnoteReference"/>
              </w:rPr>
              <w:footnoteReference w:id="333"/>
            </w:r>
          </w:p>
        </w:tc>
      </w:tr>
      <w:tr>
        <w:tc>
          <w:tcPr/>
          <w:p>
            <w:pPr>
              <w:pStyle w:val="Compact"/>
              <w:jc w:val="left"/>
            </w:pPr>
            <w:r>
              <w:t xml:space="preserve">Pilot / case-study chapter (Outokumpu Tier-1)</w:t>
            </w:r>
          </w:p>
        </w:tc>
        <w:tc>
          <w:tcPr/>
          <w:p>
            <w:pPr>
              <w:pStyle w:val="Compact"/>
              <w:jc w:val="left"/>
            </w:pPr>
            <w:r>
              <w:rPr>
                <w:rStyle w:val="FootnoteReference"/>
              </w:rPr>
              <w:footnoteReference w:id="334"/>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35"/>
            </w:r>
          </w:p>
        </w:tc>
      </w:tr>
      <w:tr>
        <w:tc>
          <w:tcPr/>
          <w:p>
            <w:pPr>
              <w:pStyle w:val="Compact"/>
              <w:jc w:val="left"/>
            </w:pPr>
            <w:r>
              <w:t xml:space="preserve">Partnerships chapter (xAI etc.)</w:t>
            </w:r>
          </w:p>
        </w:tc>
        <w:tc>
          <w:tcPr/>
          <w:p>
            <w:pPr>
              <w:pStyle w:val="Compact"/>
              <w:jc w:val="left"/>
            </w:pPr>
            <w:r>
              <w:rPr>
                <w:rStyle w:val="FootnoteReference"/>
              </w:rPr>
              <w:footnoteReference w:id="336"/>
            </w:r>
            <w:r>
              <w:t xml:space="preserve">,</w:t>
            </w:r>
            <w:r>
              <w:t xml:space="preserve"> </w:t>
            </w:r>
            <w:r>
              <w:rPr>
                <w:rStyle w:val="FootnoteReference"/>
              </w:rPr>
              <w:footnoteReference w:id="337"/>
            </w:r>
          </w:p>
        </w:tc>
      </w:tr>
      <w:tr>
        <w:tc>
          <w:tcPr/>
          <w:p>
            <w:pPr>
              <w:pStyle w:val="Compact"/>
              <w:jc w:val="left"/>
            </w:pPr>
            <w:r>
              <w:t xml:space="preserve">Quantum / cryptography chapter</w:t>
            </w:r>
          </w:p>
        </w:tc>
        <w:tc>
          <w:tcPr/>
          <w:p>
            <w:pPr>
              <w:pStyle w:val="Compact"/>
              <w:jc w:val="left"/>
            </w:pP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1"/>
            </w:r>
            <w:r>
              <w:t xml:space="preserve">,</w:t>
            </w:r>
            <w:r>
              <w:t xml:space="preserve"> </w:t>
            </w:r>
            <w:r>
              <w:rPr>
                <w:rStyle w:val="FootnoteReference"/>
              </w:rPr>
              <w:footnoteReference w:id="343"/>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45"/>
            </w:r>
            <w:r>
              <w:t xml:space="preserve">,</w:t>
            </w:r>
            <w:r>
              <w:t xml:space="preserve"> </w:t>
            </w:r>
            <w:r>
              <w:rPr>
                <w:rStyle w:val="FootnoteReference"/>
              </w:rPr>
              <w:footnoteReference w:id="346"/>
            </w:r>
            <w:r>
              <w:t xml:space="preserve">,</w:t>
            </w:r>
            <w:r>
              <w:t xml:space="preserve"> </w:t>
            </w:r>
            <w:r>
              <w:rPr>
                <w:rStyle w:val="FootnoteReference"/>
              </w:rPr>
              <w:footnoteReference w:id="347"/>
            </w:r>
          </w:p>
        </w:tc>
      </w:tr>
    </w:tbl>
    <w:bookmarkEnd w:id="348"/>
    <w:bookmarkStart w:id="349" w:name="footnote-bibliography"/>
    <w:p>
      <w:pPr>
        <w:pStyle w:val="Heading3"/>
      </w:pPr>
      <w:r>
        <w:t xml:space="preserve">Footnote bibliography</w:t>
      </w:r>
    </w:p>
    <w:bookmarkEnd w:id="349"/>
    <w:bookmarkStart w:id="356" w:name="Xbb829561309baa2ae1ac17cca571f56b8a58cc9"/>
    <w:p>
      <w:pPr>
        <w:pStyle w:val="Heading3"/>
      </w:pPr>
      <w:r>
        <w:t xml:space="preserve">10.25 Polyglot Observability in Production: Aspire Dashboard Adoption and the Silent-Telemetry Incident</w:t>
      </w:r>
    </w:p>
    <w:bookmarkStart w:id="350"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50"/>
    <w:bookmarkStart w:id="351"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8"/>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8"/>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8"/>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8"/>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51"/>
    <w:bookmarkStart w:id="352"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52"/>
    <w:bookmarkStart w:id="353" w:name="engineering-lessons"/>
    <w:p>
      <w:pPr>
        <w:pStyle w:val="Heading4"/>
      </w:pPr>
      <w:r>
        <w:t xml:space="preserve">10.25.4 Engineering Lessons</w:t>
      </w:r>
    </w:p>
    <w:p>
      <w:pPr>
        <w:numPr>
          <w:ilvl w:val="0"/>
          <w:numId w:val="1119"/>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19"/>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19"/>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53"/>
    <w:bookmarkStart w:id="354"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54"/>
    <w:bookmarkStart w:id="355"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55"/>
    <w:bookmarkEnd w:id="356"/>
    <w:bookmarkEnd w:id="357"/>
    <w:bookmarkEnd w:id="3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3">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24">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25">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26">
        <w:r>
          <w:rPr>
            <w:rStyle w:val="Hyperlink"/>
          </w:rPr>
          <w:t xml:space="preserve">https://onelifetime.world/posts/sovereignty-field-note-2-three-pillars.html</w:t>
        </w:r>
      </w:hyperlink>
      <w:r>
        <w:t xml:space="preserve">. Dated 28 May 2026.</w:t>
      </w:r>
    </w:p>
  </w:footnote>
  <w:footnote w:id="327">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28">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29">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30">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31">
        <w:r>
          <w:rPr>
            <w:rStyle w:val="Hyperlink"/>
          </w:rPr>
          <w:t xml:space="preserve">https://www.rightful.fi/</w:t>
        </w:r>
      </w:hyperlink>
      <w:r>
        <w:t xml:space="preserve">. Five-stage methodology: Identify → Assess → Plan → Implement → Monitor. Accessed 28 May 2026.</w:t>
      </w:r>
    </w:p>
  </w:footnote>
  <w:footnote w:id="332">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3">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34">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35">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36">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37">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38">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31">
        <w:r>
          <w:rPr>
            <w:rStyle w:val="Hyperlink"/>
          </w:rPr>
          <w:t xml:space="preserve">https://www.rightful.fi/</w:t>
        </w:r>
      </w:hyperlink>
      <w:r>
        <w:t xml:space="preserve">. Five-stage methodology: Identify → Assess → Plan → Implement → Monitor. Accessed 28 May 2026.</w:t>
      </w:r>
    </w:p>
  </w:footnote>
  <w:footnote w:id="339">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40">
        <w:r>
          <w:rPr>
            <w:rStyle w:val="Hyperlink"/>
          </w:rPr>
          <w:t xml:space="preserve">https://csrc.nist.gov/pubs/fips/203/final</w:t>
        </w:r>
      </w:hyperlink>
      <w:r>
        <w:t xml:space="preserve">.</w:t>
      </w:r>
    </w:p>
  </w:footnote>
  <w:footnote w:id="341">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2">
        <w:r>
          <w:rPr>
            <w:rStyle w:val="Hyperlink"/>
          </w:rPr>
          <w:t xml:space="preserve">https://csrc.nist.gov/pubs/fips/204/final</w:t>
        </w:r>
      </w:hyperlink>
      <w:r>
        <w:t xml:space="preserve">.</w:t>
      </w:r>
    </w:p>
  </w:footnote>
  <w:footnote w:id="34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4">
        <w:r>
          <w:rPr>
            <w:rStyle w:val="Hyperlink"/>
          </w:rPr>
          <w:t xml:space="preserve">https://csrc.nist.gov/pubs/fips/205/final</w:t>
        </w:r>
      </w:hyperlink>
      <w:r>
        <w:t xml:space="preserve">.</w:t>
      </w:r>
    </w:p>
  </w:footnote>
  <w:footnote w:id="345">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46">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47">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5" Target="../../../.workflows/agents/AGENT_SIGNAL_INSTRUCTIONS.md" TargetMode="External" /><Relationship Type="http://schemas.openxmlformats.org/officeDocument/2006/relationships/hyperlink" Id="rId318" Target="../../../Admin/ADMIN_MANUAL.md" TargetMode="External" /><Relationship Type="http://schemas.openxmlformats.org/officeDocument/2006/relationships/hyperlink" Id="rId316" Target="../../../AgentFoundry/AGENT_FOUNDRY_ARCHITECTURE_STANDARD.md" TargetMode="External" /><Relationship Type="http://schemas.openxmlformats.org/officeDocument/2006/relationships/hyperlink" Id="rId317" Target="../../../product-catalog/LWM/training-manual.md" TargetMode="External" /><Relationship Type="http://schemas.openxmlformats.org/officeDocument/2006/relationships/hyperlink" Id="rId314" Target="../fi/V3Thesis_FI.md" TargetMode="External" /><Relationship Type="http://schemas.openxmlformats.org/officeDocument/2006/relationships/hyperlink" Id="rId340" Target="https://csrc.nist.gov/pubs/fips/203/final" TargetMode="External" /><Relationship Type="http://schemas.openxmlformats.org/officeDocument/2006/relationships/hyperlink" Id="rId342" Target="https://csrc.nist.gov/pubs/fips/204/final" TargetMode="External" /><Relationship Type="http://schemas.openxmlformats.org/officeDocument/2006/relationships/hyperlink" Id="rId344"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6" Target="https://onelifetime.world/posts/sovereignty-field-note-2-three-pillars.html" TargetMode="External" /><Relationship Type="http://schemas.openxmlformats.org/officeDocument/2006/relationships/hyperlink" Id="rId331"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5" Target="../../../.workflows/agents/AGENT_SIGNAL_INSTRUCTIONS.md" TargetMode="External" /><Relationship Type="http://schemas.openxmlformats.org/officeDocument/2006/relationships/hyperlink" Id="rId318" Target="../../../Admin/ADMIN_MANUAL.md" TargetMode="External" /><Relationship Type="http://schemas.openxmlformats.org/officeDocument/2006/relationships/hyperlink" Id="rId316" Target="../../../AgentFoundry/AGENT_FOUNDRY_ARCHITECTURE_STANDARD.md" TargetMode="External" /><Relationship Type="http://schemas.openxmlformats.org/officeDocument/2006/relationships/hyperlink" Id="rId317" Target="../../../product-catalog/LWM/training-manual.md" TargetMode="External" /><Relationship Type="http://schemas.openxmlformats.org/officeDocument/2006/relationships/hyperlink" Id="rId314" Target="../fi/V3Thesis_FI.md" TargetMode="External" /><Relationship Type="http://schemas.openxmlformats.org/officeDocument/2006/relationships/hyperlink" Id="rId340" Target="https://csrc.nist.gov/pubs/fips/203/final" TargetMode="External" /><Relationship Type="http://schemas.openxmlformats.org/officeDocument/2006/relationships/hyperlink" Id="rId342" Target="https://csrc.nist.gov/pubs/fips/204/final" TargetMode="External" /><Relationship Type="http://schemas.openxmlformats.org/officeDocument/2006/relationships/hyperlink" Id="rId344"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6" Target="https://onelifetime.world/posts/sovereignty-field-note-2-three-pillars.html" TargetMode="External" /><Relationship Type="http://schemas.openxmlformats.org/officeDocument/2006/relationships/hyperlink" Id="rId331"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2026-07-25T04:23:35Z</dcterms:created>
  <dcterms:modified xsi:type="dcterms:W3CDTF">2026-07-25T04:23:35Z</dcterms:modified>
</cp:coreProperties>
</file>

<file path=docProps/custom.xml><?xml version="1.0" encoding="utf-8"?>
<Properties xmlns="http://schemas.openxmlformats.org/officeDocument/2006/custom-properties" xmlns:vt="http://schemas.openxmlformats.org/officeDocument/2006/docPropsVTypes"/>
</file>