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Konsultin käsikirja 2026</w:t>
      </w:r>
    </w:p>
    <w:p>
      <w:pPr>
        <w:pStyle w:val="Title"/>
        <w:jc w:val="center"/>
      </w:pPr>
      <w:r>
        <w:t>Consultant Handbook 2026</w:t>
      </w:r>
    </w:p>
    <w:p>
      <w:pPr>
        <w:pStyle w:val="Heading1"/>
      </w:pPr>
      <w:r>
        <w:t>Sisällysluettelo / Table of Contents</w:t>
      </w:r>
    </w:p>
    <w:p>
      <w:pPr>
        <w:pStyle w:val="ListNumber"/>
      </w:pPr>
      <w:r>
        <w:t>[Yrityksestämme / About Us](#1-yrityksestämme)</w:t>
      </w:r>
    </w:p>
    <w:p>
      <w:pPr>
        <w:pStyle w:val="ListNumber"/>
      </w:pPr>
      <w:r>
        <w:t>[Missio, arvot, tarkoitus / Mission, Values, Purpose](#2-missio-arvot-tarkoitus)</w:t>
      </w:r>
    </w:p>
    <w:p>
      <w:pPr>
        <w:pStyle w:val="ListNumber"/>
      </w:pPr>
      <w:r>
        <w:t>[Tuotteemme / Our Products](#3-tuotteemme)</w:t>
      </w:r>
    </w:p>
    <w:p>
      <w:pPr>
        <w:pStyle w:val="ListNumber"/>
      </w:pPr>
      <w:r>
        <w:t>[Toimialat / Industries](#4-toimialat)</w:t>
      </w:r>
    </w:p>
    <w:p>
      <w:pPr>
        <w:pStyle w:val="ListNumber"/>
      </w:pPr>
      <w:r>
        <w:t>[Konsultin rooli 2026 / The Consultant's Role in 2026](#5-konsultin-rooli-2026)</w:t>
      </w:r>
    </w:p>
    <w:p>
      <w:pPr>
        <w:pStyle w:val="ListNumber"/>
      </w:pPr>
      <w:r>
        <w:t>[Työsuhteen aloittaminen / Starting Employment](#6-työsuhteen-aloittaminen)</w:t>
      </w:r>
    </w:p>
    <w:p>
      <w:pPr>
        <w:pStyle w:val="ListNumber"/>
      </w:pPr>
      <w:r>
        <w:t>[Strategiaprosessi / Strategy Process](#7-strategiaprosessi)</w:t>
      </w:r>
    </w:p>
    <w:p>
      <w:pPr>
        <w:pStyle w:val="ListNumber"/>
      </w:pPr>
      <w:r>
        <w:t>[Myynti ja asiakastyö / Sales and Customer Work](#8-myynti-ja-asiakastyö)</w:t>
      </w:r>
    </w:p>
    <w:p>
      <w:pPr>
        <w:pStyle w:val="ListNumber"/>
      </w:pPr>
      <w:r>
        <w:t>[Asiakkuuden elinkaari / Customer Lifecycle](#9-asiakkuuden-elinkaari)</w:t>
      </w:r>
    </w:p>
    <w:p>
      <w:pPr>
        <w:pStyle w:val="ListNumber"/>
      </w:pPr>
      <w:r>
        <w:t>[Teknologiakartta / Technology Map](#10-teknologiakartta)</w:t>
      </w:r>
    </w:p>
    <w:p>
      <w:pPr>
        <w:pStyle w:val="ListNumber"/>
      </w:pPr>
      <w:r>
        <w:t>[EU-sääntelyympäristö / EU Regulatory Environment](#11-eu-sääntelyympäristö)</w:t>
      </w:r>
    </w:p>
    <w:p>
      <w:pPr>
        <w:pStyle w:val="ListNumber"/>
      </w:pPr>
      <w:r>
        <w:t>[Tietosuoja ja tietoturva / Data Protection and Security](#12-tietosuoja-ja-tietoturva)</w:t>
      </w:r>
    </w:p>
    <w:p>
      <w:pPr>
        <w:pStyle w:val="ListNumber"/>
      </w:pPr>
      <w:r>
        <w:t>[Työajan hallinta / Time Management](#13-työajan-hallinta)</w:t>
      </w:r>
    </w:p>
    <w:p>
      <w:pPr>
        <w:pStyle w:val="ListNumber"/>
      </w:pPr>
      <w:r>
        <w:t>[Kumppanit / Partners](#14-kumppanit)</w:t>
      </w:r>
    </w:p>
    <w:p>
      <w:pPr>
        <w:pStyle w:val="ListNumber"/>
      </w:pPr>
      <w:r>
        <w:t>[Liitteet / Appendices](#15-liitteet)</w:t>
      </w:r>
    </w:p>
    <w:p>
      <w:pPr>
        <w:pStyle w:val="Heading1"/>
      </w:pPr>
      <w:r>
        <w:t>Alkusanat</w:t>
      </w:r>
    </w:p>
    <w:p>
      <w:r>
        <w:t>Uusien konsulttien perehdyttäminen Lifetime Oy:n noudattamaan Sovereign Compliance Intelligence -liiketoimintatapaan ja konsulttien päivittäisjohtamisen ja tekemisen toimintatapaan vaatii ammattimaista perehdytystä. Tämä konsultin käsikirja vastaa tärkeimpiin konsultin roolissa toimivien asiantuntijoiden työhaasteisiin käytännönläheisesti ja kiinnostavasti.</w:t>
      </w:r>
    </w:p>
    <w:p>
      <w:r>
        <w:t>Tavoitteena on luoda onnistunut ja hyvä työntekijäkokemus aina rekrytoinnista ja työsuhteen aloittamisesta työsuhteen päättämiseen ja seuraaviin askeliin asti.</w:t>
      </w:r>
    </w:p>
    <w:p>
      <w:r>
        <w:t>Tavoitteena konsultin käsikirjalle on, että uusille konsulteillemme kertyy heti toimintatavastamme konkreettinen käsitys jotta he pääsevät nopeasti ammattimaiselle tasolle ja kiinni rahaa tuottaviin asiakastoimeksiantoihin.</w:t>
      </w:r>
    </w:p>
    <w:p>
      <w:r>
        <w:t>Käsikirja toimii apuna arjessa antaen toimintaohjeet mm.</w:t>
      </w:r>
    </w:p>
    <w:p>
      <w:pPr>
        <w:pStyle w:val="ListBullet"/>
      </w:pPr>
      <w:r>
        <w:t>uusien asiakkuuksien hankintaan,</w:t>
      </w:r>
    </w:p>
    <w:p>
      <w:pPr>
        <w:pStyle w:val="ListBullet"/>
      </w:pPr>
      <w:r>
        <w:t>tarjous- sekä kilpailutusvaiheen töihin,</w:t>
      </w:r>
    </w:p>
    <w:p>
      <w:pPr>
        <w:pStyle w:val="ListBullet"/>
      </w:pPr>
      <w:r>
        <w:t>hankkeiden ja projektien rooleissa toimimiseen,</w:t>
      </w:r>
    </w:p>
    <w:p>
      <w:pPr>
        <w:pStyle w:val="ListBullet"/>
      </w:pPr>
      <w:r>
        <w:t>konsultin työaika- ja raportointikäytäntöihin,</w:t>
      </w:r>
    </w:p>
    <w:p>
      <w:pPr>
        <w:pStyle w:val="ListBullet"/>
      </w:pPr>
      <w:r>
        <w:t>tietosuoja- sekä tietoturva-asioiden hoitokäytäntöihin,</w:t>
      </w:r>
    </w:p>
    <w:p>
      <w:pPr>
        <w:pStyle w:val="ListBullet"/>
      </w:pPr>
      <w:r>
        <w:t>GDPR Compliance -asioihin,</w:t>
      </w:r>
    </w:p>
    <w:p>
      <w:pPr>
        <w:pStyle w:val="ListBullet"/>
      </w:pPr>
      <w:r>
        <w:t>työsuhteen aloittaminen, sopimukset, tuntikirjaukset.</w:t>
      </w:r>
    </w:p>
    <w:p>
      <w:r>
        <w:t>Tämän konsultin käsikirjan on laatinut Risto Anton Paarni, toimitusjohtaja, Lifetime Oy. Teosta päivitetään liiketoiminnan kehittyessä. Se on saatavilla verkkokaupastamme hintaan 29,95 eur.</w:t>
      </w:r>
    </w:p>
    <w:p>
      <w:pPr>
        <w:pStyle w:val="Quote"/>
        <w:ind w:left="720"/>
      </w:pPr>
      <w:r>
        <w:rPr>
          <w:i/>
          <w:color w:val="444444"/>
          <w:sz w:val="20"/>
        </w:rPr>
        <w:t>The Best, Premium level Interface for Customer interaction is human-to-human. Therefore to meet corporate customers' demand for the best customer experience, we offer sovereign AI that augments — never replaces — the human consultant.</w:t>
      </w:r>
    </w:p>
    <w:p>
      <w:pPr>
        <w:pStyle w:val="Heading1"/>
      </w:pPr>
      <w:r>
        <w:t>1. Yrityksestämme</w:t>
      </w:r>
    </w:p>
    <w:p>
      <w:pPr>
        <w:pStyle w:val="Heading2"/>
      </w:pPr>
      <w:r>
        <w:t>Lifetime Oy — Sovereign AI for European Industry</w:t>
      </w:r>
    </w:p>
    <w:p>
      <w:r>
        <w:t>Y-tunnus: 0772407-9</w:t>
      </w:r>
    </w:p>
    <w:p>
      <w:r>
        <w:t>ALV-tunnus: FI07724079</w:t>
      </w:r>
    </w:p>
    <w:p>
      <w:r>
        <w:t>Osoite: Laidunmaanraitti 2 A 25, 02330 Espoo</w:t>
      </w:r>
    </w:p>
    <w:p>
      <w:r>
        <w:t>Toimitusjohtaja: Risto Anton Paarni</w:t>
      </w:r>
    </w:p>
    <w:p>
      <w:r>
        <w:t>Sähköposti: risto.paarni@lifetime.fi</w:t>
      </w:r>
    </w:p>
    <w:p>
      <w:r>
        <w:t>Verkkosivut: dws10.com | dws6.com | onelifetime.world | lifetime.fi</w:t>
      </w:r>
    </w:p>
    <w:p>
      <w:pPr>
        <w:pStyle w:val="Heading2"/>
      </w:pPr>
      <w:r>
        <w:t>Keitä olemme</w:t>
      </w:r>
    </w:p>
    <w:p>
      <w:r>
        <w:t>Lifetime Oy on espoolainen teknologiayritys, joka kehittää ja toimittaa DWS IQ -alustaa — Euroopan teollisuuden compliance-kirjanpitojärjestelmää. Tuotamme suvereenia tekoälyä, joka automatisoi EU-säännösten noudattamisen 25 säännellyllä toimialalla.</w:t>
      </w:r>
    </w:p>
    <w:p>
      <w:r>
        <w:t>Olemme siirtyneet yleisestä IT-konsultoinnista (2019-2024) kohdennettuun AI-alustatuotteeseen (2025-2026). Konsultointi on yhä osa tarjontaamme, mutta se palvelee alustatuotteen käyttöönottoa — ei enää itsenäisenä liiketoimintana.</w:t>
      </w:r>
    </w:p>
    <w:p>
      <w:pPr>
        <w:pStyle w:val="Heading2"/>
      </w:pPr>
      <w:r>
        <w:t>Avainluvut (Q2 2026)</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Mittari</w:t>
            </w:r>
          </w:p>
        </w:tc>
        <w:tc>
          <w:tcPr>
            <w:tcW w:type="dxa" w:w="4320"/>
          </w:tcPr>
          <w:p>
            <w:r>
              <w:rPr>
                <w:b/>
                <w:sz w:val="18"/>
              </w:rPr>
              <w:t>Luku</w:t>
            </w:r>
          </w:p>
        </w:tc>
      </w:tr>
      <w:tr>
        <w:tc>
          <w:tcPr>
            <w:tcW w:type="dxa" w:w="4320"/>
          </w:tcPr>
          <w:p>
            <w:r>
              <w:rPr>
                <w:sz w:val="18"/>
              </w:rPr>
              <w:t>Tuotantoagentit</w:t>
            </w:r>
          </w:p>
        </w:tc>
        <w:tc>
          <w:tcPr>
            <w:tcW w:type="dxa" w:w="4320"/>
          </w:tcPr>
          <w:p>
            <w:r>
              <w:rPr>
                <w:sz w:val="18"/>
              </w:rPr>
              <w:t>50</w:t>
            </w:r>
          </w:p>
        </w:tc>
      </w:tr>
      <w:tr>
        <w:tc>
          <w:tcPr>
            <w:tcW w:type="dxa" w:w="4320"/>
          </w:tcPr>
          <w:p>
            <w:r>
              <w:rPr>
                <w:sz w:val="18"/>
              </w:rPr>
              <w:t>EU-säännösten asiakirjat indeksoituna</w:t>
            </w:r>
          </w:p>
        </w:tc>
        <w:tc>
          <w:tcPr>
            <w:tcW w:type="dxa" w:w="4320"/>
          </w:tcPr>
          <w:p>
            <w:r>
              <w:rPr>
                <w:sz w:val="18"/>
              </w:rPr>
              <w:t>15 000+</w:t>
            </w:r>
          </w:p>
        </w:tc>
      </w:tr>
      <w:tr>
        <w:tc>
          <w:tcPr>
            <w:tcW w:type="dxa" w:w="4320"/>
          </w:tcPr>
          <w:p>
            <w:r>
              <w:rPr>
                <w:sz w:val="18"/>
              </w:rPr>
              <w:t>Toimialaontologiat</w:t>
            </w:r>
          </w:p>
        </w:tc>
        <w:tc>
          <w:tcPr>
            <w:tcW w:type="dxa" w:w="4320"/>
          </w:tcPr>
          <w:p>
            <w:r>
              <w:rPr>
                <w:sz w:val="18"/>
              </w:rPr>
              <w:t>20 (21 kaksikäytön kanssa)</w:t>
            </w:r>
          </w:p>
        </w:tc>
      </w:tr>
      <w:tr>
        <w:tc>
          <w:tcPr>
            <w:tcW w:type="dxa" w:w="4320"/>
          </w:tcPr>
          <w:p>
            <w:r>
              <w:rPr>
                <w:sz w:val="18"/>
              </w:rPr>
              <w:t>Maksavat asiakkaat</w:t>
            </w:r>
          </w:p>
        </w:tc>
        <w:tc>
          <w:tcPr>
            <w:tcW w:type="dxa" w:w="4320"/>
          </w:tcPr>
          <w:p>
            <w:r>
              <w:rPr>
                <w:sz w:val="18"/>
              </w:rPr>
              <w:t>6</w:t>
            </w:r>
          </w:p>
        </w:tc>
      </w:tr>
      <w:tr>
        <w:tc>
          <w:tcPr>
            <w:tcW w:type="dxa" w:w="4320"/>
          </w:tcPr>
          <w:p>
            <w:r>
              <w:rPr>
                <w:sz w:val="18"/>
              </w:rPr>
              <w:t>Asiakaspysyvyys</w:t>
            </w:r>
          </w:p>
        </w:tc>
        <w:tc>
          <w:tcPr>
            <w:tcW w:type="dxa" w:w="4320"/>
          </w:tcPr>
          <w:p>
            <w:r>
              <w:rPr>
                <w:sz w:val="18"/>
              </w:rPr>
              <w:t>100% (nolla churn)</w:t>
            </w:r>
          </w:p>
        </w:tc>
      </w:tr>
      <w:tr>
        <w:tc>
          <w:tcPr>
            <w:tcW w:type="dxa" w:w="4320"/>
          </w:tcPr>
          <w:p>
            <w:r>
              <w:rPr>
                <w:sz w:val="18"/>
              </w:rPr>
              <w:t>MRR</w:t>
            </w:r>
          </w:p>
        </w:tc>
        <w:tc>
          <w:tcPr>
            <w:tcW w:type="dxa" w:w="4320"/>
          </w:tcPr>
          <w:p>
            <w:r>
              <w:rPr>
                <w:sz w:val="18"/>
              </w:rPr>
              <w:t>€7 000-14 000</w:t>
            </w:r>
          </w:p>
        </w:tc>
      </w:tr>
      <w:tr>
        <w:tc>
          <w:tcPr>
            <w:tcW w:type="dxa" w:w="4320"/>
          </w:tcPr>
          <w:p>
            <w:r>
              <w:rPr>
                <w:sz w:val="18"/>
              </w:rPr>
              <w:t>Platform-versiot</w:t>
            </w:r>
          </w:p>
        </w:tc>
        <w:tc>
          <w:tcPr>
            <w:tcW w:type="dxa" w:w="4320"/>
          </w:tcPr>
          <w:p>
            <w:r>
              <w:rPr>
                <w:sz w:val="18"/>
              </w:rPr>
              <w:t>6 (V1-V6)</w:t>
            </w:r>
          </w:p>
        </w:tc>
      </w:tr>
      <w:tr>
        <w:tc>
          <w:tcPr>
            <w:tcW w:type="dxa" w:w="4320"/>
          </w:tcPr>
          <w:p>
            <w:r>
              <w:rPr>
                <w:sz w:val="18"/>
              </w:rPr>
              <w:t>EU AI Act Article 12</w:t>
            </w:r>
          </w:p>
        </w:tc>
        <w:tc>
          <w:tcPr>
            <w:tcW w:type="dxa" w:w="4320"/>
          </w:tcPr>
          <w:p>
            <w:r>
              <w:rPr>
                <w:sz w:val="18"/>
              </w:rPr>
              <w:t>Tuotannossa maaliskuusta 2026</w:t>
            </w:r>
          </w:p>
        </w:tc>
      </w:tr>
    </w:tbl>
    <w:p>
      <w:pPr>
        <w:pStyle w:val="Heading2"/>
      </w:pPr>
      <w:r>
        <w:t>Henkilöstö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Rooli</w:t>
            </w:r>
          </w:p>
        </w:tc>
        <w:tc>
          <w:tcPr>
            <w:tcW w:type="dxa" w:w="2880"/>
          </w:tcPr>
          <w:p>
            <w:r>
              <w:rPr>
                <w:b/>
                <w:sz w:val="18"/>
              </w:rPr>
              <w:t>Henkilö</w:t>
            </w:r>
          </w:p>
        </w:tc>
        <w:tc>
          <w:tcPr>
            <w:tcW w:type="dxa" w:w="2880"/>
          </w:tcPr>
          <w:p>
            <w:r>
              <w:rPr>
                <w:b/>
                <w:sz w:val="18"/>
              </w:rPr>
              <w:t>Vastuualue</w:t>
            </w:r>
          </w:p>
        </w:tc>
      </w:tr>
      <w:tr>
        <w:tc>
          <w:tcPr>
            <w:tcW w:type="dxa" w:w="2880"/>
          </w:tcPr>
          <w:p>
            <w:r>
              <w:rPr>
                <w:sz w:val="18"/>
              </w:rPr>
              <w:t>CEO, pääarkkitehti</w:t>
            </w:r>
          </w:p>
        </w:tc>
        <w:tc>
          <w:tcPr>
            <w:tcW w:type="dxa" w:w="2880"/>
          </w:tcPr>
          <w:p>
            <w:r>
              <w:rPr>
                <w:sz w:val="18"/>
              </w:rPr>
              <w:t>Risto Anton Paarni</w:t>
            </w:r>
          </w:p>
        </w:tc>
        <w:tc>
          <w:tcPr>
            <w:tcW w:type="dxa" w:w="2880"/>
          </w:tcPr>
          <w:p>
            <w:r>
              <w:rPr>
                <w:sz w:val="18"/>
              </w:rPr>
              <w:t>Strategia, tuotekehitys, avainasiakasmyynti, päivittäinen koodaus</w:t>
            </w:r>
          </w:p>
        </w:tc>
      </w:tr>
      <w:tr>
        <w:tc>
          <w:tcPr>
            <w:tcW w:type="dxa" w:w="2880"/>
          </w:tcPr>
          <w:p>
            <w:r>
              <w:rPr>
                <w:sz w:val="18"/>
              </w:rPr>
              <w:t>Freelance CTO</w:t>
            </w:r>
          </w:p>
        </w:tc>
        <w:tc>
          <w:tcPr>
            <w:tcW w:type="dxa" w:w="2880"/>
          </w:tcPr>
          <w:p>
            <w:r>
              <w:rPr>
                <w:sz w:val="18"/>
              </w:rPr>
              <w:t>Sopimuksella</w:t>
            </w:r>
          </w:p>
        </w:tc>
        <w:tc>
          <w:tcPr>
            <w:tcW w:type="dxa" w:w="2880"/>
          </w:tcPr>
          <w:p>
            <w:r>
              <w:rPr>
                <w:sz w:val="18"/>
              </w:rPr>
              <w:t>Teknologia-arkkitehtuuri, infrastruktuuri</w:t>
            </w:r>
          </w:p>
        </w:tc>
      </w:tr>
      <w:tr>
        <w:tc>
          <w:tcPr>
            <w:tcW w:type="dxa" w:w="2880"/>
          </w:tcPr>
          <w:p>
            <w:r>
              <w:rPr>
                <w:sz w:val="18"/>
              </w:rPr>
              <w:t>Alihankkijaverkosto</w:t>
            </w:r>
          </w:p>
        </w:tc>
        <w:tc>
          <w:tcPr>
            <w:tcW w:type="dxa" w:w="2880"/>
          </w:tcPr>
          <w:p>
            <w:r>
              <w:rPr>
                <w:sz w:val="18"/>
              </w:rPr>
              <w:t>Konsortio (9series, Cubet ym.)</w:t>
            </w:r>
          </w:p>
        </w:tc>
        <w:tc>
          <w:tcPr>
            <w:tcW w:type="dxa" w:w="2880"/>
          </w:tcPr>
          <w:p>
            <w:r>
              <w:rPr>
                <w:sz w:val="18"/>
              </w:rPr>
              <w:t>Projektitoimitus, erikoisosaaminen</w:t>
            </w:r>
          </w:p>
        </w:tc>
      </w:tr>
    </w:tbl>
    <w:p>
      <w:pPr>
        <w:pStyle w:val="Heading2"/>
      </w:pPr>
      <w:r>
        <w:t>Yrityksen kehityskaari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Ajanjakso</w:t>
            </w:r>
          </w:p>
        </w:tc>
        <w:tc>
          <w:tcPr>
            <w:tcW w:type="dxa" w:w="2880"/>
          </w:tcPr>
          <w:p>
            <w:r>
              <w:rPr>
                <w:b/>
                <w:sz w:val="18"/>
              </w:rPr>
              <w:t>Vaihe</w:t>
            </w:r>
          </w:p>
        </w:tc>
        <w:tc>
          <w:tcPr>
            <w:tcW w:type="dxa" w:w="2880"/>
          </w:tcPr>
          <w:p>
            <w:r>
              <w:rPr>
                <w:b/>
                <w:sz w:val="18"/>
              </w:rPr>
              <w:t>Liiketoimintamalli</w:t>
            </w:r>
          </w:p>
        </w:tc>
      </w:tr>
      <w:tr>
        <w:tc>
          <w:tcPr>
            <w:tcW w:type="dxa" w:w="2880"/>
          </w:tcPr>
          <w:p>
            <w:r>
              <w:rPr>
                <w:sz w:val="18"/>
              </w:rPr>
              <w:t>2019-2022</w:t>
            </w:r>
          </w:p>
        </w:tc>
        <w:tc>
          <w:tcPr>
            <w:tcW w:type="dxa" w:w="2880"/>
          </w:tcPr>
          <w:p>
            <w:r>
              <w:rPr>
                <w:sz w:val="18"/>
              </w:rPr>
              <w:t>IT-konsultointi</w:t>
            </w:r>
          </w:p>
        </w:tc>
        <w:tc>
          <w:tcPr>
            <w:tcW w:type="dxa" w:w="2880"/>
          </w:tcPr>
          <w:p>
            <w:r>
              <w:rPr>
                <w:sz w:val="18"/>
              </w:rPr>
              <w:t>Cloud Ready Teams, roolitettuja konsultointipalveluja, 72 roolia</w:t>
            </w:r>
          </w:p>
        </w:tc>
      </w:tr>
      <w:tr>
        <w:tc>
          <w:tcPr>
            <w:tcW w:type="dxa" w:w="2880"/>
          </w:tcPr>
          <w:p>
            <w:r>
              <w:rPr>
                <w:sz w:val="18"/>
              </w:rPr>
              <w:t>2023-2024</w:t>
            </w:r>
          </w:p>
        </w:tc>
        <w:tc>
          <w:tcPr>
            <w:tcW w:type="dxa" w:w="2880"/>
          </w:tcPr>
          <w:p>
            <w:r>
              <w:rPr>
                <w:sz w:val="18"/>
              </w:rPr>
              <w:t>Tuotteen rakentaminen</w:t>
            </w:r>
          </w:p>
        </w:tc>
        <w:tc>
          <w:tcPr>
            <w:tcW w:type="dxa" w:w="2880"/>
          </w:tcPr>
          <w:p>
            <w:r>
              <w:rPr>
                <w:sz w:val="18"/>
              </w:rPr>
              <w:t>DWS IQ V1-V4, ensimmäiset asiakkaat (Kela, Uber), alusta rakennetaan</w:t>
            </w:r>
          </w:p>
        </w:tc>
      </w:tr>
      <w:tr>
        <w:tc>
          <w:tcPr>
            <w:tcW w:type="dxa" w:w="2880"/>
          </w:tcPr>
          <w:p>
            <w:r>
              <w:rPr>
                <w:sz w:val="18"/>
              </w:rPr>
              <w:t>2025-2026</w:t>
            </w:r>
          </w:p>
        </w:tc>
        <w:tc>
          <w:tcPr>
            <w:tcW w:type="dxa" w:w="2880"/>
          </w:tcPr>
          <w:p>
            <w:r>
              <w:rPr>
                <w:sz w:val="18"/>
              </w:rPr>
              <w:t>Alustatuote</w:t>
            </w:r>
          </w:p>
        </w:tc>
        <w:tc>
          <w:tcPr>
            <w:tcW w:type="dxa" w:w="2880"/>
          </w:tcPr>
          <w:p>
            <w:r>
              <w:rPr>
                <w:sz w:val="18"/>
              </w:rPr>
              <w:t>DWS IQ V5-V6, 50 agenttia, 25 toimialaa, Climate IQ + Industrial IQ + Aegis</w:t>
            </w:r>
          </w:p>
        </w:tc>
      </w:tr>
      <w:tr>
        <w:tc>
          <w:tcPr>
            <w:tcW w:type="dxa" w:w="2880"/>
          </w:tcPr>
          <w:p>
            <w:r>
              <w:rPr>
                <w:sz w:val="18"/>
              </w:rPr>
              <w:t>2027+</w:t>
            </w:r>
          </w:p>
        </w:tc>
        <w:tc>
          <w:tcPr>
            <w:tcW w:type="dxa" w:w="2880"/>
          </w:tcPr>
          <w:p>
            <w:r>
              <w:rPr>
                <w:sz w:val="18"/>
              </w:rPr>
              <w:t>Skaalaus</w:t>
            </w:r>
          </w:p>
        </w:tc>
        <w:tc>
          <w:tcPr>
            <w:tcW w:type="dxa" w:w="2880"/>
          </w:tcPr>
          <w:p>
            <w:r>
              <w:rPr>
                <w:sz w:val="18"/>
              </w:rPr>
              <w:t>Pohjoismainen laajeneminen (Suomi + Ruotsi), Series A, €900K ARR tavoite</w:t>
            </w:r>
          </w:p>
        </w:tc>
      </w:tr>
    </w:tbl>
    <w:p>
      <w:pPr>
        <w:pStyle w:val="Heading1"/>
      </w:pPr>
      <w:r>
        <w:t>2. Missio, arvot, tarkoitus</w:t>
      </w:r>
    </w:p>
    <w:p>
      <w:pPr>
        <w:pStyle w:val="Heading2"/>
      </w:pPr>
      <w:r>
        <w:t>Missio</w:t>
      </w:r>
    </w:p>
    <w:p>
      <w:r>
        <w:t>Lifetime Oy:n missiona on olla mukana estämässä ilmastonmuutosta, eroosiota, sekä yhä pahenevaa kuivuutta. Automatisoimme eurooppalaisen teollisuuden compliance-taakan niin, että yritykset voivat keskittyä liiketoimintaansa sääntelyvelvoitteiden sijaan — turvallisesti, suvereenisti, EU-jurisdiktiossa.</w:t>
      </w:r>
    </w:p>
    <w:p>
      <w:r>
        <w:t>Olemme siirtymässä alustataloudesta datavetoiseen älytalouteen. Menestyjiä Sovereign Compliance Intelligence -maailmassa tehdään nyt. Lifetime Oy:n osaaminen ja kontaktit tunnustetaan kansainvälisesti ja olemme haluttu projektitoimittaja useilla toimialoilla.</w:t>
      </w:r>
    </w:p>
    <w:p>
      <w:pPr>
        <w:pStyle w:val="Heading2"/>
      </w:pPr>
      <w:r>
        <w:t>Arvot</w:t>
      </w:r>
    </w:p>
    <w:p>
      <w:r>
        <w:t>Työ ilmastonmuutoksen estämiseksi älytalouden keinoin vaatii vahvaa eettistä perustaa. Lifetime Oy on aidosti eurooppalainen yritys. Arvomme ovat eurooppalaisia; suomalaisia. Elämme vahvasti mukana globaalissa maailmassa. Keskiössä on vahva ihmisyyden puolustaminen tekoälyä hyödyntäen.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Arvo</w:t>
            </w:r>
          </w:p>
        </w:tc>
        <w:tc>
          <w:tcPr>
            <w:tcW w:type="dxa" w:w="4320"/>
          </w:tcPr>
          <w:p>
            <w:r>
              <w:rPr>
                <w:b/>
                <w:sz w:val="18"/>
              </w:rPr>
              <w:t>Mitä se tarkoittaa käytännössä</w:t>
            </w:r>
          </w:p>
        </w:tc>
      </w:tr>
      <w:tr>
        <w:tc>
          <w:tcPr>
            <w:tcW w:type="dxa" w:w="4320"/>
          </w:tcPr>
          <w:p>
            <w:r>
              <w:rPr>
                <w:sz w:val="18"/>
              </w:rPr>
              <w:t>Suvereenius</w:t>
            </w:r>
          </w:p>
        </w:tc>
        <w:tc>
          <w:tcPr>
            <w:tcW w:type="dxa" w:w="4320"/>
          </w:tcPr>
          <w:p>
            <w:r>
              <w:rPr>
                <w:sz w:val="18"/>
              </w:rPr>
              <w:t>Data pysyy EU:ssa. Nolla CLOUD Act -altistusta. Asiakkaan data ei koskaan poistu asiakkaan hallinnasta.</w:t>
            </w:r>
          </w:p>
        </w:tc>
      </w:tr>
      <w:tr>
        <w:tc>
          <w:tcPr>
            <w:tcW w:type="dxa" w:w="4320"/>
          </w:tcPr>
          <w:p>
            <w:r>
              <w:rPr>
                <w:sz w:val="18"/>
              </w:rPr>
              <w:t>Rehellisyys</w:t>
            </w:r>
          </w:p>
        </w:tc>
        <w:tc>
          <w:tcPr>
            <w:tcW w:type="dxa" w:w="4320"/>
          </w:tcPr>
          <w:p>
            <w:r>
              <w:rPr>
                <w:sz w:val="18"/>
              </w:rPr>
              <w:t>Julkaistu hinnoittelu. Ei piilomaksuja. Ei lukitusta. "Jos se sopii, jatketaan. Jos ei, eroamme ystävinä."</w:t>
            </w:r>
          </w:p>
        </w:tc>
      </w:tr>
      <w:tr>
        <w:tc>
          <w:tcPr>
            <w:tcW w:type="dxa" w:w="4320"/>
          </w:tcPr>
          <w:p>
            <w:r>
              <w:rPr>
                <w:sz w:val="18"/>
              </w:rPr>
              <w:t>Laatu</w:t>
            </w:r>
          </w:p>
        </w:tc>
        <w:tc>
          <w:tcPr>
            <w:tcW w:type="dxa" w:w="4320"/>
          </w:tcPr>
          <w:p>
            <w:r>
              <w:rPr>
                <w:sz w:val="18"/>
              </w:rPr>
              <w:t>Jokainen AI-toiminta on auditoitavissa. Article 12 -lokitus tuotannossa. Ei sloppy output -tuotantoa.</w:t>
            </w:r>
          </w:p>
        </w:tc>
      </w:tr>
      <w:tr>
        <w:tc>
          <w:tcPr>
            <w:tcW w:type="dxa" w:w="4320"/>
          </w:tcPr>
          <w:p>
            <w:r>
              <w:rPr>
                <w:sz w:val="18"/>
              </w:rPr>
              <w:t>Hiljaisuus</w:t>
            </w:r>
          </w:p>
        </w:tc>
        <w:tc>
          <w:tcPr>
            <w:tcW w:type="dxa" w:w="4320"/>
          </w:tcPr>
          <w:p>
            <w:r>
              <w:rPr>
                <w:sz w:val="18"/>
              </w:rPr>
              <w:t>Pohjoismainen myyntiperiaate: kuuntele ensin, myy vasta kun asiakas on valmis. Maksimissaan 2 kontaktia.</w:t>
            </w:r>
          </w:p>
        </w:tc>
      </w:tr>
      <w:tr>
        <w:tc>
          <w:tcPr>
            <w:tcW w:type="dxa" w:w="4320"/>
          </w:tcPr>
          <w:p>
            <w:r>
              <w:rPr>
                <w:sz w:val="18"/>
              </w:rPr>
              <w:t>Eurooppalaisuus</w:t>
            </w:r>
          </w:p>
        </w:tc>
        <w:tc>
          <w:tcPr>
            <w:tcW w:type="dxa" w:w="4320"/>
          </w:tcPr>
          <w:p>
            <w:r>
              <w:rPr>
                <w:sz w:val="18"/>
              </w:rPr>
              <w:t>Aidosti eurooppalainen yritys. Suomalaiset arvot. Kansainvälinen toimintaympäristö.</w:t>
            </w:r>
          </w:p>
        </w:tc>
      </w:tr>
    </w:tbl>
    <w:p>
      <w:pPr>
        <w:pStyle w:val="Heading2"/>
      </w:pPr>
      <w:r>
        <w:t>Tarkoitus (Purpose)</w:t>
      </w:r>
    </w:p>
    <w:p>
      <w:r>
        <w:t>2024: "Smart Business First" — autamme asiakkaitamme löytämään digitalisaatiosta business-näkökulman.</w:t>
      </w:r>
    </w:p>
    <w:p>
      <w:r>
        <w:t>2026: "Sovereign Compliance Intelligence" — automatisoimme EU-sääntelynoudattamisen ja pidämme asiakkaan datan suvereenina. Jokaisella teollisuusyrityksellä on oikeus omaan dataansa, omiin tekoälyagentteihinsa ja auditoitavaan compliance-jälkeen.</w:t>
      </w:r>
    </w:p>
    <w:p>
      <w:pPr>
        <w:pStyle w:val="Heading1"/>
      </w:pPr>
      <w:r>
        <w:t>3. Tuotteemme</w:t>
      </w:r>
    </w:p>
    <w:p>
      <w:pPr>
        <w:pStyle w:val="Heading2"/>
      </w:pPr>
      <w:r>
        <w:t>DWS IQ 6 — Kolmiakselimalli</w:t>
      </w:r>
    </w:p>
    <w:p>
      <w:r>
        <w:t>DWS IQ 6 ei ole kolme hintatasoa. Se on kolme itsenäistä akselia: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Akseli</w:t>
            </w:r>
          </w:p>
        </w:tc>
        <w:tc>
          <w:tcPr>
            <w:tcW w:type="dxa" w:w="2160"/>
          </w:tcPr>
          <w:p>
            <w:r>
              <w:rPr>
                <w:b/>
                <w:sz w:val="18"/>
              </w:rPr>
              <w:t>Tuote</w:t>
            </w:r>
          </w:p>
        </w:tc>
        <w:tc>
          <w:tcPr>
            <w:tcW w:type="dxa" w:w="2160"/>
          </w:tcPr>
          <w:p>
            <w:r>
              <w:rPr>
                <w:b/>
                <w:sz w:val="18"/>
              </w:rPr>
              <w:t>Kysymys johon vastaa</w:t>
            </w:r>
          </w:p>
        </w:tc>
        <w:tc>
          <w:tcPr>
            <w:tcW w:type="dxa" w:w="2160"/>
          </w:tcPr>
          <w:p>
            <w:r>
              <w:rPr>
                <w:b/>
                <w:sz w:val="18"/>
              </w:rPr>
              <w:t>Kenelle</w:t>
            </w:r>
          </w:p>
        </w:tc>
      </w:tr>
      <w:tr>
        <w:tc>
          <w:tcPr>
            <w:tcW w:type="dxa" w:w="2160"/>
          </w:tcPr>
          <w:p>
            <w:r>
              <w:rPr>
                <w:sz w:val="18"/>
              </w:rPr>
              <w:t>MITÄ raportoida</w:t>
            </w:r>
          </w:p>
        </w:tc>
        <w:tc>
          <w:tcPr>
            <w:tcW w:type="dxa" w:w="2160"/>
          </w:tcPr>
          <w:p>
            <w:r>
              <w:rPr>
                <w:sz w:val="18"/>
              </w:rPr>
              <w:t>Climate IQ</w:t>
            </w:r>
          </w:p>
        </w:tc>
        <w:tc>
          <w:tcPr>
            <w:tcW w:type="dxa" w:w="2160"/>
          </w:tcPr>
          <w:p>
            <w:r>
              <w:rPr>
                <w:sz w:val="18"/>
              </w:rPr>
              <w:t>Mitä yrityksen on raportoitava? (CBAM, CSRD, ETS, PCF)</w:t>
            </w:r>
          </w:p>
        </w:tc>
        <w:tc>
          <w:tcPr>
            <w:tcW w:type="dxa" w:w="2160"/>
          </w:tcPr>
          <w:p>
            <w:r>
              <w:rPr>
                <w:sz w:val="18"/>
              </w:rPr>
              <w:t>Sustainability Manager, CFO</w:t>
            </w:r>
          </w:p>
        </w:tc>
      </w:tr>
      <w:tr>
        <w:tc>
          <w:tcPr>
            <w:tcW w:type="dxa" w:w="2160"/>
          </w:tcPr>
          <w:p>
            <w:r>
              <w:rPr>
                <w:sz w:val="18"/>
              </w:rPr>
              <w:t>MITEN toimitusketju kytkeytyy</w:t>
            </w:r>
          </w:p>
        </w:tc>
        <w:tc>
          <w:tcPr>
            <w:tcW w:type="dxa" w:w="2160"/>
          </w:tcPr>
          <w:p>
            <w:r>
              <w:rPr>
                <w:sz w:val="18"/>
              </w:rPr>
              <w:t>Industrial IQ</w:t>
            </w:r>
          </w:p>
        </w:tc>
        <w:tc>
          <w:tcPr>
            <w:tcW w:type="dxa" w:w="2160"/>
          </w:tcPr>
          <w:p>
            <w:r>
              <w:rPr>
                <w:sz w:val="18"/>
              </w:rPr>
              <w:t>Miten sääntely vaikuttaa toimitusketjuun?</w:t>
            </w:r>
          </w:p>
        </w:tc>
        <w:tc>
          <w:tcPr>
            <w:tcW w:type="dxa" w:w="2160"/>
          </w:tcPr>
          <w:p>
            <w:r>
              <w:rPr>
                <w:sz w:val="18"/>
              </w:rPr>
              <w:t>CTO, tuotekehitysjohtaja, operaatiot</w:t>
            </w:r>
          </w:p>
        </w:tc>
      </w:tr>
      <w:tr>
        <w:tc>
          <w:tcPr>
            <w:tcW w:type="dxa" w:w="2160"/>
          </w:tcPr>
          <w:p>
            <w:r>
              <w:rPr>
                <w:sz w:val="18"/>
              </w:rPr>
              <w:t>MISSÄ data sijaitsee</w:t>
            </w:r>
          </w:p>
        </w:tc>
        <w:tc>
          <w:tcPr>
            <w:tcW w:type="dxa" w:w="2160"/>
          </w:tcPr>
          <w:p>
            <w:r>
              <w:rPr>
                <w:sz w:val="18"/>
              </w:rPr>
              <w:t>Aegis</w:t>
            </w:r>
          </w:p>
        </w:tc>
        <w:tc>
          <w:tcPr>
            <w:tcW w:type="dxa" w:w="2160"/>
          </w:tcPr>
          <w:p>
            <w:r>
              <w:rPr>
                <w:sz w:val="18"/>
              </w:rPr>
              <w:t>Missä datani sijaitsee? (Suvereeni, on-prem, ilmaraollinen)</w:t>
            </w:r>
          </w:p>
        </w:tc>
        <w:tc>
          <w:tcPr>
            <w:tcW w:type="dxa" w:w="2160"/>
          </w:tcPr>
          <w:p>
            <w:r>
              <w:rPr>
                <w:sz w:val="18"/>
              </w:rPr>
              <w:t>CISO, lakiasiat, puolustushankinta</w:t>
            </w:r>
          </w:p>
        </w:tc>
      </w:tr>
    </w:tbl>
    <w:p>
      <w:pPr>
        <w:pStyle w:val="Heading2"/>
      </w:pPr>
      <w:r>
        <w:t>Tuotekatalogi ja hinnoittelu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Tuote</w:t>
            </w:r>
          </w:p>
        </w:tc>
        <w:tc>
          <w:tcPr>
            <w:tcW w:type="dxa" w:w="2160"/>
          </w:tcPr>
          <w:p>
            <w:r>
              <w:rPr>
                <w:b/>
                <w:sz w:val="18"/>
              </w:rPr>
              <w:t>Käyttöönotto</w:t>
            </w:r>
          </w:p>
        </w:tc>
        <w:tc>
          <w:tcPr>
            <w:tcW w:type="dxa" w:w="2160"/>
          </w:tcPr>
          <w:p>
            <w:r>
              <w:rPr>
                <w:b/>
                <w:sz w:val="18"/>
              </w:rPr>
              <w:t>Kuukausimaksu</w:t>
            </w:r>
          </w:p>
        </w:tc>
        <w:tc>
          <w:tcPr>
            <w:tcW w:type="dxa" w:w="2160"/>
          </w:tcPr>
          <w:p>
            <w:r>
              <w:rPr>
                <w:b/>
                <w:sz w:val="18"/>
              </w:rPr>
              <w:t>Vuosimaksu</w:t>
            </w:r>
          </w:p>
        </w:tc>
      </w:tr>
      <w:tr>
        <w:tc>
          <w:tcPr>
            <w:tcW w:type="dxa" w:w="2160"/>
          </w:tcPr>
          <w:p>
            <w:r>
              <w:rPr>
                <w:sz w:val="18"/>
              </w:rPr>
              <w:t>Enterprise Navigator (pilotti)</w:t>
            </w:r>
          </w:p>
        </w:tc>
        <w:tc>
          <w:tcPr>
            <w:tcW w:type="dxa" w:w="2160"/>
          </w:tcPr>
          <w:p>
            <w:r>
              <w:rPr>
                <w:sz w:val="18"/>
              </w:rPr>
              <w:t>€4 950 kertamaksu</w:t>
            </w:r>
          </w:p>
        </w:tc>
        <w:tc>
          <w:tcPr>
            <w:tcW w:type="dxa" w:w="2160"/>
          </w:tcPr>
          <w:p>
            <w:r>
              <w:rPr>
                <w:sz w:val="18"/>
              </w:rPr>
              <w:t>—</w:t>
            </w:r>
          </w:p>
        </w:tc>
        <w:tc>
          <w:tcPr>
            <w:tcW w:type="dxa" w:w="2160"/>
          </w:tcPr>
          <w:p>
            <w:r>
              <w:rPr>
                <w:sz w:val="18"/>
              </w:rPr>
              <w:t>€4 950</w:t>
            </w:r>
          </w:p>
        </w:tc>
      </w:tr>
      <w:tr>
        <w:tc>
          <w:tcPr>
            <w:tcW w:type="dxa" w:w="2160"/>
          </w:tcPr>
          <w:p>
            <w:r>
              <w:rPr>
                <w:sz w:val="18"/>
              </w:rPr>
              <w:t>Climate IQ</w:t>
            </w:r>
          </w:p>
        </w:tc>
        <w:tc>
          <w:tcPr>
            <w:tcW w:type="dxa" w:w="2160"/>
          </w:tcPr>
          <w:p>
            <w:r>
              <w:rPr>
                <w:sz w:val="18"/>
              </w:rPr>
              <w:t>€4 990</w:t>
            </w:r>
          </w:p>
        </w:tc>
        <w:tc>
          <w:tcPr>
            <w:tcW w:type="dxa" w:w="2160"/>
          </w:tcPr>
          <w:p>
            <w:r>
              <w:rPr>
                <w:sz w:val="18"/>
              </w:rPr>
              <w:t>€2 999/kk</w:t>
            </w:r>
          </w:p>
        </w:tc>
        <w:tc>
          <w:tcPr>
            <w:tcW w:type="dxa" w:w="2160"/>
          </w:tcPr>
          <w:p>
            <w:r>
              <w:rPr>
                <w:sz w:val="18"/>
              </w:rPr>
              <w:t>€29 990/v</w:t>
            </w:r>
          </w:p>
        </w:tc>
      </w:tr>
      <w:tr>
        <w:tc>
          <w:tcPr>
            <w:tcW w:type="dxa" w:w="2160"/>
          </w:tcPr>
          <w:p>
            <w:r>
              <w:rPr>
                <w:sz w:val="18"/>
              </w:rPr>
              <w:t>Industrial IQ (DWS IQ 6)</w:t>
            </w:r>
          </w:p>
        </w:tc>
        <w:tc>
          <w:tcPr>
            <w:tcW w:type="dxa" w:w="2160"/>
          </w:tcPr>
          <w:p>
            <w:r>
              <w:rPr>
                <w:sz w:val="18"/>
              </w:rPr>
              <w:t>€4 999 kertamaksu</w:t>
            </w:r>
          </w:p>
        </w:tc>
        <w:tc>
          <w:tcPr>
            <w:tcW w:type="dxa" w:w="2160"/>
          </w:tcPr>
          <w:p>
            <w:r>
              <w:rPr>
                <w:sz w:val="18"/>
              </w:rPr>
              <w:t>—</w:t>
            </w:r>
          </w:p>
        </w:tc>
        <w:tc>
          <w:tcPr>
            <w:tcW w:type="dxa" w:w="2160"/>
          </w:tcPr>
          <w:p>
            <w:r>
              <w:rPr>
                <w:sz w:val="18"/>
              </w:rPr>
              <w:t>€4 999</w:t>
            </w:r>
          </w:p>
        </w:tc>
      </w:tr>
      <w:tr>
        <w:tc>
          <w:tcPr>
            <w:tcW w:type="dxa" w:w="2160"/>
          </w:tcPr>
          <w:p>
            <w:r>
              <w:rPr>
                <w:sz w:val="18"/>
              </w:rPr>
              <w:t>Enterprise Premium</w:t>
            </w:r>
          </w:p>
        </w:tc>
        <w:tc>
          <w:tcPr>
            <w:tcW w:type="dxa" w:w="2160"/>
          </w:tcPr>
          <w:p>
            <w:r>
              <w:rPr>
                <w:sz w:val="18"/>
              </w:rPr>
              <w:t>—</w:t>
            </w:r>
          </w:p>
        </w:tc>
        <w:tc>
          <w:tcPr>
            <w:tcW w:type="dxa" w:w="2160"/>
          </w:tcPr>
          <w:p>
            <w:r>
              <w:rPr>
                <w:sz w:val="18"/>
              </w:rPr>
              <w:t>—</w:t>
            </w:r>
          </w:p>
        </w:tc>
        <w:tc>
          <w:tcPr>
            <w:tcW w:type="dxa" w:w="2160"/>
          </w:tcPr>
          <w:p>
            <w:r>
              <w:rPr>
                <w:sz w:val="18"/>
              </w:rPr>
              <w:t>€8 950/v</w:t>
            </w:r>
          </w:p>
        </w:tc>
      </w:tr>
      <w:tr>
        <w:tc>
          <w:tcPr>
            <w:tcW w:type="dxa" w:w="2160"/>
          </w:tcPr>
          <w:p>
            <w:r>
              <w:rPr>
                <w:sz w:val="18"/>
              </w:rPr>
              <w:t>Enterprise Nordic</w:t>
            </w:r>
          </w:p>
        </w:tc>
        <w:tc>
          <w:tcPr>
            <w:tcW w:type="dxa" w:w="2160"/>
          </w:tcPr>
          <w:p>
            <w:r>
              <w:rPr>
                <w:sz w:val="18"/>
              </w:rPr>
              <w:t>—</w:t>
            </w:r>
          </w:p>
        </w:tc>
        <w:tc>
          <w:tcPr>
            <w:tcW w:type="dxa" w:w="2160"/>
          </w:tcPr>
          <w:p>
            <w:r>
              <w:rPr>
                <w:sz w:val="18"/>
              </w:rPr>
              <w:t>—</w:t>
            </w:r>
          </w:p>
        </w:tc>
        <w:tc>
          <w:tcPr>
            <w:tcW w:type="dxa" w:w="2160"/>
          </w:tcPr>
          <w:p>
            <w:r>
              <w:rPr>
                <w:sz w:val="18"/>
              </w:rPr>
              <w:t>€25 950/v</w:t>
            </w:r>
          </w:p>
        </w:tc>
      </w:tr>
      <w:tr>
        <w:tc>
          <w:tcPr>
            <w:tcW w:type="dxa" w:w="2160"/>
          </w:tcPr>
          <w:p>
            <w:r>
              <w:rPr>
                <w:sz w:val="18"/>
              </w:rPr>
              <w:t>Aegis Standard</w:t>
            </w:r>
          </w:p>
        </w:tc>
        <w:tc>
          <w:tcPr>
            <w:tcW w:type="dxa" w:w="2160"/>
          </w:tcPr>
          <w:p>
            <w:r>
              <w:rPr>
                <w:sz w:val="18"/>
              </w:rPr>
              <w:t>€59 990</w:t>
            </w:r>
          </w:p>
        </w:tc>
        <w:tc>
          <w:tcPr>
            <w:tcW w:type="dxa" w:w="2160"/>
          </w:tcPr>
          <w:p>
            <w:r>
              <w:rPr>
                <w:sz w:val="18"/>
              </w:rPr>
              <w:t>€999/kk</w:t>
            </w:r>
          </w:p>
        </w:tc>
        <w:tc>
          <w:tcPr>
            <w:tcW w:type="dxa" w:w="2160"/>
          </w:tcPr>
          <w:p>
            <w:r>
              <w:rPr>
                <w:sz w:val="18"/>
              </w:rPr>
              <w:t>€71 978/v</w:t>
            </w:r>
          </w:p>
        </w:tc>
      </w:tr>
      <w:tr>
        <w:tc>
          <w:tcPr>
            <w:tcW w:type="dxa" w:w="2160"/>
          </w:tcPr>
          <w:p>
            <w:r>
              <w:rPr>
                <w:sz w:val="18"/>
              </w:rPr>
              <w:t>Aegis Defence</w:t>
            </w:r>
          </w:p>
        </w:tc>
        <w:tc>
          <w:tcPr>
            <w:tcW w:type="dxa" w:w="2160"/>
          </w:tcPr>
          <w:p>
            <w:r>
              <w:rPr>
                <w:sz w:val="18"/>
              </w:rPr>
              <w:t>€89 990</w:t>
            </w:r>
          </w:p>
        </w:tc>
        <w:tc>
          <w:tcPr>
            <w:tcW w:type="dxa" w:w="2160"/>
          </w:tcPr>
          <w:p>
            <w:r>
              <w:rPr>
                <w:sz w:val="18"/>
              </w:rPr>
              <w:t>€1 999/kk</w:t>
            </w:r>
          </w:p>
        </w:tc>
        <w:tc>
          <w:tcPr>
            <w:tcW w:type="dxa" w:w="2160"/>
          </w:tcPr>
          <w:p>
            <w:r>
              <w:rPr>
                <w:sz w:val="18"/>
              </w:rPr>
              <w:t>€113 978/v</w:t>
            </w:r>
          </w:p>
        </w:tc>
      </w:tr>
      <w:tr>
        <w:tc>
          <w:tcPr>
            <w:tcW w:type="dxa" w:w="2160"/>
          </w:tcPr>
          <w:p>
            <w:r>
              <w:rPr>
                <w:sz w:val="18"/>
              </w:rPr>
              <w:t>Aegis Sovereign</w:t>
            </w:r>
          </w:p>
        </w:tc>
        <w:tc>
          <w:tcPr>
            <w:tcW w:type="dxa" w:w="2160"/>
          </w:tcPr>
          <w:p>
            <w:r>
              <w:rPr>
                <w:sz w:val="18"/>
              </w:rPr>
              <w:t>Räätälöity</w:t>
            </w:r>
          </w:p>
        </w:tc>
        <w:tc>
          <w:tcPr>
            <w:tcW w:type="dxa" w:w="2160"/>
          </w:tcPr>
          <w:p>
            <w:r>
              <w:rPr>
                <w:sz w:val="18"/>
              </w:rPr>
              <w:t>€4 999/kk</w:t>
            </w:r>
          </w:p>
        </w:tc>
        <w:tc>
          <w:tcPr>
            <w:tcW w:type="dxa" w:w="2160"/>
          </w:tcPr>
          <w:p>
            <w:r>
              <w:rPr>
                <w:sz w:val="18"/>
              </w:rPr>
              <w:t>Räätälöity</w:t>
            </w:r>
          </w:p>
        </w:tc>
      </w:tr>
      <w:tr>
        <w:tc>
          <w:tcPr>
            <w:tcW w:type="dxa" w:w="2160"/>
          </w:tcPr>
          <w:p>
            <w:r>
              <w:rPr>
                <w:sz w:val="18"/>
              </w:rPr>
              <w:t>Train Model SaaS</w:t>
            </w:r>
          </w:p>
        </w:tc>
        <w:tc>
          <w:tcPr>
            <w:tcW w:type="dxa" w:w="2160"/>
          </w:tcPr>
          <w:p>
            <w:r>
              <w:rPr>
                <w:sz w:val="18"/>
              </w:rPr>
              <w:t>—</w:t>
            </w:r>
          </w:p>
        </w:tc>
        <w:tc>
          <w:tcPr>
            <w:tcW w:type="dxa" w:w="2160"/>
          </w:tcPr>
          <w:p>
            <w:r>
              <w:rPr>
                <w:sz w:val="18"/>
              </w:rPr>
              <w:t>—</w:t>
            </w:r>
          </w:p>
        </w:tc>
        <w:tc>
          <w:tcPr>
            <w:tcW w:type="dxa" w:w="2160"/>
          </w:tcPr>
          <w:p>
            <w:r>
              <w:rPr>
                <w:sz w:val="18"/>
              </w:rPr>
              <w:t>€1 490 / €2 990 / €7 490</w:t>
            </w:r>
          </w:p>
        </w:tc>
      </w:tr>
      <w:tr>
        <w:tc>
          <w:tcPr>
            <w:tcW w:type="dxa" w:w="2160"/>
          </w:tcPr>
          <w:p>
            <w:r>
              <w:rPr>
                <w:sz w:val="18"/>
              </w:rPr>
              <w:t>Lifetime VIP AI Services</w:t>
            </w:r>
          </w:p>
        </w:tc>
        <w:tc>
          <w:tcPr>
            <w:tcW w:type="dxa" w:w="2160"/>
          </w:tcPr>
          <w:p>
            <w:r>
              <w:rPr>
                <w:sz w:val="18"/>
              </w:rPr>
              <w:t>—</w:t>
            </w:r>
          </w:p>
        </w:tc>
        <w:tc>
          <w:tcPr>
            <w:tcW w:type="dxa" w:w="2160"/>
          </w:tcPr>
          <w:p>
            <w:r>
              <w:rPr>
                <w:sz w:val="18"/>
              </w:rPr>
              <w:t>—</w:t>
            </w:r>
          </w:p>
        </w:tc>
        <w:tc>
          <w:tcPr>
            <w:tcW w:type="dxa" w:w="2160"/>
          </w:tcPr>
          <w:p>
            <w:r>
              <w:rPr>
                <w:sz w:val="18"/>
              </w:rPr>
              <w:t>€2 990/v</w:t>
            </w:r>
          </w:p>
        </w:tc>
      </w:tr>
    </w:tbl>
    <w:p>
      <w:r>
        <w:t>Hinnoittelu-periaate: Julkaistu hinta. Sama hinta toimitusjohtajalle ja vastuullisuuspäällikölle. Ei neuvotteluteatteria. (Buffet-periaate.)</w:t>
      </w:r>
    </w:p>
    <w:p>
      <w:pPr>
        <w:pStyle w:val="Heading2"/>
      </w:pPr>
      <w:r>
        <w:t>Puolustus- ja kaksikäyttö (Aegis Defence)</w:t>
      </w:r>
    </w:p>
    <w:p>
      <w:r>
        <w:t>Kolme valmista työnkulkua:</w:t>
      </w:r>
    </w:p>
    <w:p>
      <w:pPr>
        <w:pStyle w:val="ListNumber"/>
      </w:pPr>
      <w:r>
        <w:t>Drone-tunnistus + UAS-luokittelu — reaaliaikainen, Article 12 -auditoitu</w:t>
      </w:r>
    </w:p>
    <w:p>
      <w:pPr>
        <w:pStyle w:val="ListNumber"/>
      </w:pPr>
      <w:r>
        <w:t>Kaksikäyttötuotteiden vientivalvontaseulonta — Reg. 2021/821, oikeudellisesti kestävä jälki</w:t>
      </w:r>
    </w:p>
    <w:p>
      <w:pPr>
        <w:pStyle w:val="ListNumber"/>
      </w:pPr>
      <w:r>
        <w:t>NIS2 24h -insidenttirekonstruktio — automaattinen aikajana, ihminen silmukassa</w:t>
      </w:r>
    </w:p>
    <w:p>
      <w:pPr>
        <w:pStyle w:val="Heading1"/>
      </w:pPr>
      <w:r>
        <w:t>4. Toimialat</w:t>
      </w:r>
    </w:p>
    <w:p>
      <w:pPr>
        <w:pStyle w:val="Heading2"/>
      </w:pPr>
      <w:r>
        <w:t>25 EU-säänneltyä toimialaa (Fit for 55)</w:t>
      </w:r>
    </w:p>
    <w:p>
      <w:r>
        <w:t>DWS IQ 6 kattaa 25 toimialaa, joista jokainen on EU:n Fit for 55 -sääntelyn piirissä:</w:t>
      </w:r>
    </w:p>
    <w:p>
      <w:r>
        <w:t>Kriittiset (Taso 1): Energia, rauta ja teräs, sementti, kemianteollisuus, ilmailu, meriliikenne, maantiekuljetukset, rakentaminen</w:t>
      </w:r>
    </w:p>
    <w:p>
      <w:r>
        <w:t>Suomen kannalta keskeisimmät: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Toimiala</w:t>
            </w:r>
          </w:p>
        </w:tc>
        <w:tc>
          <w:tcPr>
            <w:tcW w:type="dxa" w:w="2160"/>
          </w:tcPr>
          <w:p>
            <w:r>
              <w:rPr>
                <w:b/>
                <w:sz w:val="18"/>
              </w:rPr>
              <w:t>Yrityksiä</w:t>
            </w:r>
          </w:p>
        </w:tc>
        <w:tc>
          <w:tcPr>
            <w:tcW w:type="dxa" w:w="2160"/>
          </w:tcPr>
          <w:p>
            <w:r>
              <w:rPr>
                <w:b/>
                <w:sz w:val="18"/>
              </w:rPr>
              <w:t>DWS-tuote</w:t>
            </w:r>
          </w:p>
        </w:tc>
        <w:tc>
          <w:tcPr>
            <w:tcW w:type="dxa" w:w="2160"/>
          </w:tcPr>
          <w:p>
            <w:r>
              <w:rPr>
                <w:b/>
                <w:sz w:val="18"/>
              </w:rPr>
              <w:t>Sääntely</w:t>
            </w:r>
          </w:p>
        </w:tc>
      </w:tr>
      <w:tr>
        <w:tc>
          <w:tcPr>
            <w:tcW w:type="dxa" w:w="2160"/>
          </w:tcPr>
          <w:p>
            <w:r>
              <w:rPr>
                <w:sz w:val="18"/>
              </w:rPr>
              <w:t>Metallit/kaivos</w:t>
            </w:r>
          </w:p>
        </w:tc>
        <w:tc>
          <w:tcPr>
            <w:tcW w:type="dxa" w:w="2160"/>
          </w:tcPr>
          <w:p>
            <w:r>
              <w:rPr>
                <w:sz w:val="18"/>
              </w:rPr>
              <w:t>Outokumpu, Boliden</w:t>
            </w:r>
          </w:p>
        </w:tc>
        <w:tc>
          <w:tcPr>
            <w:tcW w:type="dxa" w:w="2160"/>
          </w:tcPr>
          <w:p>
            <w:r>
              <w:rPr>
                <w:sz w:val="18"/>
              </w:rPr>
              <w:t>Climate IQ + Aegis</w:t>
            </w:r>
          </w:p>
        </w:tc>
        <w:tc>
          <w:tcPr>
            <w:tcW w:type="dxa" w:w="2160"/>
          </w:tcPr>
          <w:p>
            <w:r>
              <w:rPr>
                <w:sz w:val="18"/>
              </w:rPr>
              <w:t>CBAM, CSRD</w:t>
            </w:r>
          </w:p>
        </w:tc>
      </w:tr>
      <w:tr>
        <w:tc>
          <w:tcPr>
            <w:tcW w:type="dxa" w:w="2160"/>
          </w:tcPr>
          <w:p>
            <w:r>
              <w:rPr>
                <w:sz w:val="18"/>
              </w:rPr>
              <w:t>Kemianteollisuus</w:t>
            </w:r>
          </w:p>
        </w:tc>
        <w:tc>
          <w:tcPr>
            <w:tcW w:type="dxa" w:w="2160"/>
          </w:tcPr>
          <w:p>
            <w:r>
              <w:rPr>
                <w:sz w:val="18"/>
              </w:rPr>
              <w:t>Kemira, Neste, Borealis</w:t>
            </w:r>
          </w:p>
        </w:tc>
        <w:tc>
          <w:tcPr>
            <w:tcW w:type="dxa" w:w="2160"/>
          </w:tcPr>
          <w:p>
            <w:r>
              <w:rPr>
                <w:sz w:val="18"/>
              </w:rPr>
              <w:t>Climate IQ</w:t>
            </w:r>
          </w:p>
        </w:tc>
        <w:tc>
          <w:tcPr>
            <w:tcW w:type="dxa" w:w="2160"/>
          </w:tcPr>
          <w:p>
            <w:r>
              <w:rPr>
                <w:sz w:val="18"/>
              </w:rPr>
              <w:t>CBAM, CSRD, CER</w:t>
            </w:r>
          </w:p>
        </w:tc>
      </w:tr>
      <w:tr>
        <w:tc>
          <w:tcPr>
            <w:tcW w:type="dxa" w:w="2160"/>
          </w:tcPr>
          <w:p>
            <w:r>
              <w:rPr>
                <w:sz w:val="18"/>
              </w:rPr>
              <w:t>Rakentaminen</w:t>
            </w:r>
          </w:p>
        </w:tc>
        <w:tc>
          <w:tcPr>
            <w:tcW w:type="dxa" w:w="2160"/>
          </w:tcPr>
          <w:p>
            <w:r>
              <w:rPr>
                <w:sz w:val="18"/>
              </w:rPr>
              <w:t>NCC, YIT, SRV, Peab</w:t>
            </w:r>
          </w:p>
        </w:tc>
        <w:tc>
          <w:tcPr>
            <w:tcW w:type="dxa" w:w="2160"/>
          </w:tcPr>
          <w:p>
            <w:r>
              <w:rPr>
                <w:sz w:val="18"/>
              </w:rPr>
              <w:t>Climate IQ</w:t>
            </w:r>
          </w:p>
        </w:tc>
        <w:tc>
          <w:tcPr>
            <w:tcW w:type="dxa" w:w="2160"/>
          </w:tcPr>
          <w:p>
            <w:r>
              <w:rPr>
                <w:sz w:val="18"/>
              </w:rPr>
              <w:t>CSRD, EPBD (2028)</w:t>
            </w:r>
          </w:p>
        </w:tc>
      </w:tr>
      <w:tr>
        <w:tc>
          <w:tcPr>
            <w:tcW w:type="dxa" w:w="2160"/>
          </w:tcPr>
          <w:p>
            <w:r>
              <w:rPr>
                <w:sz w:val="18"/>
              </w:rPr>
              <w:t>Julkinen sektori</w:t>
            </w:r>
          </w:p>
        </w:tc>
        <w:tc>
          <w:tcPr>
            <w:tcW w:type="dxa" w:w="2160"/>
          </w:tcPr>
          <w:p>
            <w:r>
              <w:rPr>
                <w:sz w:val="18"/>
              </w:rPr>
              <w:t>ORK, Kela, FDF</w:t>
            </w:r>
          </w:p>
        </w:tc>
        <w:tc>
          <w:tcPr>
            <w:tcW w:type="dxa" w:w="2160"/>
          </w:tcPr>
          <w:p>
            <w:r>
              <w:rPr>
                <w:sz w:val="18"/>
              </w:rPr>
              <w:t>Industrial IQ + Aegis</w:t>
            </w:r>
          </w:p>
        </w:tc>
        <w:tc>
          <w:tcPr>
            <w:tcW w:type="dxa" w:w="2160"/>
          </w:tcPr>
          <w:p>
            <w:r>
              <w:rPr>
                <w:sz w:val="18"/>
              </w:rPr>
              <w:t>EU AI Act, NIS2</w:t>
            </w:r>
          </w:p>
        </w:tc>
      </w:tr>
      <w:tr>
        <w:tc>
          <w:tcPr>
            <w:tcW w:type="dxa" w:w="2160"/>
          </w:tcPr>
          <w:p>
            <w:r>
              <w:rPr>
                <w:sz w:val="18"/>
              </w:rPr>
              <w:t>Paperi/metsä</w:t>
            </w:r>
          </w:p>
        </w:tc>
        <w:tc>
          <w:tcPr>
            <w:tcW w:type="dxa" w:w="2160"/>
          </w:tcPr>
          <w:p>
            <w:r>
              <w:rPr>
                <w:sz w:val="18"/>
              </w:rPr>
              <w:t>UPM, Stora Enso, Metsä</w:t>
            </w:r>
          </w:p>
        </w:tc>
        <w:tc>
          <w:tcPr>
            <w:tcW w:type="dxa" w:w="2160"/>
          </w:tcPr>
          <w:p>
            <w:r>
              <w:rPr>
                <w:sz w:val="18"/>
              </w:rPr>
              <w:t>Climate IQ</w:t>
            </w:r>
          </w:p>
        </w:tc>
        <w:tc>
          <w:tcPr>
            <w:tcW w:type="dxa" w:w="2160"/>
          </w:tcPr>
          <w:p>
            <w:r>
              <w:rPr>
                <w:sz w:val="18"/>
              </w:rPr>
              <w:t>CBAM, toimitusketju</w:t>
            </w:r>
          </w:p>
        </w:tc>
      </w:tr>
      <w:tr>
        <w:tc>
          <w:tcPr>
            <w:tcW w:type="dxa" w:w="2160"/>
          </w:tcPr>
          <w:p>
            <w:r>
              <w:rPr>
                <w:sz w:val="18"/>
              </w:rPr>
              <w:t>Energia</w:t>
            </w:r>
          </w:p>
        </w:tc>
        <w:tc>
          <w:tcPr>
            <w:tcW w:type="dxa" w:w="2160"/>
          </w:tcPr>
          <w:p>
            <w:r>
              <w:rPr>
                <w:sz w:val="18"/>
              </w:rPr>
              <w:t>Fortum, Helen</w:t>
            </w:r>
          </w:p>
        </w:tc>
        <w:tc>
          <w:tcPr>
            <w:tcW w:type="dxa" w:w="2160"/>
          </w:tcPr>
          <w:p>
            <w:r>
              <w:rPr>
                <w:sz w:val="18"/>
              </w:rPr>
              <w:t>Climate IQ</w:t>
            </w:r>
          </w:p>
        </w:tc>
        <w:tc>
          <w:tcPr>
            <w:tcW w:type="dxa" w:w="2160"/>
          </w:tcPr>
          <w:p>
            <w:r>
              <w:rPr>
                <w:sz w:val="18"/>
              </w:rPr>
              <w:t>ETS, CSRD</w:t>
            </w:r>
          </w:p>
        </w:tc>
      </w:tr>
    </w:tbl>
    <w:p>
      <w:r>
        <w:t>Ruotsin kannalta keskeisimmät: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Toimiala</w:t>
            </w:r>
          </w:p>
        </w:tc>
        <w:tc>
          <w:tcPr>
            <w:tcW w:type="dxa" w:w="2160"/>
          </w:tcPr>
          <w:p>
            <w:r>
              <w:rPr>
                <w:b/>
                <w:sz w:val="18"/>
              </w:rPr>
              <w:t>Yrityksiä</w:t>
            </w:r>
          </w:p>
        </w:tc>
        <w:tc>
          <w:tcPr>
            <w:tcW w:type="dxa" w:w="2160"/>
          </w:tcPr>
          <w:p>
            <w:r>
              <w:rPr>
                <w:b/>
                <w:sz w:val="18"/>
              </w:rPr>
              <w:t>DWS-tuote</w:t>
            </w:r>
          </w:p>
        </w:tc>
        <w:tc>
          <w:tcPr>
            <w:tcW w:type="dxa" w:w="2160"/>
          </w:tcPr>
          <w:p>
            <w:r>
              <w:rPr>
                <w:b/>
                <w:sz w:val="18"/>
              </w:rPr>
              <w:t>Sääntely</w:t>
            </w:r>
          </w:p>
        </w:tc>
      </w:tr>
      <w:tr>
        <w:tc>
          <w:tcPr>
            <w:tcW w:type="dxa" w:w="2160"/>
          </w:tcPr>
          <w:p>
            <w:r>
              <w:rPr>
                <w:sz w:val="18"/>
              </w:rPr>
              <w:t>Teräs</w:t>
            </w:r>
          </w:p>
        </w:tc>
        <w:tc>
          <w:tcPr>
            <w:tcW w:type="dxa" w:w="2160"/>
          </w:tcPr>
          <w:p>
            <w:r>
              <w:rPr>
                <w:sz w:val="18"/>
              </w:rPr>
              <w:t>SSAB, H2 Green Steel</w:t>
            </w:r>
          </w:p>
        </w:tc>
        <w:tc>
          <w:tcPr>
            <w:tcW w:type="dxa" w:w="2160"/>
          </w:tcPr>
          <w:p>
            <w:r>
              <w:rPr>
                <w:sz w:val="18"/>
              </w:rPr>
              <w:t>Climate IQ + Aegis</w:t>
            </w:r>
          </w:p>
        </w:tc>
        <w:tc>
          <w:tcPr>
            <w:tcW w:type="dxa" w:w="2160"/>
          </w:tcPr>
          <w:p>
            <w:r>
              <w:rPr>
                <w:sz w:val="18"/>
              </w:rPr>
              <w:t>CBAM, IP-suojaus</w:t>
            </w:r>
          </w:p>
        </w:tc>
      </w:tr>
      <w:tr>
        <w:tc>
          <w:tcPr>
            <w:tcW w:type="dxa" w:w="2160"/>
          </w:tcPr>
          <w:p>
            <w:r>
              <w:rPr>
                <w:sz w:val="18"/>
              </w:rPr>
              <w:t>Kaivos</w:t>
            </w:r>
          </w:p>
        </w:tc>
        <w:tc>
          <w:tcPr>
            <w:tcW w:type="dxa" w:w="2160"/>
          </w:tcPr>
          <w:p>
            <w:r>
              <w:rPr>
                <w:sz w:val="18"/>
              </w:rPr>
              <w:t>Boliden (pääkonttori), LKAB</w:t>
            </w:r>
          </w:p>
        </w:tc>
        <w:tc>
          <w:tcPr>
            <w:tcW w:type="dxa" w:w="2160"/>
          </w:tcPr>
          <w:p>
            <w:r>
              <w:rPr>
                <w:sz w:val="18"/>
              </w:rPr>
              <w:t>Climate IQ</w:t>
            </w:r>
          </w:p>
        </w:tc>
        <w:tc>
          <w:tcPr>
            <w:tcW w:type="dxa" w:w="2160"/>
          </w:tcPr>
          <w:p>
            <w:r>
              <w:rPr>
                <w:sz w:val="18"/>
              </w:rPr>
              <w:t>CBAM, CRM</w:t>
            </w:r>
          </w:p>
        </w:tc>
      </w:tr>
      <w:tr>
        <w:tc>
          <w:tcPr>
            <w:tcW w:type="dxa" w:w="2160"/>
          </w:tcPr>
          <w:p>
            <w:r>
              <w:rPr>
                <w:sz w:val="18"/>
              </w:rPr>
              <w:t>Rakentaminen</w:t>
            </w:r>
          </w:p>
        </w:tc>
        <w:tc>
          <w:tcPr>
            <w:tcW w:type="dxa" w:w="2160"/>
          </w:tcPr>
          <w:p>
            <w:r>
              <w:rPr>
                <w:sz w:val="18"/>
              </w:rPr>
              <w:t>NCC AB, Skanska AB, Peab</w:t>
            </w:r>
          </w:p>
        </w:tc>
        <w:tc>
          <w:tcPr>
            <w:tcW w:type="dxa" w:w="2160"/>
          </w:tcPr>
          <w:p>
            <w:r>
              <w:rPr>
                <w:sz w:val="18"/>
              </w:rPr>
              <w:t>Climate IQ</w:t>
            </w:r>
          </w:p>
        </w:tc>
        <w:tc>
          <w:tcPr>
            <w:tcW w:type="dxa" w:w="2160"/>
          </w:tcPr>
          <w:p>
            <w:r>
              <w:rPr>
                <w:sz w:val="18"/>
              </w:rPr>
              <w:t>CSRD Wave 2, EPBD</w:t>
            </w:r>
          </w:p>
        </w:tc>
      </w:tr>
      <w:tr>
        <w:tc>
          <w:tcPr>
            <w:tcW w:type="dxa" w:w="2160"/>
          </w:tcPr>
          <w:p>
            <w:r>
              <w:rPr>
                <w:sz w:val="18"/>
              </w:rPr>
              <w:t>Tekniikka</w:t>
            </w:r>
          </w:p>
        </w:tc>
        <w:tc>
          <w:tcPr>
            <w:tcW w:type="dxa" w:w="2160"/>
          </w:tcPr>
          <w:p>
            <w:r>
              <w:rPr>
                <w:sz w:val="18"/>
              </w:rPr>
              <w:t>ABB, Scania, Volvo</w:t>
            </w:r>
          </w:p>
        </w:tc>
        <w:tc>
          <w:tcPr>
            <w:tcW w:type="dxa" w:w="2160"/>
          </w:tcPr>
          <w:p>
            <w:r>
              <w:rPr>
                <w:sz w:val="18"/>
              </w:rPr>
              <w:t>Climate IQ</w:t>
            </w:r>
          </w:p>
        </w:tc>
        <w:tc>
          <w:tcPr>
            <w:tcW w:type="dxa" w:w="2160"/>
          </w:tcPr>
          <w:p>
            <w:r>
              <w:rPr>
                <w:sz w:val="18"/>
              </w:rPr>
              <w:t>ETS, CSRD</w:t>
            </w:r>
          </w:p>
        </w:tc>
      </w:tr>
    </w:tbl>
    <w:p>
      <w:pPr>
        <w:pStyle w:val="Heading1"/>
      </w:pPr>
      <w:r>
        <w:t>5. Konsultin rooli 2026</w:t>
      </w:r>
    </w:p>
    <w:p>
      <w:pPr>
        <w:pStyle w:val="Heading2"/>
      </w:pPr>
      <w:r>
        <w:t>Muutos 2024 → 2026</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2024 (vanha malli)</w:t>
            </w:r>
          </w:p>
        </w:tc>
        <w:tc>
          <w:tcPr>
            <w:tcW w:type="dxa" w:w="4320"/>
          </w:tcPr>
          <w:p>
            <w:r>
              <w:rPr>
                <w:b/>
                <w:sz w:val="18"/>
              </w:rPr>
              <w:t>2026 (uusi malli)</w:t>
            </w:r>
          </w:p>
        </w:tc>
      </w:tr>
      <w:tr>
        <w:tc>
          <w:tcPr>
            <w:tcW w:type="dxa" w:w="4320"/>
          </w:tcPr>
          <w:p>
            <w:r>
              <w:rPr>
                <w:sz w:val="18"/>
              </w:rPr>
              <w:t>72 geneeristä roolia</w:t>
            </w:r>
          </w:p>
        </w:tc>
        <w:tc>
          <w:tcPr>
            <w:tcW w:type="dxa" w:w="4320"/>
          </w:tcPr>
          <w:p>
            <w:r>
              <w:rPr>
                <w:sz w:val="18"/>
              </w:rPr>
              <w:t>8 kohdennettua roolia: AI-konsultti, compliance-asiantuntija, edge-insinööri, enterprise model engineer</w:t>
            </w:r>
          </w:p>
        </w:tc>
      </w:tr>
      <w:tr>
        <w:tc>
          <w:tcPr>
            <w:tcW w:type="dxa" w:w="4320"/>
          </w:tcPr>
          <w:p>
            <w:r>
              <w:rPr>
                <w:sz w:val="18"/>
              </w:rPr>
              <w:t>Cloud Ready Teams -tiimit</w:t>
            </w:r>
          </w:p>
        </w:tc>
        <w:tc>
          <w:tcPr>
            <w:tcW w:type="dxa" w:w="4320"/>
          </w:tcPr>
          <w:p>
            <w:r>
              <w:rPr>
                <w:sz w:val="18"/>
              </w:rPr>
              <w:t>DWS IQ -alustan käyttöönottotiimi</w:t>
            </w:r>
          </w:p>
        </w:tc>
      </w:tr>
      <w:tr>
        <w:tc>
          <w:tcPr>
            <w:tcW w:type="dxa" w:w="4320"/>
          </w:tcPr>
          <w:p>
            <w:r>
              <w:rPr>
                <w:sz w:val="18"/>
              </w:rPr>
              <w:t>Yleinen IT-konsultointi</w:t>
            </w:r>
          </w:p>
        </w:tc>
        <w:tc>
          <w:tcPr>
            <w:tcW w:type="dxa" w:w="4320"/>
          </w:tcPr>
          <w:p>
            <w:r>
              <w:rPr>
                <w:sz w:val="18"/>
              </w:rPr>
              <w:t>Sääntely-automaatio + suvereeni AI</w:t>
            </w:r>
          </w:p>
        </w:tc>
      </w:tr>
      <w:tr>
        <w:tc>
          <w:tcPr>
            <w:tcW w:type="dxa" w:w="4320"/>
          </w:tcPr>
          <w:p>
            <w:r>
              <w:rPr>
                <w:sz w:val="18"/>
              </w:rPr>
              <w:t>Myynnin veloitus €200/h</w:t>
            </w:r>
          </w:p>
        </w:tc>
        <w:tc>
          <w:tcPr>
            <w:tcW w:type="dxa" w:w="4320"/>
          </w:tcPr>
          <w:p>
            <w:r>
              <w:rPr>
                <w:sz w:val="18"/>
              </w:rPr>
              <w:t>Tuoteperusteinen hinnoittelu + konsultointi scoping-vaiheessa</w:t>
            </w:r>
          </w:p>
        </w:tc>
      </w:tr>
      <w:tr>
        <w:tc>
          <w:tcPr>
            <w:tcW w:type="dxa" w:w="4320"/>
          </w:tcPr>
          <w:p>
            <w:r>
              <w:rPr>
                <w:sz w:val="18"/>
              </w:rPr>
              <w:t>Monen päämiehen konsultointi (Oracle, SAP, Microsoft)</w:t>
            </w:r>
          </w:p>
        </w:tc>
        <w:tc>
          <w:tcPr>
            <w:tcW w:type="dxa" w:w="4320"/>
          </w:tcPr>
          <w:p>
            <w:r>
              <w:rPr>
                <w:sz w:val="18"/>
              </w:rPr>
              <w:t>DWS IQ 6 -ekosysteemi + NVIDIA + Red Hat</w:t>
            </w:r>
          </w:p>
        </w:tc>
      </w:tr>
    </w:tbl>
    <w:p>
      <w:pPr>
        <w:pStyle w:val="Heading2"/>
      </w:pPr>
      <w:r>
        <w:t>Konsultin roolit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Rooli</w:t>
            </w:r>
          </w:p>
        </w:tc>
        <w:tc>
          <w:tcPr>
            <w:tcW w:type="dxa" w:w="2880"/>
          </w:tcPr>
          <w:p>
            <w:r>
              <w:rPr>
                <w:b/>
                <w:sz w:val="18"/>
              </w:rPr>
              <w:t>Kuvaus</w:t>
            </w:r>
          </w:p>
        </w:tc>
        <w:tc>
          <w:tcPr>
            <w:tcW w:type="dxa" w:w="2880"/>
          </w:tcPr>
          <w:p>
            <w:r>
              <w:rPr>
                <w:b/>
                <w:sz w:val="18"/>
              </w:rPr>
              <w:t>Milloin tarvitaan</w:t>
            </w:r>
          </w:p>
        </w:tc>
      </w:tr>
      <w:tr>
        <w:tc>
          <w:tcPr>
            <w:tcW w:type="dxa" w:w="2880"/>
          </w:tcPr>
          <w:p>
            <w:r>
              <w:rPr>
                <w:sz w:val="18"/>
              </w:rPr>
              <w:t>AI Scoping Consultant</w:t>
            </w:r>
          </w:p>
        </w:tc>
        <w:tc>
          <w:tcPr>
            <w:tcW w:type="dxa" w:w="2880"/>
          </w:tcPr>
          <w:p>
            <w:r>
              <w:rPr>
                <w:sz w:val="18"/>
              </w:rPr>
              <w:t>Kartoittaa asiakkaan compliance-tarpeen. Suosittelee oikean DWS-tuotteen.</w:t>
            </w:r>
          </w:p>
        </w:tc>
        <w:tc>
          <w:tcPr>
            <w:tcW w:type="dxa" w:w="2880"/>
          </w:tcPr>
          <w:p>
            <w:r>
              <w:rPr>
                <w:sz w:val="18"/>
              </w:rPr>
              <w:t>Vapaa scoping-vaihe (1-2 viikkoa)</w:t>
            </w:r>
          </w:p>
        </w:tc>
      </w:tr>
      <w:tr>
        <w:tc>
          <w:tcPr>
            <w:tcW w:type="dxa" w:w="2880"/>
          </w:tcPr>
          <w:p>
            <w:r>
              <w:rPr>
                <w:sz w:val="18"/>
              </w:rPr>
              <w:t>DWS Deployment Engineer</w:t>
            </w:r>
          </w:p>
        </w:tc>
        <w:tc>
          <w:tcPr>
            <w:tcW w:type="dxa" w:w="2880"/>
          </w:tcPr>
          <w:p>
            <w:r>
              <w:rPr>
                <w:sz w:val="18"/>
              </w:rPr>
              <w:t>Asentaa ja konfiguroi DWS IQ -alustan. ERP-integraatiot (SAP, IFS, Visma, Monitor, Jeeves).</w:t>
            </w:r>
          </w:p>
        </w:tc>
        <w:tc>
          <w:tcPr>
            <w:tcW w:type="dxa" w:w="2880"/>
          </w:tcPr>
          <w:p>
            <w:r>
              <w:rPr>
                <w:sz w:val="18"/>
              </w:rPr>
              <w:t>Pilottivaihe (3 kuukautta)</w:t>
            </w:r>
          </w:p>
        </w:tc>
      </w:tr>
      <w:tr>
        <w:tc>
          <w:tcPr>
            <w:tcW w:type="dxa" w:w="2880"/>
          </w:tcPr>
          <w:p>
            <w:r>
              <w:rPr>
                <w:sz w:val="18"/>
              </w:rPr>
              <w:t>Compliance Specialist</w:t>
            </w:r>
          </w:p>
        </w:tc>
        <w:tc>
          <w:tcPr>
            <w:tcW w:type="dxa" w:w="2880"/>
          </w:tcPr>
          <w:p>
            <w:r>
              <w:rPr>
                <w:sz w:val="18"/>
              </w:rPr>
              <w:t>CBAM, CSRD, ETS, NIS2, CER -asiantuntija. Tuntee sääntelyn ja tietää miten DWS automatisoi sen.</w:t>
            </w:r>
          </w:p>
        </w:tc>
        <w:tc>
          <w:tcPr>
            <w:tcW w:type="dxa" w:w="2880"/>
          </w:tcPr>
          <w:p>
            <w:r>
              <w:rPr>
                <w:sz w:val="18"/>
              </w:rPr>
              <w:t>Kaikissa asiakasprojekteissa</w:t>
            </w:r>
          </w:p>
        </w:tc>
      </w:tr>
      <w:tr>
        <w:tc>
          <w:tcPr>
            <w:tcW w:type="dxa" w:w="2880"/>
          </w:tcPr>
          <w:p>
            <w:r>
              <w:rPr>
                <w:sz w:val="18"/>
              </w:rPr>
              <w:t>Edge AI Engineer</w:t>
            </w:r>
          </w:p>
        </w:tc>
        <w:tc>
          <w:tcPr>
            <w:tcW w:type="dxa" w:w="2880"/>
          </w:tcPr>
          <w:p>
            <w:r>
              <w:rPr>
                <w:sz w:val="18"/>
              </w:rPr>
              <w:t>NVIDIA Jetson, DGX Spark -laitteiden käyttöönotto. Ilmaraolliset ja edge-ympäristöt.</w:t>
            </w:r>
          </w:p>
        </w:tc>
        <w:tc>
          <w:tcPr>
            <w:tcW w:type="dxa" w:w="2880"/>
          </w:tcPr>
          <w:p>
            <w:r>
              <w:rPr>
                <w:sz w:val="18"/>
              </w:rPr>
              <w:t>Aegis-asiakkaat</w:t>
            </w:r>
          </w:p>
        </w:tc>
      </w:tr>
      <w:tr>
        <w:tc>
          <w:tcPr>
            <w:tcW w:type="dxa" w:w="2880"/>
          </w:tcPr>
          <w:p>
            <w:r>
              <w:rPr>
                <w:sz w:val="18"/>
              </w:rPr>
              <w:t>Enterprise Model Engineer</w:t>
            </w:r>
          </w:p>
        </w:tc>
        <w:tc>
          <w:tcPr>
            <w:tcW w:type="dxa" w:w="2880"/>
          </w:tcPr>
          <w:p>
            <w:r>
              <w:rPr>
                <w:sz w:val="18"/>
              </w:rPr>
              <w:t>Lifetime World Model (LWM) -ontologioiden rakentaminen ja ylläpito. Asiakaskohtaisten mallien koulutus (Train Model SaaS). 5 000 yrityksen ontologiaverkon laajentaminen.</w:t>
            </w:r>
          </w:p>
        </w:tc>
        <w:tc>
          <w:tcPr>
            <w:tcW w:type="dxa" w:w="2880"/>
          </w:tcPr>
          <w:p>
            <w:r>
              <w:rPr>
                <w:sz w:val="18"/>
              </w:rPr>
              <w:t>LWM V1 -käyttöönotto, Train Model SaaS</w:t>
            </w:r>
          </w:p>
        </w:tc>
      </w:tr>
      <w:tr>
        <w:tc>
          <w:tcPr>
            <w:tcW w:type="dxa" w:w="2880"/>
          </w:tcPr>
          <w:p>
            <w:r>
              <w:rPr>
                <w:sz w:val="18"/>
              </w:rPr>
              <w:t>GenAI Solution Architect</w:t>
            </w:r>
          </w:p>
        </w:tc>
        <w:tc>
          <w:tcPr>
            <w:tcW w:type="dxa" w:w="2880"/>
          </w:tcPr>
          <w:p>
            <w:r>
              <w:rPr>
                <w:sz w:val="18"/>
              </w:rPr>
              <w:t>Claude Code, Qwen, Llama -mallien konfigurointi. KYA-hallinta. Agent-arkkitehtuuri.</w:t>
            </w:r>
          </w:p>
        </w:tc>
        <w:tc>
          <w:tcPr>
            <w:tcW w:type="dxa" w:w="2880"/>
          </w:tcPr>
          <w:p>
            <w:r>
              <w:rPr>
                <w:sz w:val="18"/>
              </w:rPr>
              <w:t>Suuret enterprise-asiakkaat</w:t>
            </w:r>
          </w:p>
        </w:tc>
      </w:tr>
      <w:tr>
        <w:tc>
          <w:tcPr>
            <w:tcW w:type="dxa" w:w="2880"/>
          </w:tcPr>
          <w:p>
            <w:r>
              <w:rPr>
                <w:sz w:val="18"/>
              </w:rPr>
              <w:t>DevOps Engineer</w:t>
            </w:r>
          </w:p>
        </w:tc>
        <w:tc>
          <w:tcPr>
            <w:tcW w:type="dxa" w:w="2880"/>
          </w:tcPr>
          <w:p>
            <w:r>
              <w:rPr>
                <w:sz w:val="18"/>
              </w:rPr>
              <w:t>CI/CD, K8s, UpCloud Helsinki -infrastruktuuri. Tietoturva.</w:t>
            </w:r>
          </w:p>
        </w:tc>
        <w:tc>
          <w:tcPr>
            <w:tcW w:type="dxa" w:w="2880"/>
          </w:tcPr>
          <w:p>
            <w:r>
              <w:rPr>
                <w:sz w:val="18"/>
              </w:rPr>
              <w:t>Aegis Standard/Defence</w:t>
            </w:r>
          </w:p>
        </w:tc>
      </w:tr>
      <w:tr>
        <w:tc>
          <w:tcPr>
            <w:tcW w:type="dxa" w:w="2880"/>
          </w:tcPr>
          <w:p>
            <w:r>
              <w:rPr>
                <w:sz w:val="18"/>
              </w:rPr>
              <w:t>Project Manager</w:t>
            </w:r>
          </w:p>
        </w:tc>
        <w:tc>
          <w:tcPr>
            <w:tcW w:type="dxa" w:w="2880"/>
          </w:tcPr>
          <w:p>
            <w:r>
              <w:rPr>
                <w:sz w:val="18"/>
              </w:rPr>
              <w:t>Hankejohtaminen, JIRA, aikataulut, asiakasdokumentaatio.</w:t>
            </w:r>
          </w:p>
        </w:tc>
        <w:tc>
          <w:tcPr>
            <w:tcW w:type="dxa" w:w="2880"/>
          </w:tcPr>
          <w:p>
            <w:r>
              <w:rPr>
                <w:sz w:val="18"/>
              </w:rPr>
              <w:t>Monen roolin projektit</w:t>
            </w:r>
          </w:p>
        </w:tc>
      </w:tr>
    </w:tbl>
    <w:p>
      <w:pPr>
        <w:pStyle w:val="Heading2"/>
      </w:pPr>
      <w:r>
        <w:t>Konsultin päivittäinen toiminta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Aika</w:t>
            </w:r>
          </w:p>
        </w:tc>
        <w:tc>
          <w:tcPr>
            <w:tcW w:type="dxa" w:w="4320"/>
          </w:tcPr>
          <w:p>
            <w:r>
              <w:rPr>
                <w:b/>
                <w:sz w:val="18"/>
              </w:rPr>
              <w:t>Aktiviteetti</w:t>
            </w:r>
          </w:p>
        </w:tc>
      </w:tr>
      <w:tr>
        <w:tc>
          <w:tcPr>
            <w:tcW w:type="dxa" w:w="4320"/>
          </w:tcPr>
          <w:p>
            <w:r>
              <w:rPr>
                <w:sz w:val="18"/>
              </w:rPr>
              <w:t>08:00-08:30</w:t>
            </w:r>
          </w:p>
        </w:tc>
        <w:tc>
          <w:tcPr>
            <w:tcW w:type="dxa" w:w="4320"/>
          </w:tcPr>
          <w:p>
            <w:r>
              <w:rPr>
                <w:sz w:val="18"/>
              </w:rPr>
              <w:t>Aamubriiffi: signaaliseuranta (sääntelypäivitykset, asiakassignaalit)</w:t>
            </w:r>
          </w:p>
        </w:tc>
      </w:tr>
      <w:tr>
        <w:tc>
          <w:tcPr>
            <w:tcW w:type="dxa" w:w="4320"/>
          </w:tcPr>
          <w:p>
            <w:r>
              <w:rPr>
                <w:sz w:val="18"/>
              </w:rPr>
              <w:t>08:30-12:00</w:t>
            </w:r>
          </w:p>
        </w:tc>
        <w:tc>
          <w:tcPr>
            <w:tcW w:type="dxa" w:w="4320"/>
          </w:tcPr>
          <w:p>
            <w:r>
              <w:rPr>
                <w:sz w:val="18"/>
              </w:rPr>
              <w:t>Asiakastyö: scoping, deployment, koulutus, tuki</w:t>
            </w:r>
          </w:p>
        </w:tc>
      </w:tr>
      <w:tr>
        <w:tc>
          <w:tcPr>
            <w:tcW w:type="dxa" w:w="4320"/>
          </w:tcPr>
          <w:p>
            <w:r>
              <w:rPr>
                <w:sz w:val="18"/>
              </w:rPr>
              <w:t>12:00-13:00</w:t>
            </w:r>
          </w:p>
        </w:tc>
        <w:tc>
          <w:tcPr>
            <w:tcW w:type="dxa" w:w="4320"/>
          </w:tcPr>
          <w:p>
            <w:r>
              <w:rPr>
                <w:sz w:val="18"/>
              </w:rPr>
              <w:t>Lounas</w:t>
            </w:r>
          </w:p>
        </w:tc>
      </w:tr>
      <w:tr>
        <w:tc>
          <w:tcPr>
            <w:tcW w:type="dxa" w:w="4320"/>
          </w:tcPr>
          <w:p>
            <w:r>
              <w:rPr>
                <w:sz w:val="18"/>
              </w:rPr>
              <w:t>13:00-16:00</w:t>
            </w:r>
          </w:p>
        </w:tc>
        <w:tc>
          <w:tcPr>
            <w:tcW w:type="dxa" w:w="4320"/>
          </w:tcPr>
          <w:p>
            <w:r>
              <w:rPr>
                <w:sz w:val="18"/>
              </w:rPr>
              <w:t>Asiakastyö jatkuu / sisäinen tuotekehitys</w:t>
            </w:r>
          </w:p>
        </w:tc>
      </w:tr>
      <w:tr>
        <w:tc>
          <w:tcPr>
            <w:tcW w:type="dxa" w:w="4320"/>
          </w:tcPr>
          <w:p>
            <w:r>
              <w:rPr>
                <w:sz w:val="18"/>
              </w:rPr>
              <w:t>16:00-16:30</w:t>
            </w:r>
          </w:p>
        </w:tc>
        <w:tc>
          <w:tcPr>
            <w:tcW w:type="dxa" w:w="4320"/>
          </w:tcPr>
          <w:p>
            <w:r>
              <w:rPr>
                <w:sz w:val="18"/>
              </w:rPr>
              <w:t>Dokumentointi: tuntikirjaukset, tilanneraportti</w:t>
            </w:r>
          </w:p>
        </w:tc>
      </w:tr>
    </w:tbl>
    <w:p>
      <w:r>
        <w:t>Viikkorytmi:</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Päivä</w:t>
            </w:r>
          </w:p>
        </w:tc>
        <w:tc>
          <w:tcPr>
            <w:tcW w:type="dxa" w:w="4320"/>
          </w:tcPr>
          <w:p>
            <w:r>
              <w:rPr>
                <w:b/>
                <w:sz w:val="18"/>
              </w:rPr>
              <w:t>Painopiste</w:t>
            </w:r>
          </w:p>
        </w:tc>
      </w:tr>
      <w:tr>
        <w:tc>
          <w:tcPr>
            <w:tcW w:type="dxa" w:w="4320"/>
          </w:tcPr>
          <w:p>
            <w:r>
              <w:rPr>
                <w:sz w:val="18"/>
              </w:rPr>
              <w:t>Maanantai</w:t>
            </w:r>
          </w:p>
        </w:tc>
        <w:tc>
          <w:tcPr>
            <w:tcW w:type="dxa" w:w="4320"/>
          </w:tcPr>
          <w:p>
            <w:r>
              <w:rPr>
                <w:sz w:val="18"/>
              </w:rPr>
              <w:t>Signaaliseuranta + asiakastyö</w:t>
            </w:r>
          </w:p>
        </w:tc>
      </w:tr>
      <w:tr>
        <w:tc>
          <w:tcPr>
            <w:tcW w:type="dxa" w:w="4320"/>
          </w:tcPr>
          <w:p>
            <w:r>
              <w:rPr>
                <w:sz w:val="18"/>
              </w:rPr>
              <w:t>Tiistai</w:t>
            </w:r>
          </w:p>
        </w:tc>
        <w:tc>
          <w:tcPr>
            <w:tcW w:type="dxa" w:w="4320"/>
          </w:tcPr>
          <w:p>
            <w:r>
              <w:rPr>
                <w:sz w:val="18"/>
              </w:rPr>
              <w:t>Asiakastyö + LinkedIn-yhteydet (signaaliperusteiset)</w:t>
            </w:r>
          </w:p>
        </w:tc>
      </w:tr>
      <w:tr>
        <w:tc>
          <w:tcPr>
            <w:tcW w:type="dxa" w:w="4320"/>
          </w:tcPr>
          <w:p>
            <w:r>
              <w:rPr>
                <w:sz w:val="18"/>
              </w:rPr>
              <w:t>Keskiviikko</w:t>
            </w:r>
          </w:p>
        </w:tc>
        <w:tc>
          <w:tcPr>
            <w:tcW w:type="dxa" w:w="4320"/>
          </w:tcPr>
          <w:p>
            <w:r>
              <w:rPr>
                <w:sz w:val="18"/>
              </w:rPr>
              <w:t>Asiakastyö + sisältötuotanto (1 artikkeli/case insight)</w:t>
            </w:r>
          </w:p>
        </w:tc>
      </w:tr>
      <w:tr>
        <w:tc>
          <w:tcPr>
            <w:tcW w:type="dxa" w:w="4320"/>
          </w:tcPr>
          <w:p>
            <w:r>
              <w:rPr>
                <w:sz w:val="18"/>
              </w:rPr>
              <w:t>Torstai</w:t>
            </w:r>
          </w:p>
        </w:tc>
        <w:tc>
          <w:tcPr>
            <w:tcW w:type="dxa" w:w="4320"/>
          </w:tcPr>
          <w:p>
            <w:r>
              <w:rPr>
                <w:sz w:val="18"/>
              </w:rPr>
              <w:t>Asiakastyö + seurannat (vain Day 2 -vastaukset)</w:t>
            </w:r>
          </w:p>
        </w:tc>
      </w:tr>
      <w:tr>
        <w:tc>
          <w:tcPr>
            <w:tcW w:type="dxa" w:w="4320"/>
          </w:tcPr>
          <w:p>
            <w:r>
              <w:rPr>
                <w:sz w:val="18"/>
              </w:rPr>
              <w:t>Perjantai</w:t>
            </w:r>
          </w:p>
        </w:tc>
        <w:tc>
          <w:tcPr>
            <w:tcW w:type="dxa" w:w="4320"/>
          </w:tcPr>
          <w:p>
            <w:r>
              <w:rPr>
                <w:sz w:val="18"/>
              </w:rPr>
              <w:t>Reflektio + valmistautuminen. Ei myyntiä perjantaisin.</w:t>
            </w:r>
          </w:p>
        </w:tc>
      </w:tr>
    </w:tbl>
    <w:p>
      <w:pPr>
        <w:pStyle w:val="Heading1"/>
      </w:pPr>
      <w:r>
        <w:t>6. Työsuhteen aloittaminen</w:t>
      </w:r>
    </w:p>
    <w:p>
      <w:pPr>
        <w:pStyle w:val="Heading2"/>
      </w:pPr>
      <w:r>
        <w:t>Rekrytointiprosessi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Vaihe</w:t>
            </w:r>
          </w:p>
        </w:tc>
        <w:tc>
          <w:tcPr>
            <w:tcW w:type="dxa" w:w="2880"/>
          </w:tcPr>
          <w:p>
            <w:r>
              <w:rPr>
                <w:b/>
                <w:sz w:val="18"/>
              </w:rPr>
              <w:t>Toimenpide</w:t>
            </w:r>
          </w:p>
        </w:tc>
        <w:tc>
          <w:tcPr>
            <w:tcW w:type="dxa" w:w="2880"/>
          </w:tcPr>
          <w:p>
            <w:r>
              <w:rPr>
                <w:b/>
                <w:sz w:val="18"/>
              </w:rPr>
              <w:t>Dokumentit</w:t>
            </w:r>
          </w:p>
        </w:tc>
      </w:tr>
      <w:tr>
        <w:tc>
          <w:tcPr>
            <w:tcW w:type="dxa" w:w="2880"/>
          </w:tcPr>
          <w:p>
            <w:r>
              <w:rPr>
                <w:sz w:val="18"/>
              </w:rPr>
              <w:t>1. Ensikontakti</w:t>
            </w:r>
          </w:p>
        </w:tc>
        <w:tc>
          <w:tcPr>
            <w:tcW w:type="dxa" w:w="2880"/>
          </w:tcPr>
          <w:p>
            <w:r>
              <w:rPr>
                <w:sz w:val="18"/>
              </w:rPr>
              <w:t>Haastattelut: tekninen osaaminen, DWS-tuotetuntemus, kulttuurisopivuus</w:t>
            </w:r>
          </w:p>
        </w:tc>
        <w:tc>
          <w:tcPr>
            <w:tcW w:type="dxa" w:w="2880"/>
          </w:tcPr>
          <w:p>
            <w:r>
              <w:rPr>
                <w:sz w:val="18"/>
              </w:rPr>
              <w:t>Hakemus, CV</w:t>
            </w:r>
          </w:p>
        </w:tc>
      </w:tr>
      <w:tr>
        <w:tc>
          <w:tcPr>
            <w:tcW w:type="dxa" w:w="2880"/>
          </w:tcPr>
          <w:p>
            <w:r>
              <w:rPr>
                <w:sz w:val="18"/>
              </w:rPr>
              <w:t>2. NDA</w:t>
            </w:r>
          </w:p>
        </w:tc>
        <w:tc>
          <w:tcPr>
            <w:tcW w:type="dxa" w:w="2880"/>
          </w:tcPr>
          <w:p>
            <w:r>
              <w:rPr>
                <w:sz w:val="18"/>
              </w:rPr>
              <w:t>Molemminpuolinen salassapitosopimus</w:t>
            </w:r>
          </w:p>
        </w:tc>
        <w:tc>
          <w:tcPr>
            <w:tcW w:type="dxa" w:w="2880"/>
          </w:tcPr>
          <w:p>
            <w:r>
              <w:rPr>
                <w:sz w:val="18"/>
              </w:rPr>
              <w:t>NDA (Lifetime Oy standardi)</w:t>
            </w:r>
          </w:p>
        </w:tc>
      </w:tr>
      <w:tr>
        <w:tc>
          <w:tcPr>
            <w:tcW w:type="dxa" w:w="2880"/>
          </w:tcPr>
          <w:p>
            <w:r>
              <w:rPr>
                <w:sz w:val="18"/>
              </w:rPr>
              <w:t>3. Asiakasrajapinnan CV</w:t>
            </w:r>
          </w:p>
        </w:tc>
        <w:tc>
          <w:tcPr>
            <w:tcW w:type="dxa" w:w="2880"/>
          </w:tcPr>
          <w:p>
            <w:r>
              <w:rPr>
                <w:sz w:val="18"/>
              </w:rPr>
              <w:t>Customer CV: konsultin roolit, osaamisalueet, referenssit</w:t>
            </w:r>
          </w:p>
        </w:tc>
        <w:tc>
          <w:tcPr>
            <w:tcW w:type="dxa" w:w="2880"/>
          </w:tcPr>
          <w:p>
            <w:r>
              <w:rPr>
                <w:sz w:val="18"/>
              </w:rPr>
              <w:t>Customer CV template</w:t>
            </w:r>
          </w:p>
        </w:tc>
      </w:tr>
      <w:tr>
        <w:tc>
          <w:tcPr>
            <w:tcW w:type="dxa" w:w="2880"/>
          </w:tcPr>
          <w:p>
            <w:r>
              <w:rPr>
                <w:sz w:val="18"/>
              </w:rPr>
              <w:t>4. Rooliselvitys</w:t>
            </w:r>
          </w:p>
        </w:tc>
        <w:tc>
          <w:tcPr>
            <w:tcW w:type="dxa" w:w="2880"/>
          </w:tcPr>
          <w:p>
            <w:r>
              <w:rPr>
                <w:sz w:val="18"/>
              </w:rPr>
              <w:t>Mihin konsulttirooleihin henkilö soveltuu (ks. §5 roolit)</w:t>
            </w:r>
          </w:p>
        </w:tc>
        <w:tc>
          <w:tcPr>
            <w:tcW w:type="dxa" w:w="2880"/>
          </w:tcPr>
          <w:p>
            <w:r>
              <w:rPr>
                <w:sz w:val="18"/>
              </w:rPr>
              <w:t>Knowledge evaluation</w:t>
            </w:r>
          </w:p>
        </w:tc>
      </w:tr>
      <w:tr>
        <w:tc>
          <w:tcPr>
            <w:tcW w:type="dxa" w:w="2880"/>
          </w:tcPr>
          <w:p>
            <w:r>
              <w:rPr>
                <w:sz w:val="18"/>
              </w:rPr>
              <w:t>5. Hinnoittelu</w:t>
            </w:r>
          </w:p>
        </w:tc>
        <w:tc>
          <w:tcPr>
            <w:tcW w:type="dxa" w:w="2880"/>
          </w:tcPr>
          <w:p>
            <w:r>
              <w:rPr>
                <w:sz w:val="18"/>
              </w:rPr>
              <w:t>Esimiehen kanssa: veloitusperusteet asiakastöissä</w:t>
            </w:r>
          </w:p>
        </w:tc>
        <w:tc>
          <w:tcPr>
            <w:tcW w:type="dxa" w:w="2880"/>
          </w:tcPr>
          <w:p>
            <w:r>
              <w:rPr>
                <w:sz w:val="18"/>
              </w:rPr>
              <w:t>Hinnoittelupäätös</w:t>
            </w:r>
          </w:p>
        </w:tc>
      </w:tr>
      <w:tr>
        <w:tc>
          <w:tcPr>
            <w:tcW w:type="dxa" w:w="2880"/>
          </w:tcPr>
          <w:p>
            <w:r>
              <w:rPr>
                <w:sz w:val="18"/>
              </w:rPr>
              <w:t>6. Consultant Agreement</w:t>
            </w:r>
          </w:p>
        </w:tc>
        <w:tc>
          <w:tcPr>
            <w:tcW w:type="dxa" w:w="2880"/>
          </w:tcPr>
          <w:p>
            <w:r>
              <w:rPr>
                <w:sz w:val="18"/>
              </w:rPr>
              <w:t>Sopimuksen allekirjoitus</w:t>
            </w:r>
          </w:p>
        </w:tc>
        <w:tc>
          <w:tcPr>
            <w:tcW w:type="dxa" w:w="2880"/>
          </w:tcPr>
          <w:p>
            <w:r>
              <w:rPr>
                <w:sz w:val="18"/>
              </w:rPr>
              <w:t>Consultant Agreement</w:t>
            </w:r>
          </w:p>
        </w:tc>
      </w:tr>
      <w:tr>
        <w:tc>
          <w:tcPr>
            <w:tcW w:type="dxa" w:w="2880"/>
          </w:tcPr>
          <w:p>
            <w:r>
              <w:rPr>
                <w:sz w:val="18"/>
              </w:rPr>
              <w:t>7. Perehdytys</w:t>
            </w:r>
          </w:p>
        </w:tc>
        <w:tc>
          <w:tcPr>
            <w:tcW w:type="dxa" w:w="2880"/>
          </w:tcPr>
          <w:p>
            <w:r>
              <w:rPr>
                <w:sz w:val="18"/>
              </w:rPr>
              <w:t>DWS IQ 6 -tuotekoulutus, EU-sääntelyn perusteet, työkalut</w:t>
            </w:r>
          </w:p>
        </w:tc>
        <w:tc>
          <w:tcPr>
            <w:tcW w:type="dxa" w:w="2880"/>
          </w:tcPr>
          <w:p>
            <w:r>
              <w:rPr>
                <w:sz w:val="18"/>
              </w:rPr>
              <w:t>Perehdytysmateriaali</w:t>
            </w:r>
          </w:p>
        </w:tc>
      </w:tr>
    </w:tbl>
    <w:p>
      <w:pPr>
        <w:pStyle w:val="Heading2"/>
      </w:pPr>
      <w:r>
        <w:t>Perehdytyksen sisältö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Aihe</w:t>
            </w:r>
          </w:p>
        </w:tc>
        <w:tc>
          <w:tcPr>
            <w:tcW w:type="dxa" w:w="2880"/>
          </w:tcPr>
          <w:p>
            <w:r>
              <w:rPr>
                <w:b/>
                <w:sz w:val="18"/>
              </w:rPr>
              <w:t>Kesto</w:t>
            </w:r>
          </w:p>
        </w:tc>
        <w:tc>
          <w:tcPr>
            <w:tcW w:type="dxa" w:w="2880"/>
          </w:tcPr>
          <w:p>
            <w:r>
              <w:rPr>
                <w:b/>
                <w:sz w:val="18"/>
              </w:rPr>
              <w:t>Sisältö</w:t>
            </w:r>
          </w:p>
        </w:tc>
      </w:tr>
      <w:tr>
        <w:tc>
          <w:tcPr>
            <w:tcW w:type="dxa" w:w="2880"/>
          </w:tcPr>
          <w:p>
            <w:r>
              <w:rPr>
                <w:sz w:val="18"/>
              </w:rPr>
              <w:t>DWS IQ 6 -tuotekoulutus</w:t>
            </w:r>
          </w:p>
        </w:tc>
        <w:tc>
          <w:tcPr>
            <w:tcW w:type="dxa" w:w="2880"/>
          </w:tcPr>
          <w:p>
            <w:r>
              <w:rPr>
                <w:sz w:val="18"/>
              </w:rPr>
              <w:t>2 päivää</w:t>
            </w:r>
          </w:p>
        </w:tc>
        <w:tc>
          <w:tcPr>
            <w:tcW w:type="dxa" w:w="2880"/>
          </w:tcPr>
          <w:p>
            <w:r>
              <w:rPr>
                <w:sz w:val="18"/>
              </w:rPr>
              <w:t>Kolmiakselimalli, agentit, Article 12, KYA</w:t>
            </w:r>
          </w:p>
        </w:tc>
      </w:tr>
      <w:tr>
        <w:tc>
          <w:tcPr>
            <w:tcW w:type="dxa" w:w="2880"/>
          </w:tcPr>
          <w:p>
            <w:r>
              <w:rPr>
                <w:sz w:val="18"/>
              </w:rPr>
              <w:t>EU-sääntelyn perusteet</w:t>
            </w:r>
          </w:p>
        </w:tc>
        <w:tc>
          <w:tcPr>
            <w:tcW w:type="dxa" w:w="2880"/>
          </w:tcPr>
          <w:p>
            <w:r>
              <w:rPr>
                <w:sz w:val="18"/>
              </w:rPr>
              <w:t>1 päivä</w:t>
            </w:r>
          </w:p>
        </w:tc>
        <w:tc>
          <w:tcPr>
            <w:tcW w:type="dxa" w:w="2880"/>
          </w:tcPr>
          <w:p>
            <w:r>
              <w:rPr>
                <w:sz w:val="18"/>
              </w:rPr>
              <w:t>CBAM, CSRD, ETS, NIS2, CER, EU AI Act</w:t>
            </w:r>
          </w:p>
        </w:tc>
      </w:tr>
      <w:tr>
        <w:tc>
          <w:tcPr>
            <w:tcW w:type="dxa" w:w="2880"/>
          </w:tcPr>
          <w:p>
            <w:r>
              <w:rPr>
                <w:sz w:val="18"/>
              </w:rPr>
              <w:t>Teknologiakoulutus</w:t>
            </w:r>
          </w:p>
        </w:tc>
        <w:tc>
          <w:tcPr>
            <w:tcW w:type="dxa" w:w="2880"/>
          </w:tcPr>
          <w:p>
            <w:r>
              <w:rPr>
                <w:sz w:val="18"/>
              </w:rPr>
              <w:t>2 päivää</w:t>
            </w:r>
          </w:p>
        </w:tc>
        <w:tc>
          <w:tcPr>
            <w:tcW w:type="dxa" w:w="2880"/>
          </w:tcPr>
          <w:p>
            <w:r>
              <w:rPr>
                <w:sz w:val="18"/>
              </w:rPr>
              <w:t>NVIDIA-laitteisto, K8s, Claude Code, MCP</w:t>
            </w:r>
          </w:p>
        </w:tc>
      </w:tr>
      <w:tr>
        <w:tc>
          <w:tcPr>
            <w:tcW w:type="dxa" w:w="2880"/>
          </w:tcPr>
          <w:p>
            <w:r>
              <w:rPr>
                <w:sz w:val="18"/>
              </w:rPr>
              <w:t>Myyntiprosessi</w:t>
            </w:r>
          </w:p>
        </w:tc>
        <w:tc>
          <w:tcPr>
            <w:tcW w:type="dxa" w:w="2880"/>
          </w:tcPr>
          <w:p>
            <w:r>
              <w:rPr>
                <w:sz w:val="18"/>
              </w:rPr>
              <w:t>0.5 päivää</w:t>
            </w:r>
          </w:p>
        </w:tc>
        <w:tc>
          <w:tcPr>
            <w:tcW w:type="dxa" w:w="2880"/>
          </w:tcPr>
          <w:p>
            <w:r>
              <w:rPr>
                <w:sz w:val="18"/>
              </w:rPr>
              <w:t>Hiljaisuusperiaate, signaaliperusteisuus, kolme metaforaa</w:t>
            </w:r>
          </w:p>
        </w:tc>
      </w:tr>
      <w:tr>
        <w:tc>
          <w:tcPr>
            <w:tcW w:type="dxa" w:w="2880"/>
          </w:tcPr>
          <w:p>
            <w:r>
              <w:rPr>
                <w:sz w:val="18"/>
              </w:rPr>
              <w:t>Tietosuoja ja tietoturva</w:t>
            </w:r>
          </w:p>
        </w:tc>
        <w:tc>
          <w:tcPr>
            <w:tcW w:type="dxa" w:w="2880"/>
          </w:tcPr>
          <w:p>
            <w:r>
              <w:rPr>
                <w:sz w:val="18"/>
              </w:rPr>
              <w:t>0.5 päivää</w:t>
            </w:r>
          </w:p>
        </w:tc>
        <w:tc>
          <w:tcPr>
            <w:tcW w:type="dxa" w:w="2880"/>
          </w:tcPr>
          <w:p>
            <w:r>
              <w:rPr>
                <w:sz w:val="18"/>
              </w:rPr>
              <w:t>GDPR, KYA-hallinta, NIS2, tietoturvakäytännöt</w:t>
            </w:r>
          </w:p>
        </w:tc>
      </w:tr>
      <w:tr>
        <w:tc>
          <w:tcPr>
            <w:tcW w:type="dxa" w:w="2880"/>
          </w:tcPr>
          <w:p>
            <w:r>
              <w:rPr>
                <w:sz w:val="18"/>
              </w:rPr>
              <w:t>Työkalut</w:t>
            </w:r>
          </w:p>
        </w:tc>
        <w:tc>
          <w:tcPr>
            <w:tcW w:type="dxa" w:w="2880"/>
          </w:tcPr>
          <w:p>
            <w:r>
              <w:rPr>
                <w:sz w:val="18"/>
              </w:rPr>
              <w:t>0.5 päivää</w:t>
            </w:r>
          </w:p>
        </w:tc>
        <w:tc>
          <w:tcPr>
            <w:tcW w:type="dxa" w:w="2880"/>
          </w:tcPr>
          <w:p>
            <w:r>
              <w:rPr>
                <w:sz w:val="18"/>
              </w:rPr>
              <w:t>JIRA, Google Workspace, DWS CLI, GitHub</w:t>
            </w:r>
          </w:p>
        </w:tc>
      </w:tr>
    </w:tbl>
    <w:p>
      <w:pPr>
        <w:pStyle w:val="Heading1"/>
      </w:pPr>
      <w:r>
        <w:t>7. Strategiaprosessi</w:t>
      </w:r>
    </w:p>
    <w:p>
      <w:pPr>
        <w:pStyle w:val="Heading2"/>
      </w:pPr>
      <w:r>
        <w:t>Elävän strategian 7 askelta (päivitetty 2026)</w:t>
      </w:r>
    </w:p>
    <w:p>
      <w:r>
        <w:t>Strategiatyö on jokaisen konsultin asialistalla päivittäin. Olet mukana päättymättömässä pelissä, jossa jokainen erä pelataan jatkuvasti muuttuvilla kentällisillä ja voitto tai tappio ratkaistaan insight-viisikon kyvykkyys ja johdon pelitilanne johtamistaidot markkinoilla punniten. Tämä asettaa konsulteillemme erityisiä ketteryys- ja taitovaatimuksia. Toimimme aidosti kansainvälisessä toimintaympäristössä 24/7.</w:t>
      </w:r>
    </w:p>
    <w:p>
      <w:r>
        <w:t>Riston alkuperäinen 7 askelen strategiaprosessi on edelleen voimassa, mutta konteksti on muuttunut: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Askel</w:t>
            </w:r>
          </w:p>
        </w:tc>
        <w:tc>
          <w:tcPr>
            <w:tcW w:type="dxa" w:w="2880"/>
          </w:tcPr>
          <w:p>
            <w:r>
              <w:rPr>
                <w:b/>
                <w:sz w:val="18"/>
              </w:rPr>
              <w:t>2024</w:t>
            </w:r>
          </w:p>
        </w:tc>
        <w:tc>
          <w:tcPr>
            <w:tcW w:type="dxa" w:w="2880"/>
          </w:tcPr>
          <w:p>
            <w:r>
              <w:rPr>
                <w:b/>
                <w:sz w:val="18"/>
              </w:rPr>
              <w:t>2026</w:t>
            </w:r>
          </w:p>
        </w:tc>
      </w:tr>
      <w:tr>
        <w:tc>
          <w:tcPr>
            <w:tcW w:type="dxa" w:w="2880"/>
          </w:tcPr>
          <w:p>
            <w:r>
              <w:rPr>
                <w:sz w:val="18"/>
              </w:rPr>
              <w:t>1. Jatkuva skenaarioiden luominen</w:t>
            </w:r>
          </w:p>
        </w:tc>
        <w:tc>
          <w:tcPr>
            <w:tcW w:type="dxa" w:w="2880"/>
          </w:tcPr>
          <w:p>
            <w:r>
              <w:rPr>
                <w:sz w:val="18"/>
              </w:rPr>
              <w:t>Manuaalinen, tiimipohjainen</w:t>
            </w:r>
          </w:p>
        </w:tc>
        <w:tc>
          <w:tcPr>
            <w:tcW w:type="dxa" w:w="2880"/>
          </w:tcPr>
          <w:p>
            <w:r>
              <w:rPr>
                <w:sz w:val="18"/>
              </w:rPr>
              <w:t>DWS IQ -agentit automatisoivat skenaariotiedon keräämisen</w:t>
            </w:r>
          </w:p>
        </w:tc>
      </w:tr>
      <w:tr>
        <w:tc>
          <w:tcPr>
            <w:tcW w:type="dxa" w:w="2880"/>
          </w:tcPr>
          <w:p>
            <w:r>
              <w:rPr>
                <w:sz w:val="18"/>
              </w:rPr>
              <w:t>2. Skenaarioanalytiikka</w:t>
            </w:r>
          </w:p>
        </w:tc>
        <w:tc>
          <w:tcPr>
            <w:tcW w:type="dxa" w:w="2880"/>
          </w:tcPr>
          <w:p>
            <w:r>
              <w:rPr>
                <w:sz w:val="18"/>
              </w:rPr>
              <w:t>Power Platform, Microsoft 365</w:t>
            </w:r>
          </w:p>
        </w:tc>
        <w:tc>
          <w:tcPr>
            <w:tcW w:type="dxa" w:w="2880"/>
          </w:tcPr>
          <w:p>
            <w:r>
              <w:rPr>
                <w:sz w:val="18"/>
              </w:rPr>
              <w:t>AI-analytiikka: 50 agenttia, 15 000+ sääntelyn asiakirjaa</w:t>
            </w:r>
          </w:p>
        </w:tc>
      </w:tr>
      <w:tr>
        <w:tc>
          <w:tcPr>
            <w:tcW w:type="dxa" w:w="2880"/>
          </w:tcPr>
          <w:p>
            <w:r>
              <w:rPr>
                <w:sz w:val="18"/>
              </w:rPr>
              <w:t>3. Strategiset kokeilut</w:t>
            </w:r>
          </w:p>
        </w:tc>
        <w:tc>
          <w:tcPr>
            <w:tcW w:type="dxa" w:w="2880"/>
          </w:tcPr>
          <w:p>
            <w:r>
              <w:rPr>
                <w:sz w:val="18"/>
              </w:rPr>
              <w:t>Markkinatutkimus 7P</w:t>
            </w:r>
          </w:p>
        </w:tc>
        <w:tc>
          <w:tcPr>
            <w:tcW w:type="dxa" w:w="2880"/>
          </w:tcPr>
          <w:p>
            <w:r>
              <w:rPr>
                <w:sz w:val="18"/>
              </w:rPr>
              <w:t>Signal-based outreach, pilottimalli (scoping → pilot → annual)</w:t>
            </w:r>
          </w:p>
        </w:tc>
      </w:tr>
      <w:tr>
        <w:tc>
          <w:tcPr>
            <w:tcW w:type="dxa" w:w="2880"/>
          </w:tcPr>
          <w:p>
            <w:r>
              <w:rPr>
                <w:sz w:val="18"/>
              </w:rPr>
              <w:t>4. Strategian muokkaaminen (Shaping)</w:t>
            </w:r>
          </w:p>
        </w:tc>
        <w:tc>
          <w:tcPr>
            <w:tcW w:type="dxa" w:w="2880"/>
          </w:tcPr>
          <w:p>
            <w:r>
              <w:rPr>
                <w:sz w:val="18"/>
              </w:rPr>
              <w:t>eCommerce-painotteinen</w:t>
            </w:r>
          </w:p>
        </w:tc>
        <w:tc>
          <w:tcPr>
            <w:tcW w:type="dxa" w:w="2880"/>
          </w:tcPr>
          <w:p>
            <w:r>
              <w:rPr>
                <w:sz w:val="18"/>
              </w:rPr>
              <w:t>Sääntely-ohjautuva: CBAM 2026, ETS2 2027, EPBD 2028</w:t>
            </w:r>
          </w:p>
        </w:tc>
      </w:tr>
      <w:tr>
        <w:tc>
          <w:tcPr>
            <w:tcW w:type="dxa" w:w="2880"/>
          </w:tcPr>
          <w:p>
            <w:r>
              <w:rPr>
                <w:sz w:val="18"/>
              </w:rPr>
              <w:t>5. Arviointikriteerien reflektointi</w:t>
            </w:r>
          </w:p>
        </w:tc>
        <w:tc>
          <w:tcPr>
            <w:tcW w:type="dxa" w:w="2880"/>
          </w:tcPr>
          <w:p>
            <w:r>
              <w:rPr>
                <w:sz w:val="18"/>
              </w:rPr>
              <w:t>Manuaalinen tarkkailu</w:t>
            </w:r>
          </w:p>
        </w:tc>
        <w:tc>
          <w:tcPr>
            <w:tcW w:type="dxa" w:w="2880"/>
          </w:tcPr>
          <w:p>
            <w:r>
              <w:rPr>
                <w:sz w:val="18"/>
              </w:rPr>
              <w:t>Automatisoitu: regulatory radar, kilpailija-analytiikka</w:t>
            </w:r>
          </w:p>
        </w:tc>
      </w:tr>
      <w:tr>
        <w:tc>
          <w:tcPr>
            <w:tcW w:type="dxa" w:w="2880"/>
          </w:tcPr>
          <w:p>
            <w:r>
              <w:rPr>
                <w:sz w:val="18"/>
              </w:rPr>
              <w:t>6. Sidosryhmien kuuntelu</w:t>
            </w:r>
          </w:p>
        </w:tc>
        <w:tc>
          <w:tcPr>
            <w:tcW w:type="dxa" w:w="2880"/>
          </w:tcPr>
          <w:p>
            <w:r>
              <w:rPr>
                <w:sz w:val="18"/>
              </w:rPr>
              <w:t>Some</w:t>
            </w:r>
          </w:p>
        </w:tc>
        <w:tc>
          <w:tcPr>
            <w:tcW w:type="dxa" w:w="2880"/>
          </w:tcPr>
          <w:p>
            <w:r>
              <w:rPr>
                <w:sz w:val="18"/>
              </w:rPr>
              <w:t>Diagonal win -malli: jokaisen roolin voitto sytyttää toisen voiton</w:t>
            </w:r>
          </w:p>
        </w:tc>
      </w:tr>
      <w:tr>
        <w:tc>
          <w:tcPr>
            <w:tcW w:type="dxa" w:w="2880"/>
          </w:tcPr>
          <w:p>
            <w:r>
              <w:rPr>
                <w:sz w:val="18"/>
              </w:rPr>
              <w:t>7. Elävän strategian jalkauttaminen</w:t>
            </w:r>
          </w:p>
        </w:tc>
        <w:tc>
          <w:tcPr>
            <w:tcW w:type="dxa" w:w="2880"/>
          </w:tcPr>
          <w:p>
            <w:r>
              <w:rPr>
                <w:sz w:val="18"/>
              </w:rPr>
              <w:t>Workshopit, kanavat</w:t>
            </w:r>
          </w:p>
        </w:tc>
        <w:tc>
          <w:tcPr>
            <w:tcW w:type="dxa" w:w="2880"/>
          </w:tcPr>
          <w:p>
            <w:r>
              <w:rPr>
                <w:sz w:val="18"/>
              </w:rPr>
              <w:t>Tuoteperusteiset roadmapit, kvartaalittaiset tarkistukset</w:t>
            </w:r>
          </w:p>
        </w:tc>
      </w:tr>
    </w:tbl>
    <w:p>
      <w:pPr>
        <w:pStyle w:val="Heading2"/>
      </w:pPr>
      <w:r>
        <w:t>Skenaariotyöskentely 2026</w:t>
      </w:r>
    </w:p>
    <w:p>
      <w:pPr>
        <w:pStyle w:val="Quote"/>
        <w:ind w:left="720"/>
      </w:pPr>
      <w:r>
        <w:rPr>
          <w:i/>
          <w:color w:val="444444"/>
          <w:sz w:val="20"/>
        </w:rPr>
        <w:t>"Ihminen on hyvä luomaan skenaarioita, mutta ei välttämättä arvioimaan niiden toteutumisen todennäköisyyksiä. Ihmisille on luontaista tarinamuotoinen ajattelu, jossa yksi asia johtaa toiseen. Tämä auttaa tunnistamaan ja keksimään, miten asiat voisivat mennä. Se ei kuitenkaan kerro, kuinka todennäköisesti asiat menevät niin."</w:t>
      </w:r>
    </w:p>
    <w:p>
      <w:pPr>
        <w:pStyle w:val="Quote"/>
        <w:ind w:left="720"/>
      </w:pPr>
      <w:r>
        <w:rPr>
          <w:i/>
          <w:color w:val="444444"/>
          <w:sz w:val="20"/>
        </w:rPr>
        <w:t>— Risto Paarni, 2019</w:t>
      </w:r>
    </w:p>
    <w:p>
      <w:r>
        <w:t>Tämän vuoksi ihmiset tekevät huonoja valintoja luomiensa skenaarioiden perusteella: he kuvittelevat, että epätodennäköinen asia toteutuu ja toimivat sen mukaisesti. Näin he tuhlaavat resursseja asioihin jotka tuskin toteutuvat. Lisäksi he menettävät mahdollisuuksia, koska kaikki aika ja resurssit, jotka he laittavat epätodennäköisen tavoitteluun, on pois todennäköisen tavoittelusta.</w:t>
      </w:r>
    </w:p>
    <w:p>
      <w:r>
        <w:t>2026-lisäys: DWS IQ:n 50 agenttia automatisoivat skenaarioanalytiikan niin, ettei konsultti arvaa todennäköisyyksiä — AI laskee ne 15 000 sääntelyn asiakirjan ja toimialaontologioiden pohjalta.</w:t>
      </w:r>
    </w:p>
    <w:p>
      <w:pPr>
        <w:pStyle w:val="Quote"/>
        <w:ind w:left="720"/>
      </w:pPr>
      <w:r>
        <w:rPr>
          <w:i/>
          <w:color w:val="444444"/>
          <w:sz w:val="20"/>
        </w:rPr>
        <w:t>"Vaikka skenaariot usein syntyvät ihmisten ajattelusta, yksittäisen ihmisen tai ryhmän on mahdotonta ajatella useaa skenaariota syvällisesti samanaikaisesti, tunnistaa niistä jokaisen kriittiset oletukset ja seurata reaaliaikaisesti maailman kehittymistä."</w:t>
      </w:r>
    </w:p>
    <w:p>
      <w:pPr>
        <w:pStyle w:val="Quote"/>
        <w:ind w:left="720"/>
      </w:pPr>
      <w:r>
        <w:rPr>
          <w:i/>
          <w:color w:val="444444"/>
          <w:sz w:val="20"/>
        </w:rPr>
        <w:t>— Ritakallio &amp; Vuori, Elävä strategia</w:t>
      </w:r>
    </w:p>
    <w:p>
      <w:r>
        <w:t>Skenaarioiden luominen on jatkuva prosessi. Kun kohde muuttuu, reitti pitää päivittää. Huomioi esteet. Muuta reittiä. Ole hereillä. Asiakas muuttaa kohdetta. Muuta reittiä luovasti. Huomioi asiakaskokemuksen sujuvuus ensiksi, toiseksi taloudellisuus. Mutta ennen kaikkea asiakaskokemus.</w:t>
      </w:r>
    </w:p>
    <w:p>
      <w:pPr>
        <w:pStyle w:val="Quote"/>
        <w:ind w:left="720"/>
      </w:pPr>
      <w:r>
        <w:rPr>
          <w:i/>
          <w:color w:val="444444"/>
          <w:sz w:val="20"/>
        </w:rPr>
        <w:t>"Tunnista kaikki pitkän aikavälin tavoitteet. Litet bättre."</w:t>
      </w:r>
    </w:p>
    <w:p>
      <w:r>
        <w:t>Me emme seuraa trendejä. Me luomme niitä. Keskeistä on älyllinen laajuus.</w:t>
      </w:r>
    </w:p>
    <w:p>
      <w:pPr>
        <w:pStyle w:val="Quote"/>
        <w:ind w:left="720"/>
      </w:pPr>
      <w:r>
        <w:rPr>
          <w:i/>
          <w:color w:val="444444"/>
          <w:sz w:val="20"/>
        </w:rPr>
        <w:t>"Ravistaudu irti vääristä tulevaisuuspoluista noudattamalla nuhteetonta elämäntapaa."</w:t>
      </w:r>
    </w:p>
    <w:p>
      <w:pPr>
        <w:pStyle w:val="Quote"/>
        <w:ind w:left="720"/>
      </w:pPr>
      <w:r>
        <w:rPr>
          <w:i/>
          <w:color w:val="444444"/>
          <w:sz w:val="20"/>
        </w:rPr>
        <w:t>"Saavuta myönteinen tunnetila. Kirjoita kirje. Lisää luovuutta. Tähtäin vyön keskelle. Se on siinä."</w:t>
      </w:r>
    </w:p>
    <w:p>
      <w:pPr>
        <w:pStyle w:val="Heading2"/>
      </w:pPr>
      <w:r>
        <w:t>SWOT-analyysi (Q2 2026)</w:t>
      </w:r>
    </w:p>
    <w:p>
      <w:r>
        <w:t>Vahvuudet:</w:t>
      </w:r>
    </w:p>
    <w:p>
      <w:pPr>
        <w:pStyle w:val="ListBullet"/>
      </w:pPr>
      <w:r>
        <w:t>EU AI Act Article 12 tuotannossa (5 kk ennen voimaantuloa)</w:t>
      </w:r>
    </w:p>
    <w:p>
      <w:pPr>
        <w:pStyle w:val="ListBullet"/>
      </w:pPr>
      <w:r>
        <w:t>100% asiakaspysyvyys, 6 maksavaa asiakasta</w:t>
      </w:r>
    </w:p>
    <w:p>
      <w:pPr>
        <w:pStyle w:val="ListBullet"/>
      </w:pPr>
      <w:r>
        <w:t>EU-suvereeni (nolla CLOUD Act), suomalainen infrastruktuuri</w:t>
      </w:r>
    </w:p>
    <w:p>
      <w:pPr>
        <w:pStyle w:val="ListBullet"/>
      </w:pPr>
      <w:r>
        <w:t>Hintaetu: Climate IQ €30K/v vs kilpailijat €50-200K/v</w:t>
      </w:r>
    </w:p>
    <w:p>
      <w:pPr>
        <w:pStyle w:val="ListBullet"/>
      </w:pPr>
      <w:r>
        <w:t>NVIDIA ISV Partner, Red Hat AI Partner</w:t>
      </w:r>
    </w:p>
    <w:p>
      <w:r>
        <w:t>Heikkoudet:</w:t>
      </w:r>
    </w:p>
    <w:p>
      <w:pPr>
        <w:pStyle w:val="ListBullet"/>
      </w:pPr>
      <w:r>
        <w:t>Yksinyrittäjä + freelance CTO + alihankkijat</w:t>
      </w:r>
    </w:p>
    <w:p>
      <w:pPr>
        <w:pStyle w:val="ListBullet"/>
      </w:pPr>
      <w:r>
        <w:t>Ei puolustussektorin referenssiasiakasta (vielä)</w:t>
      </w:r>
    </w:p>
    <w:p>
      <w:pPr>
        <w:pStyle w:val="ListBullet"/>
      </w:pPr>
      <w:r>
        <w:t>ISO 27001 kesken (Q3 2026)</w:t>
      </w:r>
    </w:p>
    <w:p>
      <w:r>
        <w:t>Mahdollisuudet:</w:t>
      </w:r>
    </w:p>
    <w:p>
      <w:pPr>
        <w:pStyle w:val="ListBullet"/>
      </w:pPr>
      <w:r>
        <w:t>CBAM-ilmoituskausi (Q3 2026) — pakollisia ostajia</w:t>
      </w:r>
    </w:p>
    <w:p>
      <w:pPr>
        <w:pStyle w:val="ListBullet"/>
      </w:pPr>
      <w:r>
        <w:t>ETS2 (tammikuu 2027) — uusi vertikaalinen markkina</w:t>
      </w:r>
    </w:p>
    <w:p>
      <w:pPr>
        <w:pStyle w:val="ListBullet"/>
      </w:pPr>
      <w:r>
        <w:t>Ruotsin markkinoiden aktivointi (SSAB, NCC AB, Skanska AB)</w:t>
      </w:r>
    </w:p>
    <w:p>
      <w:pPr>
        <w:pStyle w:val="ListBullet"/>
      </w:pPr>
      <w:r>
        <w:t>Diana NATO -uudelleenhakemus Aegis Defence GA:n jälkeen</w:t>
      </w:r>
    </w:p>
    <w:p>
      <w:r>
        <w:t>Uhat:</w:t>
      </w:r>
    </w:p>
    <w:p>
      <w:pPr>
        <w:pStyle w:val="ListBullet"/>
      </w:pPr>
      <w:r>
        <w:t>Normative (Tukholma) — kilpailija Pohjoismaissa</w:t>
      </w:r>
    </w:p>
    <w:p>
      <w:pPr>
        <w:pStyle w:val="ListBullet"/>
      </w:pPr>
      <w:r>
        <w:t>Sweep/Persefoni EU-laajentuminen</w:t>
      </w:r>
    </w:p>
    <w:p>
      <w:pPr>
        <w:pStyle w:val="ListBullet"/>
      </w:pPr>
      <w:r>
        <w:t>Yrittäjäriski: avainhenkilön poissaolo</w:t>
      </w:r>
    </w:p>
    <w:p>
      <w:pPr>
        <w:pStyle w:val="Heading1"/>
      </w:pPr>
      <w:r>
        <w:t>8. Myynti ja asiakastyö</w:t>
      </w:r>
    </w:p>
    <w:p>
      <w:pPr>
        <w:pStyle w:val="Heading2"/>
      </w:pPr>
      <w:r>
        <w:t>Kuuntelun tärkeys</w:t>
      </w:r>
    </w:p>
    <w:p>
      <w:r>
        <w:t>Kuuntelun vaikeus on myyntityön suurin haaste. Konsultin on kuunneltava jokaista sidosryhmää omalla tavallaan:</w:t>
      </w:r>
    </w:p>
    <w:p>
      <w:pPr>
        <w:pStyle w:val="ListBullet"/>
      </w:pPr>
      <w:r>
        <w:t>Asiakkaiden kuuntelu: Minkä ongelman ratkaisemme? Miksi tämä on parempi tapa?</w:t>
      </w:r>
    </w:p>
    <w:p>
      <w:pPr>
        <w:pStyle w:val="ListBullet"/>
      </w:pPr>
      <w:r>
        <w:t>Sidosryhmien kuuntelu: Miten voimme olla yhteiskunnallisesti arvostettu?</w:t>
      </w:r>
    </w:p>
    <w:p>
      <w:pPr>
        <w:pStyle w:val="ListBullet"/>
      </w:pPr>
      <w:r>
        <w:t>Ekosysteemien kuuntelu: Mitä trendejä suosimme / vältämme?</w:t>
      </w:r>
    </w:p>
    <w:p>
      <w:pPr>
        <w:pStyle w:val="ListBullet"/>
      </w:pPr>
      <w:r>
        <w:t>Kumppanien kuuntelu: Mitä avauksia kilpailijat ja kumppanit tuovat markkinoille? Miksi?</w:t>
      </w:r>
    </w:p>
    <w:p>
      <w:pPr>
        <w:pStyle w:val="ListBullet"/>
      </w:pPr>
      <w:r>
        <w:t>Naapurien kuuntelu: Mitä muilla toimialoilla tehdään joka voi vaikuttaa meihin tai meidän liiketoimintamahdollisuuksiin?</w:t>
      </w:r>
    </w:p>
    <w:p>
      <w:pPr>
        <w:pStyle w:val="Heading2"/>
      </w:pPr>
      <w:r>
        <w:t>Pohjoismainen myynti-DNA</w:t>
      </w:r>
    </w:p>
    <w:p>
      <w:pPr>
        <w:pStyle w:val="Quote"/>
        <w:ind w:left="720"/>
      </w:pPr>
      <w:r>
        <w:rPr>
          <w:i/>
          <w:color w:val="444444"/>
          <w:sz w:val="20"/>
        </w:rPr>
        <w:t>"Sometimes silence is the best ask. Listen until the customer is ready to give yes."</w:t>
      </w:r>
    </w:p>
    <w:p>
      <w:pPr>
        <w:pStyle w:val="Quote"/>
        <w:ind w:left="720"/>
      </w:pPr>
      <w:r>
        <w:rPr>
          <w:i/>
          <w:color w:val="444444"/>
          <w:sz w:val="20"/>
        </w:rPr>
        <w:t>— Risto Paarni</w:t>
      </w:r>
    </w:p>
    <w:p>
      <w:pPr>
        <w:pStyle w:val="Heading2"/>
      </w:pPr>
      <w:r>
        <w:t>Kolme myyntimetaforaa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Metafora</w:t>
            </w:r>
          </w:p>
        </w:tc>
        <w:tc>
          <w:tcPr>
            <w:tcW w:type="dxa" w:w="2160"/>
          </w:tcPr>
          <w:p>
            <w:r>
              <w:rPr>
                <w:b/>
                <w:sz w:val="18"/>
              </w:rPr>
              <w:t>Kauppatyyppi</w:t>
            </w:r>
          </w:p>
        </w:tc>
        <w:tc>
          <w:tcPr>
            <w:tcW w:type="dxa" w:w="2160"/>
          </w:tcPr>
          <w:p>
            <w:r>
              <w:rPr>
                <w:b/>
                <w:sz w:val="18"/>
              </w:rPr>
              <w:t>Milloin käytetään</w:t>
            </w:r>
          </w:p>
        </w:tc>
        <w:tc>
          <w:tcPr>
            <w:tcW w:type="dxa" w:w="2160"/>
          </w:tcPr>
          <w:p>
            <w:r>
              <w:rPr>
                <w:b/>
                <w:sz w:val="18"/>
              </w:rPr>
              <w:t>Esimerkki</w:t>
            </w:r>
          </w:p>
        </w:tc>
      </w:tr>
      <w:tr>
        <w:tc>
          <w:tcPr>
            <w:tcW w:type="dxa" w:w="2160"/>
          </w:tcPr>
          <w:p>
            <w:r>
              <w:rPr>
                <w:sz w:val="18"/>
              </w:rPr>
              <w:t>Buffet</w:t>
            </w:r>
          </w:p>
        </w:tc>
        <w:tc>
          <w:tcPr>
            <w:tcW w:type="dxa" w:w="2160"/>
          </w:tcPr>
          <w:p>
            <w:r>
              <w:rPr>
                <w:sz w:val="18"/>
              </w:rPr>
              <w:t>Julkinen hankinta</w:t>
            </w:r>
          </w:p>
        </w:tc>
        <w:tc>
          <w:tcPr>
            <w:tcW w:type="dxa" w:w="2160"/>
          </w:tcPr>
          <w:p>
            <w:r>
              <w:rPr>
                <w:sz w:val="18"/>
              </w:rPr>
              <w:t>Formaali tarjouskilpailu, julkaistu hinta, täysi läpinäkyvyys</w:t>
            </w:r>
          </w:p>
        </w:tc>
        <w:tc>
          <w:tcPr>
            <w:tcW w:type="dxa" w:w="2160"/>
          </w:tcPr>
          <w:p>
            <w:r>
              <w:rPr>
                <w:sz w:val="18"/>
              </w:rPr>
              <w:t>ORK — sama hinta kaikille</w:t>
            </w:r>
          </w:p>
        </w:tc>
      </w:tr>
      <w:tr>
        <w:tc>
          <w:tcPr>
            <w:tcW w:type="dxa" w:w="2160"/>
          </w:tcPr>
          <w:p>
            <w:r>
              <w:rPr>
                <w:sz w:val="18"/>
              </w:rPr>
              <w:t>Captain</w:t>
            </w:r>
          </w:p>
        </w:tc>
        <w:tc>
          <w:tcPr>
            <w:tcW w:type="dxa" w:w="2160"/>
          </w:tcPr>
          <w:p>
            <w:r>
              <w:rPr>
                <w:sz w:val="18"/>
              </w:rPr>
              <w:t>Lämmin henkilökohtainen suhde</w:t>
            </w:r>
          </w:p>
        </w:tc>
        <w:tc>
          <w:tcPr>
            <w:tcW w:type="dxa" w:w="2160"/>
          </w:tcPr>
          <w:p>
            <w:r>
              <w:rPr>
                <w:sz w:val="18"/>
              </w:rPr>
              <w:t>CEO-to-CEO, luottamuspohjainen, pilotti ensin</w:t>
            </w:r>
          </w:p>
        </w:tc>
        <w:tc>
          <w:tcPr>
            <w:tcW w:type="dxa" w:w="2160"/>
          </w:tcPr>
          <w:p>
            <w:r>
              <w:rPr>
                <w:sz w:val="18"/>
              </w:rPr>
              <w:t>Outokumpu (Ari Hirvonen)</w:t>
            </w:r>
          </w:p>
        </w:tc>
      </w:tr>
      <w:tr>
        <w:tc>
          <w:tcPr>
            <w:tcW w:type="dxa" w:w="2160"/>
          </w:tcPr>
          <w:p>
            <w:r>
              <w:rPr>
                <w:sz w:val="18"/>
              </w:rPr>
              <w:t>Vineyard</w:t>
            </w:r>
          </w:p>
        </w:tc>
        <w:tc>
          <w:tcPr>
            <w:tcW w:type="dxa" w:w="2160"/>
          </w:tcPr>
          <w:p>
            <w:r>
              <w:rPr>
                <w:sz w:val="18"/>
              </w:rPr>
              <w:t>Kärsivällinen viljely</w:t>
            </w:r>
          </w:p>
        </w:tc>
        <w:tc>
          <w:tcPr>
            <w:tcW w:type="dxa" w:w="2160"/>
          </w:tcPr>
          <w:p>
            <w:r>
              <w:rPr>
                <w:sz w:val="18"/>
              </w:rPr>
              <w:t>Board-ready materiaalit, ilmainen scoping, odota satoa</w:t>
            </w:r>
          </w:p>
        </w:tc>
        <w:tc>
          <w:tcPr>
            <w:tcW w:type="dxa" w:w="2160"/>
          </w:tcPr>
          <w:p>
            <w:r>
              <w:rPr>
                <w:sz w:val="18"/>
              </w:rPr>
              <w:t>Kemira (Maria Sederholm)</w:t>
            </w:r>
          </w:p>
        </w:tc>
      </w:tr>
    </w:tbl>
    <w:p>
      <w:pPr>
        <w:pStyle w:val="Heading2"/>
      </w:pPr>
      <w:r>
        <w:t>Myyntiperiaatteet</w:t>
      </w:r>
    </w:p>
    <w:p>
      <w:pPr>
        <w:pStyle w:val="ListNumber"/>
      </w:pPr>
      <w:r>
        <w:t>Hiljaisuusperiaate: Maksimissaan 2 kontaktia. Sen jälkeen sisältö tekee työn.</w:t>
      </w:r>
    </w:p>
    <w:p>
      <w:pPr>
        <w:pStyle w:val="ListNumber"/>
      </w:pPr>
      <w:r>
        <w:t>Signaaliperusteinen (signaalimyynti): Outreach vain kun on oikea signaali (sääntely, rekrytointi, tapahtuma, referenssi, julkinen haaste).</w:t>
      </w:r>
    </w:p>
    <w:p>
      <w:pPr>
        <w:pStyle w:val="ListNumber"/>
      </w:pPr>
      <w:r>
        <w:t>Ei perjantaimyyntiä: Pohjoismaiset ostajat eivät tee perjantaipäätöksiä.</w:t>
      </w:r>
    </w:p>
    <w:p>
      <w:pPr>
        <w:pStyle w:val="ListNumber"/>
      </w:pPr>
      <w:r>
        <w:t>Diagonal win: Jokaisen roolin voitto sytyttää jonkun toisen voiton.</w:t>
      </w:r>
    </w:p>
    <w:p>
      <w:pPr>
        <w:pStyle w:val="ListNumber"/>
      </w:pPr>
      <w:r>
        <w:t>Julkaistu hinta: Buffet-periaate — sama hinta kaikille.</w:t>
      </w:r>
    </w:p>
    <w:p>
      <w:pPr>
        <w:pStyle w:val="ListNumber"/>
      </w:pPr>
      <w:r>
        <w:t>Ei "disruption"-kieltä: Pohjoismainen vaatimattomuus. Todisteet ensin.</w:t>
      </w:r>
    </w:p>
    <w:p>
      <w:pPr>
        <w:pStyle w:val="Heading2"/>
      </w:pPr>
      <w:r>
        <w:t>Signaaliperusteiset triggerit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Signaali</w:t>
            </w:r>
          </w:p>
        </w:tc>
        <w:tc>
          <w:tcPr>
            <w:tcW w:type="dxa" w:w="2880"/>
          </w:tcPr>
          <w:p>
            <w:r>
              <w:rPr>
                <w:b/>
                <w:sz w:val="18"/>
              </w:rPr>
              <w:t>Esimerkki</w:t>
            </w:r>
          </w:p>
        </w:tc>
        <w:tc>
          <w:tcPr>
            <w:tcW w:type="dxa" w:w="2880"/>
          </w:tcPr>
          <w:p>
            <w:r>
              <w:rPr>
                <w:b/>
                <w:sz w:val="18"/>
              </w:rPr>
              <w:t>Toimenpide</w:t>
            </w:r>
          </w:p>
        </w:tc>
      </w:tr>
      <w:tr>
        <w:tc>
          <w:tcPr>
            <w:tcW w:type="dxa" w:w="2880"/>
          </w:tcPr>
          <w:p>
            <w:r>
              <w:rPr>
                <w:sz w:val="18"/>
              </w:rPr>
              <w:t>Sääntely</w:t>
            </w:r>
          </w:p>
        </w:tc>
        <w:tc>
          <w:tcPr>
            <w:tcW w:type="dxa" w:w="2880"/>
          </w:tcPr>
          <w:p>
            <w:r>
              <w:rPr>
                <w:sz w:val="18"/>
              </w:rPr>
              <w:t>CBAM-määräaika lähestyy</w:t>
            </w:r>
          </w:p>
        </w:tc>
        <w:tc>
          <w:tcPr>
            <w:tcW w:type="dxa" w:w="2880"/>
          </w:tcPr>
          <w:p>
            <w:r>
              <w:rPr>
                <w:sz w:val="18"/>
              </w:rPr>
              <w:t>Outreach CBAM-altistuneille yrityksille 90 päivää ennen</w:t>
            </w:r>
          </w:p>
        </w:tc>
      </w:tr>
      <w:tr>
        <w:tc>
          <w:tcPr>
            <w:tcW w:type="dxa" w:w="2880"/>
          </w:tcPr>
          <w:p>
            <w:r>
              <w:rPr>
                <w:sz w:val="18"/>
              </w:rPr>
              <w:t>Rekrytointi</w:t>
            </w:r>
          </w:p>
        </w:tc>
        <w:tc>
          <w:tcPr>
            <w:tcW w:type="dxa" w:w="2880"/>
          </w:tcPr>
          <w:p>
            <w:r>
              <w:rPr>
                <w:sz w:val="18"/>
              </w:rPr>
              <w:t>Yritys rekrytoi "Sustainability Manageria"</w:t>
            </w:r>
          </w:p>
        </w:tc>
        <w:tc>
          <w:tcPr>
            <w:tcW w:type="dxa" w:w="2880"/>
          </w:tcPr>
          <w:p>
            <w:r>
              <w:rPr>
                <w:sz w:val="18"/>
              </w:rPr>
              <w:t>"Olemme alusta, joka moninkertaistaa uuden rekryn tehon"</w:t>
            </w:r>
          </w:p>
        </w:tc>
      </w:tr>
      <w:tr>
        <w:tc>
          <w:tcPr>
            <w:tcW w:type="dxa" w:w="2880"/>
          </w:tcPr>
          <w:p>
            <w:r>
              <w:rPr>
                <w:sz w:val="18"/>
              </w:rPr>
              <w:t>Tapahtuma</w:t>
            </w:r>
          </w:p>
        </w:tc>
        <w:tc>
          <w:tcPr>
            <w:tcW w:type="dxa" w:w="2880"/>
          </w:tcPr>
          <w:p>
            <w:r>
              <w:rPr>
                <w:sz w:val="18"/>
              </w:rPr>
              <w:t>Prospekti puhuu FinnBuildissä</w:t>
            </w:r>
          </w:p>
        </w:tc>
        <w:tc>
          <w:tcPr>
            <w:tcW w:type="dxa" w:w="2880"/>
          </w:tcPr>
          <w:p>
            <w:r>
              <w:rPr>
                <w:sz w:val="18"/>
              </w:rPr>
              <w:t>Osallistu, kuuntele, viittaa puheeseen yhteydenotossa</w:t>
            </w:r>
          </w:p>
        </w:tc>
      </w:tr>
      <w:tr>
        <w:tc>
          <w:tcPr>
            <w:tcW w:type="dxa" w:w="2880"/>
          </w:tcPr>
          <w:p>
            <w:r>
              <w:rPr>
                <w:sz w:val="18"/>
              </w:rPr>
              <w:t>Julkinen haaste</w:t>
            </w:r>
          </w:p>
        </w:tc>
        <w:tc>
          <w:tcPr>
            <w:tcW w:type="dxa" w:w="2880"/>
          </w:tcPr>
          <w:p>
            <w:r>
              <w:rPr>
                <w:sz w:val="18"/>
              </w:rPr>
              <w:t>CSRD-auditoinnin löydös vuosikertomuksessa</w:t>
            </w:r>
          </w:p>
        </w:tc>
        <w:tc>
          <w:tcPr>
            <w:tcW w:type="dxa" w:w="2880"/>
          </w:tcPr>
          <w:p>
            <w:r>
              <w:rPr>
                <w:sz w:val="18"/>
              </w:rPr>
              <w:t>"Kolme vertaisyritystä automatisoi saman löydöksen."</w:t>
            </w:r>
          </w:p>
        </w:tc>
      </w:tr>
      <w:tr>
        <w:tc>
          <w:tcPr>
            <w:tcW w:type="dxa" w:w="2880"/>
          </w:tcPr>
          <w:p>
            <w:r>
              <w:rPr>
                <w:sz w:val="18"/>
              </w:rPr>
              <w:t>Referenssi</w:t>
            </w:r>
          </w:p>
        </w:tc>
        <w:tc>
          <w:tcPr>
            <w:tcW w:type="dxa" w:w="2880"/>
          </w:tcPr>
          <w:p>
            <w:r>
              <w:rPr>
                <w:sz w:val="18"/>
              </w:rPr>
              <w:t>Nykyinen asiakas mainitsee vertaisyrityksen</w:t>
            </w:r>
          </w:p>
        </w:tc>
        <w:tc>
          <w:tcPr>
            <w:tcW w:type="dxa" w:w="2880"/>
          </w:tcPr>
          <w:p>
            <w:r>
              <w:rPr>
                <w:sz w:val="18"/>
              </w:rPr>
              <w:t>Lämmin intro asiakkaan kautta</w:t>
            </w:r>
          </w:p>
        </w:tc>
      </w:tr>
    </w:tbl>
    <w:p>
      <w:pPr>
        <w:pStyle w:val="Heading2"/>
      </w:pPr>
      <w:r>
        <w:t>Viiden tähden kehys</w:t>
      </w:r>
    </w:p>
    <w:p>
      <w:r>
        <w:t>Jokaisesta asiakaskontaktista tulee "arvio" — näkymätön mutta todellinen: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Tähti</w:t>
            </w:r>
          </w:p>
        </w:tc>
        <w:tc>
          <w:tcPr>
            <w:tcW w:type="dxa" w:w="2880"/>
          </w:tcPr>
          <w:p>
            <w:r>
              <w:rPr>
                <w:b/>
                <w:sz w:val="18"/>
              </w:rPr>
              <w:t>Mitä se tarkoittaa</w:t>
            </w:r>
          </w:p>
        </w:tc>
        <w:tc>
          <w:tcPr>
            <w:tcW w:type="dxa" w:w="2880"/>
          </w:tcPr>
          <w:p>
            <w:r>
              <w:rPr>
                <w:b/>
                <w:sz w:val="18"/>
              </w:rPr>
              <w:t>Miten ansaitset sen</w:t>
            </w:r>
          </w:p>
        </w:tc>
      </w:tr>
      <w:tr>
        <w:tc>
          <w:tcPr>
            <w:tcW w:type="dxa" w:w="2880"/>
          </w:tcPr>
          <w:p>
            <w:r>
              <w:rPr>
                <w:sz w:val="18"/>
              </w:rPr>
              <w:t>1</w:t>
            </w:r>
          </w:p>
        </w:tc>
        <w:tc>
          <w:tcPr>
            <w:tcW w:type="dxa" w:w="2880"/>
          </w:tcPr>
          <w:p>
            <w:r>
              <w:rPr>
                <w:sz w:val="18"/>
              </w:rPr>
              <w:t>He muistavat nimesi</w:t>
            </w:r>
          </w:p>
        </w:tc>
        <w:tc>
          <w:tcPr>
            <w:tcW w:type="dxa" w:w="2880"/>
          </w:tcPr>
          <w:p>
            <w:r>
              <w:rPr>
                <w:sz w:val="18"/>
              </w:rPr>
              <w:t>Ammattimainen ensikohtaaminen</w:t>
            </w:r>
          </w:p>
        </w:tc>
      </w:tr>
      <w:tr>
        <w:tc>
          <w:tcPr>
            <w:tcW w:type="dxa" w:w="2880"/>
          </w:tcPr>
          <w:p>
            <w:r>
              <w:rPr>
                <w:sz w:val="18"/>
              </w:rPr>
              <w:t>2</w:t>
            </w:r>
          </w:p>
        </w:tc>
        <w:tc>
          <w:tcPr>
            <w:tcW w:type="dxa" w:w="2880"/>
          </w:tcPr>
          <w:p>
            <w:r>
              <w:rPr>
                <w:sz w:val="18"/>
              </w:rPr>
              <w:t>He avaavat viestisi</w:t>
            </w:r>
          </w:p>
        </w:tc>
        <w:tc>
          <w:tcPr>
            <w:tcW w:type="dxa" w:w="2880"/>
          </w:tcPr>
          <w:p>
            <w:r>
              <w:rPr>
                <w:sz w:val="18"/>
              </w:rPr>
              <w:t>Signaaliperusteinen ajoitus — viestisi on relevantti</w:t>
            </w:r>
          </w:p>
        </w:tc>
      </w:tr>
      <w:tr>
        <w:tc>
          <w:tcPr>
            <w:tcW w:type="dxa" w:w="2880"/>
          </w:tcPr>
          <w:p>
            <w:r>
              <w:rPr>
                <w:sz w:val="18"/>
              </w:rPr>
              <w:t>3</w:t>
            </w:r>
          </w:p>
        </w:tc>
        <w:tc>
          <w:tcPr>
            <w:tcW w:type="dxa" w:w="2880"/>
          </w:tcPr>
          <w:p>
            <w:r>
              <w:rPr>
                <w:sz w:val="18"/>
              </w:rPr>
              <w:t>He vastaavat</w:t>
            </w:r>
          </w:p>
        </w:tc>
        <w:tc>
          <w:tcPr>
            <w:tcW w:type="dxa" w:w="2880"/>
          </w:tcPr>
          <w:p>
            <w:r>
              <w:rPr>
                <w:sz w:val="18"/>
              </w:rPr>
              <w:t>Kysyit yhden hyvän kysymyksen pitchaamisen sijaan</w:t>
            </w:r>
          </w:p>
        </w:tc>
      </w:tr>
      <w:tr>
        <w:tc>
          <w:tcPr>
            <w:tcW w:type="dxa" w:w="2880"/>
          </w:tcPr>
          <w:p>
            <w:r>
              <w:rPr>
                <w:sz w:val="18"/>
              </w:rPr>
              <w:t>4</w:t>
            </w:r>
          </w:p>
        </w:tc>
        <w:tc>
          <w:tcPr>
            <w:tcW w:type="dxa" w:w="2880"/>
          </w:tcPr>
          <w:p>
            <w:r>
              <w:rPr>
                <w:sz w:val="18"/>
              </w:rPr>
              <w:t>He ottavat tapaamisen</w:t>
            </w:r>
          </w:p>
        </w:tc>
        <w:tc>
          <w:tcPr>
            <w:tcW w:type="dxa" w:w="2880"/>
          </w:tcPr>
          <w:p>
            <w:r>
              <w:rPr>
                <w:sz w:val="18"/>
              </w:rPr>
              <w:t>Sisältösi vastasi kysymykseen joka heillä jo oli</w:t>
            </w:r>
          </w:p>
        </w:tc>
      </w:tr>
      <w:tr>
        <w:tc>
          <w:tcPr>
            <w:tcW w:type="dxa" w:w="2880"/>
          </w:tcPr>
          <w:p>
            <w:r>
              <w:rPr>
                <w:sz w:val="18"/>
              </w:rPr>
              <w:t>5</w:t>
            </w:r>
          </w:p>
        </w:tc>
        <w:tc>
          <w:tcPr>
            <w:tcW w:type="dxa" w:w="2880"/>
          </w:tcPr>
          <w:p>
            <w:r>
              <w:rPr>
                <w:sz w:val="18"/>
              </w:rPr>
              <w:t>He sanovat kyllä</w:t>
            </w:r>
          </w:p>
        </w:tc>
        <w:tc>
          <w:tcPr>
            <w:tcW w:type="dxa" w:w="2880"/>
          </w:tcPr>
          <w:p>
            <w:r>
              <w:rPr>
                <w:sz w:val="18"/>
              </w:rPr>
              <w:t>Poistit ahdistuksen, sovitit tahdin ja odotit kunnes he olivat valmiita</w:t>
            </w:r>
          </w:p>
        </w:tc>
      </w:tr>
    </w:tbl>
    <w:p>
      <w:pPr>
        <w:pStyle w:val="Heading1"/>
      </w:pPr>
      <w:r>
        <w:t>9. Asiakkuuden elinkaari</w:t>
      </w:r>
    </w:p>
    <w:p>
      <w:pPr>
        <w:pStyle w:val="Heading2"/>
      </w:pPr>
      <w:r>
        <w:t>Vuorovaikutus asiakkaan kanssa</w:t>
      </w:r>
    </w:p>
    <w:p>
      <w:pPr>
        <w:pStyle w:val="Quote"/>
        <w:ind w:left="720"/>
      </w:pPr>
      <w:r>
        <w:rPr>
          <w:i/>
          <w:color w:val="444444"/>
          <w:sz w:val="20"/>
        </w:rPr>
        <w:t>"'Köyhäile' ja anna alennusta asiakaskokemuksen ja myönteisen palautteen aikaansaamiseksi. Ole kärsivällinen. Ehdimme laskuttaa asiakasta seuraavalla kerralla kun tarve on tunnistettu."</w:t>
      </w:r>
    </w:p>
    <w:p>
      <w:pPr>
        <w:pStyle w:val="Quote"/>
        <w:ind w:left="720"/>
      </w:pPr>
      <w:r>
        <w:rPr>
          <w:i/>
          <w:color w:val="444444"/>
          <w:sz w:val="20"/>
        </w:rPr>
        <w:t>— Konsultin käsikirja, 2019</w:t>
      </w:r>
    </w:p>
    <w:p>
      <w:pPr>
        <w:pStyle w:val="Heading2"/>
      </w:pPr>
      <w:r>
        <w:t>B2B-asiakasmatka (päivitetty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Vaihe</w:t>
            </w:r>
          </w:p>
        </w:tc>
        <w:tc>
          <w:tcPr>
            <w:tcW w:type="dxa" w:w="2160"/>
          </w:tcPr>
          <w:p>
            <w:r>
              <w:rPr>
                <w:b/>
                <w:sz w:val="18"/>
              </w:rPr>
              <w:t>Asiakkaan toiminta</w:t>
            </w:r>
          </w:p>
        </w:tc>
        <w:tc>
          <w:tcPr>
            <w:tcW w:type="dxa" w:w="2160"/>
          </w:tcPr>
          <w:p>
            <w:r>
              <w:rPr>
                <w:b/>
                <w:sz w:val="18"/>
              </w:rPr>
              <w:t>DWS:n toiminta</w:t>
            </w:r>
          </w:p>
        </w:tc>
        <w:tc>
          <w:tcPr>
            <w:tcW w:type="dxa" w:w="2160"/>
          </w:tcPr>
          <w:p>
            <w:r>
              <w:rPr>
                <w:b/>
                <w:sz w:val="18"/>
              </w:rPr>
              <w:t>Kesto</w:t>
            </w:r>
          </w:p>
        </w:tc>
      </w:tr>
      <w:tr>
        <w:tc>
          <w:tcPr>
            <w:tcW w:type="dxa" w:w="2160"/>
          </w:tcPr>
          <w:p>
            <w:r>
              <w:rPr>
                <w:sz w:val="18"/>
              </w:rPr>
              <w:t>1. Tarve herää</w:t>
            </w:r>
          </w:p>
        </w:tc>
        <w:tc>
          <w:tcPr>
            <w:tcW w:type="dxa" w:w="2160"/>
          </w:tcPr>
          <w:p>
            <w:r>
              <w:rPr>
                <w:sz w:val="18"/>
              </w:rPr>
              <w:t>Sääntely pakottaa (CBAM, CSRD, ETS)</w:t>
            </w:r>
          </w:p>
        </w:tc>
        <w:tc>
          <w:tcPr>
            <w:tcW w:type="dxa" w:w="2160"/>
          </w:tcPr>
          <w:p>
            <w:r>
              <w:rPr>
                <w:sz w:val="18"/>
              </w:rPr>
              <w:t>Signaaliseuranta tunnistaa tarpeen</w:t>
            </w:r>
          </w:p>
        </w:tc>
        <w:tc>
          <w:tcPr>
            <w:tcW w:type="dxa" w:w="2160"/>
          </w:tcPr>
          <w:p>
            <w:r>
              <w:rPr>
                <w:sz w:val="18"/>
              </w:rPr>
              <w:t>—</w:t>
            </w:r>
          </w:p>
        </w:tc>
      </w:tr>
      <w:tr>
        <w:tc>
          <w:tcPr>
            <w:tcW w:type="dxa" w:w="2160"/>
          </w:tcPr>
          <w:p>
            <w:r>
              <w:rPr>
                <w:sz w:val="18"/>
              </w:rPr>
              <w:t>2. Ratkaisu-etsintä</w:t>
            </w:r>
          </w:p>
        </w:tc>
        <w:tc>
          <w:tcPr>
            <w:tcW w:type="dxa" w:w="2160"/>
          </w:tcPr>
          <w:p>
            <w:r>
              <w:rPr>
                <w:sz w:val="18"/>
              </w:rPr>
              <w:t>Vertailee vaihtoehtoja</w:t>
            </w:r>
          </w:p>
        </w:tc>
        <w:tc>
          <w:tcPr>
            <w:tcW w:type="dxa" w:w="2160"/>
          </w:tcPr>
          <w:p>
            <w:r>
              <w:rPr>
                <w:sz w:val="18"/>
              </w:rPr>
              <w:t>Sisältö: artikkelit, case-tutkimukset, LinkedIn</w:t>
            </w:r>
          </w:p>
        </w:tc>
        <w:tc>
          <w:tcPr>
            <w:tcW w:type="dxa" w:w="2160"/>
          </w:tcPr>
          <w:p>
            <w:r>
              <w:rPr>
                <w:sz w:val="18"/>
              </w:rPr>
              <w:t>2-4 viikkoa</w:t>
            </w:r>
          </w:p>
        </w:tc>
      </w:tr>
      <w:tr>
        <w:tc>
          <w:tcPr>
            <w:tcW w:type="dxa" w:w="2160"/>
          </w:tcPr>
          <w:p>
            <w:r>
              <w:rPr>
                <w:sz w:val="18"/>
              </w:rPr>
              <w:t>3. Scoping</w:t>
            </w:r>
          </w:p>
        </w:tc>
        <w:tc>
          <w:tcPr>
            <w:tcW w:type="dxa" w:w="2160"/>
          </w:tcPr>
          <w:p>
            <w:r>
              <w:rPr>
                <w:sz w:val="18"/>
              </w:rPr>
              <w:t>Sopii ilmaiseen kartoitukseen</w:t>
            </w:r>
          </w:p>
        </w:tc>
        <w:tc>
          <w:tcPr>
            <w:tcW w:type="dxa" w:w="2160"/>
          </w:tcPr>
          <w:p>
            <w:r>
              <w:rPr>
                <w:sz w:val="18"/>
              </w:rPr>
              <w:t>Ilmainen scoping (1-2 viikkoa), arvioi oikea tuote</w:t>
            </w:r>
          </w:p>
        </w:tc>
        <w:tc>
          <w:tcPr>
            <w:tcW w:type="dxa" w:w="2160"/>
          </w:tcPr>
          <w:p>
            <w:r>
              <w:rPr>
                <w:sz w:val="18"/>
              </w:rPr>
              <w:t>1-2 viikkoa</w:t>
            </w:r>
          </w:p>
        </w:tc>
      </w:tr>
      <w:tr>
        <w:tc>
          <w:tcPr>
            <w:tcW w:type="dxa" w:w="2160"/>
          </w:tcPr>
          <w:p>
            <w:r>
              <w:rPr>
                <w:sz w:val="18"/>
              </w:rPr>
              <w:t>4. Pilotti</w:t>
            </w:r>
          </w:p>
        </w:tc>
        <w:tc>
          <w:tcPr>
            <w:tcW w:type="dxa" w:w="2160"/>
          </w:tcPr>
          <w:p>
            <w:r>
              <w:rPr>
                <w:sz w:val="18"/>
              </w:rPr>
              <w:t>Allekirjoittaa pilotin (€4 950-24 000)</w:t>
            </w:r>
          </w:p>
        </w:tc>
        <w:tc>
          <w:tcPr>
            <w:tcW w:type="dxa" w:w="2160"/>
          </w:tcPr>
          <w:p>
            <w:r>
              <w:rPr>
                <w:sz w:val="18"/>
              </w:rPr>
              <w:t>Enterprise Navigator, 3 kk pilotti</w:t>
            </w:r>
          </w:p>
        </w:tc>
        <w:tc>
          <w:tcPr>
            <w:tcW w:type="dxa" w:w="2160"/>
          </w:tcPr>
          <w:p>
            <w:r>
              <w:rPr>
                <w:sz w:val="18"/>
              </w:rPr>
              <w:t>3 kuukautta</w:t>
            </w:r>
          </w:p>
        </w:tc>
      </w:tr>
      <w:tr>
        <w:tc>
          <w:tcPr>
            <w:tcW w:type="dxa" w:w="2160"/>
          </w:tcPr>
          <w:p>
            <w:r>
              <w:rPr>
                <w:sz w:val="18"/>
              </w:rPr>
              <w:t>5. Vuosisopimus</w:t>
            </w:r>
          </w:p>
        </w:tc>
        <w:tc>
          <w:tcPr>
            <w:tcW w:type="dxa" w:w="2160"/>
          </w:tcPr>
          <w:p>
            <w:r>
              <w:rPr>
                <w:sz w:val="18"/>
              </w:rPr>
              <w:t>Sitoutuu vuosimaksuun</w:t>
            </w:r>
          </w:p>
        </w:tc>
        <w:tc>
          <w:tcPr>
            <w:tcW w:type="dxa" w:w="2160"/>
          </w:tcPr>
          <w:p>
            <w:r>
              <w:rPr>
                <w:sz w:val="18"/>
              </w:rPr>
              <w:t>Climate IQ €29 990/v tai Enterprise Premium €8 950/v</w:t>
            </w:r>
          </w:p>
        </w:tc>
        <w:tc>
          <w:tcPr>
            <w:tcW w:type="dxa" w:w="2160"/>
          </w:tcPr>
          <w:p>
            <w:r>
              <w:rPr>
                <w:sz w:val="18"/>
              </w:rPr>
              <w:t>12 kuukautta</w:t>
            </w:r>
          </w:p>
        </w:tc>
      </w:tr>
      <w:tr>
        <w:tc>
          <w:tcPr>
            <w:tcW w:type="dxa" w:w="2160"/>
          </w:tcPr>
          <w:p>
            <w:r>
              <w:rPr>
                <w:sz w:val="18"/>
              </w:rPr>
              <w:t>6. Laajentaminen</w:t>
            </w:r>
          </w:p>
        </w:tc>
        <w:tc>
          <w:tcPr>
            <w:tcW w:type="dxa" w:w="2160"/>
          </w:tcPr>
          <w:p>
            <w:r>
              <w:rPr>
                <w:sz w:val="18"/>
              </w:rPr>
              <w:t>Laajentaa lisäakseleille</w:t>
            </w:r>
          </w:p>
        </w:tc>
        <w:tc>
          <w:tcPr>
            <w:tcW w:type="dxa" w:w="2160"/>
          </w:tcPr>
          <w:p>
            <w:r>
              <w:rPr>
                <w:sz w:val="18"/>
              </w:rPr>
              <w:t>Industrial IQ tai Aegis, jos tarve vahvistettu</w:t>
            </w:r>
          </w:p>
        </w:tc>
        <w:tc>
          <w:tcPr>
            <w:tcW w:type="dxa" w:w="2160"/>
          </w:tcPr>
          <w:p>
            <w:r>
              <w:rPr>
                <w:sz w:val="18"/>
              </w:rPr>
              <w:t>Käynnissä</w:t>
            </w:r>
          </w:p>
        </w:tc>
      </w:tr>
    </w:tbl>
    <w:p>
      <w:pPr>
        <w:pStyle w:val="Heading2"/>
      </w:pPr>
      <w:r>
        <w:t>Asiakaskontrollipisteet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Mitä mitataan</w:t>
            </w:r>
          </w:p>
        </w:tc>
        <w:tc>
          <w:tcPr>
            <w:tcW w:type="dxa" w:w="2880"/>
          </w:tcPr>
          <w:p>
            <w:r>
              <w:rPr>
                <w:b/>
                <w:sz w:val="18"/>
              </w:rPr>
              <w:t>Tavoite</w:t>
            </w:r>
          </w:p>
        </w:tc>
      </w:tr>
      <w:tr>
        <w:tc>
          <w:tcPr>
            <w:tcW w:type="dxa" w:w="2880"/>
          </w:tcPr>
          <w:p>
            <w:r>
              <w:rPr>
                <w:sz w:val="18"/>
              </w:rPr>
              <w:t>30 päivää</w:t>
            </w:r>
          </w:p>
        </w:tc>
        <w:tc>
          <w:tcPr>
            <w:tcW w:type="dxa" w:w="2880"/>
          </w:tcPr>
          <w:p>
            <w:r>
              <w:rPr>
                <w:sz w:val="18"/>
              </w:rPr>
              <w:t>Tuotteen käyttöaste</w:t>
            </w:r>
          </w:p>
        </w:tc>
        <w:tc>
          <w:tcPr>
            <w:tcW w:type="dxa" w:w="2880"/>
          </w:tcPr>
          <w:p>
            <w:r>
              <w:rPr>
                <w:sz w:val="18"/>
              </w:rPr>
              <w:t>&gt;50% agenteista aktiivisessa käytössä</w:t>
            </w:r>
          </w:p>
        </w:tc>
      </w:tr>
      <w:tr>
        <w:tc>
          <w:tcPr>
            <w:tcW w:type="dxa" w:w="2880"/>
          </w:tcPr>
          <w:p>
            <w:r>
              <w:rPr>
                <w:sz w:val="18"/>
              </w:rPr>
              <w:t>90 päivää (pilotin loppu)</w:t>
            </w:r>
          </w:p>
        </w:tc>
        <w:tc>
          <w:tcPr>
            <w:tcW w:type="dxa" w:w="2880"/>
          </w:tcPr>
          <w:p>
            <w:r>
              <w:rPr>
                <w:sz w:val="18"/>
              </w:rPr>
              <w:t>KPI-toteutuma</w:t>
            </w:r>
          </w:p>
        </w:tc>
        <w:tc>
          <w:tcPr>
            <w:tcW w:type="dxa" w:w="2880"/>
          </w:tcPr>
          <w:p>
            <w:r>
              <w:rPr>
                <w:sz w:val="18"/>
              </w:rPr>
              <w:t>CBAM-prosessointiaika, CSRD-datan kattavuus</w:t>
            </w:r>
          </w:p>
        </w:tc>
      </w:tr>
      <w:tr>
        <w:tc>
          <w:tcPr>
            <w:tcW w:type="dxa" w:w="2880"/>
          </w:tcPr>
          <w:p>
            <w:r>
              <w:rPr>
                <w:sz w:val="18"/>
              </w:rPr>
              <w:t>180 päivää</w:t>
            </w:r>
          </w:p>
        </w:tc>
        <w:tc>
          <w:tcPr>
            <w:tcW w:type="dxa" w:w="2880"/>
          </w:tcPr>
          <w:p>
            <w:r>
              <w:rPr>
                <w:sz w:val="18"/>
              </w:rPr>
              <w:t>Laajenemissignaali</w:t>
            </w:r>
          </w:p>
        </w:tc>
        <w:tc>
          <w:tcPr>
            <w:tcW w:type="dxa" w:w="2880"/>
          </w:tcPr>
          <w:p>
            <w:r>
              <w:rPr>
                <w:sz w:val="18"/>
              </w:rPr>
              <w:t>Tarvitseeko asiakas Industrial IQ tai Aegis?</w:t>
            </w:r>
          </w:p>
        </w:tc>
      </w:tr>
      <w:tr>
        <w:tc>
          <w:tcPr>
            <w:tcW w:type="dxa" w:w="2880"/>
          </w:tcPr>
          <w:p>
            <w:r>
              <w:rPr>
                <w:sz w:val="18"/>
              </w:rPr>
              <w:t>365 päivää</w:t>
            </w:r>
          </w:p>
        </w:tc>
        <w:tc>
          <w:tcPr>
            <w:tcW w:type="dxa" w:w="2880"/>
          </w:tcPr>
          <w:p>
            <w:r>
              <w:rPr>
                <w:sz w:val="18"/>
              </w:rPr>
              <w:t>Uudistaminen</w:t>
            </w:r>
          </w:p>
        </w:tc>
        <w:tc>
          <w:tcPr>
            <w:tcW w:type="dxa" w:w="2880"/>
          </w:tcPr>
          <w:p>
            <w:r>
              <w:rPr>
                <w:sz w:val="18"/>
              </w:rPr>
              <w:t>100% retention tavoite</w:t>
            </w:r>
          </w:p>
        </w:tc>
      </w:tr>
    </w:tbl>
    <w:p>
      <w:pPr>
        <w:pStyle w:val="Heading2"/>
      </w:pPr>
      <w:r>
        <w:t>Nykyiset asiakkaat (Q2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Asiakas</w:t>
            </w:r>
          </w:p>
        </w:tc>
        <w:tc>
          <w:tcPr>
            <w:tcW w:type="dxa" w:w="2160"/>
          </w:tcPr>
          <w:p>
            <w:r>
              <w:rPr>
                <w:b/>
                <w:sz w:val="18"/>
              </w:rPr>
              <w:t>Sektori</w:t>
            </w:r>
          </w:p>
        </w:tc>
        <w:tc>
          <w:tcPr>
            <w:tcW w:type="dxa" w:w="2160"/>
          </w:tcPr>
          <w:p>
            <w:r>
              <w:rPr>
                <w:b/>
                <w:sz w:val="18"/>
              </w:rPr>
              <w:t>Tulos</w:t>
            </w:r>
          </w:p>
        </w:tc>
        <w:tc>
          <w:tcPr>
            <w:tcW w:type="dxa" w:w="2160"/>
          </w:tcPr>
          <w:p>
            <w:r>
              <w:rPr>
                <w:b/>
                <w:sz w:val="18"/>
              </w:rPr>
              <w:t>Mittari</w:t>
            </w:r>
          </w:p>
        </w:tc>
      </w:tr>
      <w:tr>
        <w:tc>
          <w:tcPr>
            <w:tcW w:type="dxa" w:w="2160"/>
          </w:tcPr>
          <w:p>
            <w:r>
              <w:rPr>
                <w:sz w:val="18"/>
              </w:rPr>
              <w:t>Kela</w:t>
            </w:r>
          </w:p>
        </w:tc>
        <w:tc>
          <w:tcPr>
            <w:tcW w:type="dxa" w:w="2160"/>
          </w:tcPr>
          <w:p>
            <w:r>
              <w:rPr>
                <w:sz w:val="18"/>
              </w:rPr>
              <w:t>Julkinen terveydenhuolto</w:t>
            </w:r>
          </w:p>
        </w:tc>
        <w:tc>
          <w:tcPr>
            <w:tcW w:type="dxa" w:w="2160"/>
          </w:tcPr>
          <w:p>
            <w:r>
              <w:rPr>
                <w:sz w:val="18"/>
              </w:rPr>
              <w:t>Auditointivalmiuden kiihdytys</w:t>
            </w:r>
          </w:p>
        </w:tc>
        <w:tc>
          <w:tcPr>
            <w:tcW w:type="dxa" w:w="2160"/>
          </w:tcPr>
          <w:p>
            <w:r>
              <w:rPr>
                <w:sz w:val="18"/>
              </w:rPr>
              <w:t>6 kuukautta → 4 viikkoa</w:t>
            </w:r>
          </w:p>
        </w:tc>
      </w:tr>
      <w:tr>
        <w:tc>
          <w:tcPr>
            <w:tcW w:type="dxa" w:w="2160"/>
          </w:tcPr>
          <w:p>
            <w:r>
              <w:rPr>
                <w:sz w:val="18"/>
              </w:rPr>
              <w:t>Uber Finland</w:t>
            </w:r>
          </w:p>
        </w:tc>
        <w:tc>
          <w:tcPr>
            <w:tcW w:type="dxa" w:w="2160"/>
          </w:tcPr>
          <w:p>
            <w:r>
              <w:rPr>
                <w:sz w:val="18"/>
              </w:rPr>
              <w:t>Kuljetus / CSRD</w:t>
            </w:r>
          </w:p>
        </w:tc>
        <w:tc>
          <w:tcPr>
            <w:tcW w:type="dxa" w:w="2160"/>
          </w:tcPr>
          <w:p>
            <w:r>
              <w:rPr>
                <w:sz w:val="18"/>
              </w:rPr>
              <w:t>Raportointiajan vähennys</w:t>
            </w:r>
          </w:p>
        </w:tc>
        <w:tc>
          <w:tcPr>
            <w:tcW w:type="dxa" w:w="2160"/>
          </w:tcPr>
          <w:p>
            <w:r>
              <w:rPr>
                <w:sz w:val="18"/>
              </w:rPr>
              <w:t>60h/kk → 8h/kk (87%)</w:t>
            </w:r>
          </w:p>
        </w:tc>
      </w:tr>
      <w:tr>
        <w:tc>
          <w:tcPr>
            <w:tcW w:type="dxa" w:w="2160"/>
          </w:tcPr>
          <w:p>
            <w:r>
              <w:rPr>
                <w:sz w:val="18"/>
              </w:rPr>
              <w:t>Bolt Finland</w:t>
            </w:r>
          </w:p>
        </w:tc>
        <w:tc>
          <w:tcPr>
            <w:tcW w:type="dxa" w:w="2160"/>
          </w:tcPr>
          <w:p>
            <w:r>
              <w:rPr>
                <w:sz w:val="18"/>
              </w:rPr>
              <w:t>Kuljetus / ETS</w:t>
            </w:r>
          </w:p>
        </w:tc>
        <w:tc>
          <w:tcPr>
            <w:tcW w:type="dxa" w:w="2160"/>
          </w:tcPr>
          <w:p>
            <w:r>
              <w:rPr>
                <w:sz w:val="18"/>
              </w:rPr>
              <w:t>Sakkoaltistuksen eliminointi</w:t>
            </w:r>
          </w:p>
        </w:tc>
        <w:tc>
          <w:tcPr>
            <w:tcW w:type="dxa" w:w="2160"/>
          </w:tcPr>
          <w:p>
            <w:r>
              <w:rPr>
                <w:sz w:val="18"/>
              </w:rPr>
              <w:t>€10K-50K → €0</w:t>
            </w:r>
          </w:p>
        </w:tc>
      </w:tr>
      <w:tr>
        <w:tc>
          <w:tcPr>
            <w:tcW w:type="dxa" w:w="2160"/>
          </w:tcPr>
          <w:p>
            <w:r>
              <w:rPr>
                <w:sz w:val="18"/>
              </w:rPr>
              <w:t>NCC</w:t>
            </w:r>
          </w:p>
        </w:tc>
        <w:tc>
          <w:tcPr>
            <w:tcW w:type="dxa" w:w="2160"/>
          </w:tcPr>
          <w:p>
            <w:r>
              <w:rPr>
                <w:sz w:val="18"/>
              </w:rPr>
              <w:t>Rakentaminen (€5.5B liikevaihto)</w:t>
            </w:r>
          </w:p>
        </w:tc>
        <w:tc>
          <w:tcPr>
            <w:tcW w:type="dxa" w:w="2160"/>
          </w:tcPr>
          <w:p>
            <w:r>
              <w:rPr>
                <w:sz w:val="18"/>
              </w:rPr>
              <w:t>Toimialareferenssi</w:t>
            </w:r>
          </w:p>
        </w:tc>
        <w:tc>
          <w:tcPr>
            <w:tcW w:type="dxa" w:w="2160"/>
          </w:tcPr>
          <w:p>
            <w:r>
              <w:rPr>
                <w:sz w:val="18"/>
              </w:rPr>
              <w:t>Rakennussektorin validointi</w:t>
            </w:r>
          </w:p>
        </w:tc>
      </w:tr>
      <w:tr>
        <w:tc>
          <w:tcPr>
            <w:tcW w:type="dxa" w:w="2160"/>
          </w:tcPr>
          <w:p>
            <w:r>
              <w:rPr>
                <w:sz w:val="18"/>
              </w:rPr>
              <w:t>+ 2 nimetöntä</w:t>
            </w:r>
          </w:p>
        </w:tc>
        <w:tc>
          <w:tcPr>
            <w:tcW w:type="dxa" w:w="2160"/>
          </w:tcPr>
          <w:p>
            <w:r>
              <w:rPr>
                <w:sz w:val="18"/>
              </w:rPr>
              <w:t>Teollisuus</w:t>
            </w:r>
          </w:p>
        </w:tc>
        <w:tc>
          <w:tcPr>
            <w:tcW w:type="dxa" w:w="2160"/>
          </w:tcPr>
          <w:p>
            <w:r>
              <w:rPr>
                <w:sz w:val="18"/>
              </w:rPr>
              <w:t>Tuotantokäyttö</w:t>
            </w:r>
          </w:p>
        </w:tc>
        <w:tc>
          <w:tcPr>
            <w:tcW w:type="dxa" w:w="2160"/>
          </w:tcPr>
          <w:p>
            <w:r>
              <w:rPr>
                <w:sz w:val="18"/>
              </w:rPr>
              <w:t>100% pysyvyys</w:t>
            </w:r>
          </w:p>
        </w:tc>
      </w:tr>
    </w:tbl>
    <w:p>
      <w:pPr>
        <w:pStyle w:val="Heading1"/>
      </w:pPr>
      <w:r>
        <w:t>10. Teknologiakartta</w:t>
      </w:r>
    </w:p>
    <w:p>
      <w:pPr>
        <w:pStyle w:val="Heading2"/>
      </w:pPr>
      <w:r>
        <w:t>Teknologiapino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Kerros</w:t>
            </w:r>
          </w:p>
        </w:tc>
        <w:tc>
          <w:tcPr>
            <w:tcW w:type="dxa" w:w="2880"/>
          </w:tcPr>
          <w:p>
            <w:r>
              <w:rPr>
                <w:b/>
                <w:sz w:val="18"/>
              </w:rPr>
              <w:t>Teknologia</w:t>
            </w:r>
          </w:p>
        </w:tc>
        <w:tc>
          <w:tcPr>
            <w:tcW w:type="dxa" w:w="2880"/>
          </w:tcPr>
          <w:p>
            <w:r>
              <w:rPr>
                <w:b/>
                <w:sz w:val="18"/>
              </w:rPr>
              <w:t>Käyttö</w:t>
            </w:r>
          </w:p>
        </w:tc>
      </w:tr>
      <w:tr>
        <w:tc>
          <w:tcPr>
            <w:tcW w:type="dxa" w:w="2880"/>
          </w:tcPr>
          <w:p>
            <w:r>
              <w:rPr>
                <w:sz w:val="18"/>
              </w:rPr>
              <w:t>AI-mallit</w:t>
            </w:r>
          </w:p>
        </w:tc>
        <w:tc>
          <w:tcPr>
            <w:tcW w:type="dxa" w:w="2880"/>
          </w:tcPr>
          <w:p>
            <w:r>
              <w:rPr>
                <w:sz w:val="18"/>
              </w:rPr>
              <w:t>Qwen 2.5 72B, Llama 3.1 70B, Claude, Whisper</w:t>
            </w:r>
          </w:p>
        </w:tc>
        <w:tc>
          <w:tcPr>
            <w:tcW w:type="dxa" w:w="2880"/>
          </w:tcPr>
          <w:p>
            <w:r>
              <w:rPr>
                <w:sz w:val="18"/>
              </w:rPr>
              <w:t>Agenttien ydinmalleja</w:t>
            </w:r>
          </w:p>
        </w:tc>
      </w:tr>
      <w:tr>
        <w:tc>
          <w:tcPr>
            <w:tcW w:type="dxa" w:w="2880"/>
          </w:tcPr>
          <w:p>
            <w:r>
              <w:rPr>
                <w:sz w:val="18"/>
              </w:rPr>
              <w:t>Agent-hallinta</w:t>
            </w:r>
          </w:p>
        </w:tc>
        <w:tc>
          <w:tcPr>
            <w:tcW w:type="dxa" w:w="2880"/>
          </w:tcPr>
          <w:p>
            <w:r>
              <w:rPr>
                <w:sz w:val="18"/>
              </w:rPr>
              <w:t>KYA (Know Your Agent)</w:t>
            </w:r>
          </w:p>
        </w:tc>
        <w:tc>
          <w:tcPr>
            <w:tcW w:type="dxa" w:w="2880"/>
          </w:tcPr>
          <w:p>
            <w:r>
              <w:rPr>
                <w:sz w:val="18"/>
              </w:rPr>
              <w:t>Kryptografinen identiteetti, Firecracker MicroVM, &lt;125ms kill</w:t>
            </w:r>
          </w:p>
        </w:tc>
      </w:tr>
      <w:tr>
        <w:tc>
          <w:tcPr>
            <w:tcW w:type="dxa" w:w="2880"/>
          </w:tcPr>
          <w:p>
            <w:r>
              <w:rPr>
                <w:sz w:val="18"/>
              </w:rPr>
              <w:t>Infrastruktuuri</w:t>
            </w:r>
          </w:p>
        </w:tc>
        <w:tc>
          <w:tcPr>
            <w:tcW w:type="dxa" w:w="2880"/>
          </w:tcPr>
          <w:p>
            <w:r>
              <w:rPr>
                <w:sz w:val="18"/>
              </w:rPr>
              <w:t>UpCloud Helsinki (K8s), NVIDIA DGX Spark</w:t>
            </w:r>
          </w:p>
        </w:tc>
        <w:tc>
          <w:tcPr>
            <w:tcW w:type="dxa" w:w="2880"/>
          </w:tcPr>
          <w:p>
            <w:r>
              <w:rPr>
                <w:sz w:val="18"/>
              </w:rPr>
              <w:t>Suvereeni cloud + edge</w:t>
            </w:r>
          </w:p>
        </w:tc>
      </w:tr>
      <w:tr>
        <w:tc>
          <w:tcPr>
            <w:tcW w:type="dxa" w:w="2880"/>
          </w:tcPr>
          <w:p>
            <w:r>
              <w:rPr>
                <w:sz w:val="18"/>
              </w:rPr>
              <w:t>Edge</w:t>
            </w:r>
          </w:p>
        </w:tc>
        <w:tc>
          <w:tcPr>
            <w:tcW w:type="dxa" w:w="2880"/>
          </w:tcPr>
          <w:p>
            <w:r>
              <w:rPr>
                <w:sz w:val="18"/>
              </w:rPr>
              <w:t>NVIDIA Jetson Orin Nano/NX/AGX</w:t>
            </w:r>
          </w:p>
        </w:tc>
        <w:tc>
          <w:tcPr>
            <w:tcW w:type="dxa" w:w="2880"/>
          </w:tcPr>
          <w:p>
            <w:r>
              <w:rPr>
                <w:sz w:val="18"/>
              </w:rPr>
              <w:t>&lt;100ms, offline, aurinkoenergia</w:t>
            </w:r>
          </w:p>
        </w:tc>
      </w:tr>
      <w:tr>
        <w:tc>
          <w:tcPr>
            <w:tcW w:type="dxa" w:w="2880"/>
          </w:tcPr>
          <w:p>
            <w:r>
              <w:rPr>
                <w:sz w:val="18"/>
              </w:rPr>
              <w:t>ERP-integraatiot</w:t>
            </w:r>
          </w:p>
        </w:tc>
        <w:tc>
          <w:tcPr>
            <w:tcW w:type="dxa" w:w="2880"/>
          </w:tcPr>
          <w:p>
            <w:r>
              <w:rPr>
                <w:sz w:val="18"/>
              </w:rPr>
              <w:t>SAP, IFS, Visma, Monitor, Jeeves</w:t>
            </w:r>
          </w:p>
        </w:tc>
        <w:tc>
          <w:tcPr>
            <w:tcW w:type="dxa" w:w="2880"/>
          </w:tcPr>
          <w:p>
            <w:r>
              <w:rPr>
                <w:sz w:val="18"/>
              </w:rPr>
              <w:t>Pohjoismaisten ERP-järjestelmien yhdistäminen</w:t>
            </w:r>
          </w:p>
        </w:tc>
      </w:tr>
      <w:tr>
        <w:tc>
          <w:tcPr>
            <w:tcW w:type="dxa" w:w="2880"/>
          </w:tcPr>
          <w:p>
            <w:r>
              <w:rPr>
                <w:sz w:val="18"/>
              </w:rPr>
              <w:t>Frontend</w:t>
            </w:r>
          </w:p>
        </w:tc>
        <w:tc>
          <w:tcPr>
            <w:tcW w:type="dxa" w:w="2880"/>
          </w:tcPr>
          <w:p>
            <w:r>
              <w:rPr>
                <w:sz w:val="18"/>
              </w:rPr>
              <w:t>DWS CLI, Dashboard</w:t>
            </w:r>
          </w:p>
        </w:tc>
        <w:tc>
          <w:tcPr>
            <w:tcW w:type="dxa" w:w="2880"/>
          </w:tcPr>
          <w:p>
            <w:r>
              <w:rPr>
                <w:sz w:val="18"/>
              </w:rPr>
              <w:t>Terminaali + web-käyttöliittymä</w:t>
            </w:r>
          </w:p>
        </w:tc>
      </w:tr>
      <w:tr>
        <w:tc>
          <w:tcPr>
            <w:tcW w:type="dxa" w:w="2880"/>
          </w:tcPr>
          <w:p>
            <w:r>
              <w:rPr>
                <w:sz w:val="18"/>
              </w:rPr>
              <w:t>DevOps</w:t>
            </w:r>
          </w:p>
        </w:tc>
        <w:tc>
          <w:tcPr>
            <w:tcW w:type="dxa" w:w="2880"/>
          </w:tcPr>
          <w:p>
            <w:r>
              <w:rPr>
                <w:sz w:val="18"/>
              </w:rPr>
              <w:t>GitHub, CI/CD, Cloudflare Pages</w:t>
            </w:r>
          </w:p>
        </w:tc>
        <w:tc>
          <w:tcPr>
            <w:tcW w:type="dxa" w:w="2880"/>
          </w:tcPr>
          <w:p>
            <w:r>
              <w:rPr>
                <w:sz w:val="18"/>
              </w:rPr>
              <w:t>Automaattinen käyttöönotto</w:t>
            </w:r>
          </w:p>
        </w:tc>
      </w:tr>
      <w:tr>
        <w:tc>
          <w:tcPr>
            <w:tcW w:type="dxa" w:w="2880"/>
          </w:tcPr>
          <w:p>
            <w:r>
              <w:rPr>
                <w:sz w:val="18"/>
              </w:rPr>
              <w:t>Sääntely-RAG</w:t>
            </w:r>
          </w:p>
        </w:tc>
        <w:tc>
          <w:tcPr>
            <w:tcW w:type="dxa" w:w="2880"/>
          </w:tcPr>
          <w:p>
            <w:r>
              <w:rPr>
                <w:sz w:val="18"/>
              </w:rPr>
              <w:t>15 000+ EU-asiakirjaa</w:t>
            </w:r>
          </w:p>
        </w:tc>
        <w:tc>
          <w:tcPr>
            <w:tcW w:type="dxa" w:w="2880"/>
          </w:tcPr>
          <w:p>
            <w:r>
              <w:rPr>
                <w:sz w:val="18"/>
              </w:rPr>
              <w:t>CELEX-viittaus jokaiselle päätökselle</w:t>
            </w:r>
          </w:p>
        </w:tc>
      </w:tr>
      <w:tr>
        <w:tc>
          <w:tcPr>
            <w:tcW w:type="dxa" w:w="2880"/>
          </w:tcPr>
          <w:p>
            <w:r>
              <w:rPr>
                <w:sz w:val="18"/>
              </w:rPr>
              <w:t>Auditointi</w:t>
            </w:r>
          </w:p>
        </w:tc>
        <w:tc>
          <w:tcPr>
            <w:tcW w:type="dxa" w:w="2880"/>
          </w:tcPr>
          <w:p>
            <w:r>
              <w:rPr>
                <w:sz w:val="18"/>
              </w:rPr>
              <w:t>EU AI Act Article 12</w:t>
            </w:r>
          </w:p>
        </w:tc>
        <w:tc>
          <w:tcPr>
            <w:tcW w:type="dxa" w:w="2880"/>
          </w:tcPr>
          <w:p>
            <w:r>
              <w:rPr>
                <w:sz w:val="18"/>
              </w:rPr>
              <w:t>Hash-ketjutettu, muuttumaton, 7 vuoden retentio</w:t>
            </w:r>
          </w:p>
        </w:tc>
      </w:tr>
    </w:tbl>
    <w:p>
      <w:pPr>
        <w:pStyle w:val="Heading2"/>
      </w:pPr>
      <w:r>
        <w:t>KYA — Know Your Agent (agenttihallinta)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Ominaisuus</w:t>
            </w:r>
          </w:p>
        </w:tc>
        <w:tc>
          <w:tcPr>
            <w:tcW w:type="dxa" w:w="2880"/>
          </w:tcPr>
          <w:p>
            <w:r>
              <w:rPr>
                <w:b/>
                <w:sz w:val="18"/>
              </w:rPr>
              <w:t>Miten se toimii</w:t>
            </w:r>
          </w:p>
        </w:tc>
        <w:tc>
          <w:tcPr>
            <w:tcW w:type="dxa" w:w="2880"/>
          </w:tcPr>
          <w:p>
            <w:r>
              <w:rPr>
                <w:b/>
                <w:sz w:val="18"/>
              </w:rPr>
              <w:t>Miksi puolustus tarvitsee sitä</w:t>
            </w:r>
          </w:p>
        </w:tc>
      </w:tr>
      <w:tr>
        <w:tc>
          <w:tcPr>
            <w:tcW w:type="dxa" w:w="2880"/>
          </w:tcPr>
          <w:p>
            <w:r>
              <w:rPr>
                <w:sz w:val="18"/>
              </w:rPr>
              <w:t>Kryptografinen identiteetti</w:t>
            </w:r>
          </w:p>
        </w:tc>
        <w:tc>
          <w:tcPr>
            <w:tcW w:type="dxa" w:w="2880"/>
          </w:tcPr>
          <w:p>
            <w:r>
              <w:rPr>
                <w:sz w:val="18"/>
              </w:rPr>
              <w:t>Jokainen agentti-istunto sidottu varmennettuun henkilöön</w:t>
            </w:r>
          </w:p>
        </w:tc>
        <w:tc>
          <w:tcPr>
            <w:tcW w:type="dxa" w:w="2880"/>
          </w:tcPr>
          <w:p>
            <w:r>
              <w:rPr>
                <w:sz w:val="18"/>
              </w:rPr>
              <w:t>Jäljitettävyys jokaiselle AI-päätökselle</w:t>
            </w:r>
          </w:p>
        </w:tc>
      </w:tr>
      <w:tr>
        <w:tc>
          <w:tcPr>
            <w:tcW w:type="dxa" w:w="2880"/>
          </w:tcPr>
          <w:p>
            <w:r>
              <w:rPr>
                <w:sz w:val="18"/>
              </w:rPr>
              <w:t>MicroVM-eristys</w:t>
            </w:r>
          </w:p>
        </w:tc>
        <w:tc>
          <w:tcPr>
            <w:tcW w:type="dxa" w:w="2880"/>
          </w:tcPr>
          <w:p>
            <w:r>
              <w:rPr>
                <w:sz w:val="18"/>
              </w:rPr>
              <w:t>Firecracker per agentti — oma kernel, &lt;5MB overhead</w:t>
            </w:r>
          </w:p>
        </w:tc>
        <w:tc>
          <w:tcPr>
            <w:tcW w:type="dxa" w:w="2880"/>
          </w:tcPr>
          <w:p>
            <w:r>
              <w:rPr>
                <w:sz w:val="18"/>
              </w:rPr>
              <w:t>Nolla lateraalista liikettä agenttien välillä</w:t>
            </w:r>
          </w:p>
        </w:tc>
      </w:tr>
      <w:tr>
        <w:tc>
          <w:tcPr>
            <w:tcW w:type="dxa" w:w="2880"/>
          </w:tcPr>
          <w:p>
            <w:r>
              <w:rPr>
                <w:sz w:val="18"/>
              </w:rPr>
              <w:t>Kill-auktoriteetti</w:t>
            </w:r>
          </w:p>
        </w:tc>
        <w:tc>
          <w:tcPr>
            <w:tcW w:type="dxa" w:w="2880"/>
          </w:tcPr>
          <w:p>
            <w:r>
              <w:rPr>
                <w:sz w:val="18"/>
              </w:rPr>
              <w:t>&lt;125ms terminointi, TPM 2.0 sinetöity todiste</w:t>
            </w:r>
          </w:p>
        </w:tc>
        <w:tc>
          <w:tcPr>
            <w:tcW w:type="dxa" w:w="2880"/>
          </w:tcPr>
          <w:p>
            <w:r>
              <w:rPr>
                <w:sz w:val="18"/>
              </w:rPr>
              <w:t>Reaaliaikainen AI-toimintojen hallinta</w:t>
            </w:r>
          </w:p>
        </w:tc>
      </w:tr>
      <w:tr>
        <w:tc>
          <w:tcPr>
            <w:tcW w:type="dxa" w:w="2880"/>
          </w:tcPr>
          <w:p>
            <w:r>
              <w:rPr>
                <w:sz w:val="18"/>
              </w:rPr>
              <w:t>Luottamuspisteet</w:t>
            </w:r>
          </w:p>
        </w:tc>
        <w:tc>
          <w:tcPr>
            <w:tcW w:type="dxa" w:w="2880"/>
          </w:tcPr>
          <w:p>
            <w:r>
              <w:rPr>
                <w:sz w:val="18"/>
              </w:rPr>
              <w:t>ATS 0.00-1.00, dynaaminen rajaus</w:t>
            </w:r>
          </w:p>
        </w:tc>
        <w:tc>
          <w:tcPr>
            <w:tcW w:type="dxa" w:w="2880"/>
          </w:tcPr>
          <w:p>
            <w:r>
              <w:rPr>
                <w:sz w:val="18"/>
              </w:rPr>
              <w:t>Automaattinen kyvykkyyden rajoitus epäilyttävässä käytöksessä</w:t>
            </w:r>
          </w:p>
        </w:tc>
      </w:tr>
    </w:tbl>
    <w:p>
      <w:pPr>
        <w:pStyle w:val="Heading2"/>
      </w:pPr>
      <w:r>
        <w:t>DWS Teknologian Roadmap — Tärkeimmät seurattavat</w:t>
      </w:r>
    </w:p>
    <w:p>
      <w:r>
        <w:t>Seuraavassa tärkeimmät teknologia roadmapit joita konsultin tulee seurata:</w:t>
      </w:r>
    </w:p>
    <w:p>
      <w:pPr>
        <w:pStyle w:val="Heading3"/>
      </w:pPr>
      <w:r>
        <w:t>NVIDIA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Tuote / Päivitys</w:t>
            </w:r>
          </w:p>
        </w:tc>
        <w:tc>
          <w:tcPr>
            <w:tcW w:type="dxa" w:w="2880"/>
          </w:tcPr>
          <w:p>
            <w:r>
              <w:rPr>
                <w:b/>
                <w:sz w:val="18"/>
              </w:rPr>
              <w:t>Vaikutus DWS:lle</w:t>
            </w:r>
          </w:p>
        </w:tc>
      </w:tr>
      <w:tr>
        <w:tc>
          <w:tcPr>
            <w:tcW w:type="dxa" w:w="2880"/>
          </w:tcPr>
          <w:p>
            <w:r>
              <w:rPr>
                <w:sz w:val="18"/>
              </w:rPr>
              <w:t>Q3 2026</w:t>
            </w:r>
          </w:p>
        </w:tc>
        <w:tc>
          <w:tcPr>
            <w:tcW w:type="dxa" w:w="2880"/>
          </w:tcPr>
          <w:p>
            <w:r>
              <w:rPr>
                <w:sz w:val="18"/>
              </w:rPr>
              <w:t>DGX Spark GA (128 GB, Grace Blackwell)</w:t>
            </w:r>
          </w:p>
        </w:tc>
        <w:tc>
          <w:tcPr>
            <w:tcW w:type="dxa" w:w="2880"/>
          </w:tcPr>
          <w:p>
            <w:r>
              <w:rPr>
                <w:sz w:val="18"/>
              </w:rPr>
              <w:t>Aegis Standard -laitteisto tuotantoon. €5 500 per yksikkö.</w:t>
            </w:r>
          </w:p>
        </w:tc>
      </w:tr>
      <w:tr>
        <w:tc>
          <w:tcPr>
            <w:tcW w:type="dxa" w:w="2880"/>
          </w:tcPr>
          <w:p>
            <w:r>
              <w:rPr>
                <w:sz w:val="18"/>
              </w:rPr>
              <w:t>Q3 2026</w:t>
            </w:r>
          </w:p>
        </w:tc>
        <w:tc>
          <w:tcPr>
            <w:tcW w:type="dxa" w:w="2880"/>
          </w:tcPr>
          <w:p>
            <w:r>
              <w:rPr>
                <w:sz w:val="18"/>
              </w:rPr>
              <w:t>Jetson Orin Super (NX/AGX)</w:t>
            </w:r>
          </w:p>
        </w:tc>
        <w:tc>
          <w:tcPr>
            <w:tcW w:type="dxa" w:w="2880"/>
          </w:tcPr>
          <w:p>
            <w:r>
              <w:rPr>
                <w:sz w:val="18"/>
              </w:rPr>
              <w:t>Edge-inferenssin nopeuttaminen. &lt;100ms → &lt;50ms tavoite.</w:t>
            </w:r>
          </w:p>
        </w:tc>
      </w:tr>
      <w:tr>
        <w:tc>
          <w:tcPr>
            <w:tcW w:type="dxa" w:w="2880"/>
          </w:tcPr>
          <w:p>
            <w:r>
              <w:rPr>
                <w:sz w:val="18"/>
              </w:rPr>
              <w:t>Q4 2026</w:t>
            </w:r>
          </w:p>
        </w:tc>
        <w:tc>
          <w:tcPr>
            <w:tcW w:type="dxa" w:w="2880"/>
          </w:tcPr>
          <w:p>
            <w:r>
              <w:rPr>
                <w:sz w:val="18"/>
              </w:rPr>
              <w:t>NeMo Microservices 2.0</w:t>
            </w:r>
          </w:p>
        </w:tc>
        <w:tc>
          <w:tcPr>
            <w:tcW w:type="dxa" w:w="2880"/>
          </w:tcPr>
          <w:p>
            <w:r>
              <w:rPr>
                <w:sz w:val="18"/>
              </w:rPr>
              <w:t>Train Model SaaS -tuotteen pohja. Räätälöity mallikoulutus.</w:t>
            </w:r>
          </w:p>
        </w:tc>
      </w:tr>
      <w:tr>
        <w:tc>
          <w:tcPr>
            <w:tcW w:type="dxa" w:w="2880"/>
          </w:tcPr>
          <w:p>
            <w:r>
              <w:rPr>
                <w:sz w:val="18"/>
              </w:rPr>
              <w:t>2027</w:t>
            </w:r>
          </w:p>
        </w:tc>
        <w:tc>
          <w:tcPr>
            <w:tcW w:type="dxa" w:w="2880"/>
          </w:tcPr>
          <w:p>
            <w:r>
              <w:rPr>
                <w:sz w:val="18"/>
              </w:rPr>
              <w:t>NVIDIA NIM (inference microservices)</w:t>
            </w:r>
          </w:p>
        </w:tc>
        <w:tc>
          <w:tcPr>
            <w:tcW w:type="dxa" w:w="2880"/>
          </w:tcPr>
          <w:p>
            <w:r>
              <w:rPr>
                <w:sz w:val="18"/>
              </w:rPr>
              <w:t>Mallien skaalautuva jakelu edge-laitteille.</w:t>
            </w:r>
          </w:p>
        </w:tc>
      </w:tr>
      <w:tr>
        <w:tc>
          <w:tcPr>
            <w:tcW w:type="dxa" w:w="2880"/>
          </w:tcPr>
          <w:p>
            <w:r>
              <w:rPr>
                <w:sz w:val="18"/>
              </w:rPr>
              <w:t>2027</w:t>
            </w:r>
          </w:p>
        </w:tc>
        <w:tc>
          <w:tcPr>
            <w:tcW w:type="dxa" w:w="2880"/>
          </w:tcPr>
          <w:p>
            <w:r>
              <w:rPr>
                <w:sz w:val="18"/>
              </w:rPr>
              <w:t>Vera Rubin -arkkitehtuuri (HPC)</w:t>
            </w:r>
          </w:p>
        </w:tc>
        <w:tc>
          <w:tcPr>
            <w:tcW w:type="dxa" w:w="2880"/>
          </w:tcPr>
          <w:p>
            <w:r>
              <w:rPr>
                <w:sz w:val="18"/>
              </w:rPr>
              <w:t>Seuraavan sukupolven GPU-laskenta. Aegis Sovereign valmistelu.</w:t>
            </w:r>
          </w:p>
        </w:tc>
      </w:tr>
    </w:tbl>
    <w:p>
      <w:pPr>
        <w:pStyle w:val="Heading3"/>
      </w:pPr>
      <w:r>
        <w:t>Microsoft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Tuote / Päivitys</w:t>
            </w:r>
          </w:p>
        </w:tc>
        <w:tc>
          <w:tcPr>
            <w:tcW w:type="dxa" w:w="2880"/>
          </w:tcPr>
          <w:p>
            <w:r>
              <w:rPr>
                <w:b/>
                <w:sz w:val="18"/>
              </w:rPr>
              <w:t>Vaikutus DWS:lle</w:t>
            </w:r>
          </w:p>
        </w:tc>
      </w:tr>
      <w:tr>
        <w:tc>
          <w:tcPr>
            <w:tcW w:type="dxa" w:w="2880"/>
          </w:tcPr>
          <w:p>
            <w:r>
              <w:rPr>
                <w:sz w:val="18"/>
              </w:rPr>
              <w:t>Q3 2026</w:t>
            </w:r>
          </w:p>
        </w:tc>
        <w:tc>
          <w:tcPr>
            <w:tcW w:type="dxa" w:w="2880"/>
          </w:tcPr>
          <w:p>
            <w:r>
              <w:rPr>
                <w:sz w:val="18"/>
              </w:rPr>
              <w:t>Azure AI Foundry GA</w:t>
            </w:r>
          </w:p>
        </w:tc>
        <w:tc>
          <w:tcPr>
            <w:tcW w:type="dxa" w:w="2880"/>
          </w:tcPr>
          <w:p>
            <w:r>
              <w:rPr>
                <w:sz w:val="18"/>
              </w:rPr>
              <w:t>Kilpailijan vertailupiste. DWS:n etu: suvereenisuus + KYA.</w:t>
            </w:r>
          </w:p>
        </w:tc>
      </w:tr>
      <w:tr>
        <w:tc>
          <w:tcPr>
            <w:tcW w:type="dxa" w:w="2880"/>
          </w:tcPr>
          <w:p>
            <w:r>
              <w:rPr>
                <w:sz w:val="18"/>
              </w:rPr>
              <w:t>Q4 2026</w:t>
            </w:r>
          </w:p>
        </w:tc>
        <w:tc>
          <w:tcPr>
            <w:tcW w:type="dxa" w:w="2880"/>
          </w:tcPr>
          <w:p>
            <w:r>
              <w:rPr>
                <w:sz w:val="18"/>
              </w:rPr>
              <w:t>Microsoft 365 Copilot -laajennukset</w:t>
            </w:r>
          </w:p>
        </w:tc>
        <w:tc>
          <w:tcPr>
            <w:tcW w:type="dxa" w:w="2880"/>
          </w:tcPr>
          <w:p>
            <w:r>
              <w:rPr>
                <w:sz w:val="18"/>
              </w:rPr>
              <w:t>Integraatiomahdollisuus: DWS-agentti M365-työnkuluissa.</w:t>
            </w:r>
          </w:p>
        </w:tc>
      </w:tr>
      <w:tr>
        <w:tc>
          <w:tcPr>
            <w:tcW w:type="dxa" w:w="2880"/>
          </w:tcPr>
          <w:p>
            <w:r>
              <w:rPr>
                <w:sz w:val="18"/>
              </w:rPr>
              <w:t>2027</w:t>
            </w:r>
          </w:p>
        </w:tc>
        <w:tc>
          <w:tcPr>
            <w:tcW w:type="dxa" w:w="2880"/>
          </w:tcPr>
          <w:p>
            <w:r>
              <w:rPr>
                <w:sz w:val="18"/>
              </w:rPr>
              <w:t>Founders Hub L5 (jos saatavilla)</w:t>
            </w:r>
          </w:p>
        </w:tc>
        <w:tc>
          <w:tcPr>
            <w:tcW w:type="dxa" w:w="2880"/>
          </w:tcPr>
          <w:p>
            <w:r>
              <w:rPr>
                <w:sz w:val="18"/>
              </w:rPr>
              <w:t>Pilvikreditit + teknologiatuki.</w:t>
            </w:r>
          </w:p>
        </w:tc>
      </w:tr>
    </w:tbl>
    <w:p>
      <w:pPr>
        <w:pStyle w:val="Heading3"/>
      </w:pPr>
      <w:r>
        <w:t>Red Hat / IBM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Tuote / Päivitys</w:t>
            </w:r>
          </w:p>
        </w:tc>
        <w:tc>
          <w:tcPr>
            <w:tcW w:type="dxa" w:w="2880"/>
          </w:tcPr>
          <w:p>
            <w:r>
              <w:rPr>
                <w:b/>
                <w:sz w:val="18"/>
              </w:rPr>
              <w:t>Vaikutus DWS:lle</w:t>
            </w:r>
          </w:p>
        </w:tc>
      </w:tr>
      <w:tr>
        <w:tc>
          <w:tcPr>
            <w:tcW w:type="dxa" w:w="2880"/>
          </w:tcPr>
          <w:p>
            <w:r>
              <w:rPr>
                <w:sz w:val="18"/>
              </w:rPr>
              <w:t>Q3 2026</w:t>
            </w:r>
          </w:p>
        </w:tc>
        <w:tc>
          <w:tcPr>
            <w:tcW w:type="dxa" w:w="2880"/>
          </w:tcPr>
          <w:p>
            <w:r>
              <w:rPr>
                <w:sz w:val="18"/>
              </w:rPr>
              <w:t>OpenShift AI 2.x</w:t>
            </w:r>
          </w:p>
        </w:tc>
        <w:tc>
          <w:tcPr>
            <w:tcW w:type="dxa" w:w="2880"/>
          </w:tcPr>
          <w:p>
            <w:r>
              <w:rPr>
                <w:sz w:val="18"/>
              </w:rPr>
              <w:t>K8s-pohjainen AI-alusta. DWS Aegis vertailupiste.</w:t>
            </w:r>
          </w:p>
        </w:tc>
      </w:tr>
      <w:tr>
        <w:tc>
          <w:tcPr>
            <w:tcW w:type="dxa" w:w="2880"/>
          </w:tcPr>
          <w:p>
            <w:r>
              <w:rPr>
                <w:sz w:val="18"/>
              </w:rPr>
              <w:t>Q4 2026</w:t>
            </w:r>
          </w:p>
        </w:tc>
        <w:tc>
          <w:tcPr>
            <w:tcW w:type="dxa" w:w="2880"/>
          </w:tcPr>
          <w:p>
            <w:r>
              <w:rPr>
                <w:sz w:val="18"/>
              </w:rPr>
              <w:t>InstructLab 2.0</w:t>
            </w:r>
          </w:p>
        </w:tc>
        <w:tc>
          <w:tcPr>
            <w:tcW w:type="dxa" w:w="2880"/>
          </w:tcPr>
          <w:p>
            <w:r>
              <w:rPr>
                <w:sz w:val="18"/>
              </w:rPr>
              <w:t>Avoin mallikoulutus. Vaihtoehto NVIDIA NeMo:lle.</w:t>
            </w:r>
          </w:p>
        </w:tc>
      </w:tr>
      <w:tr>
        <w:tc>
          <w:tcPr>
            <w:tcW w:type="dxa" w:w="2880"/>
          </w:tcPr>
          <w:p>
            <w:r>
              <w:rPr>
                <w:sz w:val="18"/>
              </w:rPr>
              <w:t>2027</w:t>
            </w:r>
          </w:p>
        </w:tc>
        <w:tc>
          <w:tcPr>
            <w:tcW w:type="dxa" w:w="2880"/>
          </w:tcPr>
          <w:p>
            <w:r>
              <w:rPr>
                <w:sz w:val="18"/>
              </w:rPr>
              <w:t>watsonx.governance GA</w:t>
            </w:r>
          </w:p>
        </w:tc>
        <w:tc>
          <w:tcPr>
            <w:tcW w:type="dxa" w:w="2880"/>
          </w:tcPr>
          <w:p>
            <w:r>
              <w:rPr>
                <w:sz w:val="18"/>
              </w:rPr>
              <w:t>Kilpaileva AI-hallintakehys. DWS KYA:n etu: Firecracker + kill authority.</w:t>
            </w:r>
          </w:p>
        </w:tc>
      </w:tr>
    </w:tbl>
    <w:p>
      <w:pPr>
        <w:pStyle w:val="Heading3"/>
      </w:pPr>
      <w:r>
        <w:t>EU-sääntely (teknologiavaikutukset)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Sääntely</w:t>
            </w:r>
          </w:p>
        </w:tc>
        <w:tc>
          <w:tcPr>
            <w:tcW w:type="dxa" w:w="2880"/>
          </w:tcPr>
          <w:p>
            <w:r>
              <w:rPr>
                <w:b/>
                <w:sz w:val="18"/>
              </w:rPr>
              <w:t>Teknologiavaikutus</w:t>
            </w:r>
          </w:p>
        </w:tc>
      </w:tr>
      <w:tr>
        <w:tc>
          <w:tcPr>
            <w:tcW w:type="dxa" w:w="2880"/>
          </w:tcPr>
          <w:p>
            <w:r>
              <w:rPr>
                <w:sz w:val="18"/>
              </w:rPr>
              <w:t>Elokuu 2026</w:t>
            </w:r>
          </w:p>
        </w:tc>
        <w:tc>
          <w:tcPr>
            <w:tcW w:type="dxa" w:w="2880"/>
          </w:tcPr>
          <w:p>
            <w:r>
              <w:rPr>
                <w:sz w:val="18"/>
              </w:rPr>
              <w:t>EU AI Act Article 12 voimaan</w:t>
            </w:r>
          </w:p>
        </w:tc>
        <w:tc>
          <w:tcPr>
            <w:tcW w:type="dxa" w:w="2880"/>
          </w:tcPr>
          <w:p>
            <w:r>
              <w:rPr>
                <w:sz w:val="18"/>
              </w:rPr>
              <w:t>Jokaisen AI-toiminnan auditoitava lokitus pakollinen. DWS: tuotannossa 03/2026.</w:t>
            </w:r>
          </w:p>
        </w:tc>
      </w:tr>
      <w:tr>
        <w:tc>
          <w:tcPr>
            <w:tcW w:type="dxa" w:w="2880"/>
          </w:tcPr>
          <w:p>
            <w:r>
              <w:rPr>
                <w:sz w:val="18"/>
              </w:rPr>
              <w:t>Tammikuu 2027</w:t>
            </w:r>
          </w:p>
        </w:tc>
        <w:tc>
          <w:tcPr>
            <w:tcW w:type="dxa" w:w="2880"/>
          </w:tcPr>
          <w:p>
            <w:r>
              <w:rPr>
                <w:sz w:val="18"/>
              </w:rPr>
              <w:t>ETS2 operatiivinen</w:t>
            </w:r>
          </w:p>
        </w:tc>
        <w:tc>
          <w:tcPr>
            <w:tcW w:type="dxa" w:w="2880"/>
          </w:tcPr>
          <w:p>
            <w:r>
              <w:rPr>
                <w:sz w:val="18"/>
              </w:rPr>
              <w:t>Per-reitti CO2 -laskenta. Uusi agentti: ETS2 Readiness Agent.</w:t>
            </w:r>
          </w:p>
        </w:tc>
      </w:tr>
      <w:tr>
        <w:tc>
          <w:tcPr>
            <w:tcW w:type="dxa" w:w="2880"/>
          </w:tcPr>
          <w:p>
            <w:r>
              <w:rPr>
                <w:sz w:val="18"/>
              </w:rPr>
              <w:t>2028</w:t>
            </w:r>
          </w:p>
        </w:tc>
        <w:tc>
          <w:tcPr>
            <w:tcW w:type="dxa" w:w="2880"/>
          </w:tcPr>
          <w:p>
            <w:r>
              <w:rPr>
                <w:sz w:val="18"/>
              </w:rPr>
              <w:t>EPBD voimaan</w:t>
            </w:r>
          </w:p>
        </w:tc>
        <w:tc>
          <w:tcPr>
            <w:tcW w:type="dxa" w:w="2880"/>
          </w:tcPr>
          <w:p>
            <w:r>
              <w:rPr>
                <w:sz w:val="18"/>
              </w:rPr>
              <w:t>EN 15978 + EN 15804 embodied carbon -automaatio. Rakennussektorin agentit.</w:t>
            </w:r>
          </w:p>
        </w:tc>
      </w:tr>
      <w:tr>
        <w:tc>
          <w:tcPr>
            <w:tcW w:type="dxa" w:w="2880"/>
          </w:tcPr>
          <w:p>
            <w:r>
              <w:rPr>
                <w:sz w:val="18"/>
              </w:rPr>
              <w:t>2028</w:t>
            </w:r>
          </w:p>
        </w:tc>
        <w:tc>
          <w:tcPr>
            <w:tcW w:type="dxa" w:w="2880"/>
          </w:tcPr>
          <w:p>
            <w:r>
              <w:rPr>
                <w:sz w:val="18"/>
              </w:rPr>
              <w:t>Cyber Resilience Act (CRA)</w:t>
            </w:r>
          </w:p>
        </w:tc>
        <w:tc>
          <w:tcPr>
            <w:tcW w:type="dxa" w:w="2880"/>
          </w:tcPr>
          <w:p>
            <w:r>
              <w:rPr>
                <w:sz w:val="18"/>
              </w:rPr>
              <w:t>Ohjelmistotuotteiden tietoturvavaatimukset. Vaikuttaa DWS-alustan sertifiointiin.</w:t>
            </w:r>
          </w:p>
        </w:tc>
      </w:tr>
    </w:tbl>
    <w:p>
      <w:pPr>
        <w:pStyle w:val="Heading3"/>
      </w:pPr>
      <w:r>
        <w:t>DWS IQ -tuoteroadmap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Ajankohta</w:t>
            </w:r>
          </w:p>
        </w:tc>
        <w:tc>
          <w:tcPr>
            <w:tcW w:type="dxa" w:w="2880"/>
          </w:tcPr>
          <w:p>
            <w:r>
              <w:rPr>
                <w:b/>
                <w:sz w:val="18"/>
              </w:rPr>
              <w:t>Milestone</w:t>
            </w:r>
          </w:p>
        </w:tc>
        <w:tc>
          <w:tcPr>
            <w:tcW w:type="dxa" w:w="2880"/>
          </w:tcPr>
          <w:p>
            <w:r>
              <w:rPr>
                <w:b/>
                <w:sz w:val="18"/>
              </w:rPr>
              <w:t>Status</w:t>
            </w:r>
          </w:p>
        </w:tc>
      </w:tr>
      <w:tr>
        <w:tc>
          <w:tcPr>
            <w:tcW w:type="dxa" w:w="2880"/>
          </w:tcPr>
          <w:p>
            <w:r>
              <w:rPr>
                <w:sz w:val="18"/>
              </w:rPr>
              <w:t>Q3 2026</w:t>
            </w:r>
          </w:p>
        </w:tc>
        <w:tc>
          <w:tcPr>
            <w:tcW w:type="dxa" w:w="2880"/>
          </w:tcPr>
          <w:p>
            <w:r>
              <w:rPr>
                <w:sz w:val="18"/>
              </w:rPr>
              <w:t>Aegis Defence GA</w:t>
            </w:r>
          </w:p>
        </w:tc>
        <w:tc>
          <w:tcPr>
            <w:tcW w:type="dxa" w:w="2880"/>
          </w:tcPr>
          <w:p>
            <w:r>
              <w:rPr>
                <w:sz w:val="18"/>
              </w:rPr>
              <w:t>NVIDIA L40S -nodet, ArgusAgent SAR, EDIP-raportointi</w:t>
            </w:r>
          </w:p>
        </w:tc>
      </w:tr>
      <w:tr>
        <w:tc>
          <w:tcPr>
            <w:tcW w:type="dxa" w:w="2880"/>
          </w:tcPr>
          <w:p>
            <w:r>
              <w:rPr>
                <w:sz w:val="18"/>
              </w:rPr>
              <w:t>Q3 2026</w:t>
            </w:r>
          </w:p>
        </w:tc>
        <w:tc>
          <w:tcPr>
            <w:tcW w:type="dxa" w:w="2880"/>
          </w:tcPr>
          <w:p>
            <w:r>
              <w:rPr>
                <w:sz w:val="18"/>
              </w:rPr>
              <w:t>Train Model SaaS (Compact / Standard / Pro)</w:t>
            </w:r>
          </w:p>
        </w:tc>
        <w:tc>
          <w:tcPr>
            <w:tcW w:type="dxa" w:w="2880"/>
          </w:tcPr>
          <w:p>
            <w:r>
              <w:rPr>
                <w:sz w:val="18"/>
              </w:rPr>
              <w:t>€1 490 / €2 990 / €7 490</w:t>
            </w:r>
          </w:p>
        </w:tc>
      </w:tr>
      <w:tr>
        <w:tc>
          <w:tcPr>
            <w:tcW w:type="dxa" w:w="2880"/>
          </w:tcPr>
          <w:p>
            <w:r>
              <w:rPr>
                <w:sz w:val="18"/>
              </w:rPr>
              <w:t>Q3 2026</w:t>
            </w:r>
          </w:p>
        </w:tc>
        <w:tc>
          <w:tcPr>
            <w:tcW w:type="dxa" w:w="2880"/>
          </w:tcPr>
          <w:p>
            <w:r>
              <w:rPr>
                <w:sz w:val="18"/>
              </w:rPr>
              <w:t>ISO 27001 sertifiointi</w:t>
            </w:r>
          </w:p>
        </w:tc>
        <w:tc>
          <w:tcPr>
            <w:tcW w:type="dxa" w:w="2880"/>
          </w:tcPr>
          <w:p>
            <w:r>
              <w:rPr>
                <w:sz w:val="18"/>
              </w:rPr>
              <w:t>Käynnissä</w:t>
            </w:r>
          </w:p>
        </w:tc>
      </w:tr>
      <w:tr>
        <w:tc>
          <w:tcPr>
            <w:tcW w:type="dxa" w:w="2880"/>
          </w:tcPr>
          <w:p>
            <w:r>
              <w:rPr>
                <w:sz w:val="18"/>
              </w:rPr>
              <w:t>Q4 2026</w:t>
            </w:r>
          </w:p>
        </w:tc>
        <w:tc>
          <w:tcPr>
            <w:tcW w:type="dxa" w:w="2880"/>
          </w:tcPr>
          <w:p>
            <w:r>
              <w:rPr>
                <w:sz w:val="18"/>
              </w:rPr>
              <w:t>SOC 2 Type II</w:t>
            </w:r>
          </w:p>
        </w:tc>
        <w:tc>
          <w:tcPr>
            <w:tcW w:type="dxa" w:w="2880"/>
          </w:tcPr>
          <w:p>
            <w:r>
              <w:rPr>
                <w:sz w:val="18"/>
              </w:rPr>
              <w:t>Suunniteltu</w:t>
            </w:r>
          </w:p>
        </w:tc>
      </w:tr>
      <w:tr>
        <w:tc>
          <w:tcPr>
            <w:tcW w:type="dxa" w:w="2880"/>
          </w:tcPr>
          <w:p>
            <w:r>
              <w:rPr>
                <w:sz w:val="18"/>
              </w:rPr>
              <w:t>Q4 2026</w:t>
            </w:r>
          </w:p>
        </w:tc>
        <w:tc>
          <w:tcPr>
            <w:tcW w:type="dxa" w:w="2880"/>
          </w:tcPr>
          <w:p>
            <w:r>
              <w:rPr>
                <w:sz w:val="18"/>
              </w:rPr>
              <w:t>IEC 62443 (OT-turvallisuus)</w:t>
            </w:r>
          </w:p>
        </w:tc>
        <w:tc>
          <w:tcPr>
            <w:tcW w:type="dxa" w:w="2880"/>
          </w:tcPr>
          <w:p>
            <w:r>
              <w:rPr>
                <w:sz w:val="18"/>
              </w:rPr>
              <w:t>Suunniteltu</w:t>
            </w:r>
          </w:p>
        </w:tc>
      </w:tr>
      <w:tr>
        <w:tc>
          <w:tcPr>
            <w:tcW w:type="dxa" w:w="2880"/>
          </w:tcPr>
          <w:p>
            <w:r>
              <w:rPr>
                <w:sz w:val="18"/>
              </w:rPr>
              <w:t>Q4 2026</w:t>
            </w:r>
          </w:p>
        </w:tc>
        <w:tc>
          <w:tcPr>
            <w:tcW w:type="dxa" w:w="2880"/>
          </w:tcPr>
          <w:p>
            <w:r>
              <w:rPr>
                <w:sz w:val="18"/>
              </w:rPr>
              <w:t>LWM V1 (5 000 yrityksen ontologia)</w:t>
            </w:r>
          </w:p>
        </w:tc>
        <w:tc>
          <w:tcPr>
            <w:tcW w:type="dxa" w:w="2880"/>
          </w:tcPr>
          <w:p>
            <w:r>
              <w:rPr>
                <w:sz w:val="18"/>
              </w:rPr>
              <w:t>World Model -vallin syventäminen</w:t>
            </w:r>
          </w:p>
        </w:tc>
      </w:tr>
      <w:tr>
        <w:tc>
          <w:tcPr>
            <w:tcW w:type="dxa" w:w="2880"/>
          </w:tcPr>
          <w:p>
            <w:r>
              <w:rPr>
                <w:sz w:val="18"/>
              </w:rPr>
              <w:t>Q1 2027</w:t>
            </w:r>
          </w:p>
        </w:tc>
        <w:tc>
          <w:tcPr>
            <w:tcW w:type="dxa" w:w="2880"/>
          </w:tcPr>
          <w:p>
            <w:r>
              <w:rPr>
                <w:sz w:val="18"/>
              </w:rPr>
              <w:t>ETS2 Readiness Agent</w:t>
            </w:r>
          </w:p>
        </w:tc>
        <w:tc>
          <w:tcPr>
            <w:tcW w:type="dxa" w:w="2880"/>
          </w:tcPr>
          <w:p>
            <w:r>
              <w:rPr>
                <w:sz w:val="18"/>
              </w:rPr>
              <w:t>Maantiekuljetukset + rakennukset</w:t>
            </w:r>
          </w:p>
        </w:tc>
      </w:tr>
      <w:tr>
        <w:tc>
          <w:tcPr>
            <w:tcW w:type="dxa" w:w="2880"/>
          </w:tcPr>
          <w:p>
            <w:r>
              <w:rPr>
                <w:sz w:val="18"/>
              </w:rPr>
              <w:t>Q1 2027</w:t>
            </w:r>
          </w:p>
        </w:tc>
        <w:tc>
          <w:tcPr>
            <w:tcW w:type="dxa" w:w="2880"/>
          </w:tcPr>
          <w:p>
            <w:r>
              <w:rPr>
                <w:sz w:val="18"/>
              </w:rPr>
              <w:t>Ruotsin markkinoiden aktivointi</w:t>
            </w:r>
          </w:p>
        </w:tc>
        <w:tc>
          <w:tcPr>
            <w:tcW w:type="dxa" w:w="2880"/>
          </w:tcPr>
          <w:p>
            <w:r>
              <w:rPr>
                <w:sz w:val="18"/>
              </w:rPr>
              <w:t>SSAB, NCC AB, Skanska AB</w:t>
            </w:r>
          </w:p>
        </w:tc>
      </w:tr>
      <w:tr>
        <w:tc>
          <w:tcPr>
            <w:tcW w:type="dxa" w:w="2880"/>
          </w:tcPr>
          <w:p>
            <w:r>
              <w:rPr>
                <w:sz w:val="18"/>
              </w:rPr>
              <w:t>Q2 2027</w:t>
            </w:r>
          </w:p>
        </w:tc>
        <w:tc>
          <w:tcPr>
            <w:tcW w:type="dxa" w:w="2880"/>
          </w:tcPr>
          <w:p>
            <w:r>
              <w:rPr>
                <w:sz w:val="18"/>
              </w:rPr>
              <w:t>EPBD Embodied Carbon Agent</w:t>
            </w:r>
          </w:p>
        </w:tc>
        <w:tc>
          <w:tcPr>
            <w:tcW w:type="dxa" w:w="2880"/>
          </w:tcPr>
          <w:p>
            <w:r>
              <w:rPr>
                <w:sz w:val="18"/>
              </w:rPr>
              <w:t>EN 15978 + EN 15804 automaatio</w:t>
            </w:r>
          </w:p>
        </w:tc>
      </w:tr>
      <w:tr>
        <w:tc>
          <w:tcPr>
            <w:tcW w:type="dxa" w:w="2880"/>
          </w:tcPr>
          <w:p>
            <w:r>
              <w:rPr>
                <w:sz w:val="18"/>
              </w:rPr>
              <w:t>H2 2027</w:t>
            </w:r>
          </w:p>
        </w:tc>
        <w:tc>
          <w:tcPr>
            <w:tcW w:type="dxa" w:w="2880"/>
          </w:tcPr>
          <w:p>
            <w:r>
              <w:rPr>
                <w:sz w:val="18"/>
              </w:rPr>
              <w:t>Series A -valmistelu</w:t>
            </w:r>
          </w:p>
        </w:tc>
        <w:tc>
          <w:tcPr>
            <w:tcW w:type="dxa" w:w="2880"/>
          </w:tcPr>
          <w:p>
            <w:r>
              <w:rPr>
                <w:sz w:val="18"/>
              </w:rPr>
              <w:t>Tavoite: €15M pre-money</w:t>
            </w:r>
          </w:p>
        </w:tc>
      </w:tr>
    </w:tbl>
    <w:p>
      <w:pPr>
        <w:pStyle w:val="Heading3"/>
      </w:pPr>
      <w:r>
        <w:t>Kilpailijat — seurattavat roadmapit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Kilpailija</w:t>
            </w:r>
          </w:p>
        </w:tc>
        <w:tc>
          <w:tcPr>
            <w:tcW w:type="dxa" w:w="2880"/>
          </w:tcPr>
          <w:p>
            <w:r>
              <w:rPr>
                <w:b/>
                <w:sz w:val="18"/>
              </w:rPr>
              <w:t>Seuraa</w:t>
            </w:r>
          </w:p>
        </w:tc>
        <w:tc>
          <w:tcPr>
            <w:tcW w:type="dxa" w:w="2880"/>
          </w:tcPr>
          <w:p>
            <w:r>
              <w:rPr>
                <w:b/>
                <w:sz w:val="18"/>
              </w:rPr>
              <w:t>Miksi</w:t>
            </w:r>
          </w:p>
        </w:tc>
      </w:tr>
      <w:tr>
        <w:tc>
          <w:tcPr>
            <w:tcW w:type="dxa" w:w="2880"/>
          </w:tcPr>
          <w:p>
            <w:r>
              <w:rPr>
                <w:sz w:val="18"/>
              </w:rPr>
              <w:t>Normative (Tukholma)</w:t>
            </w:r>
          </w:p>
        </w:tc>
        <w:tc>
          <w:tcPr>
            <w:tcW w:type="dxa" w:w="2880"/>
          </w:tcPr>
          <w:p>
            <w:r>
              <w:rPr>
                <w:sz w:val="18"/>
              </w:rPr>
              <w:t>Tuotejulkaisut, hinnoittelumuutokset, ERP-integraatiot</w:t>
            </w:r>
          </w:p>
        </w:tc>
        <w:tc>
          <w:tcPr>
            <w:tcW w:type="dxa" w:w="2880"/>
          </w:tcPr>
          <w:p>
            <w:r>
              <w:rPr>
                <w:sz w:val="18"/>
              </w:rPr>
              <w:t>Päähkilpailija Pohjoismaissa. Ei vielä ERP-integraatioita — seuraa muuttuuko.</w:t>
            </w:r>
          </w:p>
        </w:tc>
      </w:tr>
      <w:tr>
        <w:tc>
          <w:tcPr>
            <w:tcW w:type="dxa" w:w="2880"/>
          </w:tcPr>
          <w:p>
            <w:r>
              <w:rPr>
                <w:sz w:val="18"/>
              </w:rPr>
              <w:t>Sweep (Pariisi)</w:t>
            </w:r>
          </w:p>
        </w:tc>
        <w:tc>
          <w:tcPr>
            <w:tcW w:type="dxa" w:w="2880"/>
          </w:tcPr>
          <w:p>
            <w:r>
              <w:rPr>
                <w:sz w:val="18"/>
              </w:rPr>
              <w:t>EU-laajentuminen, yritysasiakashankinta</w:t>
            </w:r>
          </w:p>
        </w:tc>
        <w:tc>
          <w:tcPr>
            <w:tcW w:type="dxa" w:w="2880"/>
          </w:tcPr>
          <w:p>
            <w:r>
              <w:rPr>
                <w:sz w:val="18"/>
              </w:rPr>
              <w:t>Jos Sweep tulee Pohjoismaihin vahvasti, aktivoi Ruotsin nopeammin.</w:t>
            </w:r>
          </w:p>
        </w:tc>
      </w:tr>
      <w:tr>
        <w:tc>
          <w:tcPr>
            <w:tcW w:type="dxa" w:w="2880"/>
          </w:tcPr>
          <w:p>
            <w:r>
              <w:rPr>
                <w:sz w:val="18"/>
              </w:rPr>
              <w:t>Persefoni (Arizona)</w:t>
            </w:r>
          </w:p>
        </w:tc>
        <w:tc>
          <w:tcPr>
            <w:tcW w:type="dxa" w:w="2880"/>
          </w:tcPr>
          <w:p>
            <w:r>
              <w:rPr>
                <w:sz w:val="18"/>
              </w:rPr>
              <w:t>EU-tytäryhtiö, CLOUD Act -keskustelu</w:t>
            </w:r>
          </w:p>
        </w:tc>
        <w:tc>
          <w:tcPr>
            <w:tcW w:type="dxa" w:w="2880"/>
          </w:tcPr>
          <w:p>
            <w:r>
              <w:rPr>
                <w:sz w:val="18"/>
              </w:rPr>
              <w:t>Jos Persefoni perustaa EU-entiteetin, suvereenisuusväite heikkenee. Seuraa.</w:t>
            </w:r>
          </w:p>
        </w:tc>
      </w:tr>
      <w:tr>
        <w:tc>
          <w:tcPr>
            <w:tcW w:type="dxa" w:w="2880"/>
          </w:tcPr>
          <w:p>
            <w:r>
              <w:rPr>
                <w:sz w:val="18"/>
              </w:rPr>
              <w:t>Watershed (San Francisco)</w:t>
            </w:r>
          </w:p>
        </w:tc>
        <w:tc>
          <w:tcPr>
            <w:tcW w:type="dxa" w:w="2880"/>
          </w:tcPr>
          <w:p>
            <w:r>
              <w:rPr>
                <w:sz w:val="18"/>
              </w:rPr>
              <w:t>Enterprise-hinnoittelu, AI-ominaisuudet</w:t>
            </w:r>
          </w:p>
        </w:tc>
        <w:tc>
          <w:tcPr>
            <w:tcW w:type="dxa" w:w="2880"/>
          </w:tcPr>
          <w:p>
            <w:r>
              <w:rPr>
                <w:sz w:val="18"/>
              </w:rPr>
              <w:t>Hintavertailu DWS:n eduksi. Seuraa muuttuuko.</w:t>
            </w:r>
          </w:p>
        </w:tc>
      </w:tr>
    </w:tbl>
    <w:p>
      <w:pPr>
        <w:pStyle w:val="Heading1"/>
      </w:pPr>
      <w:r>
        <w:t>11. EU-sääntelyympäristö</w:t>
      </w:r>
    </w:p>
    <w:p>
      <w:pPr>
        <w:pStyle w:val="Heading2"/>
      </w:pPr>
      <w:r>
        <w:t>Pakollinen ostotilannekalenteri (Forced Purchase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Vuosi</w:t>
            </w:r>
          </w:p>
        </w:tc>
        <w:tc>
          <w:tcPr>
            <w:tcW w:type="dxa" w:w="2880"/>
          </w:tcPr>
          <w:p>
            <w:r>
              <w:rPr>
                <w:b/>
                <w:sz w:val="18"/>
              </w:rPr>
              <w:t>Sääntely</w:t>
            </w:r>
          </w:p>
        </w:tc>
        <w:tc>
          <w:tcPr>
            <w:tcW w:type="dxa" w:w="2880"/>
          </w:tcPr>
          <w:p>
            <w:r>
              <w:rPr>
                <w:b/>
                <w:sz w:val="18"/>
              </w:rPr>
              <w:t>Vaikutus</w:t>
            </w:r>
          </w:p>
        </w:tc>
      </w:tr>
      <w:tr>
        <w:tc>
          <w:tcPr>
            <w:tcW w:type="dxa" w:w="2880"/>
          </w:tcPr>
          <w:p>
            <w:r>
              <w:rPr>
                <w:sz w:val="18"/>
              </w:rPr>
              <w:t>2026</w:t>
            </w:r>
          </w:p>
        </w:tc>
        <w:tc>
          <w:tcPr>
            <w:tcW w:type="dxa" w:w="2880"/>
          </w:tcPr>
          <w:p>
            <w:r>
              <w:rPr>
                <w:sz w:val="18"/>
              </w:rPr>
              <w:t>CBAM operatiivinen</w:t>
            </w:r>
          </w:p>
        </w:tc>
        <w:tc>
          <w:tcPr>
            <w:tcW w:type="dxa" w:w="2880"/>
          </w:tcPr>
          <w:p>
            <w:r>
              <w:rPr>
                <w:sz w:val="18"/>
              </w:rPr>
              <w:t>Jokainen tuontilähetys vaatii hiilipäästöilmoituksen</w:t>
            </w:r>
          </w:p>
        </w:tc>
      </w:tr>
      <w:tr>
        <w:tc>
          <w:tcPr>
            <w:tcW w:type="dxa" w:w="2880"/>
          </w:tcPr>
          <w:p>
            <w:r>
              <w:rPr>
                <w:sz w:val="18"/>
              </w:rPr>
              <w:t>2026</w:t>
            </w:r>
          </w:p>
        </w:tc>
        <w:tc>
          <w:tcPr>
            <w:tcW w:type="dxa" w:w="2880"/>
          </w:tcPr>
          <w:p>
            <w:r>
              <w:rPr>
                <w:sz w:val="18"/>
              </w:rPr>
              <w:t>CSRD Wave 1 laajennus</w:t>
            </w:r>
          </w:p>
        </w:tc>
        <w:tc>
          <w:tcPr>
            <w:tcW w:type="dxa" w:w="2880"/>
          </w:tcPr>
          <w:p>
            <w:r>
              <w:rPr>
                <w:sz w:val="18"/>
              </w:rPr>
              <w:t>Tuhansia uusia yrityksiä raportoinnin piiriin</w:t>
            </w:r>
          </w:p>
        </w:tc>
      </w:tr>
      <w:tr>
        <w:tc>
          <w:tcPr>
            <w:tcW w:type="dxa" w:w="2880"/>
          </w:tcPr>
          <w:p>
            <w:r>
              <w:rPr>
                <w:sz w:val="18"/>
              </w:rPr>
              <w:t>2026</w:t>
            </w:r>
          </w:p>
        </w:tc>
        <w:tc>
          <w:tcPr>
            <w:tcW w:type="dxa" w:w="2880"/>
          </w:tcPr>
          <w:p>
            <w:r>
              <w:rPr>
                <w:sz w:val="18"/>
              </w:rPr>
              <w:t>EU AI Act Article 12</w:t>
            </w:r>
          </w:p>
        </w:tc>
        <w:tc>
          <w:tcPr>
            <w:tcW w:type="dxa" w:w="2880"/>
          </w:tcPr>
          <w:p>
            <w:r>
              <w:rPr>
                <w:sz w:val="18"/>
              </w:rPr>
              <w:t>AI-auditointijälki pakollinen (2. elokuuta)</w:t>
            </w:r>
          </w:p>
        </w:tc>
      </w:tr>
      <w:tr>
        <w:tc>
          <w:tcPr>
            <w:tcW w:type="dxa" w:w="2880"/>
          </w:tcPr>
          <w:p>
            <w:r>
              <w:rPr>
                <w:sz w:val="18"/>
              </w:rPr>
              <w:t>2027</w:t>
            </w:r>
          </w:p>
        </w:tc>
        <w:tc>
          <w:tcPr>
            <w:tcW w:type="dxa" w:w="2880"/>
          </w:tcPr>
          <w:p>
            <w:r>
              <w:rPr>
                <w:sz w:val="18"/>
              </w:rPr>
              <w:t>ETS2</w:t>
            </w:r>
          </w:p>
        </w:tc>
        <w:tc>
          <w:tcPr>
            <w:tcW w:type="dxa" w:w="2880"/>
          </w:tcPr>
          <w:p>
            <w:r>
              <w:rPr>
                <w:sz w:val="18"/>
              </w:rPr>
              <w:t>Maantiekuljetukset + rakennusten lämmitys päästökauppaan</w:t>
            </w:r>
          </w:p>
        </w:tc>
      </w:tr>
      <w:tr>
        <w:tc>
          <w:tcPr>
            <w:tcW w:type="dxa" w:w="2880"/>
          </w:tcPr>
          <w:p>
            <w:r>
              <w:rPr>
                <w:sz w:val="18"/>
              </w:rPr>
              <w:t>2028</w:t>
            </w:r>
          </w:p>
        </w:tc>
        <w:tc>
          <w:tcPr>
            <w:tcW w:type="dxa" w:w="2880"/>
          </w:tcPr>
          <w:p>
            <w:r>
              <w:rPr>
                <w:sz w:val="18"/>
              </w:rPr>
              <w:t>EPBD</w:t>
            </w:r>
          </w:p>
        </w:tc>
        <w:tc>
          <w:tcPr>
            <w:tcW w:type="dxa" w:w="2880"/>
          </w:tcPr>
          <w:p>
            <w:r>
              <w:rPr>
                <w:sz w:val="18"/>
              </w:rPr>
              <w:t>Embodied carbon -raportointi rakennuksille &gt;1 000 m2</w:t>
            </w:r>
          </w:p>
        </w:tc>
      </w:tr>
      <w:tr>
        <w:tc>
          <w:tcPr>
            <w:tcW w:type="dxa" w:w="2880"/>
          </w:tcPr>
          <w:p>
            <w:r>
              <w:rPr>
                <w:sz w:val="18"/>
              </w:rPr>
              <w:t>2030</w:t>
            </w:r>
          </w:p>
        </w:tc>
        <w:tc>
          <w:tcPr>
            <w:tcW w:type="dxa" w:w="2880"/>
          </w:tcPr>
          <w:p>
            <w:r>
              <w:rPr>
                <w:sz w:val="18"/>
              </w:rPr>
              <w:t>Fit for 55</w:t>
            </w:r>
          </w:p>
        </w:tc>
        <w:tc>
          <w:tcPr>
            <w:tcW w:type="dxa" w:w="2880"/>
          </w:tcPr>
          <w:p>
            <w:r>
              <w:rPr>
                <w:sz w:val="18"/>
              </w:rPr>
              <w:t>55% päästövähennys tavoite</w:t>
            </w:r>
          </w:p>
        </w:tc>
      </w:tr>
    </w:tbl>
    <w:p>
      <w:pPr>
        <w:pStyle w:val="Heading2"/>
      </w:pPr>
      <w:r>
        <w:t>Compliance-kattavuus</w:t>
      </w:r>
    </w:p>
    <w:p>
      <w:r>
        <w:t>DWS IQ 6 kattaa:</w:t>
      </w:r>
    </w:p>
    <w:p>
      <w:pPr>
        <w:pStyle w:val="ListBullet"/>
      </w:pPr>
      <w:r>
        <w:t>EU AI Act Article 12 + 14 (lokitus + ihmisvalvonta)</w:t>
      </w:r>
    </w:p>
    <w:p>
      <w:pPr>
        <w:pStyle w:val="ListBullet"/>
      </w:pPr>
      <w:r>
        <w:t>NIS2-direktiivi (EU 2022/2555)</w:t>
      </w:r>
    </w:p>
    <w:p>
      <w:pPr>
        <w:pStyle w:val="ListBullet"/>
      </w:pPr>
      <w:r>
        <w:t>CER-direktiivi (EU 2022/2557)</w:t>
      </w:r>
    </w:p>
    <w:p>
      <w:pPr>
        <w:pStyle w:val="ListBullet"/>
      </w:pPr>
      <w:r>
        <w:t>GDPR Article 48 (ei kolmannen maan pakotettua tiedonluovutusta)</w:t>
      </w:r>
    </w:p>
    <w:p>
      <w:pPr>
        <w:pStyle w:val="ListBullet"/>
      </w:pPr>
      <w:r>
        <w:t>Asetus 2021/821 (kaksikäyttötuotteiden vientivalvonta)</w:t>
      </w:r>
    </w:p>
    <w:p>
      <w:pPr>
        <w:pStyle w:val="ListBullet"/>
      </w:pPr>
      <w:r>
        <w:t>PUTU-laki 1531/2011 (puolustus- ja turvallisuushankintoja koskeva laki)</w:t>
      </w:r>
    </w:p>
    <w:p>
      <w:pPr>
        <w:pStyle w:val="Heading1"/>
      </w:pPr>
      <w:r>
        <w:t>12. Tietosuoja ja tietoturva</w:t>
      </w:r>
    </w:p>
    <w:p>
      <w:pPr>
        <w:pStyle w:val="Heading2"/>
      </w:pPr>
      <w:r>
        <w:t>Periaatteet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Periaate</w:t>
            </w:r>
          </w:p>
        </w:tc>
        <w:tc>
          <w:tcPr>
            <w:tcW w:type="dxa" w:w="4320"/>
          </w:tcPr>
          <w:p>
            <w:r>
              <w:rPr>
                <w:b/>
                <w:sz w:val="18"/>
              </w:rPr>
              <w:t>Käytäntö</w:t>
            </w:r>
          </w:p>
        </w:tc>
      </w:tr>
      <w:tr>
        <w:tc>
          <w:tcPr>
            <w:tcW w:type="dxa" w:w="4320"/>
          </w:tcPr>
          <w:p>
            <w:r>
              <w:rPr>
                <w:sz w:val="18"/>
              </w:rPr>
              <w:t>Data ei poistu Suomesta</w:t>
            </w:r>
          </w:p>
        </w:tc>
        <w:tc>
          <w:tcPr>
            <w:tcW w:type="dxa" w:w="4320"/>
          </w:tcPr>
          <w:p>
            <w:r>
              <w:rPr>
                <w:sz w:val="18"/>
              </w:rPr>
              <w:t>UpCloud Helsinki, ei kolmannen maan palvelimia</w:t>
            </w:r>
          </w:p>
        </w:tc>
      </w:tr>
      <w:tr>
        <w:tc>
          <w:tcPr>
            <w:tcW w:type="dxa" w:w="4320"/>
          </w:tcPr>
          <w:p>
            <w:r>
              <w:rPr>
                <w:sz w:val="18"/>
              </w:rPr>
              <w:t>CLOUD Act -vapaus</w:t>
            </w:r>
          </w:p>
        </w:tc>
        <w:tc>
          <w:tcPr>
            <w:tcW w:type="dxa" w:w="4320"/>
          </w:tcPr>
          <w:p>
            <w:r>
              <w:rPr>
                <w:sz w:val="18"/>
              </w:rPr>
              <w:t>Ei amerikkalaisia pilvipalveluntarjoajia tuotantodatalle</w:t>
            </w:r>
          </w:p>
        </w:tc>
      </w:tr>
      <w:tr>
        <w:tc>
          <w:tcPr>
            <w:tcW w:type="dxa" w:w="4320"/>
          </w:tcPr>
          <w:p>
            <w:r>
              <w:rPr>
                <w:sz w:val="18"/>
              </w:rPr>
              <w:t>Article 12 -auditointi</w:t>
            </w:r>
          </w:p>
        </w:tc>
        <w:tc>
          <w:tcPr>
            <w:tcW w:type="dxa" w:w="4320"/>
          </w:tcPr>
          <w:p>
            <w:r>
              <w:rPr>
                <w:sz w:val="18"/>
              </w:rPr>
              <w:t>Jokainen AI-toiminto hash-ketjutettu, muuttumaton, 7 vuoden retentio</w:t>
            </w:r>
          </w:p>
        </w:tc>
      </w:tr>
      <w:tr>
        <w:tc>
          <w:tcPr>
            <w:tcW w:type="dxa" w:w="4320"/>
          </w:tcPr>
          <w:p>
            <w:r>
              <w:rPr>
                <w:sz w:val="18"/>
              </w:rPr>
              <w:t>GDPR by design</w:t>
            </w:r>
          </w:p>
        </w:tc>
        <w:tc>
          <w:tcPr>
            <w:tcW w:type="dxa" w:w="4320"/>
          </w:tcPr>
          <w:p>
            <w:r>
              <w:rPr>
                <w:sz w:val="18"/>
              </w:rPr>
              <w:t>Tietosuoja sisäänrakennettu, ei jälkikäteen lisätty</w:t>
            </w:r>
          </w:p>
        </w:tc>
      </w:tr>
      <w:tr>
        <w:tc>
          <w:tcPr>
            <w:tcW w:type="dxa" w:w="4320"/>
          </w:tcPr>
          <w:p>
            <w:r>
              <w:rPr>
                <w:sz w:val="18"/>
              </w:rPr>
              <w:t>KYA-hallinta</w:t>
            </w:r>
          </w:p>
        </w:tc>
        <w:tc>
          <w:tcPr>
            <w:tcW w:type="dxa" w:w="4320"/>
          </w:tcPr>
          <w:p>
            <w:r>
              <w:rPr>
                <w:sz w:val="18"/>
              </w:rPr>
              <w:t>Jokainen agentti-istunto kryptografisesti sidottu henkilöön</w:t>
            </w:r>
          </w:p>
        </w:tc>
      </w:tr>
      <w:tr>
        <w:tc>
          <w:tcPr>
            <w:tcW w:type="dxa" w:w="4320"/>
          </w:tcPr>
          <w:p>
            <w:r>
              <w:rPr>
                <w:sz w:val="18"/>
              </w:rPr>
              <w:t>NIS2-valmius</w:t>
            </w:r>
          </w:p>
        </w:tc>
        <w:tc>
          <w:tcPr>
            <w:tcW w:type="dxa" w:w="4320"/>
          </w:tcPr>
          <w:p>
            <w:r>
              <w:rPr>
                <w:sz w:val="18"/>
              </w:rPr>
              <w:t>24h insidenttirekonstruktio, poikkeamailmoitusvalmiudet</w:t>
            </w:r>
          </w:p>
        </w:tc>
      </w:tr>
    </w:tbl>
    <w:p>
      <w:pPr>
        <w:pStyle w:val="Heading2"/>
      </w:pPr>
      <w:r>
        <w:t>Konsultin tietoturvavelvoitteet</w:t>
      </w:r>
    </w:p>
    <w:p>
      <w:pPr>
        <w:pStyle w:val="ListNumber"/>
      </w:pPr>
      <w:r>
        <w:t>NDA allekirjoitettu ennen pääsyä asiakastietoon</w:t>
      </w:r>
    </w:p>
    <w:p>
      <w:pPr>
        <w:pStyle w:val="ListNumber"/>
      </w:pPr>
      <w:r>
        <w:t>Tietoturva-perehdytys suoritettu (ks. §6)</w:t>
      </w:r>
    </w:p>
    <w:p>
      <w:pPr>
        <w:pStyle w:val="ListNumber"/>
      </w:pPr>
      <w:r>
        <w:t>Ei henkilökohtaisia laitteita asiakastyössä ilman hyväksyntää</w:t>
      </w:r>
    </w:p>
    <w:p>
      <w:pPr>
        <w:pStyle w:val="ListNumber"/>
      </w:pPr>
      <w:r>
        <w:t>Ei datan kopiointia pilvitallennustiloihin ilman asiakkaan suostumusta</w:t>
      </w:r>
    </w:p>
    <w:p>
      <w:pPr>
        <w:pStyle w:val="ListNumber"/>
      </w:pPr>
      <w:r>
        <w:t>Tietoturvaloukkaukset ilmoitetaan välittömästi: risto.paarni@lifetime.fi</w:t>
      </w:r>
    </w:p>
    <w:p>
      <w:pPr>
        <w:pStyle w:val="Heading2"/>
      </w:pPr>
      <w:r>
        <w:t>Sertifioinnit ja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Sertifiointi</w:t>
            </w:r>
          </w:p>
        </w:tc>
        <w:tc>
          <w:tcPr>
            <w:tcW w:type="dxa" w:w="2880"/>
          </w:tcPr>
          <w:p>
            <w:r>
              <w:rPr>
                <w:b/>
                <w:sz w:val="18"/>
              </w:rPr>
              <w:t>Status</w:t>
            </w:r>
          </w:p>
        </w:tc>
        <w:tc>
          <w:tcPr>
            <w:tcW w:type="dxa" w:w="2880"/>
          </w:tcPr>
          <w:p>
            <w:r>
              <w:rPr>
                <w:b/>
                <w:sz w:val="18"/>
              </w:rPr>
              <w:t>Päivämäärä</w:t>
            </w:r>
          </w:p>
        </w:tc>
      </w:tr>
      <w:tr>
        <w:tc>
          <w:tcPr>
            <w:tcW w:type="dxa" w:w="2880"/>
          </w:tcPr>
          <w:p>
            <w:r>
              <w:rPr>
                <w:sz w:val="18"/>
              </w:rPr>
              <w:t>EU AI Act Article 12 -lokitus</w:t>
            </w:r>
          </w:p>
        </w:tc>
        <w:tc>
          <w:tcPr>
            <w:tcW w:type="dxa" w:w="2880"/>
          </w:tcPr>
          <w:p>
            <w:r>
              <w:rPr>
                <w:sz w:val="18"/>
              </w:rPr>
              <w:t>TUOTANNOSSA</w:t>
            </w:r>
          </w:p>
        </w:tc>
        <w:tc>
          <w:tcPr>
            <w:tcW w:type="dxa" w:w="2880"/>
          </w:tcPr>
          <w:p>
            <w:r>
              <w:rPr>
                <w:sz w:val="18"/>
              </w:rPr>
              <w:t>Maaliskuu 2026</w:t>
            </w:r>
          </w:p>
        </w:tc>
      </w:tr>
      <w:tr>
        <w:tc>
          <w:tcPr>
            <w:tcW w:type="dxa" w:w="2880"/>
          </w:tcPr>
          <w:p>
            <w:r>
              <w:rPr>
                <w:sz w:val="18"/>
              </w:rPr>
              <w:t>ISO 27001</w:t>
            </w:r>
          </w:p>
        </w:tc>
        <w:tc>
          <w:tcPr>
            <w:tcW w:type="dxa" w:w="2880"/>
          </w:tcPr>
          <w:p>
            <w:r>
              <w:rPr>
                <w:sz w:val="18"/>
              </w:rPr>
              <w:t>Käynnissä</w:t>
            </w:r>
          </w:p>
        </w:tc>
        <w:tc>
          <w:tcPr>
            <w:tcW w:type="dxa" w:w="2880"/>
          </w:tcPr>
          <w:p>
            <w:r>
              <w:rPr>
                <w:sz w:val="18"/>
              </w:rPr>
              <w:t>Q3 2026</w:t>
            </w:r>
          </w:p>
        </w:tc>
      </w:tr>
      <w:tr>
        <w:tc>
          <w:tcPr>
            <w:tcW w:type="dxa" w:w="2880"/>
          </w:tcPr>
          <w:p>
            <w:r>
              <w:rPr>
                <w:sz w:val="18"/>
              </w:rPr>
              <w:t>SOC 2 Type II</w:t>
            </w:r>
          </w:p>
        </w:tc>
        <w:tc>
          <w:tcPr>
            <w:tcW w:type="dxa" w:w="2880"/>
          </w:tcPr>
          <w:p>
            <w:r>
              <w:rPr>
                <w:sz w:val="18"/>
              </w:rPr>
              <w:t>Suunniteltu</w:t>
            </w:r>
          </w:p>
        </w:tc>
        <w:tc>
          <w:tcPr>
            <w:tcW w:type="dxa" w:w="2880"/>
          </w:tcPr>
          <w:p>
            <w:r>
              <w:rPr>
                <w:sz w:val="18"/>
              </w:rPr>
              <w:t>Q4 2026</w:t>
            </w:r>
          </w:p>
        </w:tc>
      </w:tr>
      <w:tr>
        <w:tc>
          <w:tcPr>
            <w:tcW w:type="dxa" w:w="2880"/>
          </w:tcPr>
          <w:p>
            <w:r>
              <w:rPr>
                <w:sz w:val="18"/>
              </w:rPr>
              <w:t>IEC 62443 (OT-turvallisuus)</w:t>
            </w:r>
          </w:p>
        </w:tc>
        <w:tc>
          <w:tcPr>
            <w:tcW w:type="dxa" w:w="2880"/>
          </w:tcPr>
          <w:p>
            <w:r>
              <w:rPr>
                <w:sz w:val="18"/>
              </w:rPr>
              <w:t>Suunniteltu</w:t>
            </w:r>
          </w:p>
        </w:tc>
        <w:tc>
          <w:tcPr>
            <w:tcW w:type="dxa" w:w="2880"/>
          </w:tcPr>
          <w:p>
            <w:r>
              <w:rPr>
                <w:sz w:val="18"/>
              </w:rPr>
              <w:t>Q4 2026</w:t>
            </w:r>
          </w:p>
        </w:tc>
      </w:tr>
      <w:tr>
        <w:tc>
          <w:tcPr>
            <w:tcW w:type="dxa" w:w="2880"/>
          </w:tcPr>
          <w:p>
            <w:r>
              <w:rPr>
                <w:sz w:val="18"/>
              </w:rPr>
              <w:t>PiTuKri</w:t>
            </w:r>
          </w:p>
        </w:tc>
        <w:tc>
          <w:tcPr>
            <w:tcW w:type="dxa" w:w="2880"/>
          </w:tcPr>
          <w:p>
            <w:r>
              <w:rPr>
                <w:sz w:val="18"/>
              </w:rPr>
              <w:t>Auditoitavissa</w:t>
            </w:r>
          </w:p>
        </w:tc>
        <w:tc>
          <w:tcPr>
            <w:tcW w:type="dxa" w:w="2880"/>
          </w:tcPr>
          <w:p>
            <w:r>
              <w:rPr>
                <w:sz w:val="18"/>
              </w:rPr>
              <w:t>v1.1 (52 kriteeriä)</w:t>
            </w:r>
          </w:p>
        </w:tc>
      </w:tr>
    </w:tbl>
    <w:p>
      <w:pPr>
        <w:pStyle w:val="Heading1"/>
      </w:pPr>
      <w:r>
        <w:t>13. Työajan hallinta</w:t>
      </w:r>
    </w:p>
    <w:p>
      <w:pPr>
        <w:pStyle w:val="Heading2"/>
      </w:pPr>
      <w:r>
        <w:t>Tuntikirjaus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Kohta</w:t>
            </w:r>
          </w:p>
        </w:tc>
        <w:tc>
          <w:tcPr>
            <w:tcW w:type="dxa" w:w="4320"/>
          </w:tcPr>
          <w:p>
            <w:r>
              <w:rPr>
                <w:b/>
                <w:sz w:val="18"/>
              </w:rPr>
              <w:t>Käytäntö</w:t>
            </w:r>
          </w:p>
        </w:tc>
      </w:tr>
      <w:tr>
        <w:tc>
          <w:tcPr>
            <w:tcW w:type="dxa" w:w="4320"/>
          </w:tcPr>
          <w:p>
            <w:r>
              <w:rPr>
                <w:sz w:val="18"/>
              </w:rPr>
              <w:t>Kirjausväline</w:t>
            </w:r>
          </w:p>
        </w:tc>
        <w:tc>
          <w:tcPr>
            <w:tcW w:type="dxa" w:w="4320"/>
          </w:tcPr>
          <w:p>
            <w:r>
              <w:rPr>
                <w:sz w:val="18"/>
              </w:rPr>
              <w:t>JIRA / Google Sheets (asiakaskohtainen)</w:t>
            </w:r>
          </w:p>
        </w:tc>
      </w:tr>
      <w:tr>
        <w:tc>
          <w:tcPr>
            <w:tcW w:type="dxa" w:w="4320"/>
          </w:tcPr>
          <w:p>
            <w:r>
              <w:rPr>
                <w:sz w:val="18"/>
              </w:rPr>
              <w:t>Kirjausfrekvenssi</w:t>
            </w:r>
          </w:p>
        </w:tc>
        <w:tc>
          <w:tcPr>
            <w:tcW w:type="dxa" w:w="4320"/>
          </w:tcPr>
          <w:p>
            <w:r>
              <w:rPr>
                <w:sz w:val="18"/>
              </w:rPr>
              <w:t>Päivittäin, viimeistään seuraavana aamuna</w:t>
            </w:r>
          </w:p>
        </w:tc>
      </w:tr>
      <w:tr>
        <w:tc>
          <w:tcPr>
            <w:tcW w:type="dxa" w:w="4320"/>
          </w:tcPr>
          <w:p>
            <w:r>
              <w:rPr>
                <w:sz w:val="18"/>
              </w:rPr>
              <w:t>Minimiresoluutio</w:t>
            </w:r>
          </w:p>
        </w:tc>
        <w:tc>
          <w:tcPr>
            <w:tcW w:type="dxa" w:w="4320"/>
          </w:tcPr>
          <w:p>
            <w:r>
              <w:rPr>
                <w:sz w:val="18"/>
              </w:rPr>
              <w:t>0.5h (30 min)</w:t>
            </w:r>
          </w:p>
        </w:tc>
      </w:tr>
      <w:tr>
        <w:tc>
          <w:tcPr>
            <w:tcW w:type="dxa" w:w="4320"/>
          </w:tcPr>
          <w:p>
            <w:r>
              <w:rPr>
                <w:sz w:val="18"/>
              </w:rPr>
              <w:t>Ei-laskutettava työ</w:t>
            </w:r>
          </w:p>
        </w:tc>
        <w:tc>
          <w:tcPr>
            <w:tcW w:type="dxa" w:w="4320"/>
          </w:tcPr>
          <w:p>
            <w:r>
              <w:rPr>
                <w:sz w:val="18"/>
              </w:rPr>
              <w:t>Merkitään erikseen: sisäinen kehitys, koulutus, signaaliseuranta</w:t>
            </w:r>
          </w:p>
        </w:tc>
      </w:tr>
      <w:tr>
        <w:tc>
          <w:tcPr>
            <w:tcW w:type="dxa" w:w="4320"/>
          </w:tcPr>
          <w:p>
            <w:r>
              <w:rPr>
                <w:sz w:val="18"/>
              </w:rPr>
              <w:t>Matkustusaika</w:t>
            </w:r>
          </w:p>
        </w:tc>
        <w:tc>
          <w:tcPr>
            <w:tcW w:type="dxa" w:w="4320"/>
          </w:tcPr>
          <w:p>
            <w:r>
              <w:rPr>
                <w:sz w:val="18"/>
              </w:rPr>
              <w:t>Laskutetaan sopimuksen mukaan</w:t>
            </w:r>
          </w:p>
        </w:tc>
      </w:tr>
    </w:tbl>
    <w:p>
      <w:pPr>
        <w:pStyle w:val="Heading2"/>
      </w:pPr>
      <w:r>
        <w:t>Raportointi</w:t>
      </w:r>
    </w:p>
    <w:p>
      <w:pPr>
        <w:pStyle w:val="ListBullet"/>
      </w:pPr>
      <w:r>
        <w:t>Viikkoraportti: perjantaisin, lyhyt tilannetiivistelmä esimiehelle</w:t>
      </w:r>
    </w:p>
    <w:p>
      <w:pPr>
        <w:pStyle w:val="ListBullet"/>
      </w:pPr>
      <w:r>
        <w:t>Kuukausiraportti: tuntiyhteenveto, asiakaspalaute, seuraavan kuukauden fokus</w:t>
      </w:r>
    </w:p>
    <w:p>
      <w:pPr>
        <w:pStyle w:val="ListBullet"/>
      </w:pPr>
      <w:r>
        <w:t>Kvartaaliraportti: KPI-toteutuma, asiakaspysyvyys, myyntiputki</w:t>
      </w:r>
    </w:p>
    <w:p>
      <w:pPr>
        <w:pStyle w:val="Heading1"/>
      </w:pPr>
      <w:r>
        <w:t>14. Kumppanit</w:t>
      </w:r>
    </w:p>
    <w:p>
      <w:pPr>
        <w:pStyle w:val="Heading2"/>
      </w:pPr>
      <w:r>
        <w:t>Teknologiakumppanit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Kumppani</w:t>
            </w:r>
          </w:p>
        </w:tc>
        <w:tc>
          <w:tcPr>
            <w:tcW w:type="dxa" w:w="2880"/>
          </w:tcPr>
          <w:p>
            <w:r>
              <w:rPr>
                <w:b/>
                <w:sz w:val="18"/>
              </w:rPr>
              <w:t>Status</w:t>
            </w:r>
          </w:p>
        </w:tc>
        <w:tc>
          <w:tcPr>
            <w:tcW w:type="dxa" w:w="2880"/>
          </w:tcPr>
          <w:p>
            <w:r>
              <w:rPr>
                <w:b/>
                <w:sz w:val="18"/>
              </w:rPr>
              <w:t>Mitä se tarkoittaa</w:t>
            </w:r>
          </w:p>
        </w:tc>
      </w:tr>
      <w:tr>
        <w:tc>
          <w:tcPr>
            <w:tcW w:type="dxa" w:w="2880"/>
          </w:tcPr>
          <w:p>
            <w:r>
              <w:rPr>
                <w:sz w:val="18"/>
              </w:rPr>
              <w:t>NVIDIA</w:t>
            </w:r>
          </w:p>
        </w:tc>
        <w:tc>
          <w:tcPr>
            <w:tcW w:type="dxa" w:w="2880"/>
          </w:tcPr>
          <w:p>
            <w:r>
              <w:rPr>
                <w:sz w:val="18"/>
              </w:rPr>
              <w:t>Connect ISV Partner (Inception Program)</w:t>
            </w:r>
          </w:p>
        </w:tc>
        <w:tc>
          <w:tcPr>
            <w:tcW w:type="dxa" w:w="2880"/>
          </w:tcPr>
          <w:p>
            <w:r>
              <w:rPr>
                <w:sz w:val="18"/>
              </w:rPr>
              <w:t>Laitteisto + AI-alusta validoitu</w:t>
            </w:r>
          </w:p>
        </w:tc>
      </w:tr>
      <w:tr>
        <w:tc>
          <w:tcPr>
            <w:tcW w:type="dxa" w:w="2880"/>
          </w:tcPr>
          <w:p>
            <w:r>
              <w:rPr>
                <w:sz w:val="18"/>
              </w:rPr>
              <w:t>Microsoft</w:t>
            </w:r>
          </w:p>
        </w:tc>
        <w:tc>
          <w:tcPr>
            <w:tcW w:type="dxa" w:w="2880"/>
          </w:tcPr>
          <w:p>
            <w:r>
              <w:rPr>
                <w:sz w:val="18"/>
              </w:rPr>
              <w:t>Founders Hub L1-L4</w:t>
            </w:r>
          </w:p>
        </w:tc>
        <w:tc>
          <w:tcPr>
            <w:tcW w:type="dxa" w:w="2880"/>
          </w:tcPr>
          <w:p>
            <w:r>
              <w:rPr>
                <w:sz w:val="18"/>
              </w:rPr>
              <w:t>Teknologian käyttö validoitu</w:t>
            </w:r>
          </w:p>
        </w:tc>
      </w:tr>
      <w:tr>
        <w:tc>
          <w:tcPr>
            <w:tcW w:type="dxa" w:w="2880"/>
          </w:tcPr>
          <w:p>
            <w:r>
              <w:rPr>
                <w:sz w:val="18"/>
              </w:rPr>
              <w:t>Red Hat</w:t>
            </w:r>
          </w:p>
        </w:tc>
        <w:tc>
          <w:tcPr>
            <w:tcW w:type="dxa" w:w="2880"/>
          </w:tcPr>
          <w:p>
            <w:r>
              <w:rPr>
                <w:sz w:val="18"/>
              </w:rPr>
              <w:t>AI Event Partner (Suomi, maaliskuu 2026)</w:t>
            </w:r>
          </w:p>
        </w:tc>
        <w:tc>
          <w:tcPr>
            <w:tcW w:type="dxa" w:w="2880"/>
          </w:tcPr>
          <w:p>
            <w:r>
              <w:rPr>
                <w:sz w:val="18"/>
              </w:rPr>
              <w:t>Enterprise Linux -ekosysteemi</w:t>
            </w:r>
          </w:p>
        </w:tc>
      </w:tr>
      <w:tr>
        <w:tc>
          <w:tcPr>
            <w:tcW w:type="dxa" w:w="2880"/>
          </w:tcPr>
          <w:p>
            <w:r>
              <w:rPr>
                <w:sz w:val="18"/>
              </w:rPr>
              <w:t>European Commission</w:t>
            </w:r>
          </w:p>
        </w:tc>
        <w:tc>
          <w:tcPr>
            <w:tcW w:type="dxa" w:w="2880"/>
          </w:tcPr>
          <w:p>
            <w:r>
              <w:rPr>
                <w:sz w:val="18"/>
              </w:rPr>
              <w:t>InvestEU Portal x3 (INPO-20254383)</w:t>
            </w:r>
          </w:p>
        </w:tc>
        <w:tc>
          <w:tcPr>
            <w:tcW w:type="dxa" w:w="2880"/>
          </w:tcPr>
          <w:p>
            <w:r>
              <w:rPr>
                <w:sz w:val="18"/>
              </w:rPr>
              <w:t>EU-institutionaalinen tunnustus</w:t>
            </w:r>
          </w:p>
        </w:tc>
      </w:tr>
    </w:tbl>
    <w:p>
      <w:pPr>
        <w:pStyle w:val="Heading2"/>
      </w:pPr>
      <w:r>
        <w:t>Alihankkijaverkosto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Kumppani</w:t>
            </w:r>
          </w:p>
        </w:tc>
        <w:tc>
          <w:tcPr>
            <w:tcW w:type="dxa" w:w="2880"/>
          </w:tcPr>
          <w:p>
            <w:r>
              <w:rPr>
                <w:b/>
                <w:sz w:val="18"/>
              </w:rPr>
              <w:t>Rooli</w:t>
            </w:r>
          </w:p>
        </w:tc>
        <w:tc>
          <w:tcPr>
            <w:tcW w:type="dxa" w:w="2880"/>
          </w:tcPr>
          <w:p>
            <w:r>
              <w:rPr>
                <w:b/>
                <w:sz w:val="18"/>
              </w:rPr>
              <w:t>Kapasiteetti</w:t>
            </w:r>
          </w:p>
        </w:tc>
      </w:tr>
      <w:tr>
        <w:tc>
          <w:tcPr>
            <w:tcW w:type="dxa" w:w="2880"/>
          </w:tcPr>
          <w:p>
            <w:r>
              <w:rPr>
                <w:sz w:val="18"/>
              </w:rPr>
              <w:t>9series</w:t>
            </w:r>
          </w:p>
        </w:tc>
        <w:tc>
          <w:tcPr>
            <w:tcW w:type="dxa" w:w="2880"/>
          </w:tcPr>
          <w:p>
            <w:r>
              <w:rPr>
                <w:sz w:val="18"/>
              </w:rPr>
              <w:t>Tekninen toimitus</w:t>
            </w:r>
          </w:p>
        </w:tc>
        <w:tc>
          <w:tcPr>
            <w:tcW w:type="dxa" w:w="2880"/>
          </w:tcPr>
          <w:p>
            <w:r>
              <w:rPr>
                <w:sz w:val="18"/>
              </w:rPr>
              <w:t>DevOps, Full-stack</w:t>
            </w:r>
          </w:p>
        </w:tc>
      </w:tr>
      <w:tr>
        <w:tc>
          <w:tcPr>
            <w:tcW w:type="dxa" w:w="2880"/>
          </w:tcPr>
          <w:p>
            <w:r>
              <w:rPr>
                <w:sz w:val="18"/>
              </w:rPr>
              <w:t>Cubet</w:t>
            </w:r>
          </w:p>
        </w:tc>
        <w:tc>
          <w:tcPr>
            <w:tcW w:type="dxa" w:w="2880"/>
          </w:tcPr>
          <w:p>
            <w:r>
              <w:rPr>
                <w:sz w:val="18"/>
              </w:rPr>
              <w:t>Tekninen toimitus</w:t>
            </w:r>
          </w:p>
        </w:tc>
        <w:tc>
          <w:tcPr>
            <w:tcW w:type="dxa" w:w="2880"/>
          </w:tcPr>
          <w:p>
            <w:r>
              <w:rPr>
                <w:sz w:val="18"/>
              </w:rPr>
              <w:t>AI/ML, data engineering</w:t>
            </w:r>
          </w:p>
        </w:tc>
      </w:tr>
      <w:tr>
        <w:tc>
          <w:tcPr>
            <w:tcW w:type="dxa" w:w="2880"/>
          </w:tcPr>
          <w:p>
            <w:r>
              <w:rPr>
                <w:sz w:val="18"/>
              </w:rPr>
              <w:t>Freelance CTO</w:t>
            </w:r>
          </w:p>
        </w:tc>
        <w:tc>
          <w:tcPr>
            <w:tcW w:type="dxa" w:w="2880"/>
          </w:tcPr>
          <w:p>
            <w:r>
              <w:rPr>
                <w:sz w:val="18"/>
              </w:rPr>
              <w:t>Arkkitehtuuri</w:t>
            </w:r>
          </w:p>
        </w:tc>
        <w:tc>
          <w:tcPr>
            <w:tcW w:type="dxa" w:w="2880"/>
          </w:tcPr>
          <w:p>
            <w:r>
              <w:rPr>
                <w:sz w:val="18"/>
              </w:rPr>
              <w:t>Strategiset päätökset</w:t>
            </w:r>
          </w:p>
        </w:tc>
      </w:tr>
      <w:tr>
        <w:tc>
          <w:tcPr>
            <w:tcW w:type="dxa" w:w="2880"/>
          </w:tcPr>
          <w:p>
            <w:r>
              <w:rPr>
                <w:sz w:val="18"/>
              </w:rPr>
              <w:t>Metropolia/Aalto-verkosto</w:t>
            </w:r>
          </w:p>
        </w:tc>
        <w:tc>
          <w:tcPr>
            <w:tcW w:type="dxa" w:w="2880"/>
          </w:tcPr>
          <w:p>
            <w:r>
              <w:rPr>
                <w:sz w:val="18"/>
              </w:rPr>
              <w:t>UI/UX, GenAI</w:t>
            </w:r>
          </w:p>
        </w:tc>
        <w:tc>
          <w:tcPr>
            <w:tcW w:type="dxa" w:w="2880"/>
          </w:tcPr>
          <w:p>
            <w:r>
              <w:rPr>
                <w:sz w:val="18"/>
              </w:rPr>
              <w:t>Harjoittelijat, tutkijat</w:t>
            </w:r>
          </w:p>
        </w:tc>
      </w:tr>
    </w:tbl>
    <w:p>
      <w:pPr>
        <w:pStyle w:val="Heading1"/>
      </w:pPr>
      <w:r>
        <w:t>15. Liitteet</w:t>
      </w:r>
    </w:p>
    <w:p>
      <w:pPr>
        <w:pStyle w:val="Heading2"/>
      </w:pPr>
      <w:r>
        <w:t>Liite A: Hankintakoodit (CPV)</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Koodi</w:t>
            </w:r>
          </w:p>
        </w:tc>
        <w:tc>
          <w:tcPr>
            <w:tcW w:type="dxa" w:w="4320"/>
          </w:tcPr>
          <w:p>
            <w:r>
              <w:rPr>
                <w:b/>
                <w:sz w:val="18"/>
              </w:rPr>
              <w:t>Kuvaus</w:t>
            </w:r>
          </w:p>
        </w:tc>
      </w:tr>
      <w:tr>
        <w:tc>
          <w:tcPr>
            <w:tcW w:type="dxa" w:w="4320"/>
          </w:tcPr>
          <w:p>
            <w:r>
              <w:rPr>
                <w:sz w:val="18"/>
              </w:rPr>
              <w:t>35710000-4</w:t>
            </w:r>
          </w:p>
        </w:tc>
        <w:tc>
          <w:tcPr>
            <w:tcW w:type="dxa" w:w="4320"/>
          </w:tcPr>
          <w:p>
            <w:r>
              <w:rPr>
                <w:sz w:val="18"/>
              </w:rPr>
              <w:t>Johtamis-, valvonta- ja viestintäjärjestelmät</w:t>
            </w:r>
          </w:p>
        </w:tc>
      </w:tr>
      <w:tr>
        <w:tc>
          <w:tcPr>
            <w:tcW w:type="dxa" w:w="4320"/>
          </w:tcPr>
          <w:p>
            <w:r>
              <w:rPr>
                <w:sz w:val="18"/>
              </w:rPr>
              <w:t>35720000-7</w:t>
            </w:r>
          </w:p>
        </w:tc>
        <w:tc>
          <w:tcPr>
            <w:tcW w:type="dxa" w:w="4320"/>
          </w:tcPr>
          <w:p>
            <w:r>
              <w:rPr>
                <w:sz w:val="18"/>
              </w:rPr>
              <w:t>Tiedustelu, valvonta, maalitiedustelu</w:t>
            </w:r>
          </w:p>
        </w:tc>
      </w:tr>
      <w:tr>
        <w:tc>
          <w:tcPr>
            <w:tcW w:type="dxa" w:w="4320"/>
          </w:tcPr>
          <w:p>
            <w:r>
              <w:rPr>
                <w:sz w:val="18"/>
              </w:rPr>
              <w:t>30210000-4</w:t>
            </w:r>
          </w:p>
        </w:tc>
        <w:tc>
          <w:tcPr>
            <w:tcW w:type="dxa" w:w="4320"/>
          </w:tcPr>
          <w:p>
            <w:r>
              <w:rPr>
                <w:sz w:val="18"/>
              </w:rPr>
              <w:t>Tietokonelaitteet</w:t>
            </w:r>
          </w:p>
        </w:tc>
      </w:tr>
      <w:tr>
        <w:tc>
          <w:tcPr>
            <w:tcW w:type="dxa" w:w="4320"/>
          </w:tcPr>
          <w:p>
            <w:r>
              <w:rPr>
                <w:sz w:val="18"/>
              </w:rPr>
              <w:t>48000000-8</w:t>
            </w:r>
          </w:p>
        </w:tc>
        <w:tc>
          <w:tcPr>
            <w:tcW w:type="dxa" w:w="4320"/>
          </w:tcPr>
          <w:p>
            <w:r>
              <w:rPr>
                <w:sz w:val="18"/>
              </w:rPr>
              <w:t>Ohjelmistot ja IT-järjestelmät</w:t>
            </w:r>
          </w:p>
        </w:tc>
      </w:tr>
    </w:tbl>
    <w:p>
      <w:pPr>
        <w:pStyle w:val="Heading2"/>
      </w:pPr>
      <w:r>
        <w:t>Liite B: Tärkeimmät tiedostot konsultille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Tiedosto</w:t>
            </w:r>
          </w:p>
        </w:tc>
        <w:tc>
          <w:tcPr>
            <w:tcW w:type="dxa" w:w="4320"/>
          </w:tcPr>
          <w:p>
            <w:r>
              <w:rPr>
                <w:b/>
                <w:sz w:val="18"/>
              </w:rPr>
              <w:t>Kuvaus</w:t>
            </w:r>
          </w:p>
        </w:tc>
      </w:tr>
      <w:tr>
        <w:tc>
          <w:tcPr>
            <w:tcW w:type="dxa" w:w="4320"/>
          </w:tcPr>
          <w:p>
            <w:r>
              <w:rPr>
                <w:sz w:val="18"/>
              </w:rPr>
              <w:t>`docs/sales/ENTERPRISE_WINNING_SALES_STRATEGY.md`</w:t>
            </w:r>
          </w:p>
        </w:tc>
        <w:tc>
          <w:tcPr>
            <w:tcW w:type="dxa" w:w="4320"/>
          </w:tcPr>
          <w:p>
            <w:r>
              <w:rPr>
                <w:sz w:val="18"/>
              </w:rPr>
              <w:t>Enterprise-myyntistrategia SWOT, 4P, markkinatieto</w:t>
            </w:r>
          </w:p>
        </w:tc>
      </w:tr>
      <w:tr>
        <w:tc>
          <w:tcPr>
            <w:tcW w:type="dxa" w:w="4320"/>
          </w:tcPr>
          <w:p>
            <w:r>
              <w:rPr>
                <w:sz w:val="18"/>
              </w:rPr>
              <w:t>`docs/sales/LIFETIME_FLEET_PERSONAL_WINNING_SALES_STRATEGY.md`</w:t>
            </w:r>
          </w:p>
        </w:tc>
        <w:tc>
          <w:tcPr>
            <w:tcW w:type="dxa" w:w="4320"/>
          </w:tcPr>
          <w:p>
            <w:r>
              <w:rPr>
                <w:sz w:val="18"/>
              </w:rPr>
              <w:t>Henkilökohtainen fleet-myyntistrategia</w:t>
            </w:r>
          </w:p>
        </w:tc>
      </w:tr>
      <w:tr>
        <w:tc>
          <w:tcPr>
            <w:tcW w:type="dxa" w:w="4320"/>
          </w:tcPr>
          <w:p>
            <w:r>
              <w:rPr>
                <w:sz w:val="18"/>
              </w:rPr>
              <w:t>`docs/sales/MODULE_2_PITCH_DECK.md`</w:t>
            </w:r>
          </w:p>
        </w:tc>
        <w:tc>
          <w:tcPr>
            <w:tcW w:type="dxa" w:w="4320"/>
          </w:tcPr>
          <w:p>
            <w:r>
              <w:rPr>
                <w:sz w:val="18"/>
              </w:rPr>
              <w:t>10-kalvon pitch deck -sisältö</w:t>
            </w:r>
          </w:p>
        </w:tc>
      </w:tr>
      <w:tr>
        <w:tc>
          <w:tcPr>
            <w:tcW w:type="dxa" w:w="4320"/>
          </w:tcPr>
          <w:p>
            <w:r>
              <w:rPr>
                <w:sz w:val="18"/>
              </w:rPr>
              <w:t>`docs/sales/MODULE_3_TRACTION_PAGE.md`</w:t>
            </w:r>
          </w:p>
        </w:tc>
        <w:tc>
          <w:tcPr>
            <w:tcW w:type="dxa" w:w="4320"/>
          </w:tcPr>
          <w:p>
            <w:r>
              <w:rPr>
                <w:sz w:val="18"/>
              </w:rPr>
              <w:t>Hard traction -sivu</w:t>
            </w:r>
          </w:p>
        </w:tc>
      </w:tr>
      <w:tr>
        <w:tc>
          <w:tcPr>
            <w:tcW w:type="dxa" w:w="4320"/>
          </w:tcPr>
          <w:p>
            <w:r>
              <w:rPr>
                <w:sz w:val="18"/>
              </w:rPr>
              <w:t>`docs/sales/MODULE_4_DEFENCE_INSERT.md`</w:t>
            </w:r>
          </w:p>
        </w:tc>
        <w:tc>
          <w:tcPr>
            <w:tcW w:type="dxa" w:w="4320"/>
          </w:tcPr>
          <w:p>
            <w:r>
              <w:rPr>
                <w:sz w:val="18"/>
              </w:rPr>
              <w:t>Puolustussektorin 3-sivuinen lisäke</w:t>
            </w:r>
          </w:p>
        </w:tc>
      </w:tr>
      <w:tr>
        <w:tc>
          <w:tcPr>
            <w:tcW w:type="dxa" w:w="4320"/>
          </w:tcPr>
          <w:p>
            <w:r>
              <w:rPr>
                <w:sz w:val="18"/>
              </w:rPr>
              <w:t>`DWS_ROLES_REGISTRY.md`</w:t>
            </w:r>
          </w:p>
        </w:tc>
        <w:tc>
          <w:tcPr>
            <w:tcW w:type="dxa" w:w="4320"/>
          </w:tcPr>
          <w:p>
            <w:r>
              <w:rPr>
                <w:sz w:val="18"/>
              </w:rPr>
              <w:t>25 roolin enterprise-taksonomia</w:t>
            </w:r>
          </w:p>
        </w:tc>
      </w:tr>
      <w:tr>
        <w:tc>
          <w:tcPr>
            <w:tcW w:type="dxa" w:w="4320"/>
          </w:tcPr>
          <w:p>
            <w:r>
              <w:rPr>
                <w:sz w:val="18"/>
              </w:rPr>
              <w:t>`DWS_TRUTH_STANDARD.md`</w:t>
            </w:r>
          </w:p>
        </w:tc>
        <w:tc>
          <w:tcPr>
            <w:tcW w:type="dxa" w:w="4320"/>
          </w:tcPr>
          <w:p>
            <w:r>
              <w:rPr>
                <w:sz w:val="18"/>
              </w:rPr>
              <w:t>Kanonisten faktojen rekisteri</w:t>
            </w:r>
          </w:p>
        </w:tc>
      </w:tr>
      <w:tr>
        <w:tc>
          <w:tcPr>
            <w:tcW w:type="dxa" w:w="4320"/>
          </w:tcPr>
          <w:p>
            <w:r>
              <w:rPr>
                <w:sz w:val="18"/>
              </w:rPr>
              <w:t>`AI_AGENT_GUIDELINES.md`</w:t>
            </w:r>
          </w:p>
        </w:tc>
        <w:tc>
          <w:tcPr>
            <w:tcW w:type="dxa" w:w="4320"/>
          </w:tcPr>
          <w:p>
            <w:r>
              <w:rPr>
                <w:sz w:val="18"/>
              </w:rPr>
              <w:t>Agenttien kehittämisen ohjeet</w:t>
            </w:r>
          </w:p>
        </w:tc>
      </w:tr>
      <w:tr>
        <w:tc>
          <w:tcPr>
            <w:tcW w:type="dxa" w:w="4320"/>
          </w:tcPr>
          <w:p>
            <w:r>
              <w:rPr>
                <w:sz w:val="18"/>
              </w:rPr>
              <w:t>`Legal/KYA_STANDARD_v1.md`</w:t>
            </w:r>
          </w:p>
        </w:tc>
        <w:tc>
          <w:tcPr>
            <w:tcW w:type="dxa" w:w="4320"/>
          </w:tcPr>
          <w:p>
            <w:r>
              <w:rPr>
                <w:sz w:val="18"/>
              </w:rPr>
              <w:t>KYA-agenttihallintakehys</w:t>
            </w:r>
          </w:p>
        </w:tc>
      </w:tr>
      <w:tr>
        <w:tc>
          <w:tcPr>
            <w:tcW w:type="dxa" w:w="4320"/>
          </w:tcPr>
          <w:p>
            <w:r>
              <w:rPr>
                <w:sz w:val="18"/>
              </w:rPr>
              <w:t>`INDUSTRIES.md`</w:t>
            </w:r>
          </w:p>
        </w:tc>
        <w:tc>
          <w:tcPr>
            <w:tcW w:type="dxa" w:w="4320"/>
          </w:tcPr>
          <w:p>
            <w:r>
              <w:rPr>
                <w:sz w:val="18"/>
              </w:rPr>
              <w:t>25 toimialan kanoninen rekisteri</w:t>
            </w:r>
          </w:p>
        </w:tc>
      </w:tr>
    </w:tbl>
    <w:p>
      <w:pPr>
        <w:pStyle w:val="Heading2"/>
      </w:pPr>
      <w:r>
        <w:t>Liite C: Sanasto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Termi</w:t>
            </w:r>
          </w:p>
        </w:tc>
        <w:tc>
          <w:tcPr>
            <w:tcW w:type="dxa" w:w="4320"/>
          </w:tcPr>
          <w:p>
            <w:r>
              <w:rPr>
                <w:b/>
                <w:sz w:val="18"/>
              </w:rPr>
              <w:t>Selitys</w:t>
            </w:r>
          </w:p>
        </w:tc>
      </w:tr>
      <w:tr>
        <w:tc>
          <w:tcPr>
            <w:tcW w:type="dxa" w:w="4320"/>
          </w:tcPr>
          <w:p>
            <w:r>
              <w:rPr>
                <w:sz w:val="18"/>
              </w:rPr>
              <w:t>DWS IQ</w:t>
            </w:r>
          </w:p>
        </w:tc>
        <w:tc>
          <w:tcPr>
            <w:tcW w:type="dxa" w:w="4320"/>
          </w:tcPr>
          <w:p>
            <w:r>
              <w:rPr>
                <w:sz w:val="18"/>
              </w:rPr>
              <w:t>Digital Workforce Studio Intelligence — AI-alusta</w:t>
            </w:r>
          </w:p>
        </w:tc>
      </w:tr>
      <w:tr>
        <w:tc>
          <w:tcPr>
            <w:tcW w:type="dxa" w:w="4320"/>
          </w:tcPr>
          <w:p>
            <w:r>
              <w:rPr>
                <w:sz w:val="18"/>
              </w:rPr>
              <w:t>Climate IQ</w:t>
            </w:r>
          </w:p>
        </w:tc>
        <w:tc>
          <w:tcPr>
            <w:tcW w:type="dxa" w:w="4320"/>
          </w:tcPr>
          <w:p>
            <w:r>
              <w:rPr>
                <w:sz w:val="18"/>
              </w:rPr>
              <w:t>CBAM/CSRD/ETS compliance-automaatio</w:t>
            </w:r>
          </w:p>
        </w:tc>
      </w:tr>
      <w:tr>
        <w:tc>
          <w:tcPr>
            <w:tcW w:type="dxa" w:w="4320"/>
          </w:tcPr>
          <w:p>
            <w:r>
              <w:rPr>
                <w:sz w:val="18"/>
              </w:rPr>
              <w:t>Industrial IQ</w:t>
            </w:r>
          </w:p>
        </w:tc>
        <w:tc>
          <w:tcPr>
            <w:tcW w:type="dxa" w:w="4320"/>
          </w:tcPr>
          <w:p>
            <w:r>
              <w:rPr>
                <w:sz w:val="18"/>
              </w:rPr>
              <w:t>Toimialarajat ylittävä signaalianalyysi</w:t>
            </w:r>
          </w:p>
        </w:tc>
      </w:tr>
      <w:tr>
        <w:tc>
          <w:tcPr>
            <w:tcW w:type="dxa" w:w="4320"/>
          </w:tcPr>
          <w:p>
            <w:r>
              <w:rPr>
                <w:sz w:val="18"/>
              </w:rPr>
              <w:t>Aegis</w:t>
            </w:r>
          </w:p>
        </w:tc>
        <w:tc>
          <w:tcPr>
            <w:tcW w:type="dxa" w:w="4320"/>
          </w:tcPr>
          <w:p>
            <w:r>
              <w:rPr>
                <w:sz w:val="18"/>
              </w:rPr>
              <w:t>Suvereeni infrastruktuuri (on-prem, ilmaraollinen)</w:t>
            </w:r>
          </w:p>
        </w:tc>
      </w:tr>
      <w:tr>
        <w:tc>
          <w:tcPr>
            <w:tcW w:type="dxa" w:w="4320"/>
          </w:tcPr>
          <w:p>
            <w:r>
              <w:rPr>
                <w:sz w:val="18"/>
              </w:rPr>
              <w:t>KYA</w:t>
            </w:r>
          </w:p>
        </w:tc>
        <w:tc>
          <w:tcPr>
            <w:tcW w:type="dxa" w:w="4320"/>
          </w:tcPr>
          <w:p>
            <w:r>
              <w:rPr>
                <w:sz w:val="18"/>
              </w:rPr>
              <w:t>Know Your Agent — agenttihallintakehys</w:t>
            </w:r>
          </w:p>
        </w:tc>
      </w:tr>
      <w:tr>
        <w:tc>
          <w:tcPr>
            <w:tcW w:type="dxa" w:w="4320"/>
          </w:tcPr>
          <w:p>
            <w:r>
              <w:rPr>
                <w:sz w:val="18"/>
              </w:rPr>
              <w:t>Article 12</w:t>
            </w:r>
          </w:p>
        </w:tc>
        <w:tc>
          <w:tcPr>
            <w:tcW w:type="dxa" w:w="4320"/>
          </w:tcPr>
          <w:p>
            <w:r>
              <w:rPr>
                <w:sz w:val="18"/>
              </w:rPr>
              <w:t>EU AI Act:n auditointi-lokitus vaatimus</w:t>
            </w:r>
          </w:p>
        </w:tc>
      </w:tr>
      <w:tr>
        <w:tc>
          <w:tcPr>
            <w:tcW w:type="dxa" w:w="4320"/>
          </w:tcPr>
          <w:p>
            <w:r>
              <w:rPr>
                <w:sz w:val="18"/>
              </w:rPr>
              <w:t>CBAM</w:t>
            </w:r>
          </w:p>
        </w:tc>
        <w:tc>
          <w:tcPr>
            <w:tcW w:type="dxa" w:w="4320"/>
          </w:tcPr>
          <w:p>
            <w:r>
              <w:rPr>
                <w:sz w:val="18"/>
              </w:rPr>
              <w:t>Carbon Border Adjustment Mechanism</w:t>
            </w:r>
          </w:p>
        </w:tc>
      </w:tr>
      <w:tr>
        <w:tc>
          <w:tcPr>
            <w:tcW w:type="dxa" w:w="4320"/>
          </w:tcPr>
          <w:p>
            <w:r>
              <w:rPr>
                <w:sz w:val="18"/>
              </w:rPr>
              <w:t>CSRD</w:t>
            </w:r>
          </w:p>
        </w:tc>
        <w:tc>
          <w:tcPr>
            <w:tcW w:type="dxa" w:w="4320"/>
          </w:tcPr>
          <w:p>
            <w:r>
              <w:rPr>
                <w:sz w:val="18"/>
              </w:rPr>
              <w:t>Corporate Sustainability Reporting Directive</w:t>
            </w:r>
          </w:p>
        </w:tc>
      </w:tr>
      <w:tr>
        <w:tc>
          <w:tcPr>
            <w:tcW w:type="dxa" w:w="4320"/>
          </w:tcPr>
          <w:p>
            <w:r>
              <w:rPr>
                <w:sz w:val="18"/>
              </w:rPr>
              <w:t>ETS/ETS2</w:t>
            </w:r>
          </w:p>
        </w:tc>
        <w:tc>
          <w:tcPr>
            <w:tcW w:type="dxa" w:w="4320"/>
          </w:tcPr>
          <w:p>
            <w:r>
              <w:rPr>
                <w:sz w:val="18"/>
              </w:rPr>
              <w:t>Emissions Trading System (päästökauppa)</w:t>
            </w:r>
          </w:p>
        </w:tc>
      </w:tr>
      <w:tr>
        <w:tc>
          <w:tcPr>
            <w:tcW w:type="dxa" w:w="4320"/>
          </w:tcPr>
          <w:p>
            <w:r>
              <w:rPr>
                <w:sz w:val="18"/>
              </w:rPr>
              <w:t>NIS2</w:t>
            </w:r>
          </w:p>
        </w:tc>
        <w:tc>
          <w:tcPr>
            <w:tcW w:type="dxa" w:w="4320"/>
          </w:tcPr>
          <w:p>
            <w:r>
              <w:rPr>
                <w:sz w:val="18"/>
              </w:rPr>
              <w:t>Network and Information Security Directive</w:t>
            </w:r>
          </w:p>
        </w:tc>
      </w:tr>
      <w:tr>
        <w:tc>
          <w:tcPr>
            <w:tcW w:type="dxa" w:w="4320"/>
          </w:tcPr>
          <w:p>
            <w:r>
              <w:rPr>
                <w:sz w:val="18"/>
              </w:rPr>
              <w:t>CER</w:t>
            </w:r>
          </w:p>
        </w:tc>
        <w:tc>
          <w:tcPr>
            <w:tcW w:type="dxa" w:w="4320"/>
          </w:tcPr>
          <w:p>
            <w:r>
              <w:rPr>
                <w:sz w:val="18"/>
              </w:rPr>
              <w:t>Critical Entities Resilience Directive</w:t>
            </w:r>
          </w:p>
        </w:tc>
      </w:tr>
      <w:tr>
        <w:tc>
          <w:tcPr>
            <w:tcW w:type="dxa" w:w="4320"/>
          </w:tcPr>
          <w:p>
            <w:r>
              <w:rPr>
                <w:sz w:val="18"/>
              </w:rPr>
              <w:t>Signaalimyynti</w:t>
            </w:r>
          </w:p>
        </w:tc>
        <w:tc>
          <w:tcPr>
            <w:tcW w:type="dxa" w:w="4320"/>
          </w:tcPr>
          <w:p>
            <w:r>
              <w:rPr>
                <w:sz w:val="18"/>
              </w:rPr>
              <w:t>Outreach vain todellisilla signaaleilla</w:t>
            </w:r>
          </w:p>
        </w:tc>
      </w:tr>
      <w:tr>
        <w:tc>
          <w:tcPr>
            <w:tcW w:type="dxa" w:w="4320"/>
          </w:tcPr>
          <w:p>
            <w:r>
              <w:rPr>
                <w:sz w:val="18"/>
              </w:rPr>
              <w:t>Buffet-periaate</w:t>
            </w:r>
          </w:p>
        </w:tc>
        <w:tc>
          <w:tcPr>
            <w:tcW w:type="dxa" w:w="4320"/>
          </w:tcPr>
          <w:p>
            <w:r>
              <w:rPr>
                <w:sz w:val="18"/>
              </w:rPr>
              <w:t>Julkaistu hinta, sama kaikille</w:t>
            </w:r>
          </w:p>
        </w:tc>
      </w:tr>
      <w:tr>
        <w:tc>
          <w:tcPr>
            <w:tcW w:type="dxa" w:w="4320"/>
          </w:tcPr>
          <w:p>
            <w:r>
              <w:rPr>
                <w:sz w:val="18"/>
              </w:rPr>
              <w:t>Diagonal win</w:t>
            </w:r>
          </w:p>
        </w:tc>
        <w:tc>
          <w:tcPr>
            <w:tcW w:type="dxa" w:w="4320"/>
          </w:tcPr>
          <w:p>
            <w:r>
              <w:rPr>
                <w:sz w:val="18"/>
              </w:rPr>
              <w:t>Jokaisen roolin voitto sytyttää toisen voiton</w:t>
            </w:r>
          </w:p>
        </w:tc>
      </w:tr>
    </w:tbl>
    <w:p>
      <w:r>
        <w:rPr>
          <w:i/>
        </w:rPr>
        <w:t>"Katsomme suoraan silmiin. Litet bättre."</w:t>
      </w:r>
    </w:p>
    <w:p>
      <w:r>
        <w:rPr>
          <w:i/>
        </w:rPr>
        <w:t>— Konsultin käsikirja, 2019 &amp; 2026</w:t>
      </w:r>
    </w:p>
    <w:p>
      <w:r>
        <w:t>Tekijänoikeudet: Risto Anton Paarni © 2019-2026 Lifetime Oy.</w:t>
      </w:r>
    </w:p>
    <w:p>
      <w:r>
        <w:t>Kaikki oikeudet pidätetään.</w:t>
      </w:r>
    </w:p>
    <w:p>
      <w:r>
        <w:t>Saatavilla: dws10.com | Hinta: €29,95</w:t>
      </w:r>
    </w:p>
    <w:p>
      <w:r>
        <w:t>Edellinen versio: Konsultin käsikirja 2024 v0.16 (Risto Anton Päärni, Salla Limetti, Manish Kumar CTO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