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a55349d8432b19245184f0302ed7462b4abc46"/>
    <w:p>
      <w:pPr>
        <w:pStyle w:val="Heading1"/>
      </w:pPr>
      <w:r>
        <w:t xml:space="preserve">Field Note — The Harness Is the Cost Line: Composio’s 3-Harness Benchmark, and What DWS Cannot Measure</w:t>
      </w:r>
    </w:p>
    <w:p>
      <w:pPr>
        <w:pStyle w:val="FirstParagraph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Field Note — Competitive / Market Signal + Internal Audit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A third-party benchmark showing that agent-harness choice, not model choice, drives cost per completed task by up to an order of magnitude — and a reproducible audit of what DWS can measure about its own harness spend. Capture and audit only; no instrumentation built, no harness migration proposed.</w:t>
      </w:r>
      <w:r>
        <w:t xml:space="preserve"> </w:t>
      </w:r>
      <w:r>
        <w:rPr>
          <w:bCs/>
          <w:b/>
        </w:rPr>
        <w:t xml:space="preserve">Ontology Tags:</w:t>
      </w:r>
      <w:r>
        <w:t xml:space="preserve"> </w:t>
      </w:r>
      <w:r>
        <w:t xml:space="preserve">Geography &gt; Global, EU-27 | Sector &gt; Enterprise AI &gt; Agent Harnesses, Coding Agents, Token Economics | Entities &gt; Composio, Moonshot AI, Kimi K3, Kimi Code, Hermes (Composio), Claude Code, Anthropic, Lifetime Oy, DWS IQ | Temporal Context &gt; 2026-Q3, post-open-weight-parity | Confidence &gt; HIGH that the figures are as published;</w:t>
      </w:r>
      <w:r>
        <w:t xml:space="preserve"> </w:t>
      </w:r>
      <w:r>
        <w:rPr>
          <w:bCs/>
          <w:b/>
        </w:rPr>
        <w:t xml:space="preserve">MEDIUM-LOW that they generalise</w:t>
      </w:r>
      <w:r>
        <w:t xml:space="preserve"> </w:t>
      </w:r>
      <w:r>
        <w:t xml:space="preserve">(vendor-run, single model, single run — §2, §6)</w:t>
      </w:r>
    </w:p>
    <w:bookmarkStart w:id="20" w:name="the-benchmark"/>
    <w:p>
      <w:pPr>
        <w:pStyle w:val="Heading2"/>
      </w:pPr>
      <w:r>
        <w:t xml:space="preserve">1. The benchmark</w:t>
      </w:r>
    </w:p>
    <w:p>
      <w:pPr>
        <w:pStyle w:val="FirstParagraph"/>
      </w:pPr>
      <w:r>
        <w:t xml:space="preserve">Composio ran</w:t>
      </w:r>
      <w:r>
        <w:t xml:space="preserve"> </w:t>
      </w:r>
      <w:r>
        <w:rPr>
          <w:bCs/>
          <w:b/>
        </w:rPr>
        <w:t xml:space="preserve">Kimi K3 through three agent harnesses on 28 identical tasks</w:t>
      </w:r>
      <w:r>
        <w:t xml:space="preserve">. Same model, same tasks; only the harness changed.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tokens/task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cost/task (@ $3/M 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Kimi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Hermes</w:t>
            </w:r>
            <w:r>
              <w:t xml:space="preserve"> </w:t>
            </w:r>
            <w:r>
              <w:t xml:space="preserve">(Composio’s 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348 s</w:t>
            </w:r>
          </w:p>
        </w:tc>
      </w:tr>
    </w:tbl>
    <w:p>
      <w:pPr>
        <w:pStyle w:val="BodyText"/>
      </w:pPr>
      <w:r>
        <w:t xml:space="preserve">Headline:</w:t>
      </w:r>
      <w:r>
        <w:t xml:space="preserve"> </w:t>
      </w:r>
      <w:r>
        <w:rPr>
          <w:bCs/>
          <w:b/>
        </w:rPr>
        <w:t xml:space="preserve">up to 30× more tokens for the same task depending on the harness</w:t>
      </w:r>
      <w:r>
        <w:t xml:space="preserve">, at broadly similar success rates. The median task cost nearly</w:t>
      </w:r>
      <w:r>
        <w:t xml:space="preserve"> </w:t>
      </w:r>
      <w:r>
        <w:rPr>
          <w:bCs/>
          <w:b/>
        </w:rPr>
        <w:t xml:space="preserve">6× more</w:t>
      </w:r>
      <w:r>
        <w:t xml:space="preserve"> </w:t>
      </w:r>
      <w:r>
        <w:t xml:space="preserve">in Claude Code than in Kimi Code. Composio’s stated cost model assumes input tokens are ~95% of agentic spend.</w:t>
      </w:r>
    </w:p>
    <w:p>
      <w:pPr>
        <w:pStyle w:val="BodyText"/>
      </w:pPr>
      <w:r>
        <w:t xml:space="preserve">Composio’s own conclusion, quoted:</w:t>
      </w:r>
    </w:p>
    <w:p>
      <w:pPr>
        <w:pStyle w:val="BlockText"/>
      </w:pPr>
      <w:r>
        <w:t xml:space="preserve">If you want to reduce agent costs, examine the harness before switching models.</w:t>
      </w:r>
    </w:p>
    <w:bookmarkEnd w:id="20"/>
    <w:bookmarkStart w:id="21" w:name="Xb8d24696eb1444d40fe6f490a8aa8e87de827f3"/>
    <w:p>
      <w:pPr>
        <w:pStyle w:val="Heading2"/>
      </w:pPr>
      <w:r>
        <w:t xml:space="preserve">2. Declared interest — read this before the numbers (fail loud)</w:t>
      </w:r>
    </w:p>
    <w:p>
      <w:pPr>
        <w:pStyle w:val="FirstParagraph"/>
      </w:pPr>
      <w:r>
        <w:rPr>
          <w:bCs/>
          <w:b/>
        </w:rPr>
        <w:t xml:space="preserve">Hermes is Composio’s own agent harness.</w:t>
      </w:r>
      <w:r>
        <w:t xml:space="preserve"> </w:t>
      </w:r>
      <w:r>
        <w:t xml:space="preserve">Composio designed the benchmark, ran it, published it, and its own product placed</w:t>
      </w:r>
      <w:r>
        <w:t xml:space="preserve"> </w:t>
      </w:r>
      <w:r>
        <w:rPr>
          <w:bCs/>
          <w:b/>
        </w:rPr>
        <w:t xml:space="preserve">2nd on tokens, 1st on runtime, 2nd on success</w:t>
      </w:r>
      <w:r>
        <w:t xml:space="preserve">. That does not make the numbers wrong, and the</w:t>
      </w:r>
      <w:r>
        <w:t xml:space="preserve"> </w:t>
      </w:r>
      <w:r>
        <w:rPr>
          <w:iCs/>
          <w:i/>
        </w:rPr>
        <w:t xml:space="preserve">direction</w:t>
      </w:r>
      <w:r>
        <w:t xml:space="preserve"> </w:t>
      </w:r>
      <w:r>
        <w:t xml:space="preserve">of the finding is consistent with what anyone who has watched an agent loop burn context already suspects. But this is</w:t>
      </w:r>
      <w:r>
        <w:t xml:space="preserve"> </w:t>
      </w:r>
      <w:r>
        <w:rPr>
          <w:bCs/>
          <w:b/>
        </w:rPr>
        <w:t xml:space="preserve">vendor-run research with the vendor near the top of its own leaderboard</w:t>
      </w:r>
      <w:r>
        <w:t xml:space="preserve">, and it must never be cited in a DWS document, deck or investor conversation without that sentence attached.</w:t>
      </w:r>
    </w:p>
    <w:p>
      <w:pPr>
        <w:pStyle w:val="BodyText"/>
      </w:pPr>
      <w:r>
        <w:t xml:space="preserve">Further limits, stated once so nobody re-derives them later: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model</w:t>
      </w:r>
      <w:r>
        <w:t xml:space="preserve"> </w:t>
      </w:r>
      <w:r>
        <w:t xml:space="preserve">(Kimi K3),</w:t>
      </w:r>
      <w:r>
        <w:t xml:space="preserve"> </w:t>
      </w:r>
      <w:r>
        <w:rPr>
          <w:bCs/>
          <w:b/>
        </w:rPr>
        <w:t xml:space="preserve">one run</w:t>
      </w:r>
      <w:r>
        <w:t xml:space="preserve">,</w:t>
      </w:r>
      <w:r>
        <w:t xml:space="preserve"> </w:t>
      </w:r>
      <w:r>
        <w:rPr>
          <w:bCs/>
          <w:b/>
        </w:rPr>
        <w:t xml:space="preserve">28 tasks</w:t>
      </w:r>
      <w:r>
        <w:t xml:space="preserve">. Nothing here licenses a claim about harness efficiency on Opus 5, Sonnet 5, or any other model.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task set and methodology were not readable</w:t>
      </w:r>
      <w:r>
        <w:t xml:space="preserve"> </w:t>
      </w:r>
      <w:r>
        <w:t xml:space="preserve">in what was verified — success criteria, retry policy, context-window settings and MCP tool load per harness are all unknown, and every one of them moves token counts substantially.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95%-input assumption</w:t>
      </w:r>
      <w:r>
        <w:t xml:space="preserve"> </w:t>
      </w:r>
      <w:r>
        <w:t xml:space="preserve">is Composio’s, adopted for their dollar math. Plausible for agentic workloads; unaudited here.</w:t>
      </w:r>
    </w:p>
    <w:p>
      <w:pPr>
        <w:pStyle w:val="FirstParagraph"/>
      </w:pPr>
      <w:r>
        <w:rPr>
          <w:bCs/>
          <w:b/>
        </w:rPr>
        <w:t xml:space="preserve">Naming collision — flag for future readers.</w:t>
      </w:r>
      <w:r>
        <w:t xml:space="preserve"> </w:t>
      </w:r>
      <w:r>
        <w:t xml:space="preserve">“</w:t>
      </w:r>
      <w:r>
        <w:t xml:space="preserve">Hermes</w:t>
      </w:r>
      <w:r>
        <w:t xml:space="preserve">”</w:t>
      </w:r>
      <w:r>
        <w:t xml:space="preserve"> </w:t>
      </w:r>
      <w:r>
        <w:t xml:space="preserve">in this note is</w:t>
      </w:r>
      <w:r>
        <w:t xml:space="preserve"> </w:t>
      </w:r>
      <w:r>
        <w:rPr>
          <w:bCs/>
          <w:b/>
        </w:rPr>
        <w:t xml:space="preserve">Composio’s harness</w:t>
      </w:r>
      <w:r>
        <w:t xml:space="preserve">. DWS already uses</w:t>
      </w:r>
      <w:r>
        <w:t xml:space="preserve"> </w:t>
      </w:r>
      <w:r>
        <w:rPr>
          <w:iCs/>
          <w:i/>
        </w:rPr>
        <w:t xml:space="preserve">Hermes</w:t>
      </w:r>
      <w:r>
        <w:t xml:space="preserve"> </w:t>
      </w:r>
      <w:r>
        <w:t xml:space="preserve">as an internal agent name (the logistics/ops captain,</w:t>
      </w:r>
      <w:r>
        <w:t xml:space="preserve"> </w:t>
      </w:r>
      <w:r>
        <w:rPr>
          <w:rStyle w:val="VerbatimChar"/>
        </w:rPr>
        <w:t xml:space="preserve">AGENTS.md:337</w:t>
      </w:r>
      <w:r>
        <w:t xml:space="preserve">, with a brand colour in</w:t>
      </w:r>
      <w:r>
        <w:t xml:space="preserve"> </w:t>
      </w:r>
      <w:r>
        <w:rPr>
          <w:rStyle w:val="VerbatimChar"/>
        </w:rPr>
        <w:t xml:space="preserve">DWS_BRAND_STANDARD.md</w:t>
      </w:r>
      <w:r>
        <w:t xml:space="preserve">). They are unrelated. Do not let a future session conflate them.</w:t>
      </w:r>
    </w:p>
    <w:bookmarkEnd w:id="21"/>
    <w:bookmarkStart w:id="22" w:name="why-this-matters-to-dws-specifically"/>
    <w:p>
      <w:pPr>
        <w:pStyle w:val="Heading2"/>
      </w:pPr>
      <w:r>
        <w:t xml:space="preserve">3. Why this matters to DWS specifically</w:t>
      </w:r>
    </w:p>
    <w:p>
      <w:pPr>
        <w:pStyle w:val="FirstParagraph"/>
      </w:pPr>
      <w:r>
        <w:rPr>
          <w:bCs/>
          <w:b/>
        </w:rPr>
        <w:t xml:space="preserve">DWS runs on Claude Code</w:t>
      </w:r>
      <w:r>
        <w:t xml:space="preserve"> </w:t>
      </w:r>
      <w:r>
        <w:t xml:space="preserve">— the harness that placed last on all three reported metrics in this benchmark. That is a statement about DWS’s own cost base, not a market observation.</w:t>
      </w:r>
    </w:p>
    <w:p>
      <w:pPr>
        <w:pStyle w:val="BodyText"/>
      </w:pPr>
      <w:r>
        <w:t xml:space="preserve">What it is</w:t>
      </w:r>
      <w:r>
        <w:t xml:space="preserve"> </w:t>
      </w:r>
      <w:r>
        <w:rPr>
          <w:bCs/>
          <w:b/>
        </w:rPr>
        <w:t xml:space="preserve">not</w:t>
      </w:r>
      <w:r>
        <w:t xml:space="preserve">: a reason to migrate. Twenty-eight tasks on one model, measured by an interested party, with an unpublished task set, does not justify moving the harness that the entire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governance layer — hooks, skills, the learning-outcome gate, the handoff protocol — is built on. The switching cost is the governance, not the CLI.</w:t>
      </w:r>
    </w:p>
    <w:p>
      <w:pPr>
        <w:pStyle w:val="BodyText"/>
      </w:pPr>
      <w:r>
        <w:t xml:space="preserve">What it</w:t>
      </w:r>
      <w:r>
        <w:t xml:space="preserve"> </w:t>
      </w:r>
      <w:r>
        <w:rPr>
          <w:bCs/>
          <w:b/>
        </w:rPr>
        <w:t xml:space="preserve">is</w:t>
      </w:r>
      <w:r>
        <w:t xml:space="preserve">: evidence that harness overhead is a first-order cost term, and confirmation that DWS’s own per-call cost model is built on an estimate it has already disproved.</w:t>
      </w:r>
      <w:r>
        <w:t xml:space="preserve"> </w:t>
      </w:r>
      <w:r>
        <w:rPr>
          <w:rStyle w:val="VerbatimChar"/>
        </w:rPr>
        <w:t xml:space="preserve">2026-07-26-ollama-boss-cost-architecture.md</w:t>
      </w:r>
      <w:r>
        <w:t xml:space="preserve"> </w:t>
      </w:r>
      <w:r>
        <w:t xml:space="preserve">costed T2 escalation at ~3,000 input / 800 output per call ≈ $0.035/call — then §4 of that same note observed one session running</w:t>
      </w:r>
      <w:r>
        <w:t xml:space="preserve"> </w:t>
      </w:r>
      <w:r>
        <w:rPr>
          <w:bCs/>
          <w:b/>
        </w:rPr>
        <w:t xml:space="preserve">~25 subagents at 80k–200k tokens each</w:t>
      </w:r>
      <w:r>
        <w:t xml:space="preserve"> </w:t>
      </w:r>
      <w:r>
        <w:t xml:space="preserve">and concluded</w:t>
      </w:r>
      <w:r>
        <w:t xml:space="preserve"> </w:t>
      </w:r>
      <w:r>
        <w:t xml:space="preserve">“</w:t>
      </w:r>
      <w:r>
        <w:t xml:space="preserve">the expensive part is the orchestrator’s own accumulating context.</w:t>
      </w:r>
      <w:r>
        <w:t xml:space="preserve">”</w:t>
      </w:r>
      <w:r>
        <w:t xml:space="preserve"> </w:t>
      </w:r>
      <w:r>
        <w:t xml:space="preserve">Composio’s 340k median for Claude Code sits in the same order of magnitude as that observation and roughly 100× the modelled per-call assumption.</w:t>
      </w:r>
    </w:p>
    <w:bookmarkEnd w:id="22"/>
    <w:bookmarkStart w:id="23" w:name="the-link-to-this-mornings-signal"/>
    <w:p>
      <w:pPr>
        <w:pStyle w:val="Heading2"/>
      </w:pPr>
      <w:r>
        <w:t xml:space="preserve">4. The link to this morning’s signal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empirical half</w:t>
      </w:r>
      <w:r>
        <w:t xml:space="preserve"> </w:t>
      </w:r>
      <w:r>
        <w:t xml:space="preserve">of the sub-signal logged in</w:t>
      </w:r>
      <w:r>
        <w:t xml:space="preserve"> </w:t>
      </w:r>
      <w:r>
        <w:rPr>
          <w:rStyle w:val="VerbatimChar"/>
        </w:rPr>
        <w:t xml:space="preserve">2026-07-30-nadella-harness-model-swappability-signal.md</w:t>
      </w:r>
      <w:r>
        <w:t xml:space="preserve"> </w:t>
      </w:r>
      <w:r>
        <w:t xml:space="preserve">§5.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Nadella (29.07.2026):</w:t>
      </w:r>
      <w:r>
        <w:t xml:space="preserve"> </w:t>
      </w:r>
      <w:r>
        <w:t xml:space="preserve">the harness is the durable layer; the model is swappable underneath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Composio (29–30.07.2026):</w:t>
      </w:r>
      <w:r>
        <w:t xml:space="preserve"> </w:t>
      </w:r>
      <w:r>
        <w:t xml:space="preserve">the harness is also where the money goes — by up to 30×, at equal success.</w:t>
      </w:r>
    </w:p>
    <w:p>
      <w:pPr>
        <w:pStyle w:val="FirstParagraph"/>
      </w:pPr>
      <w:r>
        <w:t xml:space="preserve">Put together:</w:t>
      </w:r>
      <w:r>
        <w:t xml:space="preserve"> </w:t>
      </w:r>
      <w:r>
        <w:rPr>
          <w:bCs/>
          <w:b/>
        </w:rPr>
        <w:t xml:space="preserve">harness choice is a P&amp;L line item, and the completed task is the unit it should be priced in.</w:t>
      </w:r>
      <w:r>
        <w:t xml:space="preserve"> </w:t>
      </w:r>
      <w:r>
        <w:t xml:space="preserve">That is precisely the unit the third-party tool teased in §5 intends to sell. The uncomfortable part is §5’s own conclusion, now sharpened by §5 below: DWS asserted it</w:t>
      </w:r>
      <w:r>
        <w:t xml:space="preserve"> </w:t>
      </w:r>
      <w:r>
        <w:t xml:space="preserve">“</w:t>
      </w:r>
      <w:r>
        <w:t xml:space="preserve">has the telemetry to answer</w:t>
      </w:r>
      <w:r>
        <w:t xml:space="preserve">”</w:t>
      </w:r>
      <w:r>
        <w:t xml:space="preserve"> </w:t>
      </w:r>
      <w:r>
        <w:t xml:space="preserve">this. It does not. It has the</w:t>
      </w:r>
      <w:r>
        <w:t xml:space="preserve"> </w:t>
      </w:r>
      <w:r>
        <w:rPr>
          <w:iCs/>
          <w:i/>
        </w:rPr>
        <w:t xml:space="preserve">schema</w:t>
      </w:r>
      <w:r>
        <w:t xml:space="preserve">.</w:t>
      </w:r>
    </w:p>
    <w:bookmarkEnd w:id="23"/>
    <w:bookmarkStart w:id="24" w:name="X0b2732ab69ec9a6ac8d7e01423da95a466a80f6"/>
    <w:p>
      <w:pPr>
        <w:pStyle w:val="Heading2"/>
      </w:pPr>
      <w:r>
        <w:t xml:space="preserve">5. DWS harness cost audit — what is measurable today</w:t>
      </w:r>
    </w:p>
    <w:p>
      <w:pPr>
        <w:pStyle w:val="FirstParagraph"/>
      </w:pPr>
      <w:r>
        <w:t xml:space="preserve">Scope: can DWS state its own cost per completed task?</w:t>
      </w:r>
      <w:r>
        <w:t xml:space="preserve"> </w:t>
      </w:r>
      <w:r>
        <w:rPr>
          <w:bCs/>
          <w:b/>
        </w:rPr>
        <w:t xml:space="preserve">No.</w:t>
      </w:r>
      <w:r>
        <w:t xml:space="preserve"> </w:t>
      </w:r>
      <w:r>
        <w:t xml:space="preserve">Not from anything that survives a session. The gaps, each verified in-repo this session: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.claude/hooks/log-commands.sh</w:t>
            </w:r>
            <w:r>
              <w:t xml:space="preserve"> </w:t>
            </w: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.claude/hooks/audit/bash-commands.log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.claude/command-log.txt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Neither file exists in this container and neither is git-tracked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.gitignore:78</w:t>
            </w:r>
            <w:r>
              <w:t xml:space="preserve"> </w:t>
            </w:r>
            <w:r>
              <w:t xml:space="preserve">ignores</w:t>
            </w:r>
            <w:r>
              <w:t xml:space="preserve"> </w:t>
            </w:r>
            <w:r>
              <w:rPr>
                <w:rStyle w:val="VerbatimChar"/>
              </w:rPr>
              <w:t xml:space="preserve">.claude/*</w:t>
            </w:r>
            <w:r>
              <w:t xml:space="preserve">, whitelisting only</w:t>
            </w:r>
            <w:r>
              <w:t xml:space="preserve"> </w:t>
            </w:r>
            <w:r>
              <w:rPr>
                <w:rStyle w:val="VerbatimChar"/>
              </w:rPr>
              <w:t xml:space="preserve">HANDOFF.md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handoffs/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settings*.json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commands/</w:t>
            </w:r>
            <w:r>
              <w:t xml:space="preserve">. Per-session volume dies with the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6: per-task 4,000 / per-session 30,000 (</w:t>
            </w:r>
            <w:r>
              <w:rPr>
                <w:rStyle w:val="VerbatimChar"/>
              </w:rPr>
              <w:t xml:space="preserve">CLAUDE_AUTO_MODE_BUDGET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Advisory only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.claude/hooks/session-start.sh</w:t>
            </w:r>
            <w:r>
              <w:t xml:space="preserve"> </w:t>
            </w:r>
            <w:r>
              <w:t xml:space="preserve">merely</w:t>
            </w:r>
            <w:r>
              <w:t xml:space="preserve"> </w:t>
            </w:r>
            <w:r>
              <w:rPr>
                <w:iCs/>
                <w:i/>
              </w:rPr>
              <w:t xml:space="preserve">echoes</w:t>
            </w:r>
            <w:r>
              <w:t xml:space="preserve"> </w:t>
            </w:r>
            <w:r>
              <w:t xml:space="preserve">the value. Nothing accumulates, nothing enforces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cost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src/agents/base.agent.ts:515-517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 'cost-limit'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Stub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max_daily_eur || 50</w:t>
            </w:r>
            <w:r>
              <w:t xml:space="preserve">, returns</w:t>
            </w:r>
            <w:r>
              <w:t xml:space="preserve"> </w:t>
            </w:r>
            <w:r>
              <w:rPr>
                <w:rStyle w:val="VerbatimChar"/>
              </w:rPr>
              <w:t xml:space="preserve">allowed: true</w:t>
            </w:r>
            <w:r>
              <w:t xml:space="preserve"> </w:t>
            </w:r>
            <w:r>
              <w:t xml:space="preserve">with the string</w:t>
            </w:r>
            <w:r>
              <w:t xml:space="preserve"> </w:t>
            </w:r>
            <w:r>
              <w:t xml:space="preserve">“</w:t>
            </w:r>
            <w:r>
              <w:t xml:space="preserve">(tracking active)</w:t>
            </w:r>
            <w:r>
              <w:t xml:space="preserve">”</w:t>
            </w:r>
            <w:r>
              <w:t xml:space="preserve">. No tracking is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execution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supabase/migrations/030_agent_logging_tables.sql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agent_executions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rStyle w:val="VerbatimChar"/>
              </w:rPr>
              <w:t xml:space="preserve">duration_ms</w:t>
            </w:r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rPr>
                <w:bCs/>
                <w:b/>
              </w:rPr>
              <w:t xml:space="preserve">no token or cost columns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AI_AGENT_GUIDELINES.md:332</w:t>
            </w:r>
            <w:r>
              <w:t xml:space="preserve"> </w:t>
            </w:r>
            <w:r>
              <w:t xml:space="preserve">explicitly forbids documenting</w:t>
            </w:r>
            <w:r>
              <w:t xml:space="preserve"> </w:t>
            </w:r>
            <w:r>
              <w:rPr>
                <w:rStyle w:val="VerbatimChar"/>
              </w:rPr>
              <w:t xml:space="preserve">prompt_tokens</w:t>
            </w:r>
            <w:r>
              <w:t xml:space="preserve">/</w:t>
            </w:r>
            <w:r>
              <w:rPr>
                <w:rStyle w:val="VerbatimChar"/>
              </w:rPr>
              <w:t xml:space="preserve">completion_tokens</w:t>
            </w:r>
            <w:r>
              <w:t xml:space="preserve">/</w:t>
            </w:r>
            <w:r>
              <w:rPr>
                <w:rStyle w:val="VerbatimChar"/>
              </w:rPr>
              <w:t xml:space="preserve">total_tokens</w:t>
            </w:r>
            <w:r>
              <w:t xml:space="preserve"> </w:t>
            </w:r>
            <w:r>
              <w:t xml:space="preserve">as current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cost ledger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src/services/token-usage.service.ts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token_usage_events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Exists and is good</w:t>
            </w:r>
            <w:r>
              <w:t xml:space="preserve"> </w:t>
            </w:r>
            <w:r>
              <w:t xml:space="preserve">— carries</w:t>
            </w:r>
            <w:r>
              <w:t xml:space="preserve"> </w:t>
            </w:r>
            <w:r>
              <w:rPr>
                <w:rStyle w:val="VerbatimChar"/>
              </w:rPr>
              <w:t xml:space="preserve">prompt_tokens, completion_tokens, cached_tokens, cost_eur, model, session_id, task_id</w:t>
            </w:r>
            <w:r>
              <w:t xml:space="preserve">. But it instruments</w:t>
            </w:r>
            <w:r>
              <w:t xml:space="preserve"> </w:t>
            </w:r>
            <w:r>
              <w:rPr>
                <w:bCs/>
                <w:b/>
              </w:rPr>
              <w:t xml:space="preserve">product</w:t>
            </w:r>
            <w:r>
              <w:t xml:space="preserve"> </w:t>
            </w:r>
            <w:r>
              <w:t xml:space="preserve">usage (climate assistant / API),</w:t>
            </w:r>
            <w:r>
              <w:t xml:space="preserve"> </w:t>
            </w:r>
            <w:r>
              <w:rPr>
                <w:bCs/>
                <w:b/>
              </w:rPr>
              <w:t xml:space="preserve">not Claude Code sessions</w:t>
            </w:r>
            <w:r>
              <w:t xml:space="preserve">. The per-task attribution schema is already built and pointed at the wrong workload</w:t>
            </w:r>
          </w:p>
        </w:tc>
      </w:tr>
    </w:tbl>
    <w:p>
      <w:pPr>
        <w:pStyle w:val="BodyText"/>
      </w:pPr>
      <w:r>
        <w:rPr>
          <w:bCs/>
          <w:b/>
        </w:rPr>
        <w:t xml:space="preserve">Surviving cross-container proxies</w:t>
      </w:r>
      <w:r>
        <w:t xml:space="preserve"> </w:t>
      </w:r>
      <w:r>
        <w:t xml:space="preserve">(reproducible from the repo, no external data):</w:t>
      </w:r>
    </w:p>
    <w:p>
      <w:pPr>
        <w:numPr>
          <w:ilvl w:val="0"/>
          <w:numId w:val="1003"/>
        </w:numPr>
        <w:pStyle w:val="Compact"/>
      </w:pPr>
      <w:r>
        <w:t xml:space="preserve">499 commits since 2026-07-01, of which</w:t>
      </w:r>
      <w:r>
        <w:t xml:space="preserve"> </w:t>
      </w:r>
      <w:r>
        <w:rPr>
          <w:bCs/>
          <w:b/>
        </w:rPr>
        <w:t xml:space="preserve">325 authored by Claude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git log --author=Claude --since=2026-07-01 | wc -l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36</w:t>
      </w:r>
      <w:r>
        <w:t xml:space="preserve"> </w:t>
      </w:r>
      <w:r>
        <w:t xml:space="preserve">branch handoff files in</w:t>
      </w:r>
      <w:r>
        <w:t xml:space="preserve"> </w:t>
      </w:r>
      <w:r>
        <w:rPr>
          <w:rStyle w:val="VerbatimChar"/>
        </w:rPr>
        <w:t xml:space="preserve">.claude/handoffs/claude/</w:t>
      </w:r>
      <w:r>
        <w:t xml:space="preserve">;</w:t>
      </w:r>
      <w:r>
        <w:t xml:space="preserve"> </w:t>
      </w:r>
      <w:r>
        <w:rPr>
          <w:bCs/>
          <w:b/>
        </w:rPr>
        <w:t xml:space="preserve">95</w:t>
      </w:r>
      <w:r>
        <w:t xml:space="preserve"> </w:t>
      </w:r>
      <w:r>
        <w:t xml:space="preserve">handoff additions since 2026-07-01.</w:t>
      </w:r>
    </w:p>
    <w:p>
      <w:pPr>
        <w:numPr>
          <w:ilvl w:val="0"/>
          <w:numId w:val="1003"/>
        </w:numPr>
        <w:pStyle w:val="Compact"/>
      </w:pPr>
      <w:r>
        <w:t xml:space="preserve">One empirical token observation on record:</w:t>
      </w:r>
      <w:r>
        <w:t xml:space="preserve"> </w:t>
      </w:r>
      <w:r>
        <w:rPr>
          <w:bCs/>
          <w:b/>
        </w:rPr>
        <w:t xml:space="preserve">~25 subagents × 80k–200k tokens</w:t>
      </w:r>
      <w:r>
        <w:t xml:space="preserve">, one session, ollama-boss note §4.</w:t>
      </w:r>
    </w:p>
    <w:p>
      <w:pPr>
        <w:pStyle w:val="FirstParagraph"/>
      </w:pPr>
      <w:r>
        <w:rPr>
          <w:bCs/>
          <w:b/>
        </w:rPr>
        <w:t xml:space="preserve">Honest conclusion:</w:t>
      </w:r>
      <w:r>
        <w:t xml:space="preserve"> </w:t>
      </w:r>
      <w:r>
        <w:t xml:space="preserve">a commit is not a task and a handoff is not a session-cost record. DWS can count</w:t>
      </w:r>
      <w:r>
        <w:t xml:space="preserve"> </w:t>
      </w:r>
      <w:r>
        <w:rPr>
          <w:iCs/>
          <w:i/>
        </w:rPr>
        <w:t xml:space="preserve">output</w:t>
      </w:r>
      <w:r>
        <w:t xml:space="preserve"> </w:t>
      </w:r>
      <w:r>
        <w:t xml:space="preserve">(commits, handoffs, notes) and cannot count</w:t>
      </w:r>
      <w:r>
        <w:t xml:space="preserve"> </w:t>
      </w:r>
      <w:r>
        <w:rPr>
          <w:iCs/>
          <w:i/>
        </w:rPr>
        <w:t xml:space="preserve">input</w:t>
      </w:r>
      <w:r>
        <w:t xml:space="preserve"> </w:t>
      </w:r>
      <w:r>
        <w:t xml:space="preserve">(tokens, euros). A cost-per-task number derived from these proxies would be a fabrication dressed as a metric, so this audit produces none. What it produces is the precise gap:</w:t>
      </w:r>
      <w:r>
        <w:t xml:space="preserve"> </w:t>
      </w:r>
      <w:r>
        <w:rPr>
          <w:bCs/>
          <w:b/>
        </w:rPr>
        <w:t xml:space="preserve">one Claude-side token log, written against a table that already has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task_id</w:t>
      </w:r>
      <w:r>
        <w:rPr>
          <w:bCs/>
          <w:b/>
        </w:rPr>
        <w:t xml:space="preserve">.</w:t>
      </w:r>
      <w:r>
        <w:t xml:space="preserve"> </w:t>
      </w:r>
      <w:r>
        <w:t xml:space="preserve">That is</w:t>
      </w:r>
      <w:r>
        <w:t xml:space="preserve"> </w:t>
      </w:r>
      <w:r>
        <w:rPr>
          <w:rStyle w:val="VerbatimChar"/>
        </w:rPr>
        <w:t xml:space="preserve">Open Item 5</w:t>
      </w:r>
      <w:r>
        <w:t xml:space="preserve"> </w:t>
      </w:r>
      <w:r>
        <w:t xml:space="preserve">of the ollama-boss note, open since 26.07.2026.</w:t>
      </w:r>
    </w:p>
    <w:bookmarkEnd w:id="24"/>
    <w:bookmarkStart w:id="25" w:name="verification-note-fail-loud"/>
    <w:p>
      <w:pPr>
        <w:pStyle w:val="Heading2"/>
      </w:pPr>
      <w:r>
        <w:t xml:space="preserve">6. Verification note (fail loud)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 tasks, 3 harnesses, up to 30× token spread; medians 61k / 67k / 340k; $0.22 / $0.28 / $2.00 at $3/M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as published</w:t>
            </w:r>
            <w:r>
              <w:t xml:space="preserve"> </w:t>
            </w:r>
            <w:r>
              <w:t xml:space="preserve">— Composio, 29–30.07.2026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 22/28 Kimi Code, 21/28 Hermes, 20/28 Claude Code; median runtimes 297 s / 179 s / 348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as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is Composio’s own harness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  <w:r>
              <w:t xml:space="preserve"> </w:t>
            </w:r>
            <w:r>
              <w:t xml:space="preserve">— composio.dev publishes Hermes integration docs and harness comparison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Independence of the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INDEPENDENT.</w:t>
            </w:r>
            <w:r>
              <w:t xml:space="preserve"> </w:t>
            </w:r>
            <w:r>
              <w:t xml:space="preserve">Vendor-run; vendor’s own harness placed near the top. Declared, not discounted to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set, success criteria, retry policy, per-harness tool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UNVERIFIED</w:t>
            </w:r>
            <w:r>
              <w:t xml:space="preserve"> </w:t>
            </w:r>
            <w:r>
              <w:t xml:space="preserve">— not readable in what was checked. Each materially affects token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~95% of agentic spend is input tokens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Composio’s assumption</w:t>
            </w:r>
            <w:r>
              <w:t xml:space="preserve">, adopted for their dollar math. Plausible, unaudited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 Composio claim: K3 matched Claude Fable 5 on a separate 14-task benchmark (same 9 passes, 5 failures)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NOTED, NOT RELIED ON</w:t>
            </w:r>
            <w:r>
              <w:t xml:space="preserve"> </w:t>
            </w:r>
            <w:r>
              <w:t xml:space="preserve">— same vendor, separate benchmark, not verified here. Do not propagate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DWS’s own cost per completed 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MEASURABLE TODAY</w:t>
            </w:r>
            <w:r>
              <w:t xml:space="preserve"> </w:t>
            </w:r>
            <w:r>
              <w:t xml:space="preserve">— §5. No Claude-side token log survives a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DWS proxy counts (499 / 325 commits, 36 / 95 handoffs)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REPRODUCIBLE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git log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 </w:t>
            </w:r>
            <w:r>
              <w:t xml:space="preserve">in this repo, 30.07.2026</w:t>
            </w:r>
          </w:p>
        </w:tc>
      </w:tr>
    </w:tbl>
    <w:bookmarkEnd w:id="25"/>
    <w:bookmarkStart w:id="26" w:name="the-five-step-learning-standard-record"/>
    <w:p>
      <w:pPr>
        <w:pStyle w:val="Heading2"/>
      </w:pPr>
      <w:r>
        <w:t xml:space="preserve">7. The five-step Learning Standard record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3168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kb/raw/signals/2026-07-30-composio-harness-token-efficiency-benchmark.md</w:t>
            </w:r>
            <w:r>
              <w:t xml:space="preserve"> </w:t>
            </w:r>
            <w:r>
              <w:t xml:space="preserve">+ new concept</w:t>
            </w:r>
            <w:r>
              <w:t xml:space="preserve"> </w:t>
            </w:r>
            <w:r>
              <w:rPr>
                <w:rStyle w:val="VerbatimChar"/>
              </w:rPr>
              <w:t xml:space="preserve">kb/wiki/concepts/harness-cost-is-a-pl-line-item.md</w:t>
            </w:r>
            <w:r>
              <w:t xml:space="preserve"> </w:t>
            </w:r>
            <w:r>
              <w:t xml:space="preserve">(the durable rule; the benchmark numbers will 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this file;</w:t>
            </w:r>
            <w:r>
              <w:t xml:space="preserve"> </w:t>
            </w:r>
            <w:r>
              <w:rPr>
                <w:rStyle w:val="VerbatimChar"/>
              </w:rPr>
              <w:t xml:space="preserve">2026-07-30-nadella-harness-model-swappability-signal.md</w:t>
            </w:r>
            <w:r>
              <w:t xml:space="preserve"> </w:t>
            </w:r>
            <w:r>
              <w:t xml:space="preserve">bumped to v1.1 with a §5 cross-reference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Learn/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Learn/2026-07-30-composio-harness-token-efficiency-benchmark.html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Google Doc</w:t>
            </w:r>
            <w:r>
              <w:t xml:space="preserve"> </w:t>
            </w:r>
            <w:r>
              <w:t xml:space="preserve">“</w:t>
            </w:r>
            <w:r>
              <w:t xml:space="preserve">2026-07-30 Field Note v1.0 — The Harness Is the Cost Line…</w:t>
            </w:r>
            <w:r>
              <w:t xml:space="preserve">”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2026 DWS6</w:t>
            </w:r>
            <w:r>
              <w:t xml:space="preserve"> </w:t>
            </w:r>
            <w:r>
              <w:t xml:space="preserve">folder (</w:t>
            </w:r>
            <w:r>
              <w:rPr>
                <w:rStyle w:val="VerbatimChar"/>
              </w:rPr>
              <w:t xml:space="preserve">docs.google.com/document/d/1tI8jclu3Zc4axEhLb6GG9psvH4m3bEWYcL-BZF9hP9U</w:t>
            </w:r>
            <w:r>
              <w:t xml:space="preserve">). The Drive connector dropped mid-session and reconnected; repo is source of truth either way (Truth Standard §2E)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HIC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§8, session reply, and</w:t>
            </w:r>
            <w:r>
              <w:t xml:space="preserve"> </w:t>
            </w:r>
            <w:r>
              <w:rPr>
                <w:rStyle w:val="VerbatimChar"/>
              </w:rPr>
              <w:t xml:space="preserve">.claude/handoffs/claude/enterprise-ai-harness-0anl7s.md</w:t>
            </w:r>
          </w:p>
        </w:tc>
      </w:tr>
    </w:tbl>
    <w:bookmarkEnd w:id="26"/>
    <w:bookmarkStart w:id="28" w:name="next-steps-and-the-hic-question"/>
    <w:p>
      <w:pPr>
        <w:pStyle w:val="Heading2"/>
      </w:pPr>
      <w:r>
        <w:t xml:space="preserve">8. Next steps and the HIC question</w:t>
      </w:r>
    </w:p>
    <w:p>
      <w:pPr>
        <w:pStyle w:val="FirstParagraph"/>
      </w:pPr>
      <w:r>
        <w:rPr>
          <w:bCs/>
          <w:b/>
        </w:rPr>
        <w:t xml:space="preserve">Routed, not executed: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Instrumentation is not built here.</w:t>
      </w:r>
      <w:r>
        <w:t xml:space="preserve"> </w:t>
      </w:r>
      <w:r>
        <w:t xml:space="preserve">No hook changes, no migration, no edit to</w:t>
      </w:r>
      <w:r>
        <w:t xml:space="preserve"> </w:t>
      </w:r>
      <w:r>
        <w:rPr>
          <w:rStyle w:val="VerbatimChar"/>
        </w:rPr>
        <w:t xml:space="preserve">token-usage.service.ts</w:t>
      </w:r>
      <w:r>
        <w:t xml:space="preserve">. See the question below.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harness migration</w:t>
      </w:r>
      <w:r>
        <w:t xml:space="preserve"> </w:t>
      </w:r>
      <w:r>
        <w:t xml:space="preserve">proposed or evaluated. The switching cost is the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governance layer, not the CLI.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/truth-check</w:t>
      </w:r>
      <w:r>
        <w:t xml:space="preserve"> </w:t>
      </w:r>
      <w:r>
        <w:t xml:space="preserve">before any external use of the 30× figure — and never without the vendor-run caveat (§2).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PhD thesis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harness overhead dominates model price</w:t>
      </w:r>
      <w:r>
        <w:t xml:space="preserve">”</w:t>
      </w:r>
      <w:r>
        <w:t xml:space="preserve"> </w:t>
      </w:r>
      <w:r>
        <w:t xml:space="preserve">finding is market-signal data for</w:t>
      </w:r>
      <w:r>
        <w:t xml:space="preserve"> </w:t>
      </w:r>
      <w:r>
        <w:rPr>
          <w:rStyle w:val="VerbatimChar"/>
        </w:rPr>
        <w:t xml:space="preserve">PHD_FIREHORSE_{EN,FI}</w:t>
      </w:r>
      <w:r>
        <w:t xml:space="preserve">. Deferred, pending HIC approval. Master’s thesis untouched.</w:t>
      </w:r>
    </w:p>
    <w:bookmarkStart w:id="27" w:name="X0f904fed17943f32c7eda98943820956407d805"/>
    <w:p>
      <w:pPr>
        <w:pStyle w:val="Heading3"/>
      </w:pPr>
      <w:r>
        <w:t xml:space="preserve">HIC question (EU AI Act Art. 14 intervention point)</w:t>
      </w:r>
    </w:p>
    <w:p>
      <w:pPr>
        <w:pStyle w:val="FirstParagraph"/>
      </w:pPr>
      <w:r>
        <w:rPr>
          <w:bCs/>
          <w:b/>
        </w:rPr>
        <w:t xml:space="preserve">Q1. DWS’s own cost per completed task is unmeasured, and the table that would hold it (</w:t>
      </w:r>
      <w:r>
        <w:rPr>
          <w:rStyle w:val="VerbatimChar"/>
          <w:bCs/>
          <w:b/>
        </w:rPr>
        <w:t xml:space="preserve">token_usage_events</w:t>
      </w:r>
      <w:r>
        <w:rPr>
          <w:bCs/>
          <w:b/>
        </w:rPr>
        <w:t xml:space="preserve">,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task_id</w:t>
      </w:r>
      <w:r>
        <w:rPr>
          <w:bCs/>
          <w:b/>
        </w:rPr>
        <w:t xml:space="preserve">) already exists. Do we instrument it?</w:t>
      </w:r>
    </w:p>
    <w:p>
      <w:pPr>
        <w:pStyle w:val="BodyText"/>
      </w:pPr>
      <w:r>
        <w:rPr>
          <w:bCs/>
          <w:b/>
        </w:rPr>
        <w:t xml:space="preserve">Options: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Instrument the Claude-side token log</w:t>
      </w:r>
      <w:r>
        <w:t xml:space="preserve"> </w:t>
      </w:r>
      <w:r>
        <w:t xml:space="preserve">against the existing</w:t>
      </w:r>
      <w:r>
        <w:t xml:space="preserve"> </w:t>
      </w:r>
      <w:r>
        <w:rPr>
          <w:rStyle w:val="VerbatimChar"/>
        </w:rPr>
        <w:t xml:space="preserve">token_usage_events</w:t>
      </w:r>
      <w:r>
        <w:t xml:space="preserve"> </w:t>
      </w:r>
      <w:r>
        <w:t xml:space="preserve">schema — closes ollama-boss Open Item 5, replaces the disproved 3K/800 estimate with measurement, and makes every future cost claim defensible. Cost: real engineering on the harness layer, plus a decision about where session token counts come from.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 not instrument; cap by policy instead</w:t>
      </w:r>
      <w:r>
        <w:t xml:space="preserve"> </w:t>
      </w:r>
      <w:r>
        <w:t xml:space="preserve">— set a hard</w:t>
      </w:r>
      <w:r>
        <w:t xml:space="preserve"> </w:t>
      </w:r>
      <w:r>
        <w:rPr>
          <w:rStyle w:val="VerbatimChar"/>
        </w:rPr>
        <w:t xml:space="preserve">CLAUDE_AUTO_MODE_BUDGET</w:t>
      </w:r>
      <w:r>
        <w:t xml:space="preserve"> </w:t>
      </w:r>
      <w:r>
        <w:t xml:space="preserve">and actually enforce it in</w:t>
      </w:r>
      <w:r>
        <w:t xml:space="preserve"> </w:t>
      </w:r>
      <w:r>
        <w:rPr>
          <w:rStyle w:val="VerbatimChar"/>
        </w:rPr>
        <w:t xml:space="preserve">session-start.sh</w:t>
      </w:r>
      <w:r>
        <w:t xml:space="preserve">, accepting that DWS manages spend without ever knowing its per-task cost.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Fold cost-per-task into a customer-facing capability</w:t>
      </w:r>
      <w:r>
        <w:t xml:space="preserve"> </w:t>
      </w:r>
      <w:r>
        <w:t xml:space="preserve">— treat the measurement as the first increment of the pricing tool flagged in the Nadella note §5, rather than as internal telemetry.</w:t>
      </w:r>
    </w:p>
    <w:p>
      <w:pPr>
        <w:pStyle w:val="FirstParagraph"/>
      </w:pPr>
      <w:r>
        <w:rPr>
          <w:bCs/>
          <w:b/>
        </w:rPr>
        <w:t xml:space="preserve">(RECOMMEND: 1, scoped to internal measurement only.</w:t>
      </w:r>
      <w:r>
        <w:t xml:space="preserve"> </w:t>
      </w:r>
      <w:r>
        <w:t xml:space="preserve">Option 3 is the same work with a product commitment attached, and committing to a customer-facing pricing surface before DWS can measure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number about</w:t>
      </w:r>
      <w:r>
        <w:t xml:space="preserve"> </w:t>
      </w:r>
      <w:r>
        <w:rPr>
          <w:iCs/>
          <w:i/>
        </w:rPr>
        <w:t xml:space="preserve">itself</w:t>
      </w:r>
      <w:r>
        <w:t xml:space="preserve"> </w:t>
      </w:r>
      <w:r>
        <w:t xml:space="preserve">is the wrong order. Option 2 caps the bleeding while guaranteeing we never learn where it comes from — and Rule 12 makes an unmeasured</w:t>
      </w:r>
      <w:r>
        <w:t xml:space="preserve"> </w:t>
      </w:r>
      <w:r>
        <w:t xml:space="preserve">“</w:t>
      </w:r>
      <w:r>
        <w:t xml:space="preserve">tracking active</w:t>
      </w:r>
      <w:r>
        <w:t xml:space="preserve">”</w:t>
      </w:r>
      <w:r>
        <w:t xml:space="preserve"> </w:t>
      </w:r>
      <w:r>
        <w:t xml:space="preserve">string in</w:t>
      </w:r>
      <w:r>
        <w:t xml:space="preserve"> </w:t>
      </w:r>
      <w:r>
        <w:rPr>
          <w:rStyle w:val="VerbatimChar"/>
        </w:rPr>
        <w:t xml:space="preserve">base.agent.ts:517</w:t>
      </w:r>
      <w:r>
        <w:t xml:space="preserve"> </w:t>
      </w:r>
      <w:r>
        <w:t xml:space="preserve">a live fail-loud violation regardless of which option wins.)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Reversibility:</w:t>
      </w:r>
      <w:r>
        <w:t xml:space="preserve"> </w:t>
      </w:r>
      <w:r>
        <w:t xml:space="preserve">two-way door for 1 and 2. Option 3 becomes one-way once a price is published.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Unblocks:</w:t>
      </w:r>
      <w:r>
        <w:t xml:space="preserve"> </w:t>
      </w:r>
      <w:r>
        <w:t xml:space="preserve">ollama-boss Open Item 5; a defensible per-task figure for the PhD entry and for any investor cost claim; option 3 later, if wanted.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Cost of delay:</w:t>
      </w:r>
      <w:r>
        <w:t xml:space="preserve"> </w:t>
      </w:r>
      <w:r>
        <w:t xml:space="preserve">compounding but quiet. Every session without a token log is a session whose cost is unrecoverable — the data is gone when the container is.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Rests on: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for the in-repo audit (§5, every row checked this session);</w:t>
      </w:r>
      <w:r>
        <w:t xml:space="preserve"> </w:t>
      </w:r>
      <w:r>
        <w:rPr>
          <w:bCs/>
          <w:b/>
        </w:rPr>
        <w:t xml:space="preserve">published-but-vendor-run</w:t>
      </w:r>
      <w:r>
        <w:t xml:space="preserve"> </w:t>
      </w:r>
      <w:r>
        <w:t xml:space="preserve">for the Composio figures. The recommendation does not depend on Composio being right — the measurement gap is real either way.</w:t>
      </w:r>
    </w:p>
    <w:bookmarkEnd w:id="27"/>
    <w:bookmarkEnd w:id="28"/>
    <w:bookmarkStart w:id="29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Cs/>
          <w:b/>
        </w:rPr>
        <w:t xml:space="preserve">Primary</w:t>
      </w:r>
    </w:p>
    <w:p>
      <w:pPr>
        <w:numPr>
          <w:ilvl w:val="0"/>
          <w:numId w:val="1007"/>
        </w:numPr>
        <w:pStyle w:val="Compact"/>
      </w:pPr>
      <w:r>
        <w:t xml:space="preserve">Composio,</w:t>
      </w:r>
      <w:r>
        <w:t xml:space="preserve"> </w:t>
      </w:r>
      <w:r>
        <w:t xml:space="preserve">“</w:t>
      </w:r>
      <w:r>
        <w:t xml:space="preserve">We ran Kimi K3 through 3 agent harnesses…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https://x.com/composio/status/2082452269522378858</w:t>
      </w:r>
      <w:r>
        <w:t xml:space="preserve"> </w:t>
      </w:r>
      <w:r>
        <w:t xml:space="preserve">(29–30.07.2026)</w:t>
      </w:r>
    </w:p>
    <w:p>
      <w:pPr>
        <w:numPr>
          <w:ilvl w:val="0"/>
          <w:numId w:val="1007"/>
        </w:numPr>
        <w:pStyle w:val="Compact"/>
      </w:pPr>
      <w:r>
        <w:t xml:space="preserve">Composio, K3 vs Claude Fable 5 on a 14-task agentic benchmark —</w:t>
      </w:r>
      <w:r>
        <w:t xml:space="preserve"> </w:t>
      </w:r>
      <w:r>
        <w:rPr>
          <w:rStyle w:val="VerbatimChar"/>
        </w:rPr>
        <w:t xml:space="preserve">https://x.com/composio/status/2082091871493574936</w:t>
      </w:r>
      <w:r>
        <w:t xml:space="preserve"> </w:t>
      </w:r>
      <w:r>
        <w:t xml:space="preserve">(noted, not relied on)</w:t>
      </w:r>
    </w:p>
    <w:p>
      <w:pPr>
        <w:numPr>
          <w:ilvl w:val="0"/>
          <w:numId w:val="1007"/>
        </w:numPr>
        <w:pStyle w:val="Compact"/>
      </w:pPr>
      <w:r>
        <w:t xml:space="preserve">Composio,</w:t>
      </w:r>
      <w:r>
        <w:t xml:space="preserve"> </w:t>
      </w:r>
      <w:r>
        <w:t xml:space="preserve">“</w:t>
      </w:r>
      <w:r>
        <w:t xml:space="preserve">OpenClaw vs Hermes Agent: The best agent harness in 2026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https://composio.dev/content/openclaw-vs-hermes-agent</w:t>
      </w:r>
      <w:r>
        <w:t xml:space="preserve"> </w:t>
      </w:r>
      <w:r>
        <w:t xml:space="preserve">(establishes Hermes as Composio’s own)</w:t>
      </w:r>
    </w:p>
    <w:p>
      <w:pPr>
        <w:numPr>
          <w:ilvl w:val="0"/>
          <w:numId w:val="1007"/>
        </w:numPr>
        <w:pStyle w:val="Compact"/>
      </w:pPr>
      <w:r>
        <w:t xml:space="preserve">Composio,</w:t>
      </w:r>
      <w:r>
        <w:t xml:space="preserve"> </w:t>
      </w:r>
      <w:r>
        <w:t xml:space="preserve">“</w:t>
      </w:r>
      <w:r>
        <w:t xml:space="preserve">GLM 5.2 vs Kimi K3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https://composio.dev/content/glm-vs-kimi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moonshotai/Kimi-K3</w:t>
      </w:r>
      <w:r>
        <w:t xml:space="preserve"> </w:t>
      </w:r>
      <w:r>
        <w:t xml:space="preserve">— Hugging Face model card</w:t>
      </w:r>
    </w:p>
    <w:p>
      <w:pPr>
        <w:pStyle w:val="FirstParagraph"/>
      </w:pPr>
      <w:r>
        <w:rPr>
          <w:bCs/>
          <w:b/>
        </w:rPr>
        <w:t xml:space="preserve">DWS internal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docs/field-notes/2026-07-30-nadella-harness-model-swappability-signal.md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docs/field-notes/2026-07-26-ollama-boss-cost-architecture.md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docs/field-notes/2026-06-19-karpathy-12-rules-harness-hardening.md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docs/field-notes/2026-05-28-agent-deployment-execution-harness.md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kb/wiki/concepts/harness-cost-is-a-pl-line-item.md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src/services/token-usage.service.ts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src/agents/base.agent.ts:515-517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supabase/migrations/030_agent_logging_tables.sql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AI_AGENT_GUIDELINES.md</w:t>
      </w:r>
      <w:r>
        <w:t xml:space="preserve"> </w:t>
      </w:r>
      <w:r>
        <w:t xml:space="preserve">§6</w:t>
      </w:r>
      <w:r>
        <w:t xml:space="preserve"> </w:t>
      </w:r>
      <w:r>
        <w:rPr>
          <w:iCs/>
          <w:i/>
        </w:rPr>
        <w:t xml:space="preserve">(DWS internal)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follows DWS Document Standard, DWS Market Research Standard §8.3, and DWS Learning Standard (EU AI Act Article 14).</w:t>
      </w:r>
      <w:r>
        <w:t xml:space="preserve"> </w:t>
      </w:r>
      <w:r>
        <w:rPr>
          <w:iCs/>
          <w:i/>
        </w:rPr>
        <w:t xml:space="preserve">Ontology: Enterprise AI &gt; Agent Harnesses &gt; Token Economics &gt; Cost Per Completed Task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2026-07-30T15:55:19Z</dcterms:created>
  <dcterms:modified xsi:type="dcterms:W3CDTF">2026-07-30T15:55:19Z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