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ws-learning-standard"/>
    <w:p>
      <w:pPr>
        <w:pStyle w:val="Heading1"/>
      </w:pPr>
      <w:r>
        <w:t xml:space="preserve">DWS Learning Standard</w:t>
      </w:r>
    </w:p>
    <w:p>
      <w:pPr>
        <w:pStyle w:val="FirstParagraph"/>
      </w:pPr>
      <w:r>
        <w:rPr>
          <w:iCs/>
          <w:i/>
        </w:rPr>
        <w:t xml:space="preserve">Canonical registry — single source of truth. Registered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DWS_TRUTH_STANDARD.md</w:t>
      </w:r>
      <w:r>
        <w:rPr>
          <w:iCs/>
          <w:i/>
        </w:rPr>
        <w:t xml:space="preserve"> </w:t>
      </w:r>
      <w:r>
        <w:rPr>
          <w:iCs/>
          <w:i/>
        </w:rPr>
        <w:t xml:space="preserve">§2 row 30.</w:t>
      </w:r>
    </w:p>
    <w:p>
      <w:r>
        <w:pict>
          <v:rect style="width:0;height:1.5pt" o:hralign="center" o:hrstd="t" o:hr="t"/>
        </w:pict>
      </w:r>
    </w:p>
    <w:bookmarkEnd w:id="20"/>
    <w:bookmarkStart w:id="40" w:name="version-and-agent-history"/>
    <w:p>
      <w:pPr>
        <w:pStyle w:val="Heading1"/>
      </w:pPr>
      <w:r>
        <w:t xml:space="preserve">VERSION AND AGENT HISTORY</w:t>
      </w:r>
    </w:p>
    <w:p>
      <w:pPr>
        <w:pStyle w:val="FirstParagraph"/>
      </w:pPr>
      <w:r>
        <w:t xml:space="preserve">Version: 1.2</w:t>
      </w:r>
    </w:p>
    <w:p>
      <w:pPr>
        <w:pStyle w:val="BodyText"/>
      </w:pPr>
      <w:r>
        <w:t xml:space="preserve">Sessions &amp; Modifications:</w:t>
      </w:r>
    </w:p>
    <w:p>
      <w:pPr>
        <w:numPr>
          <w:ilvl w:val="0"/>
          <w:numId w:val="1001"/>
        </w:numPr>
        <w:pStyle w:val="Compact"/>
      </w:pPr>
      <w:r>
        <w:t xml:space="preserve">Version: 1.2 | Tool: Claude Code (claude-opus-5) | Session: claude/greg-isenberg-field-notes-a2r544 | Date: 24.07.2026 | Changes: Added</w:t>
      </w:r>
      <w:r>
        <w:t xml:space="preserve"> </w:t>
      </w:r>
      <w:r>
        <w:rPr>
          <w:bCs/>
          <w:b/>
        </w:rPr>
        <w:t xml:space="preserve">§10 The HIC Decisioning Process Model</w:t>
      </w:r>
      <w:r>
        <w:t xml:space="preserve"> </w:t>
      </w:r>
      <w:r>
        <w:t xml:space="preserve">— defines the shape of the Step 5 question, generalized from a session that ran a KYA audit through three reviewer rounds. Codifies: the numbered-question form with a mandatory</w:t>
      </w:r>
      <w:r>
        <w:t xml:space="preserve"> </w:t>
      </w:r>
      <w:r>
        <w:rPr>
          <w:bCs/>
          <w:b/>
        </w:rPr>
        <w:t xml:space="preserve">(RECOMMEND: …)</w:t>
      </w:r>
      <w:r>
        <w:t xml:space="preserve"> </w:t>
      </w:r>
      <w:r>
        <w:t xml:space="preserve">preferred action;</w:t>
      </w:r>
      <w:r>
        <w:t xml:space="preserve"> </w:t>
      </w:r>
      <w:r>
        <w:rPr>
          <w:bCs/>
          <w:b/>
        </w:rPr>
        <w:t xml:space="preserve">always recommend</w:t>
      </w:r>
      <w:r>
        <w:t xml:space="preserve"> </w:t>
      </w:r>
      <w:r>
        <w:t xml:space="preserve">(a fork without a recommendation offloads analysis while pretending to defer on authority — Art. 14 override presupposes a stated machine judgment);</w:t>
      </w:r>
      <w:r>
        <w:t xml:space="preserve"> </w:t>
      </w:r>
      <w:r>
        <w:rPr>
          <w:bCs/>
          <w:b/>
        </w:rPr>
        <w:t xml:space="preserve">reversibility classification</w:t>
      </w:r>
      <w:r>
        <w:t xml:space="preserve"> </w:t>
      </w:r>
      <w:r>
        <w:t xml:space="preserve">(two-way door vs ONE-WAY DOOR, with sign/publish/send/delete/hand-to-counterparty as one-way by default);</w:t>
      </w:r>
      <w:r>
        <w:t xml:space="preserve"> </w:t>
      </w:r>
      <w:r>
        <w:rPr>
          <w:bCs/>
          <w:b/>
        </w:rPr>
        <w:t xml:space="preserve">verified vs propagated provenance</w:t>
      </w:r>
      <w:r>
        <w:t xml:space="preserve"> </w:t>
      </w:r>
      <w:r>
        <w:t xml:space="preserve">separated at the point of decision, not in a footnote;</w:t>
      </w:r>
      <w:r>
        <w:t xml:space="preserve"> </w:t>
      </w:r>
      <w:r>
        <w:rPr>
          <w:bCs/>
          <w:b/>
        </w:rPr>
        <w:t xml:space="preserve">anchoring corrections where the decision is read</w:t>
      </w:r>
      <w:r>
        <w:t xml:space="preserve"> </w:t>
      </w:r>
      <w:r>
        <w:t xml:space="preserve">plus the standing anti-regression note pattern (a superseded recommendation re-entered as a plan within hours via a reviewer summary); a</w:t>
      </w:r>
      <w:r>
        <w:t xml:space="preserve"> </w:t>
      </w:r>
      <w:r>
        <w:rPr>
          <w:bCs/>
          <w:b/>
        </w:rPr>
        <w:t xml:space="preserve">max-four-per-session budget</w:t>
      </w:r>
      <w:r>
        <w:t xml:space="preserve">; and</w:t>
      </w:r>
      <w:r>
        <w:t xml:space="preserve"> </w:t>
      </w:r>
      <w:r>
        <w:rPr>
          <w:bCs/>
          <w:b/>
        </w:rPr>
        <w:t xml:space="preserve">closing the loop</w:t>
      </w:r>
      <w:r>
        <w:t xml:space="preserve"> </w:t>
      </w:r>
      <w:r>
        <w:t xml:space="preserve">by writing the HIC’s answer back. Cross-referenced from §4 Step 5. Added four anti-patterns (§9 + §10.8): recommendation-free decision, correction decay, blended provenance, scope-inflating a decision.</w:t>
      </w:r>
    </w:p>
    <w:p>
      <w:pPr>
        <w:numPr>
          <w:ilvl w:val="0"/>
          <w:numId w:val="1001"/>
        </w:numPr>
        <w:pStyle w:val="Compact"/>
      </w:pPr>
      <w:r>
        <w:t xml:space="preserve">Version: 1.1 | Tool: Claude Code (claude-opus-4-8) | Session: claude/dws-learning-hic-process-e70k0a | Date: 24.07.2026 | Changes: Sharpened §1 with the load-bearing</w:t>
      </w:r>
      <w:r>
        <w:t xml:space="preserve"> </w:t>
      </w:r>
      <w:r>
        <w:rPr>
          <w:bCs/>
          <w:b/>
        </w:rPr>
        <w:t xml:space="preserve">HIL (</w:t>
      </w:r>
      <w:r>
        <w:rPr>
          <w:bCs/>
          <w:b/>
        </w:rPr>
        <w:t xml:space="preserve">“</w:t>
      </w:r>
      <w:r>
        <w:rPr>
          <w:bCs/>
          <w:b/>
        </w:rPr>
        <w:t xml:space="preserve">in the loop</w:t>
      </w:r>
      <w:r>
        <w:rPr>
          <w:bCs/>
          <w:b/>
        </w:rPr>
        <w:t xml:space="preserve">”</w:t>
      </w:r>
      <w:r>
        <w:rPr>
          <w:bCs/>
          <w:b/>
        </w:rPr>
        <w:t xml:space="preserve">) vs HIC (</w:t>
      </w:r>
      <w:r>
        <w:rPr>
          <w:bCs/>
          <w:b/>
        </w:rPr>
        <w:t xml:space="preserve">“</w:t>
      </w:r>
      <w:r>
        <w:rPr>
          <w:bCs/>
          <w:b/>
        </w:rPr>
        <w:t xml:space="preserve">in command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distinction and the framing that</w:t>
      </w:r>
      <w:r>
        <w:t xml:space="preserve"> </w:t>
      </w:r>
      <w:r>
        <w:rPr>
          <w:bCs/>
          <w:b/>
        </w:rPr>
        <w:t xml:space="preserve">ending a substantive session with no learning outcome is knowledge destruction</w:t>
      </w:r>
      <w:r>
        <w:t xml:space="preserve"> </w:t>
      </w:r>
      <w:r>
        <w:t xml:space="preserve">— an Article 14 compliance gap, not a process miss. Added a §2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double duty</w:t>
      </w:r>
      <w:r>
        <w:rPr>
          <w:bCs/>
          <w:b/>
        </w:rPr>
        <w:t xml:space="preserve">”</w:t>
      </w:r>
      <w:r>
        <w:t xml:space="preserve"> </w:t>
      </w:r>
      <w:r>
        <w:t xml:space="preserve">note: the stream of learning outcomes is itself audit-grade</w:t>
      </w:r>
      <w:r>
        <w:t xml:space="preserve"> </w:t>
      </w:r>
      <w:r>
        <w:rPr>
          <w:bCs/>
          <w:b/>
        </w:rPr>
        <w:t xml:space="preserve">Article 12</w:t>
      </w:r>
      <w:r>
        <w:t xml:space="preserve"> </w:t>
      </w:r>
      <w:r>
        <w:t xml:space="preserve">record-keeping applied inward to DWS’s own development process. Conceptual articulation only — the requirement and the five-step minimum are unchanged. Rich framing kept here (not in</w:t>
      </w:r>
      <w:r>
        <w:t xml:space="preserve"> </w:t>
      </w:r>
      <w:r>
        <w:rPr>
          <w:rStyle w:val="VerbatimChar"/>
        </w:rPr>
        <w:t xml:space="preserve">DWS_TRUTH_STANDARD.md</w:t>
      </w:r>
      <w:r>
        <w:t xml:space="preserve">, which stays a thin registry; §2F already points here). HIC-validated 24.07.2026.</w:t>
      </w:r>
    </w:p>
    <w:p>
      <w:pPr>
        <w:numPr>
          <w:ilvl w:val="0"/>
          <w:numId w:val="1001"/>
        </w:numPr>
        <w:pStyle w:val="Compact"/>
      </w:pPr>
      <w:r>
        <w:t xml:space="preserve">Version: 1.0 | Tool: Claude Code (claude-opus-4-8) | Session: claude/dws-learning-hic-process-e70k0a | Date: 24.07.2026 | Changes: Created the DWS Learning Standard. Codifies the</w:t>
      </w:r>
      <w:r>
        <w:t xml:space="preserve"> </w:t>
      </w:r>
      <w:r>
        <w:rPr>
          <w:bCs/>
          <w:b/>
        </w:rPr>
        <w:t xml:space="preserve">HIC Learning Outcome</w:t>
      </w:r>
      <w:r>
        <w:t xml:space="preserve"> </w:t>
      </w:r>
      <w:r>
        <w:t xml:space="preserve">— the requirement that every substantive session ends by capturing what it learned so a Human-In-Command (HIC) understands and can act on the new knowledge. Establishes the five-step minimum (update KB → field note → Learn/ HTML → Drive export → ask HIC a question), the</w:t>
      </w:r>
      <w:r>
        <w:t xml:space="preserve"> </w:t>
      </w:r>
      <w:r>
        <w:rPr>
          <w:bCs/>
          <w:b/>
        </w:rPr>
        <w:t xml:space="preserve">EU AI Act Article 14 (human oversight)</w:t>
      </w:r>
      <w:r>
        <w:t xml:space="preserve"> </w:t>
      </w:r>
      <w:r>
        <w:t xml:space="preserve">legal basis, the substantive-vs-trivial session gate, the Roles chapter, and cross-references to the Truth Standard (§2F, row 30), Document Standard (§17/§18 Learn HTML), and the field-notes README. Triggered by founder directive:</w:t>
      </w:r>
      <w:r>
        <w:t xml:space="preserve"> </w:t>
      </w:r>
      <w:r>
        <w:t xml:space="preserve">“</w:t>
      </w:r>
      <w:r>
        <w:t xml:space="preserve">we need to keep HIC informed and make sure new artifact is understood by HIC … this HIC process of learn is a major outcome of each session.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Start w:id="21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2"/>
        </w:numPr>
        <w:pStyle w:val="Compact"/>
      </w:pPr>
      <w:r>
        <w:t xml:space="preserve">Purpose</w:t>
      </w:r>
    </w:p>
    <w:p>
      <w:pPr>
        <w:numPr>
          <w:ilvl w:val="0"/>
          <w:numId w:val="1002"/>
        </w:numPr>
        <w:pStyle w:val="Compact"/>
      </w:pPr>
      <w:r>
        <w:t xml:space="preserve">Legal Basis — EU AI Act Article 14 (Human Oversight)</w:t>
      </w:r>
    </w:p>
    <w:p>
      <w:pPr>
        <w:numPr>
          <w:ilvl w:val="0"/>
          <w:numId w:val="1002"/>
        </w:numPr>
        <w:pStyle w:val="Compact"/>
      </w:pPr>
      <w:r>
        <w:t xml:space="preserve">The HIC Learning Outcome (the major outcome of every session)</w:t>
      </w:r>
    </w:p>
    <w:p>
      <w:pPr>
        <w:numPr>
          <w:ilvl w:val="0"/>
          <w:numId w:val="1002"/>
        </w:numPr>
        <w:pStyle w:val="Compact"/>
      </w:pPr>
      <w:r>
        <w:t xml:space="preserve">The Five-Step Minimum</w:t>
      </w:r>
    </w:p>
    <w:p>
      <w:pPr>
        <w:numPr>
          <w:ilvl w:val="0"/>
          <w:numId w:val="1002"/>
        </w:numPr>
        <w:pStyle w:val="Compact"/>
      </w:pPr>
      <w:r>
        <w:t xml:space="preserve">When the Loop Applies (substantive vs trivial sessions)</w:t>
      </w:r>
    </w:p>
    <w:p>
      <w:pPr>
        <w:numPr>
          <w:ilvl w:val="0"/>
          <w:numId w:val="1002"/>
        </w:numPr>
        <w:pStyle w:val="Compact"/>
      </w:pPr>
      <w:r>
        <w:t xml:space="preserve">How It Is Operationalized (skills, hooks, workflow)</w:t>
      </w:r>
    </w:p>
    <w:p>
      <w:pPr>
        <w:numPr>
          <w:ilvl w:val="0"/>
          <w:numId w:val="1002"/>
        </w:numPr>
        <w:pStyle w:val="Compact"/>
      </w:pPr>
      <w:r>
        <w:t xml:space="preserve">Relationship to Other Standards</w:t>
      </w:r>
    </w:p>
    <w:p>
      <w:pPr>
        <w:numPr>
          <w:ilvl w:val="0"/>
          <w:numId w:val="1002"/>
        </w:numPr>
        <w:pStyle w:val="Compact"/>
      </w:pPr>
      <w:r>
        <w:t xml:space="preserve">Roles &amp; Responsibilities</w:t>
      </w:r>
    </w:p>
    <w:p>
      <w:pPr>
        <w:numPr>
          <w:ilvl w:val="0"/>
          <w:numId w:val="1002"/>
        </w:numPr>
        <w:pStyle w:val="Compact"/>
      </w:pPr>
      <w:r>
        <w:t xml:space="preserve">Anti-Patterns</w:t>
      </w:r>
    </w:p>
    <w:p>
      <w:pPr>
        <w:numPr>
          <w:ilvl w:val="0"/>
          <w:numId w:val="1002"/>
        </w:numPr>
        <w:pStyle w:val="Compact"/>
      </w:pPr>
      <w:r>
        <w:t xml:space="preserve">The HIC Decisioning Process Model (how Step 5 questions are shaped)</w:t>
      </w:r>
    </w:p>
    <w:p>
      <w:r>
        <w:pict>
          <v:rect style="width:0;height:1.5pt" o:hralign="center" o:hrstd="t" o:hr="t"/>
        </w:pict>
      </w:r>
    </w:p>
    <w:bookmarkEnd w:id="21"/>
    <w:bookmarkStart w:id="22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New ideas, concepts, theories, code, whitepapers, and artifacts are welcome — they are how DWS is built further. But a new artifact that only a machine session ever saw is</w:t>
      </w:r>
      <w:r>
        <w:t xml:space="preserve"> </w:t>
      </w:r>
      <w:r>
        <w:rPr>
          <w:bCs/>
          <w:b/>
        </w:rPr>
        <w:t xml:space="preserve">not an outcome; it is a liability.</w:t>
      </w:r>
      <w:r>
        <w:t xml:space="preserve"> </w:t>
      </w:r>
      <w:r>
        <w:t xml:space="preserve">The knowledge lives in ephemeral cloud-container memory that is reclaimed when the session ends, and no Human-In-Command (HIC) ever understood it, checked it, or authorized what happens next.</w:t>
      </w:r>
    </w:p>
    <w:p>
      <w:pPr>
        <w:pStyle w:val="BodyText"/>
      </w:pPr>
      <w:r>
        <w:t xml:space="preserve">This standard closes that gap. It makes</w:t>
      </w:r>
      <w:r>
        <w:t xml:space="preserve"> </w:t>
      </w:r>
      <w:r>
        <w:rPr>
          <w:bCs/>
          <w:b/>
        </w:rPr>
        <w:t xml:space="preserve">learning capture a required, first-class deliverable of every substantive session</w:t>
      </w:r>
      <w:r>
        <w:t xml:space="preserve"> </w:t>
      </w:r>
      <w:r>
        <w:t xml:space="preserve">— equal in weight to the code or document the session produced. The unit of that capture is the</w:t>
      </w:r>
      <w:r>
        <w:t xml:space="preserve"> </w:t>
      </w:r>
      <w:r>
        <w:rPr>
          <w:bCs/>
          <w:b/>
        </w:rPr>
        <w:t xml:space="preserve">HIC Learning Outcome</w:t>
      </w:r>
      <w:r>
        <w:t xml:space="preserve">: a small, fixed set of artifacts that (a) persists the new knowledge in git-committed, human-readable form, (b) puts it in front of a HIC, and (c) asks the HIC one real question so a human stays in command of the direction.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In the loop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 command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load-bearing.</w:t>
      </w:r>
      <w:r>
        <w:t xml:space="preserve"> </w:t>
      </w:r>
      <w:r>
        <w:t xml:space="preserve">Human-in-the-loop (HIL)</w:t>
      </w:r>
      <w:r>
        <w:t xml:space="preserve"> </w:t>
      </w:r>
      <w:r>
        <w:rPr>
          <w:iCs/>
          <w:i/>
        </w:rPr>
        <w:t xml:space="preserve">reviews</w:t>
      </w:r>
      <w:r>
        <w:t xml:space="preserve"> </w:t>
      </w:r>
      <w:r>
        <w:t xml:space="preserve">a decision the machine already made; Human-In-Command (HIC)</w:t>
      </w:r>
      <w:r>
        <w:t xml:space="preserve"> </w:t>
      </w:r>
      <w:r>
        <w:rPr>
          <w:iCs/>
          <w:i/>
        </w:rPr>
        <w:t xml:space="preserve">holds</w:t>
      </w:r>
      <w:r>
        <w:t xml:space="preserve"> </w:t>
      </w:r>
      <w:r>
        <w:t xml:space="preserve">the decision and can override it. Article 14 requires the latter, not the former. A learning outcome that only informs (steps 1–4) without asking the HIC to decide (step 5) delivers HIL, not HIC — it does not fully discharge the duty. The learning outcome is a</w:t>
      </w:r>
      <w:r>
        <w:t xml:space="preserve"> </w:t>
      </w:r>
      <w:r>
        <w:rPr>
          <w:bCs/>
          <w:b/>
        </w:rPr>
        <w:t xml:space="preserve">handoff of understanding</w:t>
      </w:r>
      <w:r>
        <w:t xml:space="preserve"> </w:t>
      </w:r>
      <w:r>
        <w:t xml:space="preserve">from the machine to a person, ending in a decision that person owns.</w:t>
      </w:r>
    </w:p>
    <w:p>
      <w:pPr>
        <w:pStyle w:val="BodyText"/>
      </w:pPr>
      <w:r>
        <w:rPr>
          <w:bCs/>
          <w:b/>
        </w:rPr>
        <w:t xml:space="preserve">Ending a substantive session with no learning outcome is knowledge destruction.</w:t>
      </w:r>
      <w:r>
        <w:t xml:space="preserve"> </w:t>
      </w:r>
      <w:r>
        <w:t xml:space="preserve">The session’s understanding is deleted with the container, and no human ever held it. Under Article 14 that is a</w:t>
      </w:r>
      <w:r>
        <w:t xml:space="preserve"> </w:t>
      </w:r>
      <w:r>
        <w:rPr>
          <w:bCs/>
          <w:b/>
        </w:rPr>
        <w:t xml:space="preserve">compliance gap, not merely a process miss</w:t>
      </w:r>
      <w:r>
        <w:t xml:space="preserve"> </w:t>
      </w:r>
      <w:r>
        <w:t xml:space="preserve">— which is why this is a standard with an enforcing hook, not a suggestion.</w:t>
      </w:r>
    </w:p>
    <w:p>
      <w:pPr>
        <w:pStyle w:val="BodyText"/>
      </w:pPr>
      <w:r>
        <w:rPr>
          <w:bCs/>
          <w:b/>
        </w:rPr>
        <w:t xml:space="preserve">One-line test:</w:t>
      </w:r>
      <w:r>
        <w:t xml:space="preserve"> </w:t>
      </w:r>
      <w:r>
        <w:rPr>
          <w:iCs/>
          <w:i/>
        </w:rPr>
        <w:t xml:space="preserve">If this session vanished right now, could a HIC reconstruct what was learned and decide what to do next — without re-reading the transcript?</w:t>
      </w:r>
      <w:r>
        <w:t xml:space="preserve"> </w:t>
      </w:r>
      <w:r>
        <w:t xml:space="preserve">If no, the learning outcome is incomplete.</w:t>
      </w:r>
    </w:p>
    <w:bookmarkEnd w:id="22"/>
    <w:bookmarkStart w:id="23" w:name="Xd7ead29a55132c3bf2361b24717c13d598bae86"/>
    <w:p>
      <w:pPr>
        <w:pStyle w:val="Heading2"/>
      </w:pPr>
      <w:r>
        <w:t xml:space="preserve">2. Legal Basis — EU AI Act Article 14 (Human Oversight)</w:t>
      </w:r>
    </w:p>
    <w:p>
      <w:pPr>
        <w:pStyle w:val="FirstParagraph"/>
      </w:pPr>
      <w:r>
        <w:t xml:space="preserve">This is not a nicety. It is a legal-basis requirement.</w:t>
      </w:r>
    </w:p>
    <w:p>
      <w:pPr>
        <w:pStyle w:val="BodyText"/>
      </w:pPr>
      <w:r>
        <w:t xml:space="preserve">DWS operates AI agents that produce work product acted on by a business — the class of system the</w:t>
      </w:r>
      <w:r>
        <w:t xml:space="preserve"> </w:t>
      </w:r>
      <w:r>
        <w:rPr>
          <w:bCs/>
          <w:b/>
        </w:rPr>
        <w:t xml:space="preserve">EU AI Act (Regulation (EU) 2024/1689)</w:t>
      </w:r>
      <w:r>
        <w:t xml:space="preserve"> </w:t>
      </w:r>
      <w:r>
        <w:t xml:space="preserve">governs.</w:t>
      </w:r>
      <w:r>
        <w:t xml:space="preserve"> </w:t>
      </w:r>
      <w:r>
        <w:rPr>
          <w:bCs/>
          <w:b/>
        </w:rPr>
        <w:t xml:space="preserve">Article 14 (Human Oversight)</w:t>
      </w:r>
      <w:r>
        <w:t xml:space="preserve"> </w:t>
      </w:r>
      <w:r>
        <w:t xml:space="preserve">requires that high-risk AI systems be designed so natural persons can</w:t>
      </w:r>
      <w:r>
        <w:t xml:space="preserve"> </w:t>
      </w:r>
      <w:r>
        <w:rPr>
          <w:bCs/>
          <w:b/>
        </w:rPr>
        <w:t xml:space="preserve">understand the system’s output, oversee its operation, and intervene or override</w:t>
      </w:r>
      <w:r>
        <w:t xml:space="preserve"> </w:t>
      </w:r>
      <w:r>
        <w:t xml:space="preserve">it. Oversight you cannot exercise because the information never reached a human, or reached them in a form they could not understand, is not oversight.</w:t>
      </w:r>
    </w:p>
    <w:p>
      <w:pPr>
        <w:pStyle w:val="BodyText"/>
      </w:pPr>
      <w:r>
        <w:rPr>
          <w:bCs/>
          <w:b/>
        </w:rPr>
        <w:t xml:space="preserve">HIC = Human-In-Command.</w:t>
      </w:r>
      <w:r>
        <w:t xml:space="preserve"> </w:t>
      </w:r>
      <w:r>
        <w:t xml:space="preserve">In DWS, the human who exercises Article 14 oversight is the HIC — the founder/CEO (R22) and the Office Chief / Human-In-Command (Lucille Santiago), per</w:t>
      </w:r>
      <w:r>
        <w:t xml:space="preserve"> </w:t>
      </w:r>
      <w:r>
        <w:rPr>
          <w:rStyle w:val="VerbatimChar"/>
        </w:rPr>
        <w:t xml:space="preserve">DWS_TRUTH_STANDARD.md</w:t>
      </w:r>
      <w:r>
        <w:t xml:space="preserve"> </w:t>
      </w:r>
      <w:r>
        <w:t xml:space="preserve">§2 row 23. The HIC Learning Outcome is the</w:t>
      </w:r>
      <w:r>
        <w:t xml:space="preserve"> </w:t>
      </w:r>
      <w:r>
        <w:rPr>
          <w:bCs/>
          <w:b/>
        </w:rPr>
        <w:t xml:space="preserve">mechanism</w:t>
      </w:r>
      <w:r>
        <w:t xml:space="preserve"> </w:t>
      </w:r>
      <w:r>
        <w:t xml:space="preserve">by which DWS discharges the Article 14 duty at the session level: it renders each session’s new knowledge understandable (field note + Learn/ HTML), reachable (Drive export), and actionable-by-a-human (the HIC question) so a person can genuinely oversee, correct, or veto.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HIC (Human-In-Command)</w:t>
      </w:r>
      <w:r>
        <w:t xml:space="preserve"> </w:t>
      </w:r>
      <w:r>
        <w:t xml:space="preserve">is the DWS operating term.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Human oversight</w:t>
      </w:r>
      <w:r>
        <w:rPr>
          <w:bCs/>
          <w:b/>
        </w:rPr>
        <w:t xml:space="preserve">”</w:t>
      </w:r>
      <w:r>
        <w:t xml:space="preserve"> </w:t>
      </w:r>
      <w:r>
        <w:t xml:space="preserve">is the Article 14 legal term.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Human-in-the-loop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(HIL)</w:t>
      </w:r>
      <w:r>
        <w:t xml:space="preserve"> </w:t>
      </w:r>
      <w:r>
        <w:t xml:space="preserve">is the review posture. This standard treats HIC as the DWS implementation of Article 14 human oversight; do not silently substitute</w:t>
      </w:r>
      <w:r>
        <w:t xml:space="preserve"> </w:t>
      </w:r>
      <w:r>
        <w:t xml:space="preserve">“</w:t>
      </w:r>
      <w:r>
        <w:t xml:space="preserve">control</w:t>
      </w:r>
      <w:r>
        <w:t xml:space="preserve">”</w:t>
      </w:r>
      <w:r>
        <w:t xml:space="preserve"> </w:t>
      </w:r>
      <w:r>
        <w:t xml:space="preserve">for the registered term</w:t>
      </w:r>
      <w:r>
        <w:t xml:space="preserve"> </w:t>
      </w:r>
      <w:r>
        <w:t xml:space="preserve">“</w:t>
      </w:r>
      <w:r>
        <w:t xml:space="preserve">Command</w:t>
      </w:r>
      <w:r>
        <w:t xml:space="preserve">”</w:t>
      </w:r>
      <w:r>
        <w:t xml:space="preserve"> </w:t>
      </w:r>
      <w:r>
        <w:t xml:space="preserve">— surface the mapping instead of averaging the words.</w:t>
      </w:r>
    </w:p>
    <w:p>
      <w:pPr>
        <w:numPr>
          <w:ilvl w:val="0"/>
          <w:numId w:val="1003"/>
        </w:numPr>
        <w:pStyle w:val="Compact"/>
      </w:pPr>
      <w:r>
        <w:t xml:space="preserve">The Article 12 (record-keeping / reasoning-lineage logging) obligation is a</w:t>
      </w:r>
      <w:r>
        <w:t xml:space="preserve"> </w:t>
      </w:r>
      <w:r>
        <w:rPr>
          <w:bCs/>
          <w:b/>
        </w:rPr>
        <w:t xml:space="preserve">sibling</w:t>
      </w:r>
      <w:r>
        <w:t xml:space="preserve"> </w:t>
      </w:r>
      <w:r>
        <w:t xml:space="preserve">control, covered in</w:t>
      </w:r>
      <w:r>
        <w:t xml:space="preserve"> </w:t>
      </w:r>
      <w:r>
        <w:rPr>
          <w:rStyle w:val="VerbatimChar"/>
        </w:rPr>
        <w:t xml:space="preserve">DWS_STANDARDS_LIBRARY.md</w:t>
      </w:r>
      <w:r>
        <w:t xml:space="preserve"> </w:t>
      </w:r>
      <w:r>
        <w:t xml:space="preserve">§3.1 and the KYA standard. Article 12 makes the machine’s reasoning auditable;</w:t>
      </w:r>
      <w:r>
        <w:t xml:space="preserve"> </w:t>
      </w:r>
      <w:r>
        <w:rPr>
          <w:bCs/>
          <w:b/>
        </w:rPr>
        <w:t xml:space="preserve">Article 14 (this standard) makes a human able to act on it.</w:t>
      </w:r>
      <w:r>
        <w:t xml:space="preserve"> </w:t>
      </w:r>
      <w:r>
        <w:t xml:space="preserve">Both are required; neither substitutes for the other.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Double duty (Article 12, applied inward).</w:t>
      </w:r>
      <w:r>
        <w:t xml:space="preserve"> </w:t>
      </w:r>
      <w:r>
        <w:t xml:space="preserve">Because each learning outcome is a dated, git-committed record of what a session built and decided, the</w:t>
      </w:r>
      <w:r>
        <w:t xml:space="preserve"> </w:t>
      </w:r>
      <w:r>
        <w:rPr>
          <w:bCs/>
          <w:b/>
        </w:rPr>
        <w:t xml:space="preserve">stream of outcomes is itself an audit-grade log of DWS’s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own</w:t>
      </w:r>
      <w:r>
        <w:rPr>
          <w:bCs/>
          <w:b/>
        </w:rPr>
        <w:t xml:space="preserve"> </w:t>
      </w:r>
      <w:r>
        <w:rPr>
          <w:bCs/>
          <w:b/>
        </w:rPr>
        <w:t xml:space="preserve">development process</w:t>
      </w:r>
      <w:r>
        <w:t xml:space="preserve"> </w:t>
      </w:r>
      <w:r>
        <w:t xml:space="preserve">— the record-keeping Article 12 expects, turned on the builder. One artifact satisfies both duties: a human can act on it (Art. 14) and an auditor can trace it (Art. 12). This is why the outcome is committed to git (not just exported) — the commit history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log.</w:t>
      </w:r>
    </w:p>
    <w:p>
      <w:pPr>
        <w:pStyle w:val="FirstParagraph"/>
      </w:pPr>
      <w:r>
        <w:rPr>
          <w:bCs/>
          <w:b/>
        </w:rPr>
        <w:t xml:space="preserve">Scope note.</w:t>
      </w:r>
      <w:r>
        <w:t xml:space="preserve"> </w:t>
      </w:r>
      <w:r>
        <w:t xml:space="preserve">DWS applies this as a governance baseline across agent sessions, not a self-assessment that any given surface is</w:t>
      </w:r>
      <w:r>
        <w:t xml:space="preserve"> </w:t>
      </w:r>
      <w:r>
        <w:t xml:space="preserve">“</w:t>
      </w:r>
      <w:r>
        <w:t xml:space="preserve">high-risk</w:t>
      </w:r>
      <w:r>
        <w:t xml:space="preserve">”</w:t>
      </w:r>
      <w:r>
        <w:t xml:space="preserve"> </w:t>
      </w:r>
      <w:r>
        <w:t xml:space="preserve">under Annex III. Where a surface is formally high-risk, the HIC Learning Outcome is one piece of the Article 14 evidence chain, not the whole of it.</w:t>
      </w:r>
    </w:p>
    <w:bookmarkEnd w:id="23"/>
    <w:bookmarkStart w:id="24" w:name="X9fe25bc3acd57ed77d27d9fe5f4c5c082333a8a"/>
    <w:p>
      <w:pPr>
        <w:pStyle w:val="Heading2"/>
      </w:pPr>
      <w:r>
        <w:t xml:space="preserve">3. The HIC Learning Outcome (the major outcome of every session)</w:t>
      </w:r>
    </w:p>
    <w:p>
      <w:pPr>
        <w:pStyle w:val="FirstParagraph"/>
      </w:pPr>
      <w:r>
        <w:rPr>
          <w:bCs/>
          <w:b/>
        </w:rPr>
        <w:t xml:space="preserve">Every substantive session produces a HIC Learning Outcome as a primary deliverable, alongside whatever code/document/analysis it was tasked with.</w:t>
      </w:r>
      <w:r>
        <w:t xml:space="preserve"> </w:t>
      </w:r>
      <w:r>
        <w:t xml:space="preserve">It is complete when all five steps in §4 are done (or explicitly marked N/A with a reason). A session that ships a feature but leaves no learning outcome is</w:t>
      </w:r>
      <w:r>
        <w:t xml:space="preserve"> </w:t>
      </w:r>
      <w:r>
        <w:rPr>
          <w:bCs/>
          <w:b/>
        </w:rPr>
        <w:t xml:space="preserve">not done</w:t>
      </w:r>
      <w:r>
        <w:t xml:space="preserve"> </w:t>
      </w:r>
      <w:r>
        <w:t xml:space="preserve">— it has left the HIC blind to what changed.</w:t>
      </w:r>
    </w:p>
    <w:p>
      <w:pPr>
        <w:pStyle w:val="BodyText"/>
      </w:pPr>
      <w:r>
        <w:t xml:space="preserve">This requirement is registered as a canonical fact in</w:t>
      </w:r>
      <w:r>
        <w:t xml:space="preserve"> </w:t>
      </w:r>
      <w:r>
        <w:rPr>
          <w:rStyle w:val="VerbatimChar"/>
        </w:rPr>
        <w:t xml:space="preserve">DWS_TRUTH_STANDARD.md</w:t>
      </w:r>
      <w:r>
        <w:t xml:space="preserve"> </w:t>
      </w:r>
      <w:r>
        <w:t xml:space="preserve">§2F and row 30, so it is surfaced to every agent, not just those who happen to read this file.</w:t>
      </w:r>
    </w:p>
    <w:bookmarkEnd w:id="24"/>
    <w:bookmarkStart w:id="25" w:name="the-five-step-minimum"/>
    <w:p>
      <w:pPr>
        <w:pStyle w:val="Heading2"/>
      </w:pPr>
      <w:r>
        <w:t xml:space="preserve">4. The Five-Step Minimum</w:t>
      </w:r>
    </w:p>
    <w:p>
      <w:pPr>
        <w:pStyle w:val="FirstParagraph"/>
      </w:pPr>
      <w:r>
        <w:t xml:space="preserve">The minimum HIC Learning Outcome is five steps. Fewer is a bug; more is welcome.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2"/>
        <w:gridCol w:w="688"/>
        <w:gridCol w:w="2238"/>
        <w:gridCol w:w="2410"/>
        <w:gridCol w:w="24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 the knowledge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Add/refresh the KB entry for the new concept, entity, signal, or artifact so future sessions retrieve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raw/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wiki/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kb.json</w:t>
            </w:r>
            <w:r>
              <w:t xml:space="preserve">) via the</w:t>
            </w:r>
            <w:r>
              <w:t xml:space="preserve"> </w:t>
            </w:r>
            <w:r>
              <w:rPr>
                <w:rStyle w:val="VerbatimChar"/>
              </w:rPr>
              <w:t xml:space="preserve">/kb</w:t>
            </w:r>
            <w:r>
              <w:t xml:space="preserve"> </w:t>
            </w: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/kb</w:t>
            </w:r>
            <w:r>
              <w:t xml:space="preserve"> </w:t>
            </w:r>
            <w:r>
              <w:t xml:space="preserve">skill; field-notes README</w:t>
            </w:r>
            <w:r>
              <w:t xml:space="preserve"> </w:t>
            </w:r>
            <w:r>
              <w:t xml:space="preserve">“</w:t>
            </w:r>
            <w:r>
              <w:t xml:space="preserve">CAPTURE → PROCESS → ELEVATE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a field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dated markdown note: what happened, the insight, next steps, ontology tags. This is the human-readable capture.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docs/field-notes/YYYY-MM-DD-topic.md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docs/field-notes/README.md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Add an HTML version into the Learn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 the field note / artifact to self-contained HTML so a HIC can read it in a browser without the repo.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Learn/YYYY-MM-DD-topic.html</w:t>
            </w:r>
            <w:r>
              <w:t xml:space="preserve"> </w:t>
            </w:r>
            <w:r>
              <w:t xml:space="preserve">(via</w:t>
            </w:r>
            <w:r>
              <w:t xml:space="preserve"> </w:t>
            </w:r>
            <w:r>
              <w:rPr>
                <w:rStyle w:val="VerbatimChar"/>
              </w:rPr>
              <w:t xml:space="preserve">scripts/render-doc.sh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DWS_DOCUMENT_STANDARD.md</w:t>
            </w:r>
            <w:r>
              <w:t xml:space="preserve"> </w:t>
            </w:r>
            <w:r>
              <w:t xml:space="preserve">§18 (Learn HTML), Downloadable HTML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Export a copy to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a copy to Google Drive so the HIC reaches it from phone/desktop outside the repo. Repo stays the source of truth (Truth Standard §2E).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Drive (MCP</w:t>
            </w:r>
            <w:r>
              <w:t xml:space="preserve"> </w:t>
            </w:r>
            <w:r>
              <w:rPr>
                <w:rStyle w:val="VerbatimChar"/>
              </w:rPr>
              <w:t xml:space="preserve">Google_Drive.create_file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Truth Standard §2B/§2E (Repository-First, Then Export)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 the HIC a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 with</w:t>
            </w:r>
            <w:r>
              <w:t xml:space="preserve"> </w:t>
            </w:r>
            <w:r>
              <w:rPr>
                <w:bCs/>
                <w:b/>
              </w:rPr>
              <w:t xml:space="preserve">one real, decision-shaped question</w:t>
            </w:r>
            <w:r>
              <w:t xml:space="preserve"> </w:t>
            </w:r>
            <w:r>
              <w:t xml:space="preserve">for the HIC — the intervention point Article 14 requires. Not</w:t>
            </w:r>
            <w:r>
              <w:t xml:space="preserve"> </w:t>
            </w:r>
            <w:r>
              <w:t xml:space="preserve">“</w:t>
            </w:r>
            <w:r>
              <w:t xml:space="preserve">any feedback?</w:t>
            </w:r>
            <w:r>
              <w:t xml:space="preserve">”</w:t>
            </w:r>
            <w:r>
              <w:t xml:space="preserve">; a specific fork the human should own.</w:t>
            </w:r>
            <w:r>
              <w:t xml:space="preserve"> </w:t>
            </w:r>
            <w:r>
              <w:rPr>
                <w:bCs/>
                <w:b/>
              </w:rPr>
              <w:t xml:space="preserve">Shape it per §10.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reply to HIC + logged in the field note</w:t>
            </w:r>
            <w:r>
              <w:t xml:space="preserve"> </w:t>
            </w:r>
            <w:r>
              <w:t xml:space="preserve">“</w:t>
            </w:r>
            <w:r>
              <w:t xml:space="preserve">Next Steps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standard §2 +</w:t>
            </w:r>
            <w:r>
              <w:t xml:space="preserve"> </w:t>
            </w:r>
            <w:r>
              <w:rPr>
                <w:bCs/>
                <w:b/>
              </w:rPr>
              <w:t xml:space="preserve">§10</w:t>
            </w:r>
            <w:r>
              <w:t xml:space="preserve">, EU AI Act Art. 14</w:t>
            </w:r>
          </w:p>
        </w:tc>
      </w:tr>
    </w:tbl>
    <w:p>
      <w:pPr>
        <w:pStyle w:val="BodyText"/>
      </w:pPr>
      <w:r>
        <w:rPr>
          <w:bCs/>
          <w:b/>
        </w:rPr>
        <w:t xml:space="preserve">Ordering.</w:t>
      </w:r>
      <w:r>
        <w:t xml:space="preserve"> </w:t>
      </w:r>
      <w:r>
        <w:t xml:space="preserve">1→2→3→4 are produce-then-publish; 5 is the human hand-off. Repo first, export second (Truth Standard §2E): an export with no repo source-of-truth file is a drift incident, not a deliverable.</w:t>
      </w:r>
    </w:p>
    <w:p>
      <w:pPr>
        <w:pStyle w:val="BodyText"/>
      </w:pPr>
      <w:r>
        <w:rPr>
          <w:bCs/>
          <w:b/>
        </w:rPr>
        <w:t xml:space="preserve">N/A is allowed but must be explicit.</w:t>
      </w:r>
      <w:r>
        <w:t xml:space="preserve"> </w:t>
      </w:r>
      <w:r>
        <w:t xml:space="preserve">If a step genuinely does not apply (e.g. nothing KB-worthy was learned), record</w:t>
      </w:r>
      <w:r>
        <w:t xml:space="preserve"> </w:t>
      </w:r>
      <w:r>
        <w:rPr>
          <w:rStyle w:val="VerbatimChar"/>
        </w:rPr>
        <w:t xml:space="preserve">Step N: N/A — &lt;reason&gt;</w:t>
      </w:r>
      <w:r>
        <w:t xml:space="preserve"> </w:t>
      </w:r>
      <w:r>
        <w:t xml:space="preserve">in the field note. Silent omission is a Rule 12 (Fail Loud) violation.</w:t>
      </w:r>
    </w:p>
    <w:bookmarkEnd w:id="25"/>
    <w:bookmarkStart w:id="26" w:name="X5a86d71b711377c5d9b0cce5dcbfa978af59657"/>
    <w:p>
      <w:pPr>
        <w:pStyle w:val="Heading2"/>
      </w:pPr>
      <w:r>
        <w:t xml:space="preserve">5. When the Loop Applies (substantive vs trivial sessions)</w:t>
      </w:r>
    </w:p>
    <w:p>
      <w:pPr>
        <w:pStyle w:val="FirstParagraph"/>
      </w:pPr>
      <w:r>
        <w:t xml:space="preserve">Not every keystroke is a session. Apply judgment, and when unsure, produce the outcome.</w:t>
      </w:r>
    </w:p>
    <w:p>
      <w:pPr>
        <w:pStyle w:val="BodyText"/>
      </w:pPr>
      <w:r>
        <w:rPr>
          <w:bCs/>
          <w:b/>
        </w:rPr>
        <w:t xml:space="preserve">Substantive (learning outcome REQUIRED):</w:t>
      </w:r>
      <w:r>
        <w:t xml:space="preserve"> </w:t>
      </w:r>
      <w:r>
        <w:t xml:space="preserve">- New idea, concept, theory, framework, or positioning.</w:t>
      </w:r>
      <w:r>
        <w:t xml:space="preserve"> </w:t>
      </w:r>
      <w:r>
        <w:t xml:space="preserve">- New or materially-changed code, agent, skill, or migration.</w:t>
      </w:r>
      <w:r>
        <w:t xml:space="preserve"> </w:t>
      </w:r>
      <w:r>
        <w:t xml:space="preserve">- New whitepaper, standard, deck, or customer-facing artifact.</w:t>
      </w:r>
      <w:r>
        <w:t xml:space="preserve"> </w:t>
      </w:r>
      <w:r>
        <w:t xml:space="preserve">- A regulatory/competitive/customer signal worth remembering.</w:t>
      </w:r>
      <w:r>
        <w:t xml:space="preserve"> </w:t>
      </w:r>
      <w:r>
        <w:t xml:space="preserve">- A production incident, edge case, or failure that revealed a knowledge gap.</w:t>
      </w:r>
      <w:r>
        <w:t xml:space="preserve"> </w:t>
      </w:r>
      <w:r>
        <w:t xml:space="preserve">- Any session a HIC would want to know happened.</w:t>
      </w:r>
    </w:p>
    <w:p>
      <w:pPr>
        <w:pStyle w:val="BodyText"/>
      </w:pPr>
      <w:r>
        <w:rPr>
          <w:bCs/>
          <w:b/>
        </w:rPr>
        <w:t xml:space="preserve">Trivial (learning outcome NOT required):</w:t>
      </w:r>
      <w:r>
        <w:t xml:space="preserve"> </w:t>
      </w:r>
      <w:r>
        <w:t xml:space="preserve">- Typo/formatting fixes, dependency bumps with no behavior change.</w:t>
      </w:r>
      <w:r>
        <w:t xml:space="preserve"> </w:t>
      </w:r>
      <w:r>
        <w:t xml:space="preserve">- Pure lookups/questions answered with no artifact produced.</w:t>
      </w:r>
      <w:r>
        <w:t xml:space="preserve"> </w:t>
      </w:r>
      <w:r>
        <w:t xml:space="preserve">- Re-running an existing skill that already logs its own output.</w:t>
      </w:r>
    </w:p>
    <w:p>
      <w:pPr>
        <w:pStyle w:val="BodyText"/>
      </w:pPr>
      <w:r>
        <w:rPr>
          <w:bCs/>
          <w:b/>
        </w:rPr>
        <w:t xml:space="preserve">Gate:</w:t>
      </w:r>
      <w:r>
        <w:t xml:space="preserve"> </w:t>
      </w:r>
      <w:r>
        <w:t xml:space="preserve">if the session added knowledge that is not yet in a git-committed, human-readable place a HIC can find, it is substantive — run the loop.</w:t>
      </w:r>
    </w:p>
    <w:bookmarkEnd w:id="26"/>
    <w:bookmarkStart w:id="27" w:name="X82cc772900b17d13b95bf5af37eb4ff6014a2c0"/>
    <w:p>
      <w:pPr>
        <w:pStyle w:val="Heading2"/>
      </w:pPr>
      <w:r>
        <w:t xml:space="preserve">6. How It Is Operationalized (skills, hooks, workflow)</w:t>
      </w:r>
    </w:p>
    <w:p>
      <w:pPr>
        <w:pStyle w:val="FirstParagraph"/>
      </w:pPr>
      <w:r>
        <w:t xml:space="preserve">The harness stays thin; the skills carry the process.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Capture:</w:t>
      </w:r>
      <w:r>
        <w:t xml:space="preserve"> </w:t>
      </w:r>
      <w:r>
        <w:rPr>
          <w:rStyle w:val="VerbatimChar"/>
        </w:rPr>
        <w:t xml:space="preserve">/kb</w:t>
      </w:r>
      <w:r>
        <w:t xml:space="preserve"> </w:t>
      </w:r>
      <w:r>
        <w:t xml:space="preserve">(step 1), field-notes README template (step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Render:</w:t>
      </w:r>
      <w:r>
        <w:t xml:space="preserve"> </w:t>
      </w:r>
      <w:r>
        <w:rPr>
          <w:rStyle w:val="VerbatimChar"/>
        </w:rPr>
        <w:t xml:space="preserve">scripts/render-doc.sh &lt;note.md&gt;</w:t>
      </w:r>
      <w:r>
        <w:t xml:space="preserve"> </w:t>
      </w:r>
      <w:r>
        <w:t xml:space="preserve">produces the Learn/ HTML (step 3), images Base64-embedded per the Downloadable HTML Rule.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Export:</w:t>
      </w:r>
      <w:r>
        <w:t xml:space="preserve"> </w:t>
      </w:r>
      <w:r>
        <w:t xml:space="preserve">Google Drive MCP</w:t>
      </w:r>
      <w:r>
        <w:t xml:space="preserve"> </w:t>
      </w:r>
      <w:r>
        <w:rPr>
          <w:rStyle w:val="VerbatimChar"/>
        </w:rPr>
        <w:t xml:space="preserve">create_file</w:t>
      </w:r>
      <w:r>
        <w:t xml:space="preserve"> </w:t>
      </w:r>
      <w:r>
        <w:t xml:space="preserve">from the rendered artifact (step 4). Title leads with the date/version for Drive manageability (Document Standard §26.4).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Hand-off:</w:t>
      </w:r>
      <w:r>
        <w:t xml:space="preserve"> </w:t>
      </w:r>
      <w:r>
        <w:t xml:space="preserve">the session’s closing reply to the HIC carries the one question (step 5); the same question is written into the field note’s</w:t>
      </w:r>
      <w:r>
        <w:t xml:space="preserve"> </w:t>
      </w:r>
      <w:r>
        <w:t xml:space="preserve">“</w:t>
      </w:r>
      <w:r>
        <w:t xml:space="preserve">Next Steps</w:t>
      </w:r>
      <w:r>
        <w:t xml:space="preserve">”</w:t>
      </w:r>
      <w:r>
        <w:t xml:space="preserve"> </w:t>
      </w:r>
      <w:r>
        <w:t xml:space="preserve">and, for cross-session continuity, the branch handoff file</w:t>
      </w:r>
      <w:r>
        <w:t xml:space="preserve"> </w:t>
      </w:r>
      <w:r>
        <w:rPr>
          <w:rStyle w:val="VerbatimChar"/>
        </w:rPr>
        <w:t xml:space="preserve">.claude/handoffs/&lt;branch&gt;.md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Learning-of-learning:</w:t>
      </w:r>
      <w:r>
        <w:t xml:space="preserve"> </w:t>
      </w:r>
      <w:r>
        <w:rPr>
          <w:rStyle w:val="VerbatimChar"/>
        </w:rPr>
        <w:t xml:space="preserve">/learn SCOPE=last-week</w:t>
      </w:r>
      <w:r>
        <w:t xml:space="preserve"> </w:t>
      </w:r>
      <w:r>
        <w:t xml:space="preserve">reads field notes + churn and proposes rule edits;</w:t>
      </w:r>
      <w:r>
        <w:t xml:space="preserve"> </w:t>
      </w:r>
      <w:r>
        <w:rPr>
          <w:rStyle w:val="VerbatimChar"/>
        </w:rPr>
        <w:t xml:space="preserve">/retro</w:t>
      </w:r>
      <w:r>
        <w:t xml:space="preserve"> </w:t>
      </w:r>
      <w:r>
        <w:t xml:space="preserve">feeds it. This standard is what those loops are closing around.</w:t>
      </w:r>
    </w:p>
    <w:p>
      <w:pPr>
        <w:pStyle w:val="FirstParagraph"/>
      </w:pPr>
      <w:r>
        <w:rPr>
          <w:bCs/>
          <w:b/>
        </w:rPr>
        <w:t xml:space="preserve">Enforcement (built 24.07.2026):</w:t>
      </w:r>
      <w:r>
        <w:t xml:space="preserve"> </w:t>
      </w:r>
      <w:r>
        <w:rPr>
          <w:rStyle w:val="VerbatimChar"/>
        </w:rPr>
        <w:t xml:space="preserve">.claude/hooks/session-stop.sh</w:t>
      </w:r>
      <w:r>
        <w:t xml:space="preserve"> </w:t>
      </w:r>
      <w:r>
        <w:rPr>
          <w:bCs/>
          <w:b/>
        </w:rPr>
        <w:t xml:space="preserve">Check 6</w:t>
      </w:r>
      <w:r>
        <w:t xml:space="preserve"> </w:t>
      </w:r>
      <w:r>
        <w:t xml:space="preserve">blocks session exit (</w:t>
      </w:r>
      <w:r>
        <w:rPr>
          <w:rStyle w:val="VerbatimChar"/>
        </w:rPr>
        <w:t xml:space="preserve">exit 2</w:t>
      </w:r>
      <w:r>
        <w:t xml:space="preserve">, block-don’t-ask) when a clearly-substantive session produced no field note or</w:t>
      </w:r>
      <w:r>
        <w:t xml:space="preserve"> </w:t>
      </w:r>
      <w:r>
        <w:rPr>
          <w:rStyle w:val="VerbatimChar"/>
        </w:rPr>
        <w:t xml:space="preserve">Learn/</w:t>
      </w:r>
      <w:r>
        <w:t xml:space="preserve"> </w:t>
      </w:r>
      <w:r>
        <w:t xml:space="preserve">HTML dated today. It is loop-safe (a</w:t>
      </w:r>
      <w:r>
        <w:t xml:space="preserve"> </w:t>
      </w:r>
      <w:r>
        <w:rPr>
          <w:rStyle w:val="VerbatimChar"/>
        </w:rPr>
        <w:t xml:space="preserve">stop_hook_active</w:t>
      </w:r>
      <w:r>
        <w:t xml:space="preserve"> </w:t>
      </w:r>
      <w:r>
        <w:t xml:space="preserve">circuit breaker never blocks twice) and escape-hatched so a misclassified trivial session is never trapped: an</w:t>
      </w:r>
      <w:r>
        <w:t xml:space="preserve"> </w:t>
      </w:r>
      <w:r>
        <w:rPr>
          <w:rStyle w:val="VerbatimChar"/>
        </w:rPr>
        <w:t xml:space="preserve">N/A — &lt;reason&gt;</w:t>
      </w:r>
      <w:r>
        <w:t xml:space="preserve"> </w:t>
      </w:r>
      <w:r>
        <w:t xml:space="preserve">note,</w:t>
      </w:r>
      <w:r>
        <w:t xml:space="preserve"> </w:t>
      </w:r>
      <w:r>
        <w:rPr>
          <w:rStyle w:val="VerbatimChar"/>
        </w:rPr>
        <w:t xml:space="preserve">DWS_SKIP_LEARNING_OUTCOME=1</w:t>
      </w:r>
      <w:r>
        <w:t xml:space="preserve">, or</w:t>
      </w:r>
      <w:r>
        <w:t xml:space="preserve"> </w:t>
      </w:r>
      <w:r>
        <w:rPr>
          <w:rStyle w:val="VerbatimChar"/>
        </w:rPr>
        <w:t xml:space="preserve">[skip-learning]</w:t>
      </w:r>
      <w:r>
        <w:t xml:space="preserve"> </w:t>
      </w:r>
      <w:r>
        <w:t xml:space="preserve">in the commit message all release it, and the classifier only counts code / a</w:t>
      </w:r>
      <w:r>
        <w:t xml:space="preserve"> </w:t>
      </w:r>
      <w:r>
        <w:rPr>
          <w:rStyle w:val="VerbatimChar"/>
        </w:rPr>
        <w:t xml:space="preserve">*STANDARD*.md</w:t>
      </w:r>
      <w:r>
        <w:t xml:space="preserve"> </w:t>
      </w:r>
      <w:r>
        <w:t xml:space="preserve">/ a new agent / a whitepaper as substantive (dep/lock/config-only diffs stay trivial). It enforces only the two mechanizable artifacts (field note + Learn/ HTML); steps 1/4/5 (KB, Drive, HIC question) remain agent-driven and are named in the block message.</w:t>
      </w:r>
    </w:p>
    <w:bookmarkEnd w:id="27"/>
    <w:bookmarkStart w:id="28" w:name="relationship-to-other-standards"/>
    <w:p>
      <w:pPr>
        <w:pStyle w:val="Heading2"/>
      </w:pPr>
      <w:r>
        <w:t xml:space="preserve">7. Relationship to Other Standards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DWS_TRUTH_STANDARD.md</w:t>
      </w:r>
      <w:r>
        <w:t xml:space="preserve"> </w:t>
      </w:r>
      <w:r>
        <w:t xml:space="preserve">— §2F states the HIC Learning Outcome requirement as a canonical fact; §2 row 30 registers this file. Truth Standard §2E (Repository-First, Then Export) governs step 4.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DWS_DOCUMENT_STANDARD.md</w:t>
      </w:r>
      <w:r>
        <w:t xml:space="preserve"> </w:t>
      </w:r>
      <w:r>
        <w:t xml:space="preserve">— §18 (Learn HTML generation) and the Downloadable HTML Rule govern step 3; §25 (Universal Footer) governs this document’s footer; §26 governs the export.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docs/field-notes/README.md</w:t>
      </w:r>
      <w:r>
        <w:t xml:space="preserve"> </w:t>
      </w:r>
      <w:r>
        <w:t xml:space="preserve">— the field-note format, ontology tagging, and elevation path for step 2.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DWS_STANDARDS_LIBRARY.md</w:t>
      </w:r>
      <w:r>
        <w:t xml:space="preserve"> </w:t>
      </w:r>
      <w:r>
        <w:t xml:space="preserve">— §3.1 registers the EU AI Act, including Article 14 (human oversight) and Article 12 (record-keeping), the external legal instruments this standard implements.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DWS_SECURITY_STANDARD.md</w:t>
      </w:r>
      <w:r>
        <w:rPr>
          <w:bCs/>
          <w:b/>
        </w:rPr>
        <w:t xml:space="preserve"> </w:t>
      </w:r>
      <w:r>
        <w:rPr>
          <w:bCs/>
          <w:b/>
        </w:rPr>
        <w:t xml:space="preserve">/ KYA</w:t>
      </w:r>
      <w:r>
        <w:t xml:space="preserve"> </w:t>
      </w:r>
      <w:r>
        <w:t xml:space="preserve">— Article 12 reasoning-lineage logging is the auditability sibling to this standard’s Article 14 human-oversight duty.</w:t>
      </w:r>
    </w:p>
    <w:bookmarkEnd w:id="28"/>
    <w:bookmarkStart w:id="29" w:name="roles-responsibilities"/>
    <w:p>
      <w:pPr>
        <w:pStyle w:val="Heading2"/>
      </w:pPr>
      <w:r>
        <w:t xml:space="preserve">8. Roles &amp; Responsibilities</w:t>
      </w:r>
    </w:p>
    <w:p>
      <w:pPr>
        <w:pStyle w:val="FirstParagraph"/>
      </w:pPr>
      <w:r>
        <w:t xml:space="preserve">Roles pulled from</w:t>
      </w:r>
      <w:r>
        <w:t xml:space="preserve"> </w:t>
      </w:r>
      <w:r>
        <w:rPr>
          <w:rStyle w:val="VerbatimChar"/>
        </w:rPr>
        <w:t xml:space="preserve">DWS_ROLES_REGISTRY.md</w:t>
      </w:r>
      <w:r>
        <w:t xml:space="preserve">; referenced by R-ID so name changes propagate.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18"/>
        <w:gridCol w:w="866"/>
        <w:gridCol w:w="3836"/>
        <w:gridCol w:w="25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own for this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get from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—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R22 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the HIC Learning Outcome as a session deliverable; is a 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 14 oversight discharged; no session’s knowledge lost to container reclamation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—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Risto Päärni (interim) + Lucille Santiago (Office Chief / HIC)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 learning outcomes; answer the HIC question; maintain this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readable, reachable stream of what every session learned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— Approver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R05 General Counsel + R13 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the loop satisfies the Article 14 evidence expectation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Audit-ready human-oversight posture for RFPs/DD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—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engineer + every AI agent in an editing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five-step minimum before ending a substantive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re-discovery next session; credit for the artifact persists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— Sign-off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R22 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 off on changes to the minimum itself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baseline defensible to board and regulators</w:t>
            </w:r>
          </w:p>
        </w:tc>
      </w:tr>
    </w:tbl>
    <w:p>
      <w:pPr>
        <w:pStyle w:val="BodyText"/>
      </w:pPr>
      <w:r>
        <w:rPr>
          <w:bCs/>
          <w:b/>
        </w:rPr>
        <w:t xml:space="preserve">RACI shorthand:</w:t>
      </w:r>
      <w:r>
        <w:t xml:space="preserve"> </w:t>
      </w:r>
      <w:r>
        <w:t xml:space="preserve">Owner is</w:t>
      </w:r>
      <w:r>
        <w:t xml:space="preserve"> </w:t>
      </w:r>
      <w:r>
        <w:rPr>
          <w:iCs/>
          <w:i/>
        </w:rPr>
        <w:t xml:space="preserve">Accountable</w:t>
      </w:r>
      <w:r>
        <w:t xml:space="preserve">; Sponsor is</w:t>
      </w:r>
      <w:r>
        <w:t xml:space="preserve"> </w:t>
      </w:r>
      <w:r>
        <w:rPr>
          <w:iCs/>
          <w:i/>
        </w:rPr>
        <w:t xml:space="preserve">Responsible</w:t>
      </w:r>
      <w:r>
        <w:t xml:space="preserve">; Approver is</w:t>
      </w:r>
      <w:r>
        <w:t xml:space="preserve"> </w:t>
      </w:r>
      <w:r>
        <w:rPr>
          <w:iCs/>
          <w:i/>
        </w:rPr>
        <w:t xml:space="preserve">Consulted</w:t>
      </w:r>
      <w:r>
        <w:t xml:space="preserve">; Driver is</w:t>
      </w:r>
      <w:r>
        <w:t xml:space="preserve"> </w:t>
      </w:r>
      <w:r>
        <w:rPr>
          <w:iCs/>
          <w:i/>
        </w:rPr>
        <w:t xml:space="preserve">Informed and acts</w:t>
      </w:r>
      <w:r>
        <w:t xml:space="preserve">.</w:t>
      </w:r>
    </w:p>
    <w:bookmarkEnd w:id="29"/>
    <w:bookmarkStart w:id="30" w:name="anti-patterns"/>
    <w:p>
      <w:pPr>
        <w:pStyle w:val="Heading2"/>
      </w:pPr>
      <w:r>
        <w:t xml:space="preserve">9. Anti-Patterns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Ship-and-vanish.</w:t>
      </w:r>
      <w:r>
        <w:t xml:space="preserve"> </w:t>
      </w:r>
      <w:r>
        <w:t xml:space="preserve">Feature merged, nothing captured. The HIC learns of it only if they read the diff. This is the exact failure the standard exists to kill.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Export without repo source.</w:t>
      </w:r>
      <w:r>
        <w:t xml:space="preserve"> </w:t>
      </w:r>
      <w:r>
        <w:t xml:space="preserve">A Drive doc / PDF / Gamma with no repo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behind it — a drift incident (Truth Standard §2E), not step 4 done.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fake question.</w:t>
      </w:r>
      <w:r>
        <w:t xml:space="preserve"> </w:t>
      </w:r>
      <w:r>
        <w:t xml:space="preserve">“</w:t>
      </w:r>
      <w:r>
        <w:t xml:space="preserve">Let me know if you want changes.</w:t>
      </w:r>
      <w:r>
        <w:t xml:space="preserve">”</w:t>
      </w:r>
      <w:r>
        <w:t xml:space="preserve"> </w:t>
      </w:r>
      <w:r>
        <w:t xml:space="preserve">Step 5 requires a real decision fork a human should own, not a politeness.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Silent N/A.</w:t>
      </w:r>
      <w:r>
        <w:t xml:space="preserve"> </w:t>
      </w:r>
      <w:r>
        <w:t xml:space="preserve">Skipping a step without writing</w:t>
      </w:r>
      <w:r>
        <w:t xml:space="preserve"> </w:t>
      </w:r>
      <w:r>
        <w:rPr>
          <w:rStyle w:val="VerbatimChar"/>
        </w:rPr>
        <w:t xml:space="preserve">N/A — &lt;reason&gt;</w:t>
      </w:r>
      <w:r>
        <w:t xml:space="preserve">. Fail loud (Rule 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Learning in chat scrollback.</w:t>
      </w:r>
      <w:r>
        <w:t xml:space="preserve"> </w:t>
      </w:r>
      <w:r>
        <w:t xml:space="preserve">Insight explained in the session reply but never written to a field note. Scrollback is not a git-committed, HIC-reachable artifact.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recommendation-free decision.</w:t>
      </w:r>
      <w:r>
        <w:t xml:space="preserve"> </w:t>
      </w:r>
      <w:r>
        <w:t xml:space="preserve">Presenting the HIC a fork with no preferred action. This offloads</w:t>
      </w:r>
      <w:r>
        <w:t xml:space="preserve"> </w:t>
      </w:r>
      <w:r>
        <w:rPr>
          <w:iCs/>
          <w:i/>
        </w:rPr>
        <w:t xml:space="preserve">analysis</w:t>
      </w:r>
      <w:r>
        <w:t xml:space="preserve">, not authority — see §10.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Correction decay.</w:t>
      </w:r>
      <w:r>
        <w:t xml:space="preserve"> </w:t>
      </w:r>
      <w:r>
        <w:t xml:space="preserve">A superseded recommendation quietly returning as a plan, because the correction lived somewhere the next reader did not look. Corrections decay faster than the claims they corrected; anchor them where the decision is read (§10.5).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Blended provenance.</w:t>
      </w:r>
      <w:r>
        <w:t xml:space="preserve"> </w:t>
      </w:r>
      <w:r>
        <w:t xml:space="preserve">A decision presented on a mix of verified and second-hand facts with no marker separating them. The HIC cannot weigh what they cannot see the basis of (§10.4).</w:t>
      </w:r>
    </w:p>
    <w:p>
      <w:r>
        <w:pict>
          <v:rect style="width:0;height:1.5pt" o:hralign="center" o:hrstd="t" o:hr="t"/>
        </w:pict>
      </w:r>
    </w:p>
    <w:bookmarkEnd w:id="30"/>
    <w:bookmarkStart w:id="39" w:name="X27a135f5f020cc6cf3670ad82e4f8ab9fb0ccdb"/>
    <w:p>
      <w:pPr>
        <w:pStyle w:val="Heading2"/>
      </w:pPr>
      <w:r>
        <w:t xml:space="preserve">10. The HIC Decisioning Process Model (how Step 5 questions are shaped)</w:t>
      </w:r>
    </w:p>
    <w:p>
      <w:pPr>
        <w:pStyle w:val="FirstParagraph"/>
      </w:pPr>
      <w:r>
        <w:t xml:space="preserve">Step 5 says</w:t>
      </w:r>
      <w:r>
        <w:t xml:space="preserve"> </w:t>
      </w:r>
      <w:r>
        <w:rPr>
          <w:iCs/>
          <w:i/>
        </w:rPr>
        <w:t xml:space="preserve">ask the HIC one real, decision-shaped question</w:t>
      </w:r>
      <w:r>
        <w:t xml:space="preserve">. This section defines the shape. A question the HIC cannot act on in one reading is not an Article 14 intervention point — it is a status update wearing a question mark.</w:t>
      </w:r>
    </w:p>
    <w:bookmarkStart w:id="31" w:name="the-required-form"/>
    <w:p>
      <w:pPr>
        <w:pStyle w:val="Heading3"/>
      </w:pPr>
      <w:r>
        <w:t xml:space="preserve">10.1 The required form</w:t>
      </w:r>
    </w:p>
    <w:p>
      <w:pPr>
        <w:pStyle w:val="FirstParagraph"/>
      </w:pPr>
      <w:r>
        <w:t xml:space="preserve">Every HIC decision point is presented as a</w:t>
      </w:r>
      <w:r>
        <w:t xml:space="preserve"> </w:t>
      </w:r>
      <w:r>
        <w:rPr>
          <w:bCs/>
          <w:b/>
        </w:rPr>
        <w:t xml:space="preserve">numbered question with a stated preferred action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N. &lt;The decision as a question — a fork, not a status check&gt;</w:t>
      </w:r>
      <w:r>
        <w:br/>
      </w:r>
      <w:r>
        <w:rPr>
          <w:rStyle w:val="VerbatimChar"/>
        </w:rPr>
        <w:t xml:space="preserve">   Options:      &lt;A&gt; vs &lt;B&gt; (name the real alternatives, not strawmen)</w:t>
      </w:r>
      <w:r>
        <w:br/>
      </w:r>
      <w:r>
        <w:rPr>
          <w:rStyle w:val="VerbatimChar"/>
        </w:rPr>
        <w:t xml:space="preserve">   (RECOMMEND:   &lt;the preferred action, stated plainly&gt;)</w:t>
      </w:r>
      <w:r>
        <w:br/>
      </w:r>
      <w:r>
        <w:rPr>
          <w:rStyle w:val="VerbatimChar"/>
        </w:rPr>
        <w:t xml:space="preserve">   Reversibility: two-way door | ONE-WAY DOOR</w:t>
      </w:r>
      <w:r>
        <w:br/>
      </w:r>
      <w:r>
        <w:rPr>
          <w:rStyle w:val="VerbatimChar"/>
        </w:rPr>
        <w:t xml:space="preserve">   Unblocks:     &lt;what starts moving once decided&gt;</w:t>
      </w:r>
      <w:r>
        <w:br/>
      </w:r>
      <w:r>
        <w:rPr>
          <w:rStyle w:val="VerbatimChar"/>
        </w:rPr>
        <w:t xml:space="preserve">   Cost of delay: &lt;what degrades or forecloses while it sits&gt;</w:t>
      </w:r>
      <w:r>
        <w:br/>
      </w:r>
      <w:r>
        <w:rPr>
          <w:rStyle w:val="VerbatimChar"/>
        </w:rPr>
        <w:t xml:space="preserve">   Rests on:     &lt;verified facts | propagated claims — marked separately&gt;</w:t>
      </w:r>
    </w:p>
    <w:bookmarkEnd w:id="31"/>
    <w:bookmarkStart w:id="32" w:name="X329fb0a079f3dab821d4689415826ea36367938"/>
    <w:p>
      <w:pPr>
        <w:pStyle w:val="Heading3"/>
      </w:pPr>
      <w:r>
        <w:t xml:space="preserve">10.2 Always recommend — this is not deference, it is the requirement</w:t>
      </w:r>
    </w:p>
    <w:p>
      <w:pPr>
        <w:pStyle w:val="FirstParagraph"/>
      </w:pPr>
      <w:r>
        <w:t xml:space="preserve">An agent that lists options without a recommendation has offloaded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 </w:t>
      </w:r>
      <w:r>
        <w:t xml:space="preserve">while pretending to defer on the</w:t>
      </w:r>
      <w:r>
        <w:t xml:space="preserve"> </w:t>
      </w:r>
      <w:r>
        <w:rPr>
          <w:iCs/>
          <w:i/>
        </w:rPr>
        <w:t xml:space="preserve">authority</w:t>
      </w:r>
      <w:r>
        <w:t xml:space="preserve">. Article 14 oversight means a human can</w:t>
      </w:r>
      <w:r>
        <w:t xml:space="preserve"> </w:t>
      </w:r>
      <w:r>
        <w:rPr>
          <w:bCs/>
          <w:b/>
        </w:rPr>
        <w:t xml:space="preserve">override the machine’s judgment</w:t>
      </w:r>
      <w:r>
        <w:t xml:space="preserve"> </w:t>
      </w:r>
      <w:r>
        <w:t xml:space="preserve">— which presupposes the machine stated one. A recommendation the HIC rejects is oversight working correctly; no recommendation at all is oversight with nothing to act on.</w:t>
      </w:r>
    </w:p>
    <w:p>
      <w:pPr>
        <w:pStyle w:val="BodyText"/>
      </w:pPr>
      <w:r>
        <w:t xml:space="preserve">Recommend even when uncertain. Mark the confidence, then recommend anyway.</w:t>
      </w:r>
    </w:p>
    <w:bookmarkEnd w:id="32"/>
    <w:bookmarkStart w:id="33" w:name="X0b8658d2c99358434a1d93fd68e598d47986200"/>
    <w:p>
      <w:pPr>
        <w:pStyle w:val="Heading3"/>
      </w:pPr>
      <w:r>
        <w:t xml:space="preserve">10.3 Reversibility is the first thing to classify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Two-way door</w:t>
      </w:r>
      <w:r>
        <w:t xml:space="preserve"> </w:t>
      </w:r>
      <w:r>
        <w:t xml:space="preserve">— cheap to undo. Decide fast, do not escalate, note it and move.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ONE-WAY DOOR</w:t>
      </w:r>
      <w:r>
        <w:t xml:space="preserve"> </w:t>
      </w:r>
      <w:r>
        <w:t xml:space="preserve">— expensive or impossible to undo. Flag in capitals, and say what specifically becomes durable.</w:t>
      </w:r>
    </w:p>
    <w:p>
      <w:pPr>
        <w:pStyle w:val="FirstParagraph"/>
      </w:pPr>
      <w:r>
        <w:t xml:space="preserve">Anything that</w:t>
      </w:r>
      <w:r>
        <w:t xml:space="preserve"> </w:t>
      </w:r>
      <w:r>
        <w:rPr>
          <w:bCs/>
          <w:b/>
        </w:rPr>
        <w:t xml:space="preserve">signs, publishes, sends, deletes, or hands an artifact to a counterparty</w:t>
      </w:r>
      <w:r>
        <w:t xml:space="preserve"> </w:t>
      </w:r>
      <w:r>
        <w:t xml:space="preserve">is a one-way door by default. A credential signed under a key that cannot be custodied or rotated cannot be unsigned; a published spec cannot be unpublished; an emailed letter cannot be unsent.</w:t>
      </w:r>
    </w:p>
    <w:bookmarkEnd w:id="33"/>
    <w:bookmarkStart w:id="34" w:name="X0e9a48d5df3168adc5adbf2b61726d07ac48649"/>
    <w:p>
      <w:pPr>
        <w:pStyle w:val="Heading3"/>
      </w:pPr>
      <w:r>
        <w:t xml:space="preserve">10.4 Separate what is verified from what is propagated</w:t>
      </w:r>
    </w:p>
    <w:p>
      <w:pPr>
        <w:pStyle w:val="FirstParagraph"/>
      </w:pPr>
      <w:r>
        <w:t xml:space="preserve">A decision resting on second-hand facts must say so, at the point of decision — not in a footnote. Use two labels: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Verified</w:t>
      </w:r>
      <w:r>
        <w:t xml:space="preserve"> </w:t>
      </w:r>
      <w:r>
        <w:t xml:space="preserve">— checked directly this session (file read, query run, API called). Say how.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Propagated</w:t>
      </w:r>
      <w:r>
        <w:t xml:space="preserve"> </w:t>
      </w:r>
      <w:r>
        <w:t xml:space="preserve">— asserted by a document, changelog, PR body, or reviewer, and not independently checked.</w:t>
      </w:r>
    </w:p>
    <w:p>
      <w:pPr>
        <w:pStyle w:val="FirstParagraph"/>
      </w:pPr>
      <w:r>
        <w:t xml:space="preserve">“</w:t>
      </w:r>
      <w:r>
        <w:t xml:space="preserve">Files exist in the repo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verified live in the production database</w:t>
      </w:r>
      <w:r>
        <w:t xml:space="preserve">”</w:t>
      </w:r>
      <w:r>
        <w:t xml:space="preserve"> </w:t>
      </w:r>
      <w:r>
        <w:t xml:space="preserve">are different claims. Technical due diligence will separate them; so must the decision brief.</w:t>
      </w:r>
    </w:p>
    <w:bookmarkEnd w:id="34"/>
    <w:bookmarkStart w:id="35" w:name="Xb21613b220da88d97704bb035f23f0ecf591e7f"/>
    <w:p>
      <w:pPr>
        <w:pStyle w:val="Heading3"/>
      </w:pPr>
      <w:r>
        <w:t xml:space="preserve">10.5 Anchor corrections where the decision is read</w:t>
      </w:r>
    </w:p>
    <w:p>
      <w:pPr>
        <w:pStyle w:val="FirstParagraph"/>
      </w:pPr>
      <w:r>
        <w:t xml:space="preserve">When a recommendation is withdrawn or a fact corrected, the correction must live</w:t>
      </w:r>
      <w:r>
        <w:t xml:space="preserve"> </w:t>
      </w:r>
      <w:r>
        <w:rPr>
          <w:bCs/>
          <w:b/>
        </w:rPr>
        <w:t xml:space="preserve">where the next reader will look for the decision</w:t>
      </w:r>
      <w:r>
        <w:t xml:space="preserve"> </w:t>
      </w:r>
      <w:r>
        <w:t xml:space="preserve">— the standard, the KB entry, or the note that governs the work — not only in the session that made it. Corrections decay faster than the claims they corrected: a superseded recommendation can re-enter as a plan within hours, via a reviewer or a summary that read the original and missed the retraction.</w:t>
      </w:r>
    </w:p>
    <w:p>
      <w:pPr>
        <w:pStyle w:val="BodyText"/>
      </w:pPr>
      <w:r>
        <w:t xml:space="preserve">Where a reversal is load-bearing, write a</w:t>
      </w:r>
      <w:r>
        <w:t xml:space="preserve"> </w:t>
      </w:r>
      <w:r>
        <w:rPr>
          <w:bCs/>
          <w:b/>
        </w:rPr>
        <w:t xml:space="preserve">standing anti-regression note</w:t>
      </w:r>
      <w:r>
        <w:t xml:space="preserve">: state what was rejected, why, and require that any future proposal argue against that paragraph on the merits and land as a version bump.</w:t>
      </w:r>
    </w:p>
    <w:bookmarkEnd w:id="35"/>
    <w:bookmarkStart w:id="36" w:name="budget-at-most-four-per-session"/>
    <w:p>
      <w:pPr>
        <w:pStyle w:val="Heading3"/>
      </w:pPr>
      <w:r>
        <w:t xml:space="preserve">10.6 Budget: at most four per session</w:t>
      </w:r>
    </w:p>
    <w:p>
      <w:pPr>
        <w:pStyle w:val="FirstParagraph"/>
      </w:pPr>
      <w:r>
        <w:t xml:space="preserve">More than four decision points means the session did not prioritize. Rank them, present at most four, and carry the rest in the backlog with an owner. A HIC facing eleven questions answers none of them well.</w:t>
      </w:r>
    </w:p>
    <w:bookmarkEnd w:id="36"/>
    <w:bookmarkStart w:id="37" w:name="close-the-loop"/>
    <w:p>
      <w:pPr>
        <w:pStyle w:val="Heading3"/>
      </w:pPr>
      <w:r>
        <w:t xml:space="preserve">10.7 Close the loop</w:t>
      </w:r>
    </w:p>
    <w:p>
      <w:pPr>
        <w:pStyle w:val="FirstParagraph"/>
      </w:pPr>
      <w:r>
        <w:t xml:space="preserve">The HIC’s answer is itself a learning outcome. Record the decision — and the reasoning given — back into the field note or standard that raised it, so the next session inherits a decided question rather than re-litigating it. An answered question that is never written down converts back into an open one.</w:t>
      </w:r>
    </w:p>
    <w:bookmarkEnd w:id="37"/>
    <w:bookmarkStart w:id="38" w:name="anti-patterns-specific-to-decisioning"/>
    <w:p>
      <w:pPr>
        <w:pStyle w:val="Heading3"/>
      </w:pPr>
      <w:r>
        <w:t xml:space="preserve">10.8 Anti-patterns specific to decisioning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Is this ready?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Shall I proceed?</w:t>
      </w:r>
      <w:r>
        <w:rPr>
          <w:bCs/>
          <w:b/>
        </w:rPr>
        <w:t xml:space="preserve">”</w:t>
      </w:r>
      <w:r>
        <w:t xml:space="preserve"> </w:t>
      </w:r>
      <w:r>
        <w:t xml:space="preserve">— a permission request, not a decision.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Strawman options</w:t>
      </w:r>
      <w:r>
        <w:t xml:space="preserve"> </w:t>
      </w:r>
      <w:r>
        <w:t xml:space="preserve">— pairing the intended answer with an obviously bad alternative.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Scope-inflating a decision</w:t>
      </w:r>
      <w:r>
        <w:t xml:space="preserve"> </w:t>
      </w:r>
      <w:r>
        <w:t xml:space="preserve">— attaching an unrelated engineering item to a legal or strategic one (e.g. claiming a schema fix gates a contract signature). Wastes the HIC’s scarcest resource and can hand a spurious reason to delay.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invisible one-way door</w:t>
      </w:r>
      <w:r>
        <w:t xml:space="preserve"> </w:t>
      </w:r>
      <w:r>
        <w:t xml:space="preserve">— presenting an irreversible action in the same register as a reversible one.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Version 1.2 · 24.07.2026 · © Lifetime Oy — all rights reserved. Business Confidential. Registered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DWS_TRUTH_STANDARD.md</w:t>
      </w:r>
      <w:r>
        <w:rPr>
          <w:iCs/>
          <w:i/>
        </w:rPr>
        <w:t xml:space="preserve"> </w:t>
      </w:r>
      <w:r>
        <w:rPr>
          <w:iCs/>
          <w:i/>
        </w:rPr>
        <w:t xml:space="preserve">§2 row 30.</w:t>
      </w:r>
    </w:p>
    <w:bookmarkEnd w:id="38"/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2026-07-24T23:01:48Z</dcterms:created>
  <dcterms:modified xsi:type="dcterms:W3CDTF">2026-07-24T23:01:48Z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