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de57b6e6c551cc6519866cb35e71e2b098851f"/>
    <w:p>
      <w:pPr>
        <w:pStyle w:val="Heading1"/>
      </w:pPr>
      <w:r>
        <w:t xml:space="preserve">Field Note — Hybrid Attention and Constant Throughput: Why Long-Context Local Inference Changes the Agentic Cost Equation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Field Note — Technology Signal + HIC Field Measurement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Why context depth, not parameter count, is the binding constraint on local models for agentic work; what hybrid-attention architectures and RDNA-native inference engines change about that; and what it means for the DWS local tier and for risk-register item R-01. Capture and assessment only — no hardware bought, no tier re-specified, no R-01 claim made.</w:t>
      </w:r>
      <w:r>
        <w:t xml:space="preserve"> </w:t>
      </w:r>
      <w:r>
        <w:rPr>
          <w:bCs/>
          <w:b/>
        </w:rPr>
        <w:t xml:space="preserve">Ontology Tags:</w:t>
      </w:r>
      <w:r>
        <w:t xml:space="preserve"> </w:t>
      </w:r>
      <w:r>
        <w:t xml:space="preserve">Geography &gt; Global, EU-27 | Sector &gt; AI Infrastructure &gt; Local Inference, Long-Context Architectures, Non-NVIDIA Accelerators | Entities &gt; NVIDIA, Nemotron-Cascade 2, Qwen 3.6, hipfire, AMD RDNA3 / Radeon 7900 XTX, Ollama, DGX Spark GN-100, Lifetime Oy, DWS IQ | Temporal Context &gt; 2026-Q3, post-hybrid-attention | Confidence &gt; HIGH on model and engine specifications (verified §5);</w:t>
      </w:r>
      <w:r>
        <w:t xml:space="preserve"> </w:t>
      </w:r>
      <w:r>
        <w:rPr>
          <w:bCs/>
          <w:b/>
        </w:rPr>
        <w:t xml:space="preserve">HIC-REPORTED, not independently reproduced</w:t>
      </w:r>
      <w:r>
        <w:t xml:space="preserve"> </w:t>
      </w:r>
      <w:r>
        <w:t xml:space="preserve">on the 250K-depth throughput measurement</w:t>
      </w:r>
    </w:p>
    <w:bookmarkStart w:id="20" w:name="Xa683e8c32dac9a9621dac446d1befea9c54df88"/>
    <w:p>
      <w:pPr>
        <w:pStyle w:val="Heading2"/>
      </w:pPr>
      <w:r>
        <w:t xml:space="preserve">0. Attribution correction (fail loud, before anything else)</w:t>
      </w:r>
    </w:p>
    <w:p>
      <w:pPr>
        <w:pStyle w:val="FirstParagraph"/>
      </w:pPr>
      <w:r>
        <w:t xml:space="preserve">This note originates with the</w:t>
      </w:r>
      <w:r>
        <w:t xml:space="preserve"> </w:t>
      </w:r>
      <w:r>
        <w:rPr>
          <w:bCs/>
          <w:b/>
        </w:rPr>
        <w:t xml:space="preserve">HIC’s own field observation</w:t>
      </w:r>
      <w:r>
        <w:t xml:space="preserve">, not with a pre-existing DWS position. No prior DWS document, and nothing earlier in the originating session, expressed a view on</w:t>
      </w:r>
      <w:r>
        <w:t xml:space="preserve"> </w:t>
      </w:r>
      <w:r>
        <w:rPr>
          <w:rStyle w:val="VerbatimChar"/>
        </w:rPr>
        <w:t xml:space="preserve">Nemotron-Cascade-2-30B-A3B</w:t>
      </w:r>
      <w:r>
        <w:t xml:space="preserve"> </w:t>
      </w:r>
      <w:r>
        <w:t xml:space="preserve">— the repository has</w:t>
      </w:r>
      <w:r>
        <w:t xml:space="preserve"> </w:t>
      </w:r>
      <w:r>
        <w:rPr>
          <w:bCs/>
          <w:b/>
        </w:rPr>
        <w:t xml:space="preserve">no mention of it</w:t>
      </w:r>
      <w:r>
        <w:t xml:space="preserve"> </w:t>
      </w:r>
      <w:r>
        <w:t xml:space="preserve">before this note. It should not be recorded, cited, or later recalled as a DWS assessment that predates 30.07.2026. The assistant in that session had expressed no view on the model either; the sense of shared prior appreciation was not grounded in anything on record.</w:t>
      </w:r>
    </w:p>
    <w:p>
      <w:pPr>
        <w:pStyle w:val="BodyText"/>
      </w:pPr>
      <w:r>
        <w:t xml:space="preserve">What follows is therefore: the HIC’s observation, plus verification of the underlying specifications, plus DWS-side reasoning built on top. Those three layers are kept distinct throughout.</w:t>
      </w:r>
    </w:p>
    <w:bookmarkEnd w:id="20"/>
    <w:bookmarkStart w:id="21" w:name="the-observation"/>
    <w:p>
      <w:pPr>
        <w:pStyle w:val="Heading2"/>
      </w:pPr>
      <w:r>
        <w:t xml:space="preserve">1. The observation</w:t>
      </w:r>
    </w:p>
    <w:p>
      <w:pPr>
        <w:pStyle w:val="FirstParagraph"/>
      </w:pPr>
      <w:r>
        <w:t xml:space="preserve">Two claims from the HIC, both about the same underlying problem —</w:t>
      </w:r>
      <w:r>
        <w:t xml:space="preserve"> </w:t>
      </w:r>
      <w:r>
        <w:rPr>
          <w:bCs/>
          <w:b/>
        </w:rPr>
        <w:t xml:space="preserve">throughput collapse at context depth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Hybrid attention is a prerequisite for usable long context.</w:t>
      </w:r>
      <w:r>
        <w:t xml:space="preserve"> </w:t>
      </w:r>
      <w:r>
        <w:t xml:space="preserve">A 1M-token window is not usable with quadratic (N²) attention: the cost of attending over the window grows faster than any practical throughput budget, so the nominal window and the working window diverge. Models advertising large contexts without a sub-quadratic mechanism cannot exploit them.</w:t>
      </w:r>
      <w:r>
        <w:t xml:space="preserve"> </w:t>
      </w:r>
      <w:r>
        <w:rPr>
          <w:rStyle w:val="VerbatimChar"/>
        </w:rPr>
        <w:t xml:space="preserve">Nemotron-Cascade-2-30B-A3B</w:t>
      </w:r>
      <w:r>
        <w:t xml:space="preserve"> </w:t>
      </w:r>
      <w:r>
        <w:t xml:space="preserve">is the current example of the alternative — a Mamba-2 / attention hybrid where the state-space layers carry long-range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Engine matters as much as architecture.</w:t>
      </w:r>
      <w:r>
        <w:t xml:space="preserve"> </w:t>
      </w:r>
      <w:r>
        <w:t xml:space="preserve">Most local stacks degrade toward single-digit tokens/second once real context accumulates — fine for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capital of France is</w:t>
      </w:r>
      <w:r>
        <w:rPr>
          <w:iCs/>
          <w:i/>
        </w:rPr>
        <w:t xml:space="preserve">”</w:t>
      </w:r>
      <w:r>
        <w:t xml:space="preserve">, useless for agentic work.</w:t>
      </w:r>
      <w:r>
        <w:t xml:space="preserve"> </w:t>
      </w:r>
      <w:r>
        <w:rPr>
          <w:bCs/>
          <w:b/>
        </w:rPr>
        <w:t xml:space="preserve">hipfire</w:t>
      </w:r>
      <w:r>
        <w:t xml:space="preserve"> </w:t>
      </w:r>
      <w:r>
        <w:t xml:space="preserve">does not: the HIC measures</w:t>
      </w:r>
      <w:r>
        <w:t xml:space="preserve"> </w:t>
      </w:r>
      <w:r>
        <w:rPr>
          <w:bCs/>
          <w:b/>
        </w:rPr>
        <w:t xml:space="preserve">~40 tok/s on a Radeon 7900 XTX with Qwen 3.6-27B, holding roughly constant to ~250K context depth.</w:t>
      </w:r>
    </w:p>
    <w:p>
      <w:pPr>
        <w:pStyle w:val="FirstParagraph"/>
      </w:pPr>
      <w:r>
        <w:t xml:space="preserve">The underlying complaint is the important part, and it is correct:</w:t>
      </w:r>
      <w:r>
        <w:t xml:space="preserve"> </w:t>
      </w:r>
      <w:r>
        <w:rPr>
          <w:bCs/>
          <w:b/>
        </w:rPr>
        <w:t xml:space="preserve">benchmarks are quoted at shallow depth, and agents work at deep depth.</w:t>
      </w:r>
      <w:r>
        <w:t xml:space="preserve"> </w:t>
      </w:r>
      <w:r>
        <w:t xml:space="preserve">A tok/s figure measured on a 2K prompt tells you nothing about the regime where agentic work actually happens.</w:t>
      </w:r>
    </w:p>
    <w:bookmarkEnd w:id="21"/>
    <w:bookmarkStart w:id="22" w:name="X8081806930f6eeb12cb9b5f512d541f15610635"/>
    <w:p>
      <w:pPr>
        <w:pStyle w:val="Heading2"/>
      </w:pPr>
      <w:r>
        <w:t xml:space="preserve">2. Why this is the third piece of today’s harness thread</w:t>
      </w:r>
    </w:p>
    <w:p>
      <w:pPr>
        <w:pStyle w:val="FirstParagraph"/>
      </w:pPr>
      <w:r>
        <w:t xml:space="preserve">Two signals were captured earlier today. This is the piece that makes them actionable rather than merely true.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Nadella, 29.07.2026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harness</w:t>
            </w:r>
            <w:r>
              <w:t xml:space="preserve"> </w:t>
            </w:r>
            <w:r>
              <w:t xml:space="preserve">is the durable layer; memory, context and traces live outside the model, which is swappable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Composio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harness</w:t>
            </w:r>
            <w:r>
              <w:t xml:space="preserve"> </w:t>
            </w:r>
            <w:r>
              <w:t xml:space="preserve">is also where the money goes — up to 30× token spread, same model, same tasks; Claude Code at a 340k-token 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340k tokens are</w:t>
            </w:r>
            <w:r>
              <w:t xml:space="preserve"> </w:t>
            </w:r>
            <w:r>
              <w:rPr>
                <w:bCs/>
                <w:b/>
              </w:rPr>
              <w:t xml:space="preserve">context depth</w:t>
            </w:r>
            <w:r>
              <w:t xml:space="preserve">. Whether they are expensive or free depends on the architecture and engine underneath them</w:t>
            </w:r>
          </w:p>
        </w:tc>
      </w:tr>
    </w:tbl>
    <w:p>
      <w:pPr>
        <w:pStyle w:val="BodyText"/>
      </w:pPr>
      <w:r>
        <w:t xml:space="preserve">The synthesis, stated plainly:</w:t>
      </w:r>
    </w:p>
    <w:p>
      <w:pPr>
        <w:pStyle w:val="BlockText"/>
      </w:pPr>
      <w:r>
        <w:t xml:space="preserve">Agentic harnesses are context-hungry by construction. On a metered API, harness overhead is an unpredictable bill. On a local model with hybrid attention and an engine that holds throughput at depth, the same overhead becomes</w:t>
      </w:r>
      <w:r>
        <w:t xml:space="preserve"> </w:t>
      </w:r>
      <w:r>
        <w:rPr>
          <w:bCs/>
          <w:b/>
        </w:rPr>
        <w:t xml:space="preserve">latency against a bounded, dimensioned cost base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Corrected 30.07.2026 after external review: an earlier version of this line read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€0/token</w:t>
      </w:r>
      <w:r>
        <w:rPr>
          <w:iCs/>
          <w:i/>
        </w:rPr>
        <w:t xml:space="preserve">”</w:t>
      </w:r>
      <w:r>
        <w:rPr>
          <w:iCs/>
          <w:i/>
        </w:rPr>
        <w:t xml:space="preserve">. That is false — electricity, hardware amortisation, serving, maintenance and throughput capacity all remain. The defensible claim is that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unpredictable per-token API exposure is replaced by bounded sovereign compute economics</w:t>
      </w:r>
      <w:r>
        <w:rPr>
          <w:iCs/>
          <w:i/>
        </w:rPr>
        <w:t xml:space="preserve">, not that tokens are free.</w:t>
      </w:r>
    </w:p>
    <w:p>
      <w:pPr>
        <w:pStyle w:val="BodyText"/>
      </w:pPr>
      <w:r>
        <w:t xml:space="preserve">This is the mechanism that makes the ollama-boss architecture’s local tiers viable for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agentic work rather than only for shallow classification. The T0/T1 tiers there (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workers,</w:t>
      </w:r>
      <w:r>
        <w:t xml:space="preserve"> </w:t>
      </w:r>
      <w:r>
        <w:rPr>
          <w:rStyle w:val="VerbatimChar"/>
        </w:rPr>
        <w:t xml:space="preserve">qwen2.5:72b</w:t>
      </w:r>
      <w:r>
        <w:t xml:space="preserve"> </w:t>
      </w:r>
      <w:r>
        <w:t xml:space="preserve">boss) were specified for</w:t>
      </w:r>
      <w:r>
        <w:t xml:space="preserve"> </w:t>
      </w:r>
      <w:r>
        <w:rPr>
          <w:bCs/>
          <w:b/>
        </w:rPr>
        <w:t xml:space="preserve">volume</w:t>
      </w:r>
      <w:r>
        <w:t xml:space="preserve">, not for</w:t>
      </w:r>
      <w:r>
        <w:t xml:space="preserve"> </w:t>
      </w:r>
      <w:r>
        <w:rPr>
          <w:bCs/>
          <w:b/>
        </w:rPr>
        <w:t xml:space="preserve">depth</w:t>
      </w:r>
      <w:r>
        <w:t xml:space="preserve"> </w:t>
      </w:r>
      <w:r>
        <w:t xml:space="preserve">— and the note’s own §4 finding was that the expensive part is</w:t>
      </w:r>
      <w:r>
        <w:t xml:space="preserve"> </w:t>
      </w:r>
      <w:r>
        <w:rPr>
          <w:iCs/>
          <w:i/>
        </w:rPr>
        <w:t xml:space="preserve">the orchestrator’s own accumulating context</w:t>
      </w:r>
      <w:r>
        <w:t xml:space="preserve">. A hybrid-attention model with constant throughput at depth attacks exactly that cost term. It is the local-tier answer to a problem that note identified and could not solve with the models it specified.</w:t>
      </w:r>
    </w:p>
    <w:p>
      <w:pPr>
        <w:pStyle w:val="BodyText"/>
      </w:pPr>
      <w:r>
        <w:rPr>
          <w:bCs/>
          <w:b/>
        </w:rPr>
        <w:t xml:space="preserve">Corollary for the T1 boss slot:</w:t>
      </w:r>
      <w:r>
        <w:t xml:space="preserve"> </w:t>
      </w:r>
      <w:r>
        <w:t xml:space="preserve">an orchestrator’s job is precisely to hold a long, accumulating context. A 72B dense model with no external per-token bill that collapses to single digits at depth is a worse orchestrator than a 30B-A3B hybrid that holds 40 tok/s — and the hybrid also fits far more comfortably in the GN-100’s unified memory. This is not a recommendation to re-spec the tier; it is the observation that the tier was chosen on the wrong axis.</w:t>
      </w:r>
    </w:p>
    <w:bookmarkEnd w:id="22"/>
    <w:bookmarkStart w:id="23" w:name="Xe935713d41a6a6c65a486609ad185fa9fbfdf0a"/>
    <w:p>
      <w:pPr>
        <w:pStyle w:val="Heading2"/>
      </w:pPr>
      <w:r>
        <w:t xml:space="preserve">3. What the specifications support (verified — see §5)</w:t>
      </w:r>
    </w:p>
    <w:p>
      <w:pPr>
        <w:pStyle w:val="FirstParagraph"/>
      </w:pPr>
      <w:r>
        <w:rPr>
          <w:rStyle w:val="VerbatimChar"/>
        </w:rPr>
        <w:t xml:space="preserve">Nemotron-Cascade-2-30B-A3B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30B total / ~3B activated</w:t>
      </w:r>
      <w:r>
        <w:t xml:space="preserve"> </w:t>
      </w:r>
      <w:r>
        <w:t xml:space="preserve">MoE, built on the Nemotron-3-Nano-30B-A3B base — a</w:t>
      </w:r>
      <w:r>
        <w:t xml:space="preserve"> </w:t>
      </w:r>
      <w:r>
        <w:rPr>
          <w:bCs/>
          <w:b/>
        </w:rPr>
        <w:t xml:space="preserve">hybrid mixing Mamba-2 state-space layers with standard attention layers</w:t>
      </w:r>
      <w:r>
        <w:t xml:space="preserve">. The Mamba layers are what make the window economically usable, which is precisely the HIC’s point.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1M-token context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Reported to</w:t>
      </w:r>
      <w:r>
        <w:t xml:space="preserve"> </w:t>
      </w:r>
      <w:r>
        <w:rPr>
          <w:bCs/>
          <w:b/>
        </w:rPr>
        <w:t xml:space="preserve">fit 24 GB VRAM at Q4</w:t>
      </w:r>
      <w:r>
        <w:t xml:space="preserve">, and to beat NVIDIA’s own ~120B Nemotron-3-Super on coding and instruction-following; gold-medal claims on IMO/IOI 2025.</w:t>
      </w:r>
    </w:p>
    <w:p>
      <w:pPr>
        <w:numPr>
          <w:ilvl w:val="0"/>
          <w:numId w:val="1002"/>
        </w:numPr>
        <w:pStyle w:val="Compact"/>
      </w:pPr>
      <w:r>
        <w:t xml:space="preserve">Thinking and instruct modes.</w:t>
      </w:r>
    </w:p>
    <w:p>
      <w:pPr>
        <w:pStyle w:val="FirstParagraph"/>
      </w:pPr>
      <w:r>
        <w:rPr>
          <w:rStyle w:val="VerbatimChar"/>
        </w:rPr>
        <w:t xml:space="preserve">hipfire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Rust + HIP inference engine for AMD consumer GPUs (RDNA1–RDNA4)</w:t>
      </w:r>
      <w:r>
        <w:t xml:space="preserve"> </w:t>
      </w:r>
      <w:r>
        <w:t xml:space="preserve">— a Rust orchestrator that dlopens</w:t>
      </w:r>
      <w:r>
        <w:t xml:space="preserve"> </w:t>
      </w:r>
      <w:r>
        <w:rPr>
          <w:rStyle w:val="VerbatimChar"/>
        </w:rPr>
        <w:t xml:space="preserve">libamdhip64.so</w:t>
      </w:r>
      <w:r>
        <w:t xml:space="preserve"> </w:t>
      </w:r>
      <w:r>
        <w:t xml:space="preserve">directly, with in-tree HIP C++ kernels tuned per chip. Published at</w:t>
      </w:r>
      <w:r>
        <w:t xml:space="preserve"> </w:t>
      </w:r>
      <w:r>
        <w:rPr>
          <w:rStyle w:val="VerbatimChar"/>
        </w:rPr>
        <w:t xml:space="preserve">hipfire.dev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Publishes</w:t>
      </w:r>
      <w:r>
        <w:t xml:space="preserve"> </w:t>
      </w:r>
      <w:r>
        <w:rPr>
          <w:bCs/>
          <w:b/>
        </w:rPr>
        <w:t xml:space="preserve">~44 tok/s for Qwen 3.6-27B on the 7900 XTX</w:t>
      </w:r>
      <w:r>
        <w:t xml:space="preserve"> </w:t>
      </w:r>
      <w:r>
        <w:t xml:space="preserve">in plain autoregressive decode, and ~185 tok/s on code prompts via its</w:t>
      </w:r>
      <w:r>
        <w:t xml:space="preserve"> </w:t>
      </w:r>
      <w:r>
        <w:t xml:space="preserve">“</w:t>
      </w:r>
      <w:r>
        <w:t xml:space="preserve">DFlash</w:t>
      </w:r>
      <w:r>
        <w:t xml:space="preserve">”</w:t>
      </w:r>
      <w:r>
        <w:t xml:space="preserve"> </w:t>
      </w:r>
      <w:r>
        <w:t xml:space="preserve">speculative-decode path. The HIC’s ~40 tok/s is consistent with the published autoregressive figure.</w:t>
      </w:r>
    </w:p>
    <w:p>
      <w:pPr>
        <w:pStyle w:val="FirstParagraph"/>
      </w:pPr>
      <w:r>
        <w:rPr>
          <w:bCs/>
          <w:b/>
        </w:rPr>
        <w:t xml:space="preserve">The 24 GB fit is the strategically interesting number.</w:t>
      </w:r>
      <w:r>
        <w:t xml:space="preserve"> </w:t>
      </w:r>
      <w:r>
        <w:t xml:space="preserve">A 1M-context hybrid that runs on a single consumer-class card is not a datacentre proposition — it is a sovereign-edge one, and it sits squarely in the</w:t>
      </w:r>
      <w:r>
        <w:t xml:space="preserve"> </w:t>
      </w:r>
      <w:r>
        <w:t xml:space="preserve">“</w:t>
      </w:r>
      <w:r>
        <w:t xml:space="preserve">adopt the base, own the loop</w:t>
      </w:r>
      <w:r>
        <w:t xml:space="preserve">”</w:t>
      </w:r>
      <w:r>
        <w:t xml:space="preserve"> </w:t>
      </w:r>
      <w:r>
        <w:t xml:space="preserve">posture (</w:t>
      </w:r>
      <w:r>
        <w:rPr>
          <w:rStyle w:val="VerbatimChar"/>
        </w:rPr>
        <w:t xml:space="preserve">kb/wiki/concepts/adopt-the-base-own-the-loop.md</w:t>
      </w:r>
      <w:r>
        <w:t xml:space="preserve">).</w:t>
      </w:r>
    </w:p>
    <w:bookmarkEnd w:id="23"/>
    <w:bookmarkStart w:id="24" w:name="r-01-what-this-does-and-does-not-do"/>
    <w:p>
      <w:pPr>
        <w:pStyle w:val="Heading2"/>
      </w:pPr>
      <w:r>
        <w:t xml:space="preserve">4. R-01 — what this does and does not do</w:t>
      </w:r>
    </w:p>
    <w:p>
      <w:pPr>
        <w:pStyle w:val="FirstParagraph"/>
      </w:pPr>
      <w:r>
        <w:rPr>
          <w:rStyle w:val="VerbatimChar"/>
        </w:rPr>
        <w:t xml:space="preserve">docs/risk-register/DWS_PRODUCT_RISK_REGISTER.md</w:t>
      </w:r>
      <w:r>
        <w:t xml:space="preserve"> </w:t>
      </w:r>
      <w:r>
        <w:rPr>
          <w:bCs/>
          <w:b/>
        </w:rPr>
        <w:t xml:space="preserve">R-01</w:t>
      </w:r>
      <w:r>
        <w:t xml:space="preserve"> </w:t>
      </w:r>
      <w:r>
        <w:t xml:space="preserve">(compute-layer supply concentration on NVIDIA) is the register’s</w:t>
      </w:r>
      <w:r>
        <w:t xml:space="preserve"> </w:t>
      </w:r>
      <w:r>
        <w:rPr>
          <w:bCs/>
          <w:b/>
        </w:rPr>
        <w:t xml:space="preserve">top open action</w:t>
      </w:r>
      <w:r>
        <w:t xml:space="preserve">, status</w:t>
      </w:r>
      <w:r>
        <w:t xml:space="preserve"> </w:t>
      </w:r>
      <w:r>
        <w:rPr>
          <w:bCs/>
          <w:b/>
        </w:rPr>
        <w:t xml:space="preserve">NOT YET EXERCISED</w:t>
      </w:r>
      <w:r>
        <w:t xml:space="preserve">, with the mitigation specified as:</w:t>
      </w:r>
      <w:r>
        <w:t xml:space="preserve"> </w:t>
      </w:r>
      <w:r>
        <w:rPr>
          <w:iCs/>
          <w:i/>
        </w:rPr>
        <w:t xml:space="preserve">one open model + one workload runnable on a non-NVIDIA accelerator at testbed scale — AMD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Instinct MI300</w:t>
      </w:r>
      <w:r>
        <w:rPr>
          <w:iCs/>
          <w:i/>
        </w:rPr>
        <w:t xml:space="preserve"> </w:t>
      </w:r>
      <w:r>
        <w:rPr>
          <w:iCs/>
          <w:i/>
        </w:rPr>
        <w:t xml:space="preserve">(ROCm + vLLM) 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Intel Gaudi 3</w:t>
      </w:r>
      <w:r>
        <w:rPr>
          <w:iCs/>
          <w:i/>
        </w:rPr>
        <w:t xml:space="preserve"> </w:t>
      </w:r>
      <w:r>
        <w:rPr>
          <w:iCs/>
          <w:i/>
        </w:rPr>
        <w:t xml:space="preserve">(SynapseAI).</w:t>
      </w:r>
    </w:p>
    <w:p>
      <w:pPr>
        <w:pStyle w:val="BodyText"/>
      </w:pPr>
      <w:r>
        <w:rPr>
          <w:bCs/>
          <w:b/>
        </w:rPr>
        <w:t xml:space="preserve">Precision matters here, so state it as a boundary, not a headline: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This does not close R-01.</w:t>
      </w:r>
      <w:r>
        <w:t xml:space="preserve"> </w:t>
      </w:r>
      <w:r>
        <w:t xml:space="preserve">hipfire is</w:t>
      </w:r>
      <w:r>
        <w:t xml:space="preserve"> </w:t>
      </w:r>
      <w:r>
        <w:rPr>
          <w:bCs/>
          <w:b/>
        </w:rPr>
        <w:t xml:space="preserve">RDNA-native — consumer graphics silicon</w:t>
      </w:r>
      <w:r>
        <w:t xml:space="preserve">. The register names</w:t>
      </w:r>
      <w:r>
        <w:t xml:space="preserve"> </w:t>
      </w:r>
      <w:r>
        <w:rPr>
          <w:bCs/>
          <w:b/>
        </w:rPr>
        <w:t xml:space="preserve">CDNA / Instinct MI300</w:t>
      </w:r>
      <w:r>
        <w:t xml:space="preserve">, a different architecture with a different software path. A working RDNA3 inference stack is not the specified testbed and must not be reported as one.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It is real evidence that the non-NVIDIA path is not theoretical.</w:t>
      </w:r>
      <w:r>
        <w:t xml:space="preserve"> </w:t>
      </w:r>
      <w:r>
        <w:t xml:space="preserve">R-01’s own framing is that</w:t>
      </w:r>
      <w:r>
        <w:t xml:space="preserve"> </w:t>
      </w:r>
      <w:r>
        <w:t xml:space="preserve">“</w:t>
      </w:r>
      <w:r>
        <w:t xml:space="preserve">a dependency is managed when the exit is demonstrated; it is lock-in when the exit is only asserted.</w:t>
      </w:r>
      <w:r>
        <w:t xml:space="preserve">”</w:t>
      </w:r>
      <w:r>
        <w:t xml:space="preserve"> </w:t>
      </w:r>
      <w:r>
        <w:t xml:space="preserve">A maintained AMD inference workload — even on consumer RDNA — moves the exit from</w:t>
      </w:r>
      <w:r>
        <w:t xml:space="preserve"> </w:t>
      </w:r>
      <w:r>
        <w:rPr>
          <w:iCs/>
          <w:i/>
        </w:rPr>
        <w:t xml:space="preserve">asserted</w:t>
      </w:r>
      <w:r>
        <w:t xml:space="preserve"> </w:t>
      </w:r>
      <w:r>
        <w:t xml:space="preserve">toward</w:t>
      </w:r>
      <w:r>
        <w:t xml:space="preserve"> </w:t>
      </w:r>
      <w:r>
        <w:rPr>
          <w:iCs/>
          <w:i/>
        </w:rPr>
        <w:t xml:space="preserve">demonstrated</w:t>
      </w:r>
      <w:r>
        <w:t xml:space="preserve">, and it does so at roughly the cost of one GPU rather than one datacentre accelerator.</w:t>
      </w:r>
    </w:p>
    <w:p>
      <w:pPr>
        <w:numPr>
          <w:ilvl w:val="0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It suggests a cheaper first increment</w:t>
      </w:r>
      <w:r>
        <w:t xml:space="preserve"> </w:t>
      </w:r>
      <w:r>
        <w:t xml:space="preserve">than the register currently contemplates: exercise the port on RDNA3 first to find the real breakages, then decide whether MI300 is required. That is a proposal for the HIC, not a change to the register — the register is not edited by this note.</w:t>
      </w:r>
    </w:p>
    <w:bookmarkEnd w:id="24"/>
    <w:bookmarkStart w:id="25" w:name="verification-note-fail-loud"/>
    <w:p>
      <w:pPr>
        <w:pStyle w:val="Heading2"/>
      </w:pPr>
      <w:r>
        <w:t xml:space="preserve">5. Verification note (fail loud)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Nemotron-Cascade-2-30B-A3B</w:t>
            </w:r>
            <w:r>
              <w:t xml:space="preserve"> </w:t>
            </w:r>
            <w:r>
              <w:t xml:space="preserve">exists; 30B MoE / ~3B active; 1M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  <w:r>
              <w:t xml:space="preserve"> </w:t>
            </w:r>
            <w:r>
              <w:t xml:space="preserve">— NVIDIA model card + NVIDIA Nemotron research page (Cascade 2, 16.03.2026)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architecture: Mamba-2 state-space + attention layers, from the Nemotron-3-Nano-30B-A3B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Fits 24 GB at Q4; beats Nemotron-3-Super 120B on coding/instruction-following; IMO/IOI 2025 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REPORTED</w:t>
            </w:r>
            <w:r>
              <w:t xml:space="preserve"> </w:t>
            </w:r>
            <w:r>
              <w:t xml:space="preserve">by NVIDIA and secondary coverage — vendor benchmark claims, not independently verified. Do not restate as measured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hipfire</w:t>
            </w:r>
            <w:r>
              <w:t xml:space="preserve"> </w:t>
            </w:r>
            <w:r>
              <w:t xml:space="preserve">exists; Rust + HIP; RDNA1–RDNA4;</w:t>
            </w:r>
            <w:r>
              <w:t xml:space="preserve"> </w:t>
            </w:r>
            <w:r>
              <w:rPr>
                <w:rStyle w:val="VerbatimChar"/>
              </w:rPr>
              <w:t xml:space="preserve">hipfire.dev</w:t>
            </w:r>
            <w:r>
              <w:t xml:space="preserve"> </w:t>
            </w:r>
            <w:r>
              <w:t xml:space="preserve">+ public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~44 tok/s Qwen 3.6-27B on 7900 XTX (autoregressive); ~185 tok/s with DFlash speculative decode on code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as hipfire’s published figures</w:t>
            </w:r>
            <w:r>
              <w:t xml:space="preserve"> </w:t>
            </w:r>
            <w:r>
              <w:t xml:space="preserve">— project’s own numbers, context depth not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~40 tok/s held roughly constant to ~250K context depth on a 7900 XTX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HIC FIELD MEASUREMENT — not independently reproduced.</w:t>
            </w:r>
            <w:r>
              <w:t xml:space="preserve"> </w:t>
            </w:r>
            <w:r>
              <w:t xml:space="preserve">No public benchmark corroborating constant throughput at that depth was found. Consistent with the published shallow figure and with what a hybrid/RDNA-tuned path should do, but it is one operator, one machine, one configuration.</w:t>
            </w:r>
            <w:r>
              <w:t xml:space="preserve"> </w:t>
            </w:r>
            <w:r>
              <w:rPr>
                <w:bCs/>
                <w:b/>
              </w:rPr>
              <w:t xml:space="preserve">This is the load-bearing claim of the note and it is the least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1M context is a must for agent work</w:t>
            </w:r>
            <w:r>
              <w:t xml:space="preserve">”</w:t>
            </w:r>
            <w:r>
              <w:t xml:space="preserve">; N² attention cannot exploit large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HIC POSITION</w:t>
            </w:r>
            <w:r>
              <w:t xml:space="preserve">, well-founded in the architecture and consistent with why hybrids exist. Stated as reasoning, not as a benchmarked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 held a prior view on Nemotron-Cascade-2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  <w:r>
              <w:t xml:space="preserve"> </w:t>
            </w:r>
            <w:r>
              <w:t xml:space="preserve">— no repository mention before this note. See 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exercises 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RDNA3 consumer ≠ Instinct MI300 / Gaudi 3. See §4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one measurement worth reproducing:</w:t>
      </w:r>
      <w:r>
        <w:t xml:space="preserve"> </w:t>
      </w:r>
      <w:r>
        <w:t xml:space="preserve">the 250K-depth throughput curve. If it holds on a second machine, it is the strongest available argument for a sovereign local orchestrator tier. Until then it is a promising single data point, and this note does not spend it as more than that.</w:t>
      </w:r>
    </w:p>
    <w:bookmarkEnd w:id="25"/>
    <w:bookmarkStart w:id="26" w:name="the-five-step-learning-standard-record"/>
    <w:p>
      <w:pPr>
        <w:pStyle w:val="Heading2"/>
      </w:pPr>
      <w:r>
        <w:t xml:space="preserve">6. The five-step Learning Standard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316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kb/raw/signals/2026-07-30-hybrid-attention-long-context-local-inference.md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Learn/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Learn/2026-07-30-hybrid-attention-long-context-local-inference.html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2026 DWS6</w:t>
            </w:r>
            <w:r>
              <w:t xml:space="preserve"> </w:t>
            </w:r>
            <w:r>
              <w:t xml:space="preserve">folder —</w:t>
            </w:r>
            <w:r>
              <w:t xml:space="preserve"> </w:t>
            </w:r>
            <w:r>
              <w:rPr>
                <w:rStyle w:val="VerbatimChar"/>
              </w:rPr>
              <w:t xml:space="preserve">docs.google.com/document/d/1o9rdxIBAtvwsmt43Eum66nchTKVK5b8ZPJ9bTjal0NQ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HIC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§7, session reply, and</w:t>
            </w:r>
            <w:r>
              <w:t xml:space="preserve"> </w:t>
            </w:r>
            <w:r>
              <w:rPr>
                <w:rStyle w:val="VerbatimChar"/>
              </w:rPr>
              <w:t xml:space="preserve">.claude/handoffs/claude/enterprise-ai-harness-0anl7s.md</w:t>
            </w:r>
          </w:p>
        </w:tc>
      </w:tr>
    </w:tbl>
    <w:bookmarkEnd w:id="26"/>
    <w:bookmarkStart w:id="28" w:name="next-steps-and-the-hic-question"/>
    <w:p>
      <w:pPr>
        <w:pStyle w:val="Heading2"/>
      </w:pPr>
      <w:r>
        <w:t xml:space="preserve">7. Next steps and the HIC question</w:t>
      </w:r>
    </w:p>
    <w:p>
      <w:pPr>
        <w:pStyle w:val="FirstParagraph"/>
      </w:pPr>
      <w:r>
        <w:rPr>
          <w:bCs/>
          <w:b/>
        </w:rPr>
        <w:t xml:space="preserve">Routed, not executed:</w:t>
      </w:r>
      <w:r>
        <w:t xml:space="preserve"> </w:t>
      </w:r>
      <w:r>
        <w:t xml:space="preserve">no tier re-specification in</w:t>
      </w:r>
      <w:r>
        <w:t xml:space="preserve"> </w:t>
      </w:r>
      <w:r>
        <w:rPr>
          <w:rStyle w:val="VerbatimChar"/>
        </w:rPr>
        <w:t xml:space="preserve">src/agents/model-selector.ts</w:t>
      </w:r>
      <w:r>
        <w:t xml:space="preserve">; no edit to the ollama-boss note’s T0/T1 table; no change to the risk register; no hardware decision; no thesis edit.</w:t>
      </w:r>
      <w:r>
        <w:t xml:space="preserve"> </w:t>
      </w:r>
      <w:r>
        <w:rPr>
          <w:rStyle w:val="VerbatimChar"/>
        </w:rPr>
        <w:t xml:space="preserve">/truth-check</w:t>
      </w:r>
      <w:r>
        <w:t xml:space="preserve"> </w:t>
      </w:r>
      <w:r>
        <w:t xml:space="preserve">before any external use of the 24 GB or</w:t>
      </w:r>
      <w:r>
        <w:t xml:space="preserve"> </w:t>
      </w:r>
      <w:r>
        <w:t xml:space="preserve">“</w:t>
      </w:r>
      <w:r>
        <w:t xml:space="preserve">beats 120B</w:t>
      </w:r>
      <w:r>
        <w:t xml:space="preserve">”</w:t>
      </w:r>
      <w:r>
        <w:t xml:space="preserve"> </w:t>
      </w:r>
      <w:r>
        <w:t xml:space="preserve">figures — they are vendor claims.</w:t>
      </w:r>
    </w:p>
    <w:bookmarkStart w:id="27" w:name="X0f904fed17943f32c7eda98943820956407d805"/>
    <w:p>
      <w:pPr>
        <w:pStyle w:val="Heading3"/>
      </w:pPr>
      <w:r>
        <w:t xml:space="preserve">HIC question (EU AI Act Art. 14 intervention point)</w:t>
      </w:r>
    </w:p>
    <w:p>
      <w:pPr>
        <w:pStyle w:val="FirstParagraph"/>
      </w:pPr>
      <w:r>
        <w:rPr>
          <w:bCs/>
          <w:b/>
        </w:rPr>
        <w:t xml:space="preserve">Q1. The local tier was specified on volume; this says the binding constraint is depth. Do we re-test it — and on which axis?</w:t>
      </w:r>
    </w:p>
    <w:p>
      <w:pPr>
        <w:pStyle w:val="BodyText"/>
      </w:pPr>
      <w:r>
        <w:rPr>
          <w:bCs/>
          <w:b/>
        </w:rPr>
        <w:t xml:space="preserve">Options: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Reproduce the depth curve first.</w:t>
      </w:r>
      <w:r>
        <w:t xml:space="preserve"> </w:t>
      </w:r>
      <w:r>
        <w:t xml:space="preserve">Run one throughput-vs-context-depth measurement (shallow → 250K) for</w:t>
      </w:r>
      <w:r>
        <w:t xml:space="preserve"> </w:t>
      </w:r>
      <w:r>
        <w:rPr>
          <w:rStyle w:val="VerbatimChar"/>
        </w:rPr>
        <w:t xml:space="preserve">Nemotron-Cascade-2-30B-A3B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DGX Spark GN-100</w:t>
      </w:r>
      <w:r>
        <w:t xml:space="preserve"> </w:t>
      </w:r>
      <w:r>
        <w:t xml:space="preserve">— the box DWS actually owns — before any claim or purchase. Answers the T1-orchestrator question with DWS’s own number instead of a vendor’s or a single operator’s.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Treat it as the R-01 first increment.</w:t>
      </w:r>
      <w:r>
        <w:t xml:space="preserve"> </w:t>
      </w:r>
      <w:r>
        <w:t xml:space="preserve">Stand the workload up on</w:t>
      </w:r>
      <w:r>
        <w:t xml:space="preserve"> </w:t>
      </w:r>
      <w:r>
        <w:rPr>
          <w:bCs/>
          <w:b/>
        </w:rPr>
        <w:t xml:space="preserve">AMD RDNA3 + hipfire</w:t>
      </w:r>
      <w:r>
        <w:t xml:space="preserve"> </w:t>
      </w:r>
      <w:r>
        <w:t xml:space="preserve">as a cheap exit-demonstration, accepting that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MI300/Gaudi 3 testbed the register specifies and cannot be reported as closing R-01.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Note and hold.</w:t>
      </w:r>
      <w:r>
        <w:t xml:space="preserve"> </w:t>
      </w:r>
      <w:r>
        <w:t xml:space="preserve">Record the observation, change nothing until the local tier actually blocks on depth in production.</w:t>
      </w:r>
    </w:p>
    <w:p>
      <w:pPr>
        <w:pStyle w:val="FirstParagraph"/>
      </w:pPr>
      <w:r>
        <w:rPr>
          <w:bCs/>
          <w:b/>
        </w:rPr>
        <w:t xml:space="preserve">(RECOMMEND: 1.</w:t>
      </w:r>
      <w:r>
        <w:t xml:space="preserve"> </w:t>
      </w:r>
      <w:r>
        <w:t xml:space="preserve">It is the cheapest, it uses hardware already owned, and it produces the one number that both other options depend on — a DWS-measured depth curve. Option 2 is attractive but answers a</w:t>
      </w:r>
      <w:r>
        <w:t xml:space="preserve"> </w:t>
      </w:r>
      <w:r>
        <w:rPr>
          <w:iCs/>
          <w:i/>
        </w:rPr>
        <w:t xml:space="preserve">sovereignty</w:t>
      </w:r>
      <w:r>
        <w:t xml:space="preserve"> </w:t>
      </w:r>
      <w:r>
        <w:t xml:space="preserve">question with a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experiment, and doing them in one step would confound both; R-01 still needs its own decision. Option 3 is defensible only if the local tier is not on the critical path, and the ollama-boss note’s §4 finding suggests it is.)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Reversibility:</w:t>
      </w:r>
      <w:r>
        <w:t xml:space="preserve"> </w:t>
      </w:r>
      <w:r>
        <w:t xml:space="preserve">two-way door for all three; option 1 is a measurement, not a commitment.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Unblocks:</w:t>
      </w:r>
      <w:r>
        <w:t xml:space="preserve"> </w:t>
      </w:r>
      <w:r>
        <w:t xml:space="preserve">whether the T1 boss slot should be a hybrid rather than a dense 72B; whether R-01’s mitigation can start cheaper than MI300; a defensible depth figure for the PhD’s sovereign-inference argument.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of delay:</w:t>
      </w:r>
      <w:r>
        <w:t xml:space="preserve"> </w:t>
      </w:r>
      <w:r>
        <w:t xml:space="preserve">low and non-compounding — the models and engine are open and will still be there. The risk is the opposite one: acting on a single unreproduced measurement.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Rests on: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for the model and engine specifications (§5);</w:t>
      </w:r>
      <w:r>
        <w:t xml:space="preserve"> </w:t>
      </w:r>
      <w:r>
        <w:rPr>
          <w:bCs/>
          <w:b/>
        </w:rPr>
        <w:t xml:space="preserve">HIC-reported, unreproduced</w:t>
      </w:r>
      <w:r>
        <w:t xml:space="preserve"> </w:t>
      </w:r>
      <w:r>
        <w:t xml:space="preserve">for the 250K-depth curve — which is exactly why option 1 is to measure it rather than to build on it.</w:t>
      </w:r>
    </w:p>
    <w:bookmarkEnd w:id="27"/>
    <w:bookmarkEnd w:id="28"/>
    <w:bookmarkStart w:id="29" w:name="references"/>
    <w:p>
      <w:pPr>
        <w:pStyle w:val="Heading2"/>
      </w:pPr>
      <w:r>
        <w:t xml:space="preserve">8. References</w:t>
      </w:r>
    </w:p>
    <w:p>
      <w:pPr>
        <w:pStyle w:val="FirstParagraph"/>
      </w:pPr>
      <w:r>
        <w:rPr>
          <w:bCs/>
          <w:b/>
        </w:rPr>
        <w:t xml:space="preserve">Primary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nvidia/Nemotron-Cascade-2-30B-A3B</w:t>
      </w:r>
      <w:r>
        <w:t xml:space="preserve"> </w:t>
      </w:r>
      <w:r>
        <w:t xml:space="preserve">— Hugging Face model card</w:t>
      </w:r>
    </w:p>
    <w:p>
      <w:pPr>
        <w:numPr>
          <w:ilvl w:val="0"/>
          <w:numId w:val="1007"/>
        </w:numPr>
        <w:pStyle w:val="Compact"/>
      </w:pPr>
      <w:r>
        <w:t xml:space="preserve">NVIDIA Nemotron research,</w:t>
      </w:r>
      <w:r>
        <w:t xml:space="preserve"> </w:t>
      </w:r>
      <w:r>
        <w:t xml:space="preserve">“</w:t>
      </w:r>
      <w:r>
        <w:t xml:space="preserve">Nemotron-Cascade 2: Post-Training LLMs with Cascade RL and Multi-Domain On-Policy Distillation</w:t>
      </w:r>
      <w:r>
        <w:t xml:space="preserve">”</w:t>
      </w:r>
      <w:r>
        <w:t xml:space="preserve"> </w:t>
      </w:r>
      <w:r>
        <w:t xml:space="preserve">(16.03.2026) —</w:t>
      </w:r>
      <w:r>
        <w:t xml:space="preserve"> </w:t>
      </w:r>
      <w:r>
        <w:rPr>
          <w:rStyle w:val="VerbatimChar"/>
        </w:rPr>
        <w:t xml:space="preserve">research.nvidia.com/labs/nemotron/nemotron-cascade-2/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hipfire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https://hipfire.dev/</w:t>
      </w:r>
      <w:r>
        <w:t xml:space="preserve"> </w:t>
      </w:r>
      <w:r>
        <w:t xml:space="preserve">and the public repository (Rust + HIP, RDNA1–RDNA4)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schuttdev/hipfire-qwen3.6-27b</w:t>
      </w:r>
      <w:r>
        <w:t xml:space="preserve"> </w:t>
      </w:r>
      <w:r>
        <w:t xml:space="preserve">— Hugging Face</w:t>
      </w:r>
    </w:p>
    <w:p>
      <w:pPr>
        <w:numPr>
          <w:ilvl w:val="0"/>
          <w:numId w:val="1007"/>
        </w:numPr>
        <w:pStyle w:val="Compact"/>
      </w:pPr>
      <w:r>
        <w:t xml:space="preserve">Level1Techs,</w:t>
      </w:r>
      <w:r>
        <w:t xml:space="preserve"> </w:t>
      </w:r>
      <w:r>
        <w:t xml:space="preserve">“</w:t>
      </w:r>
      <w:r>
        <w:t xml:space="preserve">7900xtx LLM inference notes</w:t>
      </w:r>
      <w:r>
        <w:t xml:space="preserve">”</w:t>
      </w:r>
      <w:r>
        <w:t xml:space="preserve"> </w:t>
      </w:r>
      <w:r>
        <w:t xml:space="preserve">— community measurements</w:t>
      </w:r>
    </w:p>
    <w:p>
      <w:pPr>
        <w:pStyle w:val="FirstParagraph"/>
      </w:pPr>
      <w:r>
        <w:rPr>
          <w:bCs/>
          <w:b/>
        </w:rPr>
        <w:t xml:space="preserve">DWS internal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docs/field-notes/2026-07-30-composio-harness-token-efficiency-benchmark.md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docs/field-notes/2026-07-30-nadella-harness-model-swappability-signal.md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docs/field-notes/2026-07-26-ollama-boss-cost-architecture.md</w:t>
      </w:r>
      <w:r>
        <w:t xml:space="preserve"> </w:t>
      </w:r>
      <w:r>
        <w:t xml:space="preserve">— T0/T1 tiers, §4 accumulating-context finding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docs/field-notes/2026-03-26-best-local-models-by-ram-tier.md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docs/risk-register/DWS_PRODUCT_RISK_REGISTER.md</w:t>
      </w:r>
      <w:r>
        <w:t xml:space="preserve"> </w:t>
      </w:r>
      <w:r>
        <w:t xml:space="preserve">— R-01, R-03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kb/wiki/concepts/harness-cost-is-a-pl-line-item.md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kb/wiki/concepts/adopt-the-base-own-the-loop.md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src/agents/model-selector.ts</w:t>
      </w:r>
      <w:r>
        <w:t xml:space="preserve"> </w:t>
      </w:r>
      <w:r>
        <w:t xml:space="preserve">— LITE/HEAVY split and per-model cost fields</w:t>
      </w:r>
      <w:r>
        <w:t xml:space="preserve"> </w:t>
      </w:r>
      <w:r>
        <w:rPr>
          <w:iCs/>
          <w:i/>
        </w:rPr>
        <w:t xml:space="preserve">(DWS internal)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follows DWS Document Standard, DWS Market Research Standard §8.3, and DWS Learning Standard (EU AI Act Article 14).</w:t>
      </w:r>
      <w:r>
        <w:t xml:space="preserve"> </w:t>
      </w:r>
      <w:r>
        <w:rPr>
          <w:iCs/>
          <w:i/>
        </w:rPr>
        <w:t xml:space="preserve">Ontology: AI Infrastructure &gt; Local Inference &gt; Long-Context Architectures &gt; Throughput at Depth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2026-07-30T18:59:56Z</dcterms:created>
  <dcterms:modified xsi:type="dcterms:W3CDTF">2026-07-30T18:59:56Z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