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d4e600638db5469d7523e45619d1929af9c0d5c"/>
    <w:p>
      <w:pPr>
        <w:pStyle w:val="Heading1"/>
      </w:pPr>
      <w:r>
        <w:t xml:space="preserve">Crypto Review — PR #1716 (KYA v2.0 Verified-Done Attestation Signing)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2026-07-24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Reviewer:</w:t>
      </w:r>
      <w:r>
        <w:t xml:space="preserve"> </w:t>
      </w:r>
      <w:r>
        <w:t xml:space="preserve">Claude Code (Opus 5), session</w:t>
      </w:r>
      <w:r>
        <w:t xml:space="preserve"> </w:t>
      </w:r>
      <w:r>
        <w:rPr>
          <w:rStyle w:val="VerbatimChar"/>
        </w:rPr>
        <w:t xml:space="preserve">claude/greg-isenberg-field-notes-a2r544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Authorized by:</w:t>
      </w:r>
      <w:r>
        <w:t xml:space="preserve"> </w:t>
      </w:r>
      <w:r>
        <w:t xml:space="preserve">HIC decision 1 (24.07.2026)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human crypto review first, merge, keep all tiers unsigned until key custody + fail-loud guard land.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Subject:</w:t>
      </w:r>
      <w:r>
        <w:t xml:space="preserve"> </w:t>
      </w:r>
      <w:r>
        <w:rPr>
          <w:rStyle w:val="VerbatimChar"/>
        </w:rPr>
        <w:t xml:space="preserve">src/identity/attestation-signing.ts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claude/kya-v2-attestation-signing-6e5703</w:t>
      </w:r>
      <w:r>
        <w:t xml:space="preserve"> </w:t>
      </w:r>
      <w:r>
        <w:t xml:space="preserve">(PR #1716,</w:t>
      </w:r>
      <w:r>
        <w:t xml:space="preserve"> </w:t>
      </w:r>
      <w:r>
        <w:rPr>
          <w:bCs/>
          <w:b/>
        </w:rPr>
        <w:t xml:space="preserve">open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PR branch fetched and</w:t>
      </w:r>
      <w:r>
        <w:t xml:space="preserve"> </w:t>
      </w:r>
      <w:r>
        <w:rPr>
          <w:bCs/>
          <w:b/>
        </w:rPr>
        <w:t xml:space="preserve">source read directly</w:t>
      </w:r>
      <w:r>
        <w:t xml:space="preserve"> </w:t>
      </w:r>
      <w:r>
        <w:t xml:space="preserve">(this supersedes the</w:t>
      </w:r>
      <w:r>
        <w:t xml:space="preserve"> </w:t>
      </w:r>
      <w:r>
        <w:t xml:space="preserve">“</w:t>
      </w:r>
      <w:r>
        <w:t xml:space="preserve">CODE NOT READ</w:t>
      </w:r>
      <w:r>
        <w:t xml:space="preserve">”</w:t>
      </w:r>
      <w:r>
        <w:t xml:space="preserve"> </w:t>
      </w:r>
      <w:r>
        <w:t xml:space="preserve">provenance caveat in</w:t>
      </w:r>
      <w:r>
        <w:t xml:space="preserve"> </w:t>
      </w:r>
      <w:r>
        <w:rPr>
          <w:rStyle w:val="VerbatimChar"/>
        </w:rPr>
        <w:t xml:space="preserve">docs/field-notes/2026-07-24-kya-v2-eddsa-signing-crypto-decision.md</w:t>
      </w:r>
      <w:r>
        <w:t xml:space="preserve">). Signing module + its 8 tests reviewed line by line.</w: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Do not merge as-is.</w:t>
      </w:r>
      <w:r>
        <w:t xml:space="preserve"> </w:t>
      </w:r>
      <w:r>
        <w:t xml:space="preserve">One HIGH finding is a design-level gap that gets materially more expensive to fix after credentials exist in the wild. It is a contained fix (a few lines in two functions plus tests), not a redesign.</w:t>
      </w:r>
    </w:p>
    <w:p>
      <w:pPr>
        <w:pStyle w:val="BodyText"/>
      </w:pPr>
      <w:r>
        <w:t xml:space="preserve">The HIC decision to keep tiers unsigned holds regardless — and is now doubly justified, since F1 changes what a signature means.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3727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signature does not cover the proof options (</w:t>
            </w:r>
            <w:r>
              <w:rPr>
                <w:rStyle w:val="VerbatimChar"/>
              </w:rPr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proofPurpose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verifyVerifiedDoneAttestation()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Cs/>
                <w:b/>
              </w:rPr>
              <w:t xml:space="preserve">revoked</w:t>
            </w:r>
            <w:r>
              <w:t xml:space="preserve"> </w:t>
            </w:r>
            <w:r>
              <w:t xml:space="preserve">credential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key-type assertion — a non-Ed25519 PEM loads and fails later with an opaque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Re-signing an already-signed credential is permitted in this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Bespoke canonicalization will not interoperate with an external JCS/RDF verifier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fd87e0d283e7bcce8cbd14daee0dcc4973b728f"/>
    <w:p>
      <w:pPr>
        <w:pStyle w:val="Heading2"/>
      </w:pPr>
      <w:r>
        <w:t xml:space="preserve">F1 — HIGH: proof options are outside the signed bytes</w:t>
      </w:r>
    </w:p>
    <w:p>
      <w:pPr>
        <w:pStyle w:val="FirstParagraph"/>
      </w:pPr>
      <w:r>
        <w:rPr>
          <w:rStyle w:val="VerbatimChar"/>
        </w:rPr>
        <w:t xml:space="preserve">credentialSigningBytes()</w:t>
      </w:r>
      <w:r>
        <w:t xml:space="preserve"> </w:t>
      </w:r>
      <w:r>
        <w:t xml:space="preserve">strips the</w:t>
      </w:r>
      <w:r>
        <w:t xml:space="preserve"> </w:t>
      </w:r>
      <w:r>
        <w:rPr>
          <w:bCs/>
          <w:b/>
        </w:rPr>
        <w:t xml:space="preserve">entire</w:t>
      </w:r>
      <w:r>
        <w:t xml:space="preserve"> </w:t>
      </w:r>
      <w:r>
        <w:rPr>
          <w:rStyle w:val="VerbatimChar"/>
        </w:rPr>
        <w:t xml:space="preserve">proof</w:t>
      </w:r>
      <w:r>
        <w:t xml:space="preserve"> </w:t>
      </w:r>
      <w:r>
        <w:t xml:space="preserve">object before signing: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proof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_proof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unsigned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credential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JOSE header (</w:t>
      </w:r>
      <w:r>
        <w:rPr>
          <w:rStyle w:val="VerbatimChar"/>
        </w:rPr>
        <w:t xml:space="preserve">{alg:'EdDSA'}</w:t>
      </w:r>
      <w:r>
        <w:t xml:space="preserve">)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signed — it is part of</w:t>
      </w:r>
      <w:r>
        <w:t xml:space="preserve"> </w:t>
      </w:r>
      <w:r>
        <w:rPr>
          <w:rStyle w:val="VerbatimChar"/>
        </w:rPr>
        <w:t xml:space="preserve">${headerB64}.${payloadB64}</w:t>
      </w:r>
      <w:r>
        <w:t xml:space="preserve"> </w:t>
      </w:r>
      <w:r>
        <w:t xml:space="preserve">— which correctly prevents algorithm confusion. But everything in the</w:t>
      </w:r>
      <w:r>
        <w:t xml:space="preserve"> </w:t>
      </w:r>
      <w:r>
        <w:rPr>
          <w:rStyle w:val="VerbatimChar"/>
        </w:rPr>
        <w:t xml:space="preserve">proof</w:t>
      </w:r>
      <w:r>
        <w:t xml:space="preserve"> </w:t>
      </w:r>
      <w:r>
        <w:t xml:space="preserve">block is not.</w:t>
      </w:r>
      <w:r>
        <w:t xml:space="preserve"> </w:t>
      </w:r>
      <w:r>
        <w:rPr>
          <w:rStyle w:val="VerbatimChar"/>
          <w:bCs/>
          <w:b/>
        </w:rPr>
        <w:t xml:space="preserve">created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verificationMethod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proofPurpose</w:t>
      </w:r>
      <w:r>
        <w:rPr>
          <w:bCs/>
          <w:b/>
        </w:rPr>
        <w:t xml:space="preserve">,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</w:t>
      </w:r>
      <w:r>
        <w:rPr>
          <w:bCs/>
          <w:b/>
        </w:rPr>
        <w:t xml:space="preserve"> </w:t>
      </w:r>
      <w:r>
        <w:rPr>
          <w:bCs/>
          <w:b/>
        </w:rPr>
        <w:t xml:space="preserve">can all be modified after signing and the credential still verifies.</w:t>
      </w:r>
    </w:p>
    <w:p>
      <w:pPr>
        <w:pStyle w:val="BodyText"/>
      </w:pPr>
      <w:r>
        <w:t xml:space="preserve">W3C Data Integrity canonicalizes the proof options (minus</w:t>
      </w:r>
      <w:r>
        <w:t xml:space="preserve"> </w:t>
      </w:r>
      <w:r>
        <w:rPr>
          <w:rStyle w:val="VerbatimChar"/>
        </w:rPr>
        <w:t xml:space="preserve">proofValue</w:t>
      </w:r>
      <w:r>
        <w:t xml:space="preserve">)</w:t>
      </w:r>
      <w:r>
        <w:t xml:space="preserve"> </w:t>
      </w:r>
      <w:r>
        <w:rPr>
          <w:bCs/>
          <w:b/>
        </w:rPr>
        <w:t xml:space="preserve">together with</w:t>
      </w:r>
      <w:r>
        <w:t xml:space="preserve"> </w:t>
      </w:r>
      <w:r>
        <w:t xml:space="preserve">the document precisely to close this. That step is missing.</w:t>
      </w:r>
    </w:p>
    <w:p>
      <w:pPr>
        <w:pStyle w:val="BodyText"/>
      </w:pPr>
      <w:r>
        <w:rPr>
          <w:bCs/>
          <w:b/>
        </w:rPr>
        <w:t xml:space="preserve">Two concrete consequences: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timestamp on an audit credential is mutable.</w:t>
      </w:r>
      <w:r>
        <w:t xml:space="preserve"> </w:t>
      </w:r>
      <w:r>
        <w:rPr>
          <w:rStyle w:val="VerbatimChar"/>
        </w:rPr>
        <w:t xml:space="preserve">proof.created</w:t>
      </w:r>
      <w:r>
        <w:t xml:space="preserve"> </w:t>
      </w:r>
      <w:r>
        <w:t xml:space="preserve">can be rewritten freely without breaking verification. For an artifact whose purpose is non-repudiable evidence feeding EU AI Act Article 12 record-keeping,</w:t>
      </w:r>
      <w:r>
        <w:t xml:space="preserve"> </w:t>
      </w:r>
      <w:r>
        <w:t xml:space="preserve">“</w:t>
      </w:r>
      <w:r>
        <w:t xml:space="preserve">when was this attested</w:t>
      </w:r>
      <w:r>
        <w:t xml:space="preserve">”</w:t>
      </w:r>
      <w:r>
        <w:t xml:space="preserve"> </w:t>
      </w:r>
      <w:r>
        <w:t xml:space="preserve">is not decoration — and it is currently unprotected.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Key-substitution exposure for any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did:web</w:t>
      </w:r>
      <w:r>
        <w:rPr>
          <w:bCs/>
          <w:b/>
        </w:rPr>
        <w:t xml:space="preserve">-resolving verifier.</w:t>
      </w:r>
      <w:r>
        <w:t xml:space="preserve"> </w:t>
      </w:r>
      <w:r>
        <w:t xml:space="preserve">§14.7.1 specifies resolving the issuer key from a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 </w:t>
      </w:r>
      <w:r>
        <w:t xml:space="preserve">verification method. The natural implementation reads</w:t>
      </w:r>
      <w:r>
        <w:t xml:space="preserve"> </w:t>
      </w:r>
      <w:r>
        <w:rPr>
          <w:rStyle w:val="VerbatimChar"/>
        </w:rPr>
        <w:t xml:space="preserve">credential.proof.verificationMethod</w:t>
      </w:r>
      <w:r>
        <w:t xml:space="preserve"> </w:t>
      </w:r>
      <w:r>
        <w:t xml:space="preserve">and fetches that key — i.e. </w:t>
      </w:r>
      <w:r>
        <w:rPr>
          <w:bCs/>
          <w:b/>
        </w:rPr>
        <w:t xml:space="preserve">choosing its trust anchor from unsigned, caller-modifiable data.</w:t>
      </w:r>
      <w:r>
        <w:t xml:space="preserve"> </w:t>
      </w:r>
      <w:r>
        <w:t xml:space="preserve">An attacker who signs a forged credential with their own key and points</w:t>
      </w:r>
      <w:r>
        <w:t xml:space="preserve"> </w:t>
      </w:r>
      <w:r>
        <w:rPr>
          <w:rStyle w:val="VerbatimChar"/>
        </w:rPr>
        <w:t xml:space="preserve">verificationMethod</w:t>
      </w:r>
      <w:r>
        <w:t xml:space="preserve"> </w:t>
      </w:r>
      <w:r>
        <w:t xml:space="preserve">at their own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 </w:t>
      </w:r>
      <w:r>
        <w:t xml:space="preserve">document produces a credential that verifies cleanly. The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 </w:t>
      </w:r>
      <w:r>
        <w:t xml:space="preserve">field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inside the signed body, so the defence is to bind</w:t>
      </w:r>
      <w:r>
        <w:t xml:space="preserve"> </w:t>
      </w:r>
      <w:r>
        <w:rPr>
          <w:rStyle w:val="VerbatimChar"/>
        </w:rPr>
        <w:t xml:space="preserve">verificationMethod</w:t>
      </w:r>
      <w:r>
        <w:t xml:space="preserve"> </w:t>
      </w:r>
      <w:r>
        <w:t xml:space="preserve">to the signed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 </w:t>
      </w:r>
      <w:r>
        <w:t xml:space="preserve">— but</w:t>
      </w:r>
      <w:r>
        <w:t xml:space="preserve"> </w:t>
      </w:r>
      <w:r>
        <w:rPr>
          <w:bCs/>
          <w:b/>
        </w:rPr>
        <w:t xml:space="preserve">nothing in the code, docstrings, or tests does or requires this.</w:t>
      </w:r>
      <w:r>
        <w:t xml:space="preserve"> </w:t>
      </w:r>
      <w:r>
        <w:t xml:space="preserve">This module’s own verifier sidesteps it only because the caller passes the key in explicitly; the first real did:web verifier written against this design will not.</w:t>
      </w:r>
    </w:p>
    <w:p>
      <w:pPr>
        <w:pStyle w:val="FirstParagraph"/>
      </w:pPr>
      <w:r>
        <w:rPr>
          <w:bCs/>
          <w:b/>
        </w:rPr>
        <w:t xml:space="preserve">Why no test caught it:</w:t>
      </w:r>
      <w:r>
        <w:t xml:space="preserve"> </w:t>
      </w:r>
      <w:r>
        <w:t xml:space="preserve">the suite tampers the credential</w:t>
      </w:r>
      <w:r>
        <w:t xml:space="preserve"> </w:t>
      </w:r>
      <w:r>
        <w:rPr>
          <w:bCs/>
          <w:b/>
        </w:rPr>
        <w:t xml:space="preserve">subject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it('rejects a credential whose subject was tampered after signing')</w:t>
      </w:r>
      <w:r>
        <w:t xml:space="preserve"> </w:t>
      </w:r>
      <w:r>
        <w:t xml:space="preserve">— correctly fails verification). There is</w:t>
      </w:r>
      <w:r>
        <w:t xml:space="preserve"> </w:t>
      </w:r>
      <w:r>
        <w:rPr>
          <w:bCs/>
          <w:b/>
        </w:rPr>
        <w:t xml:space="preserve">no test that tampers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proof.created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proof.verificationMethod</w:t>
      </w:r>
      <w:r>
        <w:t xml:space="preserve">, because such a test would pass verification and fail the assertion.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include the proof options (all proof fields except</w:t>
      </w:r>
      <w:r>
        <w:t xml:space="preserve"> </w:t>
      </w:r>
      <w:r>
        <w:rPr>
          <w:rStyle w:val="VerbatimChar"/>
        </w:rPr>
        <w:t xml:space="preserve">proofValue</w:t>
      </w:r>
      <w:r>
        <w:t xml:space="preserve">) in the canonical signing bytes, on both sign and verify paths. Add two tamper tests — one per field. Alternative: move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verificationMethod</w:t>
      </w:r>
      <w:r>
        <w:t xml:space="preserve"> </w:t>
      </w:r>
      <w:r>
        <w:t xml:space="preserve">into the protected JOSE header, which is already covered.</w:t>
      </w:r>
    </w:p>
    <w:bookmarkEnd w:id="21"/>
    <w:bookmarkStart w:id="22" w:name="Xe936d1118e9ab9be9ea29b19d81c7800fd29a40"/>
    <w:p>
      <w:pPr>
        <w:pStyle w:val="Heading2"/>
      </w:pPr>
      <w:r>
        <w:t xml:space="preserve">F2 — MEDIUM-HIGH: a revoked credential verifies as valid</w:t>
      </w:r>
    </w:p>
    <w:p>
      <w:pPr>
        <w:pStyle w:val="FirstParagraph"/>
      </w:pPr>
      <w:r>
        <w:rPr>
          <w:rStyle w:val="VerbatimChar"/>
        </w:rPr>
        <w:t xml:space="preserve">verifyVerifiedDoneAttestation()</w:t>
      </w:r>
      <w:r>
        <w:t xml:space="preserve"> </w:t>
      </w:r>
      <w:r>
        <w:t xml:space="preserve">takes a</w:t>
      </w:r>
      <w:r>
        <w:t xml:space="preserve"> </w:t>
      </w:r>
      <w:r>
        <w:rPr>
          <w:rStyle w:val="VerbatimChar"/>
        </w:rPr>
        <w:t xml:space="preserve">VerifiedDoneAttestation</w:t>
      </w:r>
      <w:r>
        <w:t xml:space="preserve"> </w:t>
      </w:r>
      <w:r>
        <w:t xml:space="preserve">— the credential that travels — and</w:t>
      </w:r>
      <w:r>
        <w:t xml:space="preserve"> </w:t>
      </w:r>
      <w:r>
        <w:rPr>
          <w:rStyle w:val="VerbatimChar"/>
        </w:rPr>
        <w:t xml:space="preserve">proofStatus</w:t>
      </w:r>
      <w:r>
        <w:t xml:space="preserve"> </w:t>
      </w:r>
      <w:r>
        <w:t xml:space="preserve">lives on the</w:t>
      </w:r>
      <w:r>
        <w:t xml:space="preserve"> </w:t>
      </w:r>
      <w:r>
        <w:rPr>
          <w:rStyle w:val="VerbatimChar"/>
        </w:rPr>
        <w:t xml:space="preserve">IssuedAttestation</w:t>
      </w:r>
      <w:r>
        <w:t xml:space="preserve"> </w:t>
      </w:r>
      <w:r>
        <w:rPr>
          <w:bCs/>
          <w:b/>
        </w:rPr>
        <w:t xml:space="preserve">wrapper</w:t>
      </w:r>
      <w:r>
        <w:t xml:space="preserve">, not on the credential. So the artifact handed to a counterparty carries</w:t>
      </w:r>
      <w:r>
        <w:t xml:space="preserve"> </w:t>
      </w:r>
      <w:r>
        <w:rPr>
          <w:bCs/>
          <w:b/>
        </w:rPr>
        <w:t xml:space="preserve">no revocation state at all</w:t>
      </w:r>
      <w:r>
        <w:t xml:space="preserve">, and offline verification of a revoked credential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revoke()</w:t>
      </w:r>
      <w:r>
        <w:t xml:space="preserve"> </w:t>
      </w:r>
      <w:r>
        <w:t xml:space="preserve">in the store is a status transition, which is correct storage design — but it is invisible to anyone holding the credential. This is the missing status-list problem in its concrete form.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ship the revocation status list with signing (already the recommended sequencing), and until then document an explicit caller contract:</w:t>
      </w:r>
      <w:r>
        <w:t xml:space="preserve"> </w:t>
      </w:r>
      <w:r>
        <w:rPr>
          <w:bCs/>
          <w:b/>
        </w:rPr>
        <w:t xml:space="preserve">verification is necessary but not sufficient — the holder must also check status.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from this function currently means</w:t>
      </w:r>
      <w:r>
        <w:t xml:space="preserve"> </w:t>
      </w:r>
      <w:r>
        <w:t xml:space="preserve">“</w:t>
      </w:r>
      <w:r>
        <w:t xml:space="preserve">the bytes are authentic,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this attestation is in force.</w:t>
      </w:r>
      <w:r>
        <w:t xml:space="preserve">”</w:t>
      </w:r>
    </w:p>
    <w:bookmarkEnd w:id="22"/>
    <w:bookmarkStart w:id="23" w:name="f3-medium-no-key-type-assertion-at-load"/>
    <w:p>
      <w:pPr>
        <w:pStyle w:val="Heading2"/>
      </w:pPr>
      <w:r>
        <w:t xml:space="preserve">F3 — MEDIUM: no key-type assertion at load</w:t>
      </w:r>
    </w:p>
    <w:p>
      <w:pPr>
        <w:pStyle w:val="FirstParagraph"/>
      </w:pPr>
      <w:r>
        <w:rPr>
          <w:rStyle w:val="VerbatimChar"/>
        </w:rPr>
        <w:t xml:space="preserve">loadIssuerSignerFromEnv()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createPrivateKey(pem)</w:t>
      </w:r>
      <w:r>
        <w:t xml:space="preserve"> </w:t>
      </w:r>
      <w:r>
        <w:t xml:space="preserve">with no check on</w:t>
      </w:r>
      <w:r>
        <w:t xml:space="preserve"> </w:t>
      </w:r>
      <w:r>
        <w:rPr>
          <w:rStyle w:val="VerbatimChar"/>
        </w:rPr>
        <w:t xml:space="preserve">asymmetricKeyType</w:t>
      </w:r>
      <w:r>
        <w:t xml:space="preserve">. An RSA or P-256 PEM loads without complaint; the failure surfaces later inside</w:t>
      </w:r>
      <w:r>
        <w:t xml:space="preserve"> </w:t>
      </w:r>
      <w:r>
        <w:rPr>
          <w:rStyle w:val="VerbatimChar"/>
        </w:rPr>
        <w:t xml:space="preserve">cryptoSign(null, …)</w:t>
      </w:r>
      <w:r>
        <w:t xml:space="preserve"> </w:t>
      </w:r>
      <w:r>
        <w:t xml:space="preserve">as an opaque error, while the JOSE header unconditionally claims</w:t>
      </w:r>
      <w:r>
        <w:t xml:space="preserve"> </w:t>
      </w:r>
      <w:r>
        <w:rPr>
          <w:rStyle w:val="VerbatimChar"/>
        </w:rPr>
        <w:t xml:space="preserve">alg: 'EdDSA'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assert</w:t>
      </w:r>
      <w:r>
        <w:t xml:space="preserve"> </w:t>
      </w:r>
      <w:r>
        <w:rPr>
          <w:rStyle w:val="VerbatimChar"/>
        </w:rPr>
        <w:t xml:space="preserve">privateKey.asymmetricKeyType === 'ed25519'</w:t>
      </w:r>
      <w:r>
        <w:t xml:space="preserve"> </w:t>
      </w:r>
      <w:r>
        <w:t xml:space="preserve">at load and fail loud with a clear message. Cheap, and it turns a confusing runtime failure into a startup one.</w:t>
      </w:r>
    </w:p>
    <w:bookmarkEnd w:id="23"/>
    <w:bookmarkStart w:id="24" w:name="f4-low-re-signing-permitted-here"/>
    <w:p>
      <w:pPr>
        <w:pStyle w:val="Heading2"/>
      </w:pPr>
      <w:r>
        <w:t xml:space="preserve">F4 — LOW: re-signing permitted here</w:t>
      </w:r>
    </w:p>
    <w:p>
      <w:pPr>
        <w:pStyle w:val="FirstParagraph"/>
      </w:pPr>
      <w:r>
        <w:rPr>
          <w:rStyle w:val="VerbatimChar"/>
        </w:rPr>
        <w:t xml:space="preserve">signVerifiedDoneAttestation()</w:t>
      </w:r>
      <w:r>
        <w:t xml:space="preserve"> </w:t>
      </w:r>
      <w:r>
        <w:t xml:space="preserve">refuses to sign a</w:t>
      </w:r>
      <w:r>
        <w:t xml:space="preserve"> </w:t>
      </w:r>
      <w:r>
        <w:rPr>
          <w:bCs/>
          <w:b/>
        </w:rPr>
        <w:t xml:space="preserve">revoked</w:t>
      </w:r>
      <w:r>
        <w:t xml:space="preserve"> </w:t>
      </w:r>
      <w:r>
        <w:t xml:space="preserve">attestation (good) but will happily re-sign one already</w:t>
      </w:r>
      <w:r>
        <w:t xml:space="preserve"> </w:t>
      </w:r>
      <w:r>
        <w:rPr>
          <w:rStyle w:val="VerbatimChar"/>
        </w:rPr>
        <w:t xml:space="preserve">signed</w:t>
      </w:r>
      <w:r>
        <w:t xml:space="preserve">, overwriting the proof with a new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unsigned</w:t>
      </w:r>
      <w:r>
        <w:t xml:space="preserve"> </w:t>
      </w:r>
      <w:r>
        <w:t xml:space="preserve">guard exists in the store’s</w:t>
      </w:r>
      <w:r>
        <w:t xml:space="preserve"> </w:t>
      </w:r>
      <w:r>
        <w:rPr>
          <w:rStyle w:val="VerbatimChar"/>
        </w:rPr>
        <w:t xml:space="preserve">sign()</w:t>
      </w:r>
      <w:r>
        <w:t xml:space="preserve">, not here. Defence in depth argues for the guard in both.</w:t>
      </w:r>
    </w:p>
    <w:bookmarkEnd w:id="24"/>
    <w:bookmarkStart w:id="25" w:name="f5-low-bespoke-canonicalization"/>
    <w:p>
      <w:pPr>
        <w:pStyle w:val="Heading2"/>
      </w:pPr>
      <w:r>
        <w:t xml:space="preserve">F5 — LOW: bespoke canonicalization</w:t>
      </w:r>
    </w:p>
    <w:p>
      <w:pPr>
        <w:pStyle w:val="FirstParagraph"/>
      </w:pPr>
      <w:r>
        <w:rPr>
          <w:rStyle w:val="VerbatimChar"/>
        </w:rPr>
        <w:t xml:space="preserve">canonicalJSON()</w:t>
      </w:r>
      <w:r>
        <w:t xml:space="preserve"> </w:t>
      </w:r>
      <w:r>
        <w:t xml:space="preserve">is a hand-rolled recursive key-sort. It is</w:t>
      </w:r>
      <w:r>
        <w:t xml:space="preserve"> </w:t>
      </w:r>
      <w:r>
        <w:rPr>
          <w:bCs/>
          <w:b/>
        </w:rPr>
        <w:t xml:space="preserve">symmetric across sign and verify</w:t>
      </w:r>
      <w:r>
        <w:t xml:space="preserve">, so the self-issued/self-checked path is sound, and the docstring is honest that the JCS (RFC 8785) vs RDF choice is deferred. Two notes for the v2.0 freeze:</w:t>
      </w:r>
    </w:p>
    <w:p>
      <w:pPr>
        <w:numPr>
          <w:ilvl w:val="0"/>
          <w:numId w:val="1003"/>
        </w:numPr>
        <w:pStyle w:val="Compact"/>
      </w:pPr>
      <w:r>
        <w:t xml:space="preserve">Sorting via</w:t>
      </w:r>
      <w:r>
        <w:t xml:space="preserve"> </w:t>
      </w:r>
      <w:r>
        <w:rPr>
          <w:rStyle w:val="VerbatimChar"/>
        </w:rPr>
        <w:t xml:space="preserve">Object.keys().sort()</w:t>
      </w:r>
      <w:r>
        <w:t xml:space="preserve"> </w:t>
      </w:r>
      <w:r>
        <w:t xml:space="preserve">uses UTF-16 code-unit order, which</w:t>
      </w:r>
      <w:r>
        <w:t xml:space="preserve"> </w:t>
      </w:r>
      <w:r>
        <w:rPr>
          <w:bCs/>
          <w:b/>
        </w:rPr>
        <w:t xml:space="preserve">matches</w:t>
      </w:r>
      <w:r>
        <w:t xml:space="preserve"> </w:t>
      </w:r>
      <w:r>
        <w:t xml:space="preserve">JCS — a helpful accident worth making deliberate.</w:t>
      </w:r>
    </w:p>
    <w:p>
      <w:pPr>
        <w:numPr>
          <w:ilvl w:val="0"/>
          <w:numId w:val="1003"/>
        </w:numPr>
        <w:pStyle w:val="Compact"/>
      </w:pPr>
      <w:r>
        <w:t xml:space="preserve">A key whose value is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serializes to</w:t>
      </w:r>
      <w:r>
        <w:t xml:space="preserve"> </w:t>
      </w:r>
      <w:r>
        <w:rPr>
          <w:rStyle w:val="VerbatimChar"/>
        </w:rPr>
        <w:t xml:space="preserve">"key":undefined</w:t>
      </w:r>
      <w:r>
        <w:t xml:space="preserve">, which is not valid JSON. Harmless today (bytes are only ever compared to themselves) but it will break any external verifier that parses before hashing.</w:t>
      </w:r>
    </w:p>
    <w:p>
      <w:pPr>
        <w:pStyle w:val="FirstParagraph"/>
      </w:pPr>
      <w:r>
        <w:t xml:space="preserve">No external verifier will interoperate until this is pinned. That is acceptable while credentials are self-checked; it is a blocker the moment a counterparty verifies one.</w:t>
      </w:r>
    </w:p>
    <w:p>
      <w:r>
        <w:pict>
          <v:rect style="width:0;height:1.5pt" o:hralign="center" o:hrstd="t" o:hr="t"/>
        </w:pict>
      </w:r>
    </w:p>
    <w:bookmarkEnd w:id="25"/>
    <w:bookmarkStart w:id="26" w:name="what-the-implementation-gets-right"/>
    <w:p>
      <w:pPr>
        <w:pStyle w:val="Heading2"/>
      </w:pPr>
      <w:r>
        <w:t xml:space="preserve">What the implementation gets right</w:t>
      </w:r>
    </w:p>
    <w:p>
      <w:pPr>
        <w:pStyle w:val="FirstParagraph"/>
      </w:pPr>
      <w:r>
        <w:t xml:space="preserve">Worth recording, because these are the parts not to disturb while fixing the above: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Module separation.</w:t>
      </w:r>
      <w:r>
        <w:t xml:space="preserve"> </w:t>
      </w:r>
      <w:r>
        <w:t xml:space="preserve">Signing lives outside</w:t>
      </w:r>
      <w:r>
        <w:t xml:space="preserve"> </w:t>
      </w:r>
      <w:r>
        <w:rPr>
          <w:rStyle w:val="VerbatimChar"/>
        </w:rPr>
        <w:t xml:space="preserve">ats-engine.ts</w:t>
      </w:r>
      <w:r>
        <w:t xml:space="preserve">, so the mandate-gate logic stays crypto- and key-free. Correct instinct: key custody is its own concern.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Correct Ed25519 usage.</w:t>
      </w:r>
      <w:r>
        <w:t xml:space="preserve"> </w:t>
      </w:r>
      <w:r>
        <w:rPr>
          <w:rStyle w:val="VerbatimChar"/>
        </w:rPr>
        <w:t xml:space="preserve">cryptoSign(null, …)</w:t>
      </w:r>
      <w:r>
        <w:t xml:space="preserve"> </w:t>
      </w:r>
      <w:r>
        <w:t xml:space="preserve">is the right call shape for Ed25519 in Node, and the determinism claim (RFC 8032 — no per-signature nonce to leak) is accurate.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alg</w:t>
      </w:r>
      <w:r>
        <w:rPr>
          <w:bCs/>
          <w:b/>
        </w:rPr>
        <w:t xml:space="preserve"> </w:t>
      </w:r>
      <w:r>
        <w:rPr>
          <w:bCs/>
          <w:b/>
        </w:rPr>
        <w:t xml:space="preserve">is checked on verify</w:t>
      </w:r>
      <w:r>
        <w:t xml:space="preserve"> </w:t>
      </w:r>
      <w:r>
        <w:t xml:space="preserve">and the header is inside the signed bytes — algorithm confusion is closed.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Detached form is enforced</w:t>
      </w:r>
      <w:r>
        <w:t xml:space="preserve"> </w:t>
      </w:r>
      <w:r>
        <w:t xml:space="preserve">(</w:t>
      </w:r>
      <w:r>
        <w:rPr>
          <w:rStyle w:val="VerbatimChar"/>
        </w:rPr>
        <w:t xml:space="preserve">payloadSegment !== ''</w:t>
      </w:r>
      <w:r>
        <w:t xml:space="preserve">), so a smuggled inline payload is rejected.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verify</w:t>
      </w:r>
      <w:r>
        <w:rPr>
          <w:bCs/>
          <w:b/>
        </w:rPr>
        <w:t xml:space="preserve"> </w:t>
      </w:r>
      <w:r>
        <w:rPr>
          <w:bCs/>
          <w:b/>
        </w:rPr>
        <w:t xml:space="preserve">returns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false</w:t>
      </w:r>
      <w:r>
        <w:rPr>
          <w:bCs/>
          <w:b/>
        </w:rPr>
        <w:t xml:space="preserve"> </w:t>
      </w:r>
      <w:r>
        <w:rPr>
          <w:bCs/>
          <w:b/>
        </w:rPr>
        <w:t xml:space="preserve">and never throws</w:t>
      </w:r>
      <w:r>
        <w:t xml:space="preserve">, including around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cryptoVerify</w:t>
      </w:r>
      <w:r>
        <w:t xml:space="preserve"> </w:t>
      </w:r>
      <w:r>
        <w:t xml:space="preserve">— no DoS surface from a malformed credential.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Caller-supplied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created</w:t>
      </w:r>
      <w:r>
        <w:rPr>
          <w:bCs/>
          <w:b/>
        </w:rPr>
        <w:t xml:space="preserve">.</w:t>
      </w:r>
      <w:r>
        <w:t xml:space="preserve"> </w:t>
      </w:r>
      <w:r>
        <w:t xml:space="preserve">The module holds no clock authority, which keeps signatures deterministic and testable.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key material in code or git</w:t>
      </w:r>
      <w:r>
        <w:t xml:space="preserve">; PEM arrives as a runtime secret, and</w:t>
      </w:r>
      <w:r>
        <w:t xml:space="preserve"> </w:t>
      </w:r>
      <w:r>
        <w:rPr>
          <w:rStyle w:val="VerbatimChar"/>
        </w:rPr>
        <w:t xml:space="preserve">loadIssuerSignerFromEnv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rather than inventing a key.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Refuses to sign a revoked attestation.</w:t>
      </w:r>
    </w:p>
    <w:bookmarkEnd w:id="26"/>
    <w:bookmarkStart w:id="27" w:name="recommendation"/>
    <w:p>
      <w:pPr>
        <w:pStyle w:val="Heading2"/>
      </w:pPr>
      <w:r>
        <w:t xml:space="preserve">Recommendation</w:t>
      </w:r>
    </w:p>
    <w:p>
      <w:pPr>
        <w:numPr>
          <w:ilvl w:val="0"/>
          <w:numId w:val="1005"/>
        </w:numPr>
        <w:pStyle w:val="Compact"/>
      </w:pPr>
      <w:r>
        <w:t xml:space="preserve">Fix</w:t>
      </w:r>
      <w:r>
        <w:t xml:space="preserve"> </w:t>
      </w:r>
      <w:r>
        <w:rPr>
          <w:bCs/>
          <w:b/>
        </w:rPr>
        <w:t xml:space="preserve">F1</w:t>
      </w:r>
      <w:r>
        <w:t xml:space="preserve"> </w:t>
      </w:r>
      <w:r>
        <w:t xml:space="preserve">before merge — it is the one that becomes expensive after issuance, and it is small.</w:t>
      </w:r>
    </w:p>
    <w:p>
      <w:pPr>
        <w:numPr>
          <w:ilvl w:val="0"/>
          <w:numId w:val="1005"/>
        </w:numPr>
        <w:pStyle w:val="Compact"/>
      </w:pPr>
      <w:r>
        <w:t xml:space="preserve">Fix</w:t>
      </w:r>
      <w:r>
        <w:t xml:space="preserve"> </w:t>
      </w:r>
      <w:r>
        <w:rPr>
          <w:bCs/>
          <w:b/>
        </w:rPr>
        <w:t xml:space="preserve">F3</w:t>
      </w:r>
      <w:r>
        <w:t xml:space="preserve"> </w:t>
      </w:r>
      <w:r>
        <w:t xml:space="preserve">in the same pass (one line + a message).</w:t>
      </w:r>
    </w:p>
    <w:p>
      <w:pPr>
        <w:numPr>
          <w:ilvl w:val="0"/>
          <w:numId w:val="1005"/>
        </w:numPr>
        <w:pStyle w:val="Compact"/>
      </w:pPr>
      <w:r>
        <w:t xml:space="preserve">Take</w:t>
      </w:r>
      <w:r>
        <w:t xml:space="preserve"> </w:t>
      </w:r>
      <w:r>
        <w:rPr>
          <w:bCs/>
          <w:b/>
        </w:rPr>
        <w:t xml:space="preserve">F2</w:t>
      </w:r>
      <w:r>
        <w:t xml:space="preserve"> </w:t>
      </w:r>
      <w:r>
        <w:t xml:space="preserve">as an explicit caller-contract note now, and close it properly with the status list.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F4/F5</w:t>
      </w:r>
      <w:r>
        <w:t xml:space="preserve"> </w:t>
      </w:r>
      <w:r>
        <w:t xml:space="preserve">may merge as-is with issues filed; F5 must be resolved at the v2.0 freeze, before any external verifier exists.</w:t>
      </w:r>
    </w:p>
    <w:p>
      <w:pPr>
        <w:numPr>
          <w:ilvl w:val="0"/>
          <w:numId w:val="1005"/>
        </w:numPr>
        <w:pStyle w:val="Compact"/>
      </w:pPr>
      <w:r>
        <w:t xml:space="preserve">Keep every tier unsigned (HIC decision 1) until F1 lands, key custody is settled, and the fail-loud production-signer assertion is in place.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2026-07-24T23:05:30Z</dcterms:created>
  <dcterms:modified xsi:type="dcterms:W3CDTF">2026-07-24T23:05:30Z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