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54817a283128cc832931cbf92e5487a596837a1"/>
    <w:p>
      <w:pPr>
        <w:pStyle w:val="Heading1"/>
      </w:pPr>
      <w:r>
        <w:t xml:space="preserve">Field Note — KYA v2.0: Why Node-Native Ed25519, Not</w:t>
      </w:r>
      <w:r>
        <w:t xml:space="preserve"> </w:t>
      </w:r>
      <w:r>
        <w:rPr>
          <w:rStyle w:val="VerbatimChar"/>
        </w:rPr>
        <w:t xml:space="preserve">jose</w:t>
      </w:r>
    </w:p>
    <w:p>
      <w:pPr>
        <w:numPr>
          <w:ilvl w:val="0"/>
          <w:numId w:val="1001"/>
        </w:numPr>
        <w:pStyle w:val="Compact"/>
      </w:pPr>
      <w:r>
        <w:rPr>
          <w:bCs/>
          <w:b/>
        </w:rPr>
        <w:t xml:space="preserve">Date:</w:t>
      </w:r>
      <w:r>
        <w:t xml:space="preserve"> </w:t>
      </w:r>
      <w:r>
        <w:t xml:space="preserve">2026-07-24</w:t>
      </w:r>
    </w:p>
    <w:p>
      <w:pPr>
        <w:numPr>
          <w:ilvl w:val="0"/>
          <w:numId w:val="1001"/>
        </w:numPr>
        <w:pStyle w:val="Compact"/>
      </w:pPr>
      <w:r>
        <w:rPr>
          <w:bCs/>
          <w:b/>
        </w:rPr>
        <w:t xml:space="preserve">Author:</w:t>
      </w:r>
      <w:r>
        <w:t xml:space="preserve"> </w:t>
      </w:r>
      <w:r>
        <w:t xml:space="preserve">Risto Anton Päärni (Founder, CEO · Lifetime Oy) — via Claude Code session</w:t>
      </w:r>
      <w:r>
        <w:t xml:space="preserve"> </w:t>
      </w:r>
      <w:r>
        <w:rPr>
          <w:rStyle w:val="VerbatimChar"/>
        </w:rPr>
        <w:t xml:space="preserve">claude/greg-isenberg-field-notes-a2r544</w:t>
      </w:r>
    </w:p>
    <w:p>
      <w:pPr>
        <w:numPr>
          <w:ilvl w:val="0"/>
          <w:numId w:val="1001"/>
        </w:numPr>
        <w:pStyle w:val="Compact"/>
      </w:pPr>
      <w:r>
        <w:rPr>
          <w:bCs/>
          <w:b/>
        </w:rPr>
        <w:t xml:space="preserve">Location:</w:t>
      </w:r>
      <w:r>
        <w:t xml:space="preserve"> </w:t>
      </w:r>
      <w:r>
        <w:t xml:space="preserve">Europe &gt; Finland &gt; Espoo</w:t>
      </w:r>
    </w:p>
    <w:p>
      <w:pPr>
        <w:numPr>
          <w:ilvl w:val="0"/>
          <w:numId w:val="1001"/>
        </w:numPr>
        <w:pStyle w:val="Compact"/>
      </w:pPr>
      <w:r>
        <w:rPr>
          <w:bCs/>
          <w:b/>
        </w:rPr>
        <w:t xml:space="preserve">Context:</w:t>
      </w:r>
      <w:r>
        <w:t xml:space="preserve"> </w:t>
      </w:r>
      <w:r>
        <w:t xml:space="preserve">DWS6 — KYA v1.11 → v2.0 migration; retroactive HIC outcome for PR #1716</w:t>
      </w:r>
    </w:p>
    <w:p>
      <w:pPr>
        <w:numPr>
          <w:ilvl w:val="0"/>
          <w:numId w:val="1001"/>
        </w:numPr>
        <w:pStyle w:val="Compact"/>
      </w:pPr>
      <w:r>
        <w:rPr>
          <w:bCs/>
          <w:b/>
        </w:rPr>
        <w:t xml:space="preserve">Confidence:</w:t>
      </w:r>
      <w:r>
        <w:t xml:space="preserve"> </w:t>
      </w:r>
      <w:r>
        <w:t xml:space="preserve">High. Decision record sourced from the PR #1716 body +</w:t>
      </w:r>
      <w:r>
        <w:t xml:space="preserve"> </w:t>
      </w:r>
      <w:r>
        <w:rPr>
          <w:rStyle w:val="VerbatimChar"/>
        </w:rPr>
        <w:t xml:space="preserve">Legal/KYA_STANDARD_v1.md</w:t>
      </w:r>
      <w:r>
        <w:t xml:space="preserve"> </w:t>
      </w:r>
      <w:r>
        <w:t xml:space="preserve">§14.7.1;</w:t>
      </w:r>
      <w:r>
        <w:t xml:space="preserve"> </w:t>
      </w:r>
      <w:r>
        <w:rPr>
          <w:rStyle w:val="VerbatimChar"/>
          <w:bCs/>
          <w:b/>
        </w:rPr>
        <w:t xml:space="preserve">attestation-signing.ts</w:t>
      </w:r>
      <w:r>
        <w:rPr>
          <w:bCs/>
          <w:b/>
        </w:rPr>
        <w:t xml:space="preserve"> </w:t>
      </w:r>
      <w:r>
        <w:rPr>
          <w:bCs/>
          <w:b/>
        </w:rPr>
        <w:t xml:space="preserve">has since been read directly</w:t>
      </w:r>
      <w:r>
        <w:t xml:space="preserve"> </w:t>
      </w:r>
      <w:r>
        <w:t xml:space="preserve">from the PR branch during the HIC-authorized crypto review (</w:t>
      </w:r>
      <w:r>
        <w:rPr>
          <w:rStyle w:val="VerbatimChar"/>
        </w:rPr>
        <w:t xml:space="preserve">security-reports/2026-07-24-PR1716-KYA-SIGNING-CRYPTO-REVIEW.md</w:t>
      </w:r>
      <w:r>
        <w:t xml:space="preserve">). Claims about the</w:t>
      </w:r>
      <w:r>
        <w:t xml:space="preserve"> </w:t>
      </w:r>
      <w:r>
        <w:rPr>
          <w:iCs/>
          <w:i/>
        </w:rPr>
        <w:t xml:space="preserve">other</w:t>
      </w:r>
      <w:r>
        <w:t xml:space="preserve"> </w:t>
      </w:r>
      <w:r>
        <w:t xml:space="preserve">modules (store, issuance, event-logger) and the 47/47 test count remain PR-body-sourced — see Provenance.</w:t>
      </w:r>
    </w:p>
    <w:p>
      <w:pPr>
        <w:numPr>
          <w:ilvl w:val="0"/>
          <w:numId w:val="1001"/>
        </w:numPr>
        <w:pStyle w:val="Compact"/>
      </w:pPr>
      <w:r>
        <w:rPr>
          <w:bCs/>
          <w:b/>
        </w:rPr>
        <w:t xml:space="preserve">Status of the work described:</w:t>
      </w:r>
      <w:r>
        <w:t xml:space="preserve"> </w:t>
      </w:r>
      <w:r>
        <w:rPr>
          <w:bCs/>
          <w:b/>
        </w:rPr>
        <w:t xml:space="preserve">PR #1716 is OPEN, not merged</w:t>
      </w:r>
      <w:r>
        <w:t xml:space="preserve"> </w:t>
      </w:r>
      <w:r>
        <w:t xml:space="preserve">(</w:t>
      </w:r>
      <w:r>
        <w:rPr>
          <w:rStyle w:val="VerbatimChar"/>
        </w:rPr>
        <w:t xml:space="preserve">claude/kya-v2-attestation-signing-6e5703</w:t>
      </w:r>
      <w:r>
        <w:t xml:space="preserve"> </w:t>
      </w:r>
      <w:r>
        <w:t xml:space="preserve">→</w:t>
      </w:r>
      <w:r>
        <w:t xml:space="preserve"> </w:t>
      </w:r>
      <w:r>
        <w:rPr>
          <w:rStyle w:val="VerbatimChar"/>
        </w:rPr>
        <w:t xml:space="preserve">main</w:t>
      </w:r>
      <w:r>
        <w:t xml:space="preserve">, 13 files, +1148/−9, 6 commits, opened 22.07.2026). Built and in review, not on</w:t>
      </w:r>
      <w:r>
        <w:t xml:space="preserve"> </w:t>
      </w:r>
      <w:r>
        <w:rPr>
          <w:rStyle w:val="VerbatimChar"/>
        </w:rPr>
        <w:t xml:space="preserve">main</w:t>
      </w:r>
      <w:r>
        <w:t xml:space="preserve">.</w:t>
      </w:r>
    </w:p>
    <w:bookmarkStart w:id="20" w:name="ontology-tags"/>
    <w:p>
      <w:pPr>
        <w:pStyle w:val="Heading2"/>
      </w:pPr>
      <w:r>
        <w:t xml:space="preserve">Ontology Tags</w:t>
      </w:r>
    </w:p>
    <w:p>
      <w:pPr>
        <w:numPr>
          <w:ilvl w:val="0"/>
          <w:numId w:val="1002"/>
        </w:numPr>
        <w:pStyle w:val="Compact"/>
      </w:pPr>
      <w:r>
        <w:rPr>
          <w:bCs/>
          <w:b/>
        </w:rPr>
        <w:t xml:space="preserve">Geography:</w:t>
      </w:r>
      <w:r>
        <w:t xml:space="preserve"> </w:t>
      </w:r>
      <w:r>
        <w:t xml:space="preserve">Europe &gt; EU (sovereignty boundary)</w:t>
      </w:r>
    </w:p>
    <w:p>
      <w:pPr>
        <w:numPr>
          <w:ilvl w:val="0"/>
          <w:numId w:val="1002"/>
        </w:numPr>
        <w:pStyle w:val="Compact"/>
      </w:pPr>
      <w:r>
        <w:rPr>
          <w:bCs/>
          <w:b/>
        </w:rPr>
        <w:t xml:space="preserve">Sector:</w:t>
      </w:r>
      <w:r>
        <w:t xml:space="preserve"> </w:t>
      </w:r>
      <w:r>
        <w:t xml:space="preserve">Enterprise AI &gt; Agent governance &gt; Verifiable credentials &gt; Cryptography</w:t>
      </w:r>
    </w:p>
    <w:p>
      <w:pPr>
        <w:numPr>
          <w:ilvl w:val="0"/>
          <w:numId w:val="1002"/>
        </w:numPr>
        <w:pStyle w:val="Compact"/>
      </w:pPr>
      <w:r>
        <w:rPr>
          <w:bCs/>
          <w:b/>
        </w:rPr>
        <w:t xml:space="preserve">Entities:</w:t>
      </w:r>
      <w:r>
        <w:t xml:space="preserve"> </w:t>
      </w:r>
      <w:r>
        <w:t xml:space="preserve">KYA §14.7 / §14.7.1,</w:t>
      </w:r>
      <w:r>
        <w:t xml:space="preserve"> </w:t>
      </w:r>
      <w:r>
        <w:rPr>
          <w:rStyle w:val="VerbatimChar"/>
        </w:rPr>
        <w:t xml:space="preserve">attestation-signing.ts</w:t>
      </w:r>
      <w:r>
        <w:t xml:space="preserve">, Ed25519 / EdDSA,</w:t>
      </w:r>
      <w:r>
        <w:t xml:space="preserve"> </w:t>
      </w:r>
      <w:r>
        <w:rPr>
          <w:rStyle w:val="VerbatimChar"/>
        </w:rPr>
        <w:t xml:space="preserve">node:crypto</w:t>
      </w:r>
      <w:r>
        <w:t xml:space="preserve">,</w:t>
      </w:r>
      <w:r>
        <w:t xml:space="preserve"> </w:t>
      </w:r>
      <w:r>
        <w:rPr>
          <w:rStyle w:val="VerbatimChar"/>
        </w:rPr>
        <w:t xml:space="preserve">jose</w:t>
      </w:r>
      <w:r>
        <w:t xml:space="preserve">, W3C VC,</w:t>
      </w:r>
      <w:r>
        <w:t xml:space="preserve"> </w:t>
      </w:r>
      <w:r>
        <w:rPr>
          <w:rStyle w:val="VerbatimChar"/>
        </w:rPr>
        <w:t xml:space="preserve">JsonWebSignature2020</w:t>
      </w:r>
      <w:r>
        <w:t xml:space="preserve">, EU AI Act Art. 12</w:t>
      </w:r>
    </w:p>
    <w:p>
      <w:pPr>
        <w:numPr>
          <w:ilvl w:val="0"/>
          <w:numId w:val="1002"/>
        </w:numPr>
        <w:pStyle w:val="Compact"/>
      </w:pPr>
      <w:r>
        <w:rPr>
          <w:bCs/>
          <w:b/>
        </w:rPr>
        <w:t xml:space="preserve">Temporal Context:</w:t>
      </w:r>
      <w:r>
        <w:t xml:space="preserve"> </w:t>
      </w:r>
      <w:r>
        <w:t xml:space="preserve">2026-Q3, KYA schema freeze at v2.0</w:t>
      </w:r>
    </w:p>
    <w:p>
      <w:r>
        <w:pict>
          <v:rect style="width:0;height:1.5pt" o:hralign="center" o:hrstd="t" o:hr="t"/>
        </w:pict>
      </w:r>
    </w:p>
    <w:bookmarkEnd w:id="20"/>
    <w:bookmarkStart w:id="21" w:name="why-this-note-exists"/>
    <w:p>
      <w:pPr>
        <w:pStyle w:val="Heading2"/>
      </w:pPr>
      <w:r>
        <w:t xml:space="preserve">Why this note exists</w:t>
      </w:r>
    </w:p>
    <w:p>
      <w:pPr>
        <w:pStyle w:val="FirstParagraph"/>
      </w:pPr>
      <w:r>
        <w:t xml:space="preserve">PR #1716 shipped the signing path the KYA trust chain had been missing, and closed the §14 schema freeze. It produced</w:t>
      </w:r>
      <w:r>
        <w:t xml:space="preserve"> </w:t>
      </w:r>
      <w:r>
        <w:rPr>
          <w:bCs/>
          <w:b/>
        </w:rPr>
        <w:t xml:space="preserve">no field note, no KB entry, and no HIC question</w:t>
      </w:r>
      <w:r>
        <w:t xml:space="preserve"> </w:t>
      </w:r>
      <w:r>
        <w:t xml:space="preserve">— so the</w:t>
      </w:r>
      <w:r>
        <w:t xml:space="preserve"> </w:t>
      </w:r>
      <w:r>
        <w:rPr>
          <w:iCs/>
          <w:i/>
        </w:rPr>
        <w:t xml:space="preserve">reasoning</w:t>
      </w:r>
      <w:r>
        <w:t xml:space="preserve"> </w:t>
      </w:r>
      <w:r>
        <w:t xml:space="preserve">behind an irreversible cryptographic choice lived only in a PR body. This note is the retroactive HIC outcome. The decision it records is the kind that is cheap to make once and expensive to revisit after credentials exist in the wild.</w:t>
      </w:r>
    </w:p>
    <w:bookmarkEnd w:id="21"/>
    <w:bookmarkStart w:id="23" w:name="the-decision"/>
    <w:p>
      <w:pPr>
        <w:pStyle w:val="Heading2"/>
      </w:pPr>
      <w:r>
        <w:t xml:space="preserve">The Decision</w:t>
      </w:r>
    </w:p>
    <w:p>
      <w:pPr>
        <w:pStyle w:val="FirstParagraph"/>
      </w:pPr>
      <w:r>
        <w:rPr>
          <w:bCs/>
          <w:b/>
        </w:rPr>
        <w:t xml:space="preserve">Ed25519 signing via Node’s built-in</w:t>
      </w:r>
      <w:r>
        <w:rPr>
          <w:bCs/>
          <w:b/>
        </w:rPr>
        <w:t xml:space="preserve"> </w:t>
      </w:r>
      <w:r>
        <w:rPr>
          <w:rStyle w:val="VerbatimChar"/>
          <w:bCs/>
          <w:b/>
        </w:rPr>
        <w:t xml:space="preserve">node:crypto</w:t>
      </w:r>
      <w:r>
        <w:rPr>
          <w:bCs/>
          <w:b/>
        </w:rPr>
        <w:t xml:space="preserve"> </w:t>
      </w:r>
      <w:r>
        <w:rPr>
          <w:bCs/>
          <w:b/>
        </w:rPr>
        <w:t xml:space="preserve">— not the</w:t>
      </w:r>
      <w:r>
        <w:rPr>
          <w:bCs/>
          <w:b/>
        </w:rPr>
        <w:t xml:space="preserve"> </w:t>
      </w:r>
      <w:r>
        <w:rPr>
          <w:rStyle w:val="VerbatimChar"/>
          <w:bCs/>
          <w:b/>
        </w:rPr>
        <w:t xml:space="preserve">jose</w:t>
      </w:r>
      <w:r>
        <w:rPr>
          <w:bCs/>
          <w:b/>
        </w:rPr>
        <w:t xml:space="preserve"> </w:t>
      </w:r>
      <w:r>
        <w:rPr>
          <w:bCs/>
          <w:b/>
        </w:rPr>
        <w:t xml:space="preserve">library.</w:t>
      </w:r>
    </w:p>
    <w:p>
      <w:pPr>
        <w:pStyle w:val="BodyText"/>
      </w:pPr>
      <w:r>
        <w:t xml:space="preserve">Stated rationale (PR #1716):</w:t>
      </w:r>
      <w:r>
        <w:t xml:space="preserve"> </w:t>
      </w:r>
      <w:r>
        <w:rPr>
          <w:iCs/>
          <w:i/>
        </w:rPr>
        <w:t xml:space="preserve">“</w:t>
      </w:r>
      <w:r>
        <w:rPr>
          <w:iCs/>
          <w:i/>
        </w:rPr>
        <w:t xml:space="preserve">Node-native Ed25519 (</w:t>
      </w:r>
      <w:r>
        <w:rPr>
          <w:rStyle w:val="VerbatimChar"/>
          <w:iCs/>
          <w:i/>
        </w:rPr>
        <w:t xml:space="preserve">node:crypto</w:t>
      </w:r>
      <w:r>
        <w:rPr>
          <w:iCs/>
          <w:i/>
        </w:rPr>
        <w:t xml:space="preserve">) — no third-party crypto dependency (jose was only transitive); sovereignty-clean.</w:t>
      </w:r>
      <w:r>
        <w:rPr>
          <w:iCs/>
          <w:i/>
        </w:rPr>
        <w:t xml:space="preserve">”</w:t>
      </w:r>
    </w:p>
    <w:p>
      <w:pPr>
        <w:pStyle w:val="BodyText"/>
      </w:pPr>
      <w:r>
        <w:rPr>
          <w:bCs/>
          <w:b/>
        </w:rPr>
        <w:t xml:space="preserve">Why that is the right call, stated properly:</w:t>
      </w:r>
      <w:r>
        <w:t xml:space="preserve"> </w:t>
      </w:r>
      <w:r>
        <w:t xml:space="preserve">a sovereignty product that adds a third-party dependency in order to</w:t>
      </w:r>
      <w:r>
        <w:t xml:space="preserve"> </w:t>
      </w:r>
      <w:r>
        <w:rPr>
          <w:iCs/>
          <w:i/>
        </w:rPr>
        <w:t xml:space="preserve">sign its sovereignty claims</w:t>
      </w:r>
      <w:r>
        <w:t xml:space="preserve"> </w:t>
      </w:r>
      <w:r>
        <w:t xml:space="preserve">has a supply-chain contradiction at its core. The credential exists to let a counterparty stop trusting our infrastructure; minting it through an npm package widens the trusted computing base at exactly the wrong point. Node’s crypto is already in the runtime’s audited surface, ships with the platform, and has no separate update cadence to track. Fewer moving parts in the signing path is not a convenience preference here — it is the product claim.</w:t>
      </w:r>
    </w:p>
    <w:p>
      <w:pPr>
        <w:pStyle w:val="BlockText"/>
      </w:pPr>
      <w:r>
        <w:rPr>
          <w:bCs/>
          <w:b/>
        </w:rPr>
        <w:t xml:space="preserve">Correction of record.</w:t>
      </w:r>
      <w:r>
        <w:t xml:space="preserve"> </w:t>
      </w:r>
      <w:r>
        <w:t xml:space="preserve">An earlier audit note this session (</w:t>
      </w:r>
      <w:r>
        <w:rPr>
          <w:rStyle w:val="VerbatimChar"/>
        </w:rPr>
        <w:t xml:space="preserve">2026-07-24-greg-isenberg-what-is-true-and-useful-for-kya.md</w:t>
      </w:r>
      <w:r>
        <w:t xml:space="preserve">) recommended</w:t>
      </w:r>
      <w:r>
        <w:t xml:space="preserve"> </w:t>
      </w:r>
      <w:r>
        <w:rPr>
          <w:rStyle w:val="VerbatimChar"/>
        </w:rPr>
        <w:t xml:space="preserve">jose</w:t>
      </w:r>
      <w:r>
        <w:t xml:space="preserve"> </w:t>
      </w:r>
      <w:r>
        <w:t xml:space="preserve">as</w:t>
      </w:r>
      <w:r>
        <w:t xml:space="preserve"> </w:t>
      </w:r>
      <w:r>
        <w:t xml:space="preserve">“</w:t>
      </w:r>
      <w:r>
        <w:t xml:space="preserve">the natural pick</w:t>
      </w:r>
      <w:r>
        <w:t xml:space="preserve">”</w:t>
      </w:r>
      <w:r>
        <w:t xml:space="preserve"> </w:t>
      </w:r>
      <w:r>
        <w:t xml:space="preserve">for JWS-enveloped VCs. That recommendation was made against</w:t>
      </w:r>
      <w:r>
        <w:t xml:space="preserve"> </w:t>
      </w:r>
      <w:r>
        <w:rPr>
          <w:rStyle w:val="VerbatimChar"/>
        </w:rPr>
        <w:t xml:space="preserve">main</w:t>
      </w:r>
      <w:r>
        <w:t xml:space="preserve">, where no signing existed, and is</w:t>
      </w:r>
      <w:r>
        <w:t xml:space="preserve"> </w:t>
      </w:r>
      <w:r>
        <w:rPr>
          <w:bCs/>
          <w:b/>
        </w:rPr>
        <w:t xml:space="preserve">superseded</w:t>
      </w:r>
      <w:r>
        <w:t xml:space="preserve"> </w:t>
      </w:r>
      <w:r>
        <w:t xml:space="preserve">— the actual decision went the other way, for a better reason than the one behind the recommendation. Recorded rather than quietly dropped: the recommendation optimized for ergonomics; the decision optimized for the trusted computing base, which is the property KYA sells.</w:t>
      </w:r>
    </w:p>
    <w:p>
      <w:pPr>
        <w:pStyle w:val="Heading3"/>
      </w:pPr>
      <w:bookmarkStart w:id="22" w:name="X8995a0bdcad93c6c8b404785c238a605f69226e"/>
      <w:r>
        <w:t xml:space="preserve">⛔ Do not re-add</w:t>
      </w:r>
      <w:r>
        <w:t xml:space="preserve"> </w:t>
      </w:r>
      <w:r>
        <w:rPr>
          <w:rStyle w:val="VerbatimChar"/>
        </w:rPr>
        <w:t xml:space="preserve">jose</w:t>
      </w:r>
      <w:r>
        <w:t xml:space="preserve"> </w:t>
      </w:r>
      <w:r>
        <w:t xml:space="preserve">— anti-regression note (24.07.2026)</w:t>
      </w:r>
      <w:bookmarkEnd w:id="22"/>
    </w:p>
    <w:p>
      <w:pPr>
        <w:pStyle w:val="BlockText"/>
      </w:pPr>
      <w:r>
        <w:t xml:space="preserve">The superseded recommendation has already begun circulating back as a plan. A</w:t>
      </w:r>
      <w:r>
        <w:t xml:space="preserve"> </w:t>
      </w:r>
      <w:r>
        <w:rPr>
          <w:bCs/>
          <w:b/>
        </w:rPr>
        <w:t xml:space="preserve">Boardy review dated 24.07.2026 stated</w:t>
      </w:r>
      <w:r>
        <w:rPr>
          <w:bCs/>
          <w:b/>
        </w:rPr>
        <w:t xml:space="preserve"> </w:t>
      </w:r>
      <w:r>
        <w:rPr>
          <w:bCs/>
          <w:b/>
        </w:rPr>
        <w:t xml:space="preserve">“</w:t>
      </w:r>
      <w:r>
        <w:rPr>
          <w:bCs/>
          <w:b/>
        </w:rPr>
        <w:t xml:space="preserve">the</w:t>
      </w:r>
      <w:r>
        <w:rPr>
          <w:bCs/>
          <w:b/>
        </w:rPr>
        <w:t xml:space="preserve"> </w:t>
      </w:r>
      <w:r>
        <w:rPr>
          <w:rStyle w:val="VerbatimChar"/>
          <w:bCs/>
          <w:b/>
        </w:rPr>
        <w:t xml:space="preserve">jose</w:t>
      </w:r>
      <w:r>
        <w:rPr>
          <w:bCs/>
          <w:b/>
        </w:rPr>
        <w:t xml:space="preserve"> </w:t>
      </w:r>
      <w:r>
        <w:rPr>
          <w:bCs/>
          <w:b/>
        </w:rPr>
        <w:t xml:space="preserve">dependency is clean, one-line add, no research tax</w:t>
      </w:r>
      <w:r>
        <w:rPr>
          <w:bCs/>
          <w:b/>
        </w:rPr>
        <w:t xml:space="preserve">”</w:t>
      </w:r>
      <w:r>
        <w:t xml:space="preserve"> </w:t>
      </w:r>
      <w:r>
        <w:t xml:space="preserve">and described the roadmap as running</w:t>
      </w:r>
      <w:r>
        <w:t xml:space="preserve"> </w:t>
      </w:r>
      <w:r>
        <w:t xml:space="preserve">“</w:t>
      </w:r>
      <w:r>
        <w:t xml:space="preserve">while</w:t>
      </w:r>
      <w:r>
        <w:t xml:space="preserve"> </w:t>
      </w:r>
      <w:r>
        <w:rPr>
          <w:rStyle w:val="VerbatimChar"/>
        </w:rPr>
        <w:t xml:space="preserve">jose</w:t>
      </w:r>
      <w:r>
        <w:t xml:space="preserve"> </w:t>
      </w:r>
      <w:r>
        <w:t xml:space="preserve">gets added</w:t>
      </w:r>
      <w:r>
        <w:t xml:space="preserve">”</w:t>
      </w:r>
      <w:r>
        <w:t xml:space="preserve"> </w:t>
      </w:r>
      <w:r>
        <w:t xml:space="preserve">— reading this session’s</w:t>
      </w:r>
      <w:r>
        <w:t xml:space="preserve"> </w:t>
      </w:r>
      <w:r>
        <w:rPr>
          <w:iCs/>
          <w:i/>
        </w:rPr>
        <w:t xml:space="preserve">withdrawn</w:t>
      </w:r>
      <w:r>
        <w:t xml:space="preserve"> </w:t>
      </w:r>
      <w:r>
        <w:t xml:space="preserve">recommendation as current intent, and unaware that PR #1716 had already decided the opposite.</w:t>
      </w:r>
    </w:p>
    <w:p>
      <w:pPr>
        <w:pStyle w:val="BlockText"/>
      </w:pPr>
      <w:r>
        <w:rPr>
          <w:rStyle w:val="VerbatimChar"/>
          <w:bCs/>
          <w:b/>
        </w:rPr>
        <w:t xml:space="preserve">jose</w:t>
      </w:r>
      <w:r>
        <w:rPr>
          <w:bCs/>
          <w:b/>
        </w:rPr>
        <w:t xml:space="preserve"> </w:t>
      </w:r>
      <w:r>
        <w:rPr>
          <w:bCs/>
          <w:b/>
        </w:rPr>
        <w:t xml:space="preserve">is not on the roadmap. It was considered and rejected.</w:t>
      </w:r>
      <w:r>
        <w:t xml:space="preserve"> </w:t>
      </w:r>
      <w:r>
        <w:t xml:space="preserve">Adding it would silently reverse the stated rationale for the whole signing design (</w:t>
      </w:r>
      <w:r>
        <w:t xml:space="preserve">“</w:t>
      </w:r>
      <w:r>
        <w:t xml:space="preserve">no third-party crypto dependency… sovereignty-clean</w:t>
      </w:r>
      <w:r>
        <w:t xml:space="preserve">”</w:t>
      </w:r>
      <w:r>
        <w:t xml:space="preserve">) and widen the trusted computing base at the exact point KYA exists to narrow it.</w:t>
      </w:r>
      <w:r>
        <w:t xml:space="preserve"> </w:t>
      </w:r>
      <w:r>
        <w:rPr>
          <w:rStyle w:val="VerbatimChar"/>
        </w:rPr>
        <w:t xml:space="preserve">node:crypto</w:t>
      </w:r>
      <w:r>
        <w:t xml:space="preserve"> </w:t>
      </w:r>
      <w:r>
        <w:t xml:space="preserve">already provides Ed25519 keygen, sign, and verify — the</w:t>
      </w:r>
      <w:r>
        <w:t xml:space="preserve"> </w:t>
      </w:r>
      <w:r>
        <w:t xml:space="preserve">“</w:t>
      </w:r>
      <w:r>
        <w:t xml:space="preserve">one-line add</w:t>
      </w:r>
      <w:r>
        <w:t xml:space="preserve">”</w:t>
      </w:r>
      <w:r>
        <w:t xml:space="preserve"> </w:t>
      </w:r>
      <w:r>
        <w:t xml:space="preserve">buys nothing and costs the argument.</w:t>
      </w:r>
    </w:p>
    <w:p>
      <w:pPr>
        <w:pStyle w:val="BlockText"/>
      </w:pPr>
      <w:r>
        <w:t xml:space="preserve">Any future proposal to introduce</w:t>
      </w:r>
      <w:r>
        <w:t xml:space="preserve"> </w:t>
      </w:r>
      <w:r>
        <w:rPr>
          <w:rStyle w:val="VerbatimChar"/>
        </w:rPr>
        <w:t xml:space="preserve">jose</w:t>
      </w:r>
      <w:r>
        <w:t xml:space="preserve"> </w:t>
      </w:r>
      <w:r>
        <w:t xml:space="preserve">(or another third-party crypto library) into the signing path must be argued</w:t>
      </w:r>
      <w:r>
        <w:t xml:space="preserve"> </w:t>
      </w:r>
      <w:r>
        <w:rPr>
          <w:bCs/>
          <w:b/>
        </w:rPr>
        <w:t xml:space="preserve">against this paragraph</w:t>
      </w:r>
      <w:r>
        <w:t xml:space="preserve">, on the merits, and recorded as a version bump to §14.7.1 — not slipped in as a convenience.</w:t>
      </w:r>
    </w:p>
    <w:p>
      <w:pPr>
        <w:pStyle w:val="BlockText"/>
      </w:pPr>
      <w:r>
        <w:t xml:space="preserve">Related state correction in the same review: §14.7.1 is described as still pending (</w:t>
      </w:r>
      <w:r>
        <w:t xml:space="preserve">“</w:t>
      </w:r>
      <w:r>
        <w:t xml:space="preserve">while §14.7.1 lands</w:t>
      </w:r>
      <w:r>
        <w:t xml:space="preserve">”</w:t>
      </w:r>
      <w:r>
        <w:t xml:space="preserve">). It is</w:t>
      </w:r>
      <w:r>
        <w:t xml:space="preserve"> </w:t>
      </w:r>
      <w:r>
        <w:rPr>
          <w:bCs/>
          <w:b/>
        </w:rPr>
        <w:t xml:space="preserve">implemented in PR #1716</w:t>
      </w:r>
      <w:r>
        <w:t xml:space="preserve"> </w:t>
      </w:r>
      <w:r>
        <w:t xml:space="preserve">and retitled there from</w:t>
      </w:r>
      <w:r>
        <w:t xml:space="preserve"> </w:t>
      </w:r>
      <w:r>
        <w:t xml:space="preserve">“</w:t>
      </w:r>
      <w:r>
        <w:t xml:space="preserve">target design</w:t>
      </w:r>
      <w:r>
        <w:t xml:space="preserve">”</w:t>
      </w:r>
      <w:r>
        <w:t xml:space="preserve"> </w:t>
      </w:r>
      <w:r>
        <w:t xml:space="preserve">to implemented — though that PR is</w:t>
      </w:r>
      <w:r>
        <w:t xml:space="preserve"> </w:t>
      </w:r>
      <w:r>
        <w:rPr>
          <w:bCs/>
          <w:b/>
        </w:rPr>
        <w:t xml:space="preserve">open, not merged</w:t>
      </w:r>
      <w:r>
        <w:t xml:space="preserve">.</w:t>
      </w:r>
    </w:p>
    <w:bookmarkEnd w:id="23"/>
    <w:bookmarkStart w:id="24" w:name="what-shipped-per-pr-1716"/>
    <w:p>
      <w:pPr>
        <w:pStyle w:val="Heading2"/>
      </w:pPr>
      <w:r>
        <w:t xml:space="preserve">What Shipped (per PR #1716)</w:t>
      </w:r>
    </w:p>
    <w:tbl>
      <w:tblPr>
        <w:tblStyle w:val="Table"/>
        <w:tblW w:type="pct" w:w="5000"/>
        <w:tblLook w:firstRow="1" w:lastRow="0" w:firstColumn="0" w:lastColumn="0" w:noHBand="0" w:noVBand="0" w:val="0020"/>
        <w:jc w:val="start"/>
      </w:tblPr>
      <w:tblGrid>
        <w:gridCol w:w="1161"/>
        <w:gridCol w:w="6758"/>
      </w:tblGrid>
      <w:tr>
        <w:trPr>
          <w:tblHeader w:val="true"/>
        </w:trPr>
        <w:tc>
          <w:tcPr/>
          <w:p>
            <w:pPr>
              <w:pStyle w:val="Compact"/>
              <w:jc w:val="left"/>
            </w:pPr>
            <w:r>
              <w:t xml:space="preserve">Module</w:t>
            </w:r>
          </w:p>
        </w:tc>
        <w:tc>
          <w:tcPr/>
          <w:p>
            <w:pPr>
              <w:pStyle w:val="Compact"/>
              <w:jc w:val="left"/>
            </w:pPr>
            <w:r>
              <w:t xml:space="preserve">What it provides</w:t>
            </w:r>
          </w:p>
        </w:tc>
      </w:tr>
      <w:tr>
        <w:tc>
          <w:tcPr/>
          <w:p>
            <w:pPr>
              <w:pStyle w:val="Compact"/>
              <w:jc w:val="left"/>
            </w:pPr>
            <w:r>
              <w:rPr>
                <w:rStyle w:val="VerbatimChar"/>
              </w:rPr>
              <w:t xml:space="preserve">attestation-signing.ts</w:t>
            </w:r>
          </w:p>
        </w:tc>
        <w:tc>
          <w:tcPr/>
          <w:p>
            <w:pPr>
              <w:pStyle w:val="Compact"/>
              <w:jc w:val="left"/>
            </w:pPr>
            <w:r>
              <w:rPr>
                <w:rStyle w:val="VerbatimChar"/>
              </w:rPr>
              <w:t xml:space="preserve">signVerifiedDoneAttestation()</w:t>
            </w:r>
            <w:r>
              <w:t xml:space="preserve"> </w:t>
            </w:r>
            <w:r>
              <w:t xml:space="preserve">(EdDSA</w:t>
            </w:r>
            <w:r>
              <w:t xml:space="preserve"> </w:t>
            </w:r>
            <w:r>
              <w:rPr>
                <w:bCs/>
                <w:b/>
              </w:rPr>
              <w:t xml:space="preserve">detached JWS</w:t>
            </w:r>
            <w:r>
              <w:t xml:space="preserve">,</w:t>
            </w:r>
            <w:r>
              <w:t xml:space="preserve"> </w:t>
            </w:r>
            <w:r>
              <w:rPr>
                <w:rStyle w:val="VerbatimChar"/>
              </w:rPr>
              <w:t xml:space="preserve">JsonWebSignature2020</w:t>
            </w:r>
            <w:r>
              <w:t xml:space="preserve">,</w:t>
            </w:r>
            <w:r>
              <w:t xml:space="preserve"> </w:t>
            </w:r>
            <w:r>
              <w:rPr>
                <w:rStyle w:val="VerbatimChar"/>
              </w:rPr>
              <w:t xml:space="preserve">proofStatus → 'signed'</w:t>
            </w:r>
            <w:r>
              <w:t xml:space="preserve">),</w:t>
            </w:r>
            <w:r>
              <w:t xml:space="preserve"> </w:t>
            </w:r>
            <w:r>
              <w:rPr>
                <w:rStyle w:val="VerbatimChar"/>
              </w:rPr>
              <w:t xml:space="preserve">verifyVerifiedDoneAttestation()</w:t>
            </w:r>
            <w:r>
              <w:t xml:space="preserve">,</w:t>
            </w:r>
            <w:r>
              <w:t xml:space="preserve"> </w:t>
            </w:r>
            <w:r>
              <w:rPr>
                <w:rStyle w:val="VerbatimChar"/>
              </w:rPr>
              <w:t xml:space="preserve">generateIssuerKeyPair()</w:t>
            </w:r>
            <w:r>
              <w:t xml:space="preserve">,</w:t>
            </w:r>
            <w:r>
              <w:t xml:space="preserve"> </w:t>
            </w:r>
            <w:r>
              <w:rPr>
                <w:rStyle w:val="VerbatimChar"/>
              </w:rPr>
              <w:t xml:space="preserve">loadIssuerSignerFromEnv()</w:t>
            </w:r>
          </w:p>
        </w:tc>
      </w:tr>
      <w:tr>
        <w:tc>
          <w:tcPr/>
          <w:p>
            <w:pPr>
              <w:pStyle w:val="Compact"/>
              <w:jc w:val="left"/>
            </w:pPr>
            <w:r>
              <w:rPr>
                <w:rStyle w:val="VerbatimChar"/>
              </w:rPr>
              <w:t xml:space="preserve">attestation-store.ts</w:t>
            </w:r>
          </w:p>
        </w:tc>
        <w:tc>
          <w:tcPr/>
          <w:p>
            <w:pPr>
              <w:pStyle w:val="Compact"/>
              <w:jc w:val="left"/>
            </w:pPr>
            <w:r>
              <w:rPr>
                <w:rStyle w:val="VerbatimChar"/>
              </w:rPr>
              <w:t xml:space="preserve">VerifiedDoneAttestationStore</w:t>
            </w:r>
            <w:r>
              <w:t xml:space="preserve"> </w:t>
            </w:r>
            <w:r>
              <w:t xml:space="preserve">—</w:t>
            </w:r>
            <w:r>
              <w:t xml:space="preserve"> </w:t>
            </w:r>
            <w:r>
              <w:rPr>
                <w:rStyle w:val="VerbatimChar"/>
              </w:rPr>
              <w:t xml:space="preserve">persist()</w:t>
            </w:r>
            <w:r>
              <w:t xml:space="preserve">,</w:t>
            </w:r>
            <w:r>
              <w:t xml:space="preserve"> </w:t>
            </w:r>
            <w:r>
              <w:rPr>
                <w:rStyle w:val="VerbatimChar"/>
              </w:rPr>
              <w:t xml:space="preserve">sign()</w:t>
            </w:r>
            <w:r>
              <w:t xml:space="preserve"> </w:t>
            </w:r>
            <w:r>
              <w:t xml:space="preserve">(guards</w:t>
            </w:r>
            <w:r>
              <w:t xml:space="preserve"> </w:t>
            </w:r>
            <w:r>
              <w:rPr>
                <w:rStyle w:val="VerbatimChar"/>
              </w:rPr>
              <w:t xml:space="preserve">unsigned</w:t>
            </w:r>
            <w:r>
              <w:t xml:space="preserve">),</w:t>
            </w:r>
            <w:r>
              <w:t xml:space="preserve"> </w:t>
            </w:r>
            <w:r>
              <w:rPr>
                <w:rStyle w:val="VerbatimChar"/>
              </w:rPr>
              <w:t xml:space="preserve">revoke()</w:t>
            </w:r>
            <w:r>
              <w:t xml:space="preserve"> </w:t>
            </w:r>
            <w:r>
              <w:t xml:space="preserve">(status transition,</w:t>
            </w:r>
            <w:r>
              <w:t xml:space="preserve"> </w:t>
            </w:r>
            <w:r>
              <w:rPr>
                <w:bCs/>
                <w:b/>
              </w:rPr>
              <w:t xml:space="preserve">never</w:t>
            </w:r>
            <w:r>
              <w:t xml:space="preserve"> </w:t>
            </w:r>
            <w:r>
              <w:t xml:space="preserve">DELETE)</w:t>
            </w:r>
          </w:p>
        </w:tc>
      </w:tr>
      <w:tr>
        <w:tc>
          <w:tcPr/>
          <w:p>
            <w:pPr>
              <w:pStyle w:val="Compact"/>
              <w:jc w:val="left"/>
            </w:pPr>
            <w:r>
              <w:rPr>
                <w:rStyle w:val="VerbatimChar"/>
              </w:rPr>
              <w:t xml:space="preserve">attestation-issuance.ts</w:t>
            </w:r>
          </w:p>
        </w:tc>
        <w:tc>
          <w:tcPr/>
          <w:p>
            <w:pPr>
              <w:pStyle w:val="Compact"/>
              <w:jc w:val="left"/>
            </w:pPr>
            <w:r>
              <w:rPr>
                <w:rStyle w:val="VerbatimChar"/>
              </w:rPr>
              <w:t xml:space="preserve">attestMandateExecution()</w:t>
            </w:r>
            <w:r>
              <w:t xml:space="preserve"> </w:t>
            </w:r>
            <w:r>
              <w:t xml:space="preserve">— issue → sign-if-configured → persist → log</w:t>
            </w:r>
            <w:r>
              <w:t xml:space="preserve"> </w:t>
            </w:r>
            <w:r>
              <w:rPr>
                <w:rStyle w:val="VerbatimChar"/>
              </w:rPr>
              <w:t xml:space="preserve">mandate.attest</w:t>
            </w:r>
          </w:p>
        </w:tc>
      </w:tr>
      <w:tr>
        <w:tc>
          <w:tcPr/>
          <w:p>
            <w:pPr>
              <w:pStyle w:val="Compact"/>
              <w:jc w:val="left"/>
            </w:pPr>
            <w:r>
              <w:rPr>
                <w:rStyle w:val="VerbatimChar"/>
              </w:rPr>
              <w:t xml:space="preserve">mandate-event-logger.ts</w:t>
            </w:r>
          </w:p>
        </w:tc>
        <w:tc>
          <w:tcPr/>
          <w:p>
            <w:pPr>
              <w:pStyle w:val="Compact"/>
              <w:jc w:val="left"/>
            </w:pPr>
            <w:r>
              <w:rPr>
                <w:rStyle w:val="VerbatimChar"/>
              </w:rPr>
              <w:t xml:space="preserve">MandateEventLogger</w:t>
            </w:r>
            <w:r>
              <w:t xml:space="preserve"> </w:t>
            </w:r>
            <w:r>
              <w:t xml:space="preserve">appends to</w:t>
            </w:r>
            <w:r>
              <w:t xml:space="preserve"> </w:t>
            </w:r>
            <w:r>
              <w:rPr>
                <w:rStyle w:val="VerbatimChar"/>
              </w:rPr>
              <w:t xml:space="preserve">kya_mandate_events</w:t>
            </w:r>
            <w:r>
              <w:t xml:space="preserve">;</w:t>
            </w:r>
            <w:r>
              <w:t xml:space="preserve"> </w:t>
            </w:r>
            <w:r>
              <w:rPr>
                <w:rStyle w:val="VerbatimChar"/>
              </w:rPr>
              <w:t xml:space="preserve">prev_hash</w:t>
            </w:r>
            <w:r>
              <w:t xml:space="preserve">/</w:t>
            </w:r>
            <w:r>
              <w:rPr>
                <w:rStyle w:val="VerbatimChar"/>
              </w:rPr>
              <w:t xml:space="preserve">event_hash</w:t>
            </w:r>
            <w:r>
              <w:t xml:space="preserve"> </w:t>
            </w:r>
            <w:r>
              <w:t xml:space="preserve">are</w:t>
            </w:r>
            <w:r>
              <w:t xml:space="preserve"> </w:t>
            </w:r>
            <w:r>
              <w:rPr>
                <w:bCs/>
                <w:b/>
              </w:rPr>
              <w:t xml:space="preserve">trigger-set, never app-set</w:t>
            </w:r>
          </w:p>
        </w:tc>
      </w:tr>
    </w:tbl>
    <w:p>
      <w:pPr>
        <w:pStyle w:val="BodyText"/>
      </w:pPr>
      <w:r>
        <w:t xml:space="preserve">Envelope choice is consistent with §14.7.1 as written: JWS first, Data Integrity (</w:t>
      </w:r>
      <w:r>
        <w:rPr>
          <w:rStyle w:val="VerbatimChar"/>
        </w:rPr>
        <w:t xml:space="preserve">eddsa-rdfc-2022</w:t>
      </w:r>
      <w:r>
        <w:t xml:space="preserve">) only on counterparty demand — so no RDF canonicalization is on the critical path.</w:t>
      </w:r>
    </w:p>
    <w:p>
      <w:pPr>
        <w:pStyle w:val="BodyText"/>
      </w:pPr>
      <w:r>
        <w:t xml:space="preserve">Tests:</w:t>
      </w:r>
      <w:r>
        <w:t xml:space="preserve"> </w:t>
      </w:r>
      <w:r>
        <w:rPr>
          <w:bCs/>
          <w:b/>
        </w:rPr>
        <w:t xml:space="preserve">47/47</w:t>
      </w:r>
      <w:r>
        <w:t xml:space="preserve"> </w:t>
      </w:r>
      <w:r>
        <w:t xml:space="preserve">across the identity suite (mandate-gate 21, attestation 6,</w:t>
      </w:r>
      <w:r>
        <w:t xml:space="preserve"> </w:t>
      </w:r>
      <w:r>
        <w:rPr>
          <w:bCs/>
          <w:b/>
        </w:rPr>
        <w:t xml:space="preserve">signing 8</w:t>
      </w:r>
      <w:r>
        <w:t xml:space="preserve">, store 6, event-logger 2, issuance 4).</w:t>
      </w:r>
      <w:r>
        <w:t xml:space="preserve"> </w:t>
      </w:r>
      <w:r>
        <w:rPr>
          <w:rStyle w:val="VerbatimChar"/>
        </w:rPr>
        <w:t xml:space="preserve">tsc --noEmit</w:t>
      </w:r>
      <w:r>
        <w:t xml:space="preserve"> </w:t>
      </w:r>
      <w:r>
        <w:t xml:space="preserve">and</w:t>
      </w:r>
      <w:r>
        <w:t xml:space="preserve"> </w:t>
      </w:r>
      <w:r>
        <w:rPr>
          <w:rStyle w:val="VerbatimChar"/>
        </w:rPr>
        <w:t xml:space="preserve">prettier --check</w:t>
      </w:r>
      <w:r>
        <w:t xml:space="preserve"> </w:t>
      </w:r>
      <w:r>
        <w:t xml:space="preserve">clean. ESLint could not run (</w:t>
      </w:r>
      <w:r>
        <w:rPr>
          <w:rStyle w:val="VerbatimChar"/>
        </w:rPr>
        <w:t xml:space="preserve">@eslint/js</w:t>
      </w:r>
      <w:r>
        <w:t xml:space="preserve"> </w:t>
      </w:r>
      <w:r>
        <w:t xml:space="preserve">missing — pre-existing).</w:t>
      </w:r>
    </w:p>
    <w:p>
      <w:pPr>
        <w:pStyle w:val="BodyText"/>
      </w:pPr>
      <w:r>
        <w:t xml:space="preserve">Standard:</w:t>
      </w:r>
      <w:r>
        <w:t xml:space="preserve"> </w:t>
      </w:r>
      <w:r>
        <w:rPr>
          <w:bCs/>
          <w:b/>
        </w:rPr>
        <w:t xml:space="preserve">KYA doc 1.11 → 2.0</w:t>
      </w:r>
      <w:r>
        <w:t xml:space="preserve">, §14 frozen to the TS shapes; §14.7.1 retitled from</w:t>
      </w:r>
      <w:r>
        <w:t xml:space="preserve"> </w:t>
      </w:r>
      <w:r>
        <w:t xml:space="preserve">“</w:t>
      </w:r>
      <w:r>
        <w:t xml:space="preserve">target design</w:t>
      </w:r>
      <w:r>
        <w:t xml:space="preserve">”</w:t>
      </w:r>
      <w:r>
        <w:t xml:space="preserve"> </w:t>
      </w:r>
      <w:r>
        <w:t xml:space="preserve">to implemented.</w:t>
      </w:r>
    </w:p>
    <w:bookmarkEnd w:id="24"/>
    <w:bookmarkStart w:id="25" w:name="X79ea5a12cd246dceb882cda04e4e2846cafff37"/>
    <w:p>
      <w:pPr>
        <w:pStyle w:val="Heading2"/>
      </w:pPr>
      <w:r>
        <w:t xml:space="preserve">The Insight — the env-var gating model has a silent-downgrade edge</w:t>
      </w:r>
    </w:p>
    <w:p>
      <w:pPr>
        <w:pStyle w:val="FirstParagraph"/>
      </w:pPr>
      <w:r>
        <w:rPr>
          <w:rStyle w:val="VerbatimChar"/>
        </w:rPr>
        <w:t xml:space="preserve">loadIssuerSignerFromEnv()</w:t>
      </w:r>
      <w:r>
        <w:t xml:space="preserve"> </w:t>
      </w:r>
      <w:r>
        <w:t xml:space="preserve">returns</w:t>
      </w:r>
      <w:r>
        <w:t xml:space="preserve"> </w:t>
      </w:r>
      <w:r>
        <w:rPr>
          <w:bCs/>
          <w:b/>
        </w:rPr>
        <w:t xml:space="preserve">null when the key env var is unset</w:t>
      </w:r>
      <w:r>
        <w:t xml:space="preserve">, and the unsigned path stays valid. Two things are true about that design:</w:t>
      </w:r>
    </w:p>
    <w:p>
      <w:pPr>
        <w:numPr>
          <w:ilvl w:val="0"/>
          <w:numId w:val="1003"/>
        </w:numPr>
        <w:pStyle w:val="Compact"/>
      </w:pPr>
      <w:r>
        <w:rPr>
          <w:bCs/>
          <w:b/>
        </w:rPr>
        <w:t xml:space="preserve">It is correct for development and for staged rollout.</w:t>
      </w:r>
      <w:r>
        <w:t xml:space="preserve"> </w:t>
      </w:r>
      <w:r>
        <w:t xml:space="preserve">Signing becomes opt-in by configuration. No developer needs a private key to run tests, and the tier-by-tier rollout (§14.7.1: Aegis on-prem first) is a config change rather than a code fork. The issuer key stays a runtime secret, never committed — which is the only acceptable shape.</w:t>
      </w:r>
    </w:p>
    <w:p>
      <w:pPr>
        <w:numPr>
          <w:ilvl w:val="0"/>
          <w:numId w:val="1003"/>
        </w:numPr>
        <w:pStyle w:val="Compact"/>
      </w:pPr>
      <w:r>
        <w:rPr>
          <w:bCs/>
          <w:b/>
        </w:rPr>
        <w:t xml:space="preserve">In production it is a silent security downgrade.</w:t>
      </w:r>
      <w:r>
        <w:t xml:space="preserve"> </w:t>
      </w:r>
      <w:r>
        <w:t xml:space="preserve">A missing or misnamed env var does not raise. It quietly mints</w:t>
      </w:r>
      <w:r>
        <w:t xml:space="preserve"> </w:t>
      </w:r>
      <w:r>
        <w:rPr>
          <w:rStyle w:val="VerbatimChar"/>
        </w:rPr>
        <w:t xml:space="preserve">proof_status='unsigned'</w:t>
      </w:r>
      <w:r>
        <w:t xml:space="preserve"> </w:t>
      </w:r>
      <w:r>
        <w:t xml:space="preserve">credentials that look successful to every caller, while counterparties receive claims they cannot verify. Nothing in the described design distinguishes</w:t>
      </w:r>
      <w:r>
        <w:t xml:space="preserve"> </w:t>
      </w:r>
      <w:r>
        <w:t xml:space="preserve">“</w:t>
      </w:r>
      <w:r>
        <w:t xml:space="preserve">unsigned because this is dev</w:t>
      </w:r>
      <w:r>
        <w:t xml:space="preserve">”</w:t>
      </w:r>
      <w:r>
        <w:t xml:space="preserve"> </w:t>
      </w:r>
      <w:r>
        <w:t xml:space="preserve">from</w:t>
      </w:r>
      <w:r>
        <w:t xml:space="preserve"> </w:t>
      </w:r>
      <w:r>
        <w:t xml:space="preserve">“</w:t>
      </w:r>
      <w:r>
        <w:t xml:space="preserve">unsigned because prod lost its key.</w:t>
      </w:r>
      <w:r>
        <w:t xml:space="preserve">”</w:t>
      </w:r>
    </w:p>
    <w:p>
      <w:pPr>
        <w:pStyle w:val="FirstParagraph"/>
      </w:pPr>
      <w:r>
        <w:t xml:space="preserve">That second property is in tension with</w:t>
      </w:r>
      <w:r>
        <w:t xml:space="preserve"> </w:t>
      </w:r>
      <w:r>
        <w:rPr>
          <w:bCs/>
          <w:b/>
        </w:rPr>
        <w:t xml:space="preserve">Engineering Discipline Rule 12 (Fail Loud)</w:t>
      </w:r>
      <w:r>
        <w:t xml:space="preserve"> </w:t>
      </w:r>
      <w:r>
        <w:t xml:space="preserve">—</w:t>
      </w:r>
      <w:r>
        <w:t xml:space="preserve"> </w:t>
      </w:r>
      <w:r>
        <w:t xml:space="preserve">“</w:t>
      </w:r>
      <w:r>
        <w:t xml:space="preserve">completed successfully while silently skipping is the worst class of bug.</w:t>
      </w:r>
      <w:r>
        <w:t xml:space="preserve">”</w:t>
      </w:r>
      <w:r>
        <w:t xml:space="preserve"> </w:t>
      </w:r>
      <w:r>
        <w:t xml:space="preserve">The fix is small and belongs with the rollout, not after it:</w:t>
      </w:r>
      <w:r>
        <w:t xml:space="preserve"> </w:t>
      </w:r>
      <w:r>
        <w:rPr>
          <w:bCs/>
          <w:b/>
        </w:rPr>
        <w:t xml:space="preserve">assert a signer is present when the environment is production or the tenant tier requires signing</w:t>
      </w:r>
      <w:r>
        <w:t xml:space="preserve">, and fail closed rather than degrade. The unsigned path should remain reachable only where it is explicitly, per-tenant intended.</w:t>
      </w:r>
    </w:p>
    <w:p>
      <w:pPr>
        <w:pStyle w:val="BodyText"/>
      </w:pPr>
      <w:r>
        <w:rPr>
          <w:rStyle w:val="VerbatimChar"/>
        </w:rPr>
        <w:t xml:space="preserve">verifyVerifiedDoneAttestation()</w:t>
      </w:r>
      <w:r>
        <w:t xml:space="preserve"> </w:t>
      </w:r>
      <w:r>
        <w:t xml:space="preserve">returning</w:t>
      </w:r>
      <w:r>
        <w:t xml:space="preserve"> </w:t>
      </w:r>
      <w:r>
        <w:rPr>
          <w:rStyle w:val="VerbatimChar"/>
        </w:rPr>
        <w:t xml:space="preserve">false</w:t>
      </w:r>
      <w:r>
        <w:t xml:space="preserve"> </w:t>
      </w:r>
      <w:r>
        <w:t xml:space="preserve">rather than throwing is the right complement on the read side — a verifier that crashes on a malformed credential is a denial-of-service surface — provided callers treat</w:t>
      </w:r>
      <w:r>
        <w:t xml:space="preserve"> </w:t>
      </w:r>
      <w:r>
        <w:rPr>
          <w:rStyle w:val="VerbatimChar"/>
        </w:rPr>
        <w:t xml:space="preserve">false</w:t>
      </w:r>
      <w:r>
        <w:t xml:space="preserve"> </w:t>
      </w:r>
      <w:r>
        <w:t xml:space="preserve">as</w:t>
      </w:r>
      <w:r>
        <w:t xml:space="preserve"> </w:t>
      </w:r>
      <w:r>
        <w:t xml:space="preserve">“</w:t>
      </w:r>
      <w:r>
        <w:t xml:space="preserve">reject,</w:t>
      </w:r>
      <w:r>
        <w:t xml:space="preserve">”</w:t>
      </w:r>
      <w:r>
        <w:t xml:space="preserve"> </w:t>
      </w:r>
      <w:r>
        <w:t xml:space="preserve">never as</w:t>
      </w:r>
      <w:r>
        <w:t xml:space="preserve"> </w:t>
      </w:r>
      <w:r>
        <w:t xml:space="preserve">“</w:t>
      </w:r>
      <w:r>
        <w:t xml:space="preserve">skip.</w:t>
      </w:r>
      <w:r>
        <w:t xml:space="preserve">”</w:t>
      </w:r>
    </w:p>
    <w:bookmarkEnd w:id="25"/>
    <w:bookmarkStart w:id="26" w:name="handoff-to-step-3-runtime-issuance"/>
    <w:p>
      <w:pPr>
        <w:pStyle w:val="Heading2"/>
      </w:pPr>
      <w:r>
        <w:t xml:space="preserve">Handoff to Step 3 — runtime issuance</w:t>
      </w:r>
    </w:p>
    <w:p>
      <w:pPr>
        <w:pStyle w:val="FirstParagraph"/>
      </w:pPr>
      <w:r>
        <w:t xml:space="preserve">PR #1716 ships</w:t>
      </w:r>
      <w:r>
        <w:t xml:space="preserve"> </w:t>
      </w:r>
      <w:r>
        <w:rPr>
          <w:rStyle w:val="VerbatimChar"/>
        </w:rPr>
        <w:t xml:space="preserve">attestMandateExecution()</w:t>
      </w:r>
      <w:r>
        <w:t xml:space="preserve"> </w:t>
      </w:r>
      <w:r>
        <w:t xml:space="preserve">as</w:t>
      </w:r>
      <w:r>
        <w:t xml:space="preserve"> </w:t>
      </w:r>
      <w:r>
        <w:rPr>
          <w:bCs/>
          <w:b/>
        </w:rPr>
        <w:t xml:space="preserve">a composable unit with no caller</w:t>
      </w:r>
      <w:r>
        <w:t xml:space="preserve">: per the PR,</w:t>
      </w:r>
      <w:r>
        <w:t xml:space="preserve"> </w:t>
      </w:r>
      <w:r>
        <w:t xml:space="preserve">“</w:t>
      </w:r>
      <w:r>
        <w:t xml:space="preserve">no such caller exists yet.</w:t>
      </w:r>
      <w:r>
        <w:t xml:space="preserve">”</w:t>
      </w:r>
      <w:r>
        <w:t xml:space="preserve"> </w:t>
      </w:r>
      <w:r>
        <w:t xml:space="preserve">That is the honest boundary of what is done.</w:t>
      </w:r>
    </w:p>
    <w:p>
      <w:pPr>
        <w:pStyle w:val="BodyText"/>
      </w:pPr>
      <w:r>
        <w:t xml:space="preserve">So the chain is now: shape frozen ✅ → signing implemented ✅ → storage + transitions ✅ →</w:t>
      </w:r>
      <w:r>
        <w:t xml:space="preserve"> </w:t>
      </w:r>
      <w:r>
        <w:rPr>
          <w:bCs/>
          <w:b/>
        </w:rPr>
        <w:t xml:space="preserve">runtime issuance ⛔ not wired</w:t>
      </w:r>
      <w:r>
        <w:t xml:space="preserve">. Nothing calls the seam from a live mandate-execution path, because no live mandate-execution path exists. Until that lands, KYA can sign an attestation but nothing in production produces one.</w:t>
      </w:r>
    </w:p>
    <w:p>
      <w:pPr>
        <w:pStyle w:val="BodyText"/>
      </w:pPr>
      <w:r>
        <w:t xml:space="preserve">Ordering note:</w:t>
      </w:r>
      <w:r>
        <w:t xml:space="preserve"> </w:t>
      </w:r>
      <w:r>
        <w:rPr>
          <w:rStyle w:val="VerbatimChar"/>
        </w:rPr>
        <w:t xml:space="preserve">attestMandateExecution()</w:t>
      </w:r>
      <w:r>
        <w:t xml:space="preserve"> </w:t>
      </w:r>
      <w:r>
        <w:rPr>
          <w:bCs/>
          <w:b/>
        </w:rPr>
        <w:t xml:space="preserve">persists before it logs</w:t>
      </w:r>
      <w:r>
        <w:t xml:space="preserve"> </w:t>
      </w:r>
      <w:r>
        <w:t xml:space="preserve">the</w:t>
      </w:r>
      <w:r>
        <w:t xml:space="preserve"> </w:t>
      </w:r>
      <w:r>
        <w:rPr>
          <w:rStyle w:val="VerbatimChar"/>
        </w:rPr>
        <w:t xml:space="preserve">mandate.attest</w:t>
      </w:r>
      <w:r>
        <w:t xml:space="preserve"> </w:t>
      </w:r>
      <w:r>
        <w:t xml:space="preserve">event. Worth preserving deliberately — a crash between the two leaves a stored credential with no evidence-chain entry (recoverable, auditable) rather than a chain entry pointing at a credential that does not exist (a hole in an append-only record).</w:t>
      </w:r>
    </w:p>
    <w:p>
      <w:pPr>
        <w:pStyle w:val="BodyText"/>
      </w:pPr>
      <w:r>
        <w:t xml:space="preserve">Deferred by design:</w:t>
      </w:r>
      <w:r>
        <w:t xml:space="preserve"> </w:t>
      </w:r>
      <w:r>
        <w:rPr>
          <w:bCs/>
          <w:b/>
        </w:rPr>
        <w:t xml:space="preserve">per-agent key delegation</w:t>
      </w:r>
      <w:r>
        <w:t xml:space="preserve"> </w:t>
      </w:r>
      <w:r>
        <w:t xml:space="preserve">(root-CA → per-agent) to v2.1, per §14.7.1.</w:t>
      </w:r>
    </w:p>
    <w:bookmarkEnd w:id="26"/>
    <w:bookmarkStart w:id="27" w:name="open-risk-carried-from-the-pr-checklist"/>
    <w:p>
      <w:pPr>
        <w:pStyle w:val="Heading2"/>
      </w:pPr>
      <w:r>
        <w:t xml:space="preserve">Open risk carried from the PR checklist</w:t>
      </w:r>
    </w:p>
    <w:p>
      <w:pPr>
        <w:pStyle w:val="FirstParagraph"/>
      </w:pPr>
      <w:r>
        <w:t xml:space="preserve">PR #1716 answers</w:t>
      </w:r>
      <w:r>
        <w:t xml:space="preserve"> </w:t>
      </w:r>
      <w:r>
        <w:rPr>
          <w:bCs/>
          <w:b/>
        </w:rPr>
        <w:t xml:space="preserve">“</w:t>
      </w:r>
      <w:r>
        <w:rPr>
          <w:bCs/>
          <w:b/>
        </w:rPr>
        <w:t xml:space="preserve">Does the change make any security assumptions or guarantees?</w:t>
      </w:r>
      <w:r>
        <w:rPr>
          <w:bCs/>
          <w:b/>
        </w:rPr>
        <w:t xml:space="preserve">”</w:t>
      </w:r>
      <w:r>
        <w:rPr>
          <w:bCs/>
          <w:b/>
        </w:rPr>
        <w:t xml:space="preserve"> </w:t>
      </w:r>
      <w:r>
        <w:rPr>
          <w:bCs/>
          <w:b/>
        </w:rPr>
        <w:t xml:space="preserve">→ Yes</w:t>
      </w:r>
      <w:r>
        <w:t xml:space="preserve">, and</w:t>
      </w:r>
      <w:r>
        <w:t xml:space="preserve"> </w:t>
      </w:r>
      <w:r>
        <w:rPr>
          <w:bCs/>
          <w:b/>
        </w:rPr>
        <w:t xml:space="preserve">“</w:t>
      </w:r>
      <w:r>
        <w:rPr>
          <w:bCs/>
          <w:b/>
        </w:rPr>
        <w:t xml:space="preserve">threat model and security review?</w:t>
      </w:r>
      <w:r>
        <w:rPr>
          <w:bCs/>
          <w:b/>
        </w:rPr>
        <w:t xml:space="preserve">”</w:t>
      </w:r>
      <w:r>
        <w:rPr>
          <w:bCs/>
          <w:b/>
        </w:rPr>
        <w:t xml:space="preserve"> </w:t>
      </w:r>
      <w:r>
        <w:rPr>
          <w:bCs/>
          <w:b/>
        </w:rPr>
        <w:t xml:space="preserve">→ No</w:t>
      </w:r>
      <w:r>
        <w:t xml:space="preserve">. Aikido’s automated scan reported no issues, and the only PR comments are bot deploys and that scan —</w:t>
      </w:r>
      <w:r>
        <w:t xml:space="preserve"> </w:t>
      </w:r>
      <w:r>
        <w:rPr>
          <w:bCs/>
          <w:b/>
        </w:rPr>
        <w:t xml:space="preserve">no human reviewed this cryptographic change.</w:t>
      </w:r>
      <w:r>
        <w:t xml:space="preserve"> </w:t>
      </w:r>
      <w:r>
        <w:t xml:space="preserve">Automated SAST does not evaluate key custody, rotation, or envelope choice. A human crypto review before merge is proportionate to what this code is for.</w:t>
      </w:r>
    </w:p>
    <w:bookmarkEnd w:id="27"/>
    <w:bookmarkStart w:id="28" w:name="Xc81a497e69f900b00f9e1216b5f560bb1600ba8"/>
    <w:p>
      <w:pPr>
        <w:pStyle w:val="Heading2"/>
      </w:pPr>
      <w:r>
        <w:t xml:space="preserve">The consolidated signing sequence (as of Boardy round 3)</w:t>
      </w:r>
    </w:p>
    <w:p>
      <w:pPr>
        <w:pStyle w:val="FirstParagraph"/>
      </w:pPr>
      <w:r>
        <w:t xml:space="preserve">Ordering constraints have accumulated across three reviews and an audit. Stated once, in dependency order, because several were discovered independently and no single document held them all:</w:t>
      </w:r>
    </w:p>
    <w:tbl>
      <w:tblPr>
        <w:tblStyle w:val="Table"/>
        <w:tblW w:type="pct" w:w="5000"/>
        <w:tblLook w:firstRow="1" w:lastRow="0" w:firstColumn="0" w:lastColumn="0" w:noHBand="0" w:noVBand="0" w:val="0020"/>
        <w:jc w:val="start"/>
      </w:tblPr>
      <w:tblGrid>
        <w:gridCol w:w="117"/>
        <w:gridCol w:w="3332"/>
        <w:gridCol w:w="4469"/>
      </w:tblGrid>
      <w:tr>
        <w:trPr>
          <w:tblHeader w:val="true"/>
        </w:trPr>
        <w:tc>
          <w:tcPr/>
          <w:p>
            <w:pPr>
              <w:pStyle w:val="Compact"/>
              <w:jc w:val="left"/>
            </w:pPr>
            <w:r>
              <w:t xml:space="preserve">#</w:t>
            </w:r>
          </w:p>
        </w:tc>
        <w:tc>
          <w:tcPr/>
          <w:p>
            <w:pPr>
              <w:pStyle w:val="Compact"/>
              <w:jc w:val="left"/>
            </w:pPr>
            <w:r>
              <w:t xml:space="preserve">Step</w:t>
            </w:r>
          </w:p>
        </w:tc>
        <w:tc>
          <w:tcPr/>
          <w:p>
            <w:pPr>
              <w:pStyle w:val="Compact"/>
              <w:jc w:val="left"/>
            </w:pPr>
            <w:r>
              <w:t xml:space="preserve">Why it is where it is</w:t>
            </w:r>
          </w:p>
        </w:tc>
      </w:tr>
      <w:tr>
        <w:tc>
          <w:tcPr/>
          <w:p>
            <w:pPr>
              <w:pStyle w:val="Compact"/>
              <w:jc w:val="left"/>
            </w:pPr>
            <w:r>
              <w:t xml:space="preserve">0</w:t>
            </w:r>
          </w:p>
        </w:tc>
        <w:tc>
          <w:tcPr/>
          <w:p>
            <w:pPr>
              <w:pStyle w:val="Compact"/>
              <w:jc w:val="left"/>
            </w:pPr>
            <w:r>
              <w:rPr>
                <w:bCs/>
                <w:b/>
              </w:rPr>
              <w:t xml:space="preserve">Human crypto review of PR #1716</w:t>
            </w:r>
          </w:p>
        </w:tc>
        <w:tc>
          <w:tcPr/>
          <w:p>
            <w:pPr>
              <w:pStyle w:val="Compact"/>
              <w:jc w:val="left"/>
            </w:pPr>
            <w:r>
              <w:t xml:space="preserve">Only bots have reviewed it; its own checklist says</w:t>
            </w:r>
            <w:r>
              <w:t xml:space="preserve"> </w:t>
            </w:r>
            <w:r>
              <w:t xml:space="preserve">“</w:t>
            </w:r>
            <w:r>
              <w:t xml:space="preserve">threat model / security review: No</w:t>
            </w:r>
            <w:r>
              <w:t xml:space="preserve">”</w:t>
            </w:r>
          </w:p>
        </w:tc>
      </w:tr>
      <w:tr>
        <w:tc>
          <w:tcPr/>
          <w:p>
            <w:pPr>
              <w:pStyle w:val="Compact"/>
              <w:jc w:val="left"/>
            </w:pPr>
            <w:r>
              <w:t xml:space="preserve">1</w:t>
            </w:r>
          </w:p>
        </w:tc>
        <w:tc>
          <w:tcPr/>
          <w:p>
            <w:pPr>
              <w:pStyle w:val="Compact"/>
              <w:jc w:val="left"/>
            </w:pPr>
            <w:r>
              <w:rPr>
                <w:bCs/>
                <w:b/>
              </w:rPr>
              <w:t xml:space="preserve">Migration 080: anchor (B7) + pseudonymous</w:t>
            </w:r>
            <w:r>
              <w:rPr>
                <w:bCs/>
                <w:b/>
              </w:rPr>
              <w:t xml:space="preserve"> </w:t>
            </w:r>
            <w:r>
              <w:rPr>
                <w:rStyle w:val="VerbatimChar"/>
                <w:bCs/>
                <w:b/>
              </w:rPr>
              <w:t xml:space="preserve">hic</w:t>
            </w:r>
            <w:r>
              <w:rPr>
                <w:bCs/>
                <w:b/>
              </w:rPr>
              <w:t xml:space="preserve"> </w:t>
            </w:r>
            <w:r>
              <w:rPr>
                <w:bCs/>
                <w:b/>
              </w:rPr>
              <w:t xml:space="preserve">(B8) + leaver sweep (D4)</w:t>
            </w:r>
          </w:p>
        </w:tc>
        <w:tc>
          <w:tcPr/>
          <w:p>
            <w:pPr>
              <w:pStyle w:val="Compact"/>
              <w:jc w:val="left"/>
            </w:pPr>
            <w:r>
              <w:t xml:space="preserve">Signing a mis-anchored attestation makes the defect durable. One offboarding story — shipping any one alone leaves the hole</w:t>
            </w:r>
          </w:p>
        </w:tc>
      </w:tr>
      <w:tr>
        <w:tc>
          <w:tcPr/>
          <w:p>
            <w:pPr>
              <w:pStyle w:val="Compact"/>
              <w:jc w:val="left"/>
            </w:pPr>
            <w:r>
              <w:t xml:space="preserve">2</w:t>
            </w:r>
          </w:p>
        </w:tc>
        <w:tc>
          <w:tcPr/>
          <w:p>
            <w:pPr>
              <w:pStyle w:val="Compact"/>
              <w:jc w:val="left"/>
            </w:pPr>
            <w:r>
              <w:rPr>
                <w:bCs/>
                <w:b/>
              </w:rPr>
              <w:t xml:space="preserve">Make the manifest signature real</w:t>
            </w:r>
          </w:p>
        </w:tc>
        <w:tc>
          <w:tcPr/>
          <w:p>
            <w:pPr>
              <w:pStyle w:val="Compact"/>
              <w:jc w:val="left"/>
            </w:pPr>
            <w:r>
              <w:t xml:space="preserve">Attestation signing sits on top of a manifest whose</w:t>
            </w:r>
            <w:r>
              <w:t xml:space="preserve"> </w:t>
            </w:r>
            <w:r>
              <w:rPr>
                <w:rStyle w:val="VerbatimChar"/>
              </w:rPr>
              <w:t xml:space="preserve">verified</w:t>
            </w:r>
            <w:r>
              <w:t xml:space="preserve"> </w:t>
            </w:r>
            <w:r>
              <w:t xml:space="preserve">flag is a caller-supplied boolean</w:t>
            </w:r>
          </w:p>
        </w:tc>
      </w:tr>
      <w:tr>
        <w:tc>
          <w:tcPr/>
          <w:p>
            <w:pPr>
              <w:pStyle w:val="Compact"/>
              <w:jc w:val="left"/>
            </w:pPr>
            <w:r>
              <w:t xml:space="preserve">3</w:t>
            </w:r>
          </w:p>
        </w:tc>
        <w:tc>
          <w:tcPr/>
          <w:p>
            <w:pPr>
              <w:pStyle w:val="Compact"/>
              <w:jc w:val="left"/>
            </w:pPr>
            <w:r>
              <w:rPr>
                <w:bCs/>
                <w:b/>
              </w:rPr>
              <w:t xml:space="preserve">Attestation signing + revocation status list — together</w:t>
            </w:r>
          </w:p>
        </w:tc>
        <w:tc>
          <w:tcPr/>
          <w:p>
            <w:pPr>
              <w:pStyle w:val="Compact"/>
              <w:jc w:val="left"/>
            </w:pPr>
            <w:r>
              <w:t xml:space="preserve">Signing without revocation is a one-way door; a released escrow could never be challenged</w:t>
            </w:r>
          </w:p>
        </w:tc>
      </w:tr>
      <w:tr>
        <w:tc>
          <w:tcPr/>
          <w:p>
            <w:pPr>
              <w:pStyle w:val="Compact"/>
              <w:jc w:val="left"/>
            </w:pPr>
            <w:r>
              <w:t xml:space="preserve">4</w:t>
            </w:r>
          </w:p>
        </w:tc>
        <w:tc>
          <w:tcPr/>
          <w:p>
            <w:pPr>
              <w:pStyle w:val="Compact"/>
              <w:jc w:val="left"/>
            </w:pPr>
            <w:r>
              <w:rPr>
                <w:bCs/>
                <w:b/>
              </w:rPr>
              <w:t xml:space="preserve">Fail-loud production signer assertion</w:t>
            </w:r>
          </w:p>
        </w:tc>
        <w:tc>
          <w:tcPr/>
          <w:p>
            <w:pPr>
              <w:pStyle w:val="Compact"/>
              <w:jc w:val="left"/>
            </w:pPr>
            <w:r>
              <w:t xml:space="preserve">Must precede the first tenant switch-on, or a missing env var silently mints unverifiable credentials</w:t>
            </w:r>
          </w:p>
        </w:tc>
      </w:tr>
      <w:tr>
        <w:tc>
          <w:tcPr/>
          <w:p>
            <w:pPr>
              <w:pStyle w:val="Compact"/>
              <w:jc w:val="left"/>
            </w:pPr>
            <w:r>
              <w:t xml:space="preserve">5</w:t>
            </w:r>
          </w:p>
        </w:tc>
        <w:tc>
          <w:tcPr/>
          <w:p>
            <w:pPr>
              <w:pStyle w:val="Compact"/>
              <w:jc w:val="left"/>
            </w:pPr>
            <w:r>
              <w:rPr>
                <w:bCs/>
                <w:b/>
              </w:rPr>
              <w:t xml:space="preserve">Key custody per tier, then turn tiers on (Aegis on-prem first)</w:t>
            </w:r>
          </w:p>
        </w:tc>
        <w:tc>
          <w:tcPr/>
          <w:p>
            <w:pPr>
              <w:pStyle w:val="Compact"/>
              <w:jc w:val="left"/>
            </w:pPr>
            <w:r>
              <w:t xml:space="preserve">Blast radius of one tenant, on a box that already holds the key</w:t>
            </w:r>
          </w:p>
        </w:tc>
      </w:tr>
      <w:tr>
        <w:tc>
          <w:tcPr/>
          <w:p>
            <w:pPr>
              <w:pStyle w:val="Compact"/>
              <w:jc w:val="left"/>
            </w:pPr>
            <w:r>
              <w:t xml:space="preserve">6</w:t>
            </w:r>
          </w:p>
        </w:tc>
        <w:tc>
          <w:tcPr/>
          <w:p>
            <w:pPr>
              <w:pStyle w:val="Compact"/>
              <w:jc w:val="left"/>
            </w:pPr>
            <w:r>
              <w:rPr>
                <w:rStyle w:val="VerbatimChar"/>
                <w:bCs/>
                <w:b/>
              </w:rPr>
              <w:t xml:space="preserve">did:web</w:t>
            </w:r>
            <w:r>
              <w:rPr>
                <w:bCs/>
                <w:b/>
              </w:rPr>
              <w:t xml:space="preserve"> </w:t>
            </w:r>
            <w:r>
              <w:rPr>
                <w:bCs/>
                <w:b/>
              </w:rPr>
              <w:t xml:space="preserve">issuer + published verifier</w:t>
            </w:r>
          </w:p>
        </w:tc>
        <w:tc>
          <w:tcPr/>
          <w:p>
            <w:pPr>
              <w:pStyle w:val="Compact"/>
              <w:jc w:val="left"/>
            </w:pPr>
            <w:r>
              <w:t xml:space="preserve">A signed credential nobody can resolve is still unverifiable</w:t>
            </w:r>
          </w:p>
        </w:tc>
      </w:tr>
    </w:tbl>
    <w:p>
      <w:pPr>
        <w:pStyle w:val="BodyText"/>
      </w:pPr>
      <w:r>
        <w:rPr>
          <w:bCs/>
          <w:b/>
        </w:rPr>
        <w:t xml:space="preserve">Runs in parallel, blocked by none of the above:</w:t>
      </w:r>
      <w:r>
        <w:t xml:space="preserve"> </w:t>
      </w:r>
      <w:r>
        <w:t xml:space="preserve">the</w:t>
      </w:r>
      <w:r>
        <w:t xml:space="preserve"> </w:t>
      </w:r>
      <w:r>
        <w:rPr>
          <w:bCs/>
          <w:b/>
        </w:rPr>
        <w:t xml:space="preserve">agent probation flow</w:t>
      </w:r>
      <w:r>
        <w:t xml:space="preserve"> </w:t>
      </w:r>
      <w:r>
        <w:t xml:space="preserve">(eval harness + ATS baseline). Boardy is right that this is real unlocked capacity — interviewing an agent inside one tenant needs no cryptography, only a hard task and a retained score. Only the</w:t>
      </w:r>
      <w:r>
        <w:t xml:space="preserve"> </w:t>
      </w:r>
      <w:r>
        <w:rPr>
          <w:iCs/>
          <w:i/>
        </w:rPr>
        <w:t xml:space="preserve">cross-org portable</w:t>
      </w:r>
      <w:r>
        <w:t xml:space="preserve"> </w:t>
      </w:r>
      <w:r>
        <w:t xml:space="preserve">version of that score needs a signature.</w:t>
      </w:r>
    </w:p>
    <w:bookmarkEnd w:id="28"/>
    <w:bookmarkStart w:id="32" w:name="next-steps"/>
    <w:p>
      <w:pPr>
        <w:pStyle w:val="Heading2"/>
      </w:pPr>
      <w:r>
        <w:t xml:space="preserve">Next Steps</w:t>
      </w:r>
    </w:p>
    <w:p>
      <w:pPr>
        <w:numPr>
          <w:ilvl w:val="0"/>
          <w:numId w:val="1004"/>
        </w:numPr>
        <w:pStyle w:val="Compact"/>
      </w:pPr>
      <w:r>
        <w:rPr>
          <w:bCs/>
          <w:b/>
        </w:rPr>
        <w:t xml:space="preserve">HIC decision 1 (24.07.2026): GO on option A</w:t>
      </w:r>
      <w:r>
        <w:t xml:space="preserve"> </w:t>
      </w:r>
      <w:r>
        <w:t xml:space="preserve">— human crypto review first, then merge,</w:t>
      </w:r>
      <w:r>
        <w:t xml:space="preserve"> </w:t>
      </w:r>
      <w:r>
        <w:rPr>
          <w:bCs/>
          <w:b/>
        </w:rPr>
        <w:t xml:space="preserve">all tiers unsigned</w:t>
      </w:r>
      <w:r>
        <w:t xml:space="preserve"> </w:t>
      </w:r>
      <w:r>
        <w:t xml:space="preserve">until key custody + the fail-loud guard land.</w:t>
      </w:r>
      <w:r>
        <w:t xml:space="preserve"> </w:t>
      </w:r>
      <w:r>
        <w:rPr>
          <w:iCs/>
          <w:i/>
        </w:rPr>
        <w:t xml:space="preserve">Loop closed per Learning Standard §10.7.</w:t>
      </w:r>
    </w:p>
    <w:p>
      <w:pPr>
        <w:numPr>
          <w:ilvl w:val="0"/>
          <w:numId w:val="1004"/>
        </w:numPr>
        <w:pStyle w:val="Compact"/>
      </w:pPr>
      <w:r>
        <w:rPr>
          <w:bCs/>
          <w:b/>
        </w:rPr>
        <w:t xml:space="preserve">Review performed, and it did not come back clean.</w:t>
      </w:r>
      <w:r>
        <w:t xml:space="preserve"> </w:t>
      </w:r>
      <w:r>
        <w:rPr>
          <w:rStyle w:val="VerbatimChar"/>
        </w:rPr>
        <w:t xml:space="preserve">security-reports/2026-07-24-PR1716-KYA-SIGNING-CRYPTO-REVIEW.md</w:t>
      </w:r>
      <w:r>
        <w:t xml:space="preserve"> </w:t>
      </w:r>
      <w:r>
        <w:t xml:space="preserve">—</w:t>
      </w:r>
      <w:r>
        <w:t xml:space="preserve"> </w:t>
      </w:r>
      <w:r>
        <w:rPr>
          <w:bCs/>
          <w:b/>
        </w:rPr>
        <w:t xml:space="preserve">verdict: do not merge as-is.</w:t>
      </w:r>
      <w:r>
        <w:t xml:space="preserve"> </w:t>
      </w:r>
      <w:r>
        <w:t xml:space="preserve">One HIGH finding (F1): the signature does not cover the proof options, so</w:t>
      </w:r>
      <w:r>
        <w:t xml:space="preserve"> </w:t>
      </w:r>
      <w:r>
        <w:rPr>
          <w:rStyle w:val="VerbatimChar"/>
        </w:rPr>
        <w:t xml:space="preserve">created</w:t>
      </w:r>
      <w:r>
        <w:t xml:space="preserve"> </w:t>
      </w:r>
      <w:r>
        <w:t xml:space="preserve">and</w:t>
      </w:r>
      <w:r>
        <w:t xml:space="preserve"> </w:t>
      </w:r>
      <w:r>
        <w:rPr>
          <w:rStyle w:val="VerbatimChar"/>
        </w:rPr>
        <w:t xml:space="preserve">verificationMethod</w:t>
      </w:r>
      <w:r>
        <w:t xml:space="preserve"> </w:t>
      </w:r>
      <w:r>
        <w:t xml:space="preserve">are mutable post-signing, and any</w:t>
      </w:r>
      <w:r>
        <w:t xml:space="preserve"> </w:t>
      </w:r>
      <w:r>
        <w:rPr>
          <w:rStyle w:val="VerbatimChar"/>
        </w:rPr>
        <w:t xml:space="preserve">did:web</w:t>
      </w:r>
      <w:r>
        <w:t xml:space="preserve">-resolving verifier would pick its trust anchor from unsigned data. Plus F2 (a revoked credential still verifies</w:t>
      </w:r>
      <w:r>
        <w:t xml:space="preserve"> </w:t>
      </w:r>
      <w:r>
        <w:rPr>
          <w:rStyle w:val="VerbatimChar"/>
        </w:rPr>
        <w:t xml:space="preserve">true</w:t>
      </w:r>
      <w:r>
        <w:t xml:space="preserve">), F3, F4, F5. Fix F1 + F3 before merge.</w:t>
      </w:r>
    </w:p>
    <w:p>
      <w:pPr>
        <w:numPr>
          <w:ilvl w:val="0"/>
          <w:numId w:val="1004"/>
        </w:numPr>
        <w:pStyle w:val="Compact"/>
      </w:pPr>
      <w:r>
        <w:rPr>
          <w:iCs/>
          <w:i/>
        </w:rPr>
        <w:t xml:space="preserve">Provenance upgrade:</w:t>
      </w:r>
      <w:r>
        <w:t xml:space="preserve"> </w:t>
      </w:r>
      <w:r>
        <w:t xml:space="preserve">the PR branch was fetched and</w:t>
      </w:r>
      <w:r>
        <w:t xml:space="preserve"> </w:t>
      </w:r>
      <w:r>
        <w:rPr>
          <w:rStyle w:val="VerbatimChar"/>
        </w:rPr>
        <w:t xml:space="preserve">attestation-signing.ts</w:t>
      </w:r>
      <w:r>
        <w:t xml:space="preserve"> </w:t>
      </w:r>
      <w:r>
        <w:rPr>
          <w:bCs/>
          <w:b/>
        </w:rPr>
        <w:t xml:space="preserve">read directly</w:t>
      </w:r>
      <w:r>
        <w:t xml:space="preserve"> </w:t>
      </w:r>
      <w:r>
        <w:t xml:space="preserve">— the</w:t>
      </w:r>
      <w:r>
        <w:t xml:space="preserve"> </w:t>
      </w:r>
      <w:r>
        <w:t xml:space="preserve">“</w:t>
      </w:r>
      <w:r>
        <w:t xml:space="preserve">CODE NOT READ</w:t>
      </w:r>
      <w:r>
        <w:t xml:space="preserve">”</w:t>
      </w:r>
      <w:r>
        <w:t xml:space="preserve"> </w:t>
      </w:r>
      <w:r>
        <w:t xml:space="preserve">caveat above is superseded for the signing module.</w:t>
      </w:r>
    </w:p>
    <w:p>
      <w:pPr>
        <w:numPr>
          <w:ilvl w:val="0"/>
          <w:numId w:val="1004"/>
        </w:numPr>
        <w:pStyle w:val="Compact"/>
      </w:pPr>
      <w:r>
        <w:t xml:space="preserve">Add the production-signer assertion (fail loud) before or with the first tier rollout.</w:t>
      </w:r>
    </w:p>
    <w:p>
      <w:pPr>
        <w:numPr>
          <w:ilvl w:val="0"/>
          <w:numId w:val="1004"/>
        </w:numPr>
        <w:pStyle w:val="Compact"/>
      </w:pPr>
      <w:r>
        <w:t xml:space="preserve">Wire step 3: a live mandate-execution path that calls</w:t>
      </w:r>
      <w:r>
        <w:t xml:space="preserve"> </w:t>
      </w:r>
      <w:r>
        <w:rPr>
          <w:rStyle w:val="VerbatimChar"/>
        </w:rPr>
        <w:t xml:space="preserve">attestMandateExecution()</w:t>
      </w:r>
      <w:r>
        <w:t xml:space="preserve">.</w:t>
      </w:r>
    </w:p>
    <w:p>
      <w:pPr>
        <w:numPr>
          <w:ilvl w:val="0"/>
          <w:numId w:val="1004"/>
        </w:numPr>
        <w:pStyle w:val="Compact"/>
      </w:pPr>
      <w:r>
        <w:t xml:space="preserve">Human security review of the signing path prior to merge.</w:t>
      </w:r>
    </w:p>
    <w:p>
      <w:pPr>
        <w:numPr>
          <w:ilvl w:val="0"/>
          <w:numId w:val="1004"/>
        </w:numPr>
        <w:pStyle w:val="Compact"/>
      </w:pPr>
      <w:r>
        <w:t xml:space="preserve">Revocation</w:t>
      </w:r>
      <w:r>
        <w:t xml:space="preserve"> </w:t>
      </w:r>
      <w:r>
        <w:rPr>
          <w:bCs/>
          <w:b/>
        </w:rPr>
        <w:t xml:space="preserve">status list</w:t>
      </w:r>
      <w:r>
        <w:t xml:space="preserve"> </w:t>
      </w:r>
      <w:r>
        <w:t xml:space="preserve">(VC-level) — storage supports</w:t>
      </w:r>
      <w:r>
        <w:t xml:space="preserve"> </w:t>
      </w:r>
      <w:r>
        <w:rPr>
          <w:rStyle w:val="VerbatimChar"/>
        </w:rPr>
        <w:t xml:space="preserve">revoked</w:t>
      </w:r>
      <w:r>
        <w:t xml:space="preserve">; a resolvable status endpoint a counterparty can check is still absent.</w:t>
      </w:r>
    </w:p>
    <w:bookmarkStart w:id="29" w:name="Xce55c366a2163ce7d26a6d14f57ee19da5200bc"/>
    <w:p>
      <w:pPr>
        <w:pStyle w:val="Heading3"/>
      </w:pPr>
      <w:r>
        <w:t xml:space="preserve">Learning-loop steps (DWS_LEARNING_STANDARD five-step)</w:t>
      </w:r>
    </w:p>
    <w:p>
      <w:pPr>
        <w:numPr>
          <w:ilvl w:val="0"/>
          <w:numId w:val="1005"/>
        </w:numPr>
        <w:pStyle w:val="Compact"/>
      </w:pPr>
      <w:r>
        <w:rPr>
          <w:bCs/>
          <w:b/>
        </w:rPr>
        <w:t xml:space="preserve">(1) KB entry</w:t>
      </w:r>
      <w:r>
        <w:t xml:space="preserve"> </w:t>
      </w:r>
      <w:r>
        <w:t xml:space="preserve">—</w:t>
      </w:r>
      <w:r>
        <w:t xml:space="preserve"> </w:t>
      </w:r>
      <w:r>
        <w:rPr>
          <w:rStyle w:val="VerbatimChar"/>
        </w:rPr>
        <w:t xml:space="preserve">kb/wiki/concepts/kya-attestation-signing-fallback.md</w:t>
      </w:r>
      <w:r>
        <w:t xml:space="preserve">. ✅</w:t>
      </w:r>
    </w:p>
    <w:p>
      <w:pPr>
        <w:numPr>
          <w:ilvl w:val="0"/>
          <w:numId w:val="1005"/>
        </w:numPr>
        <w:pStyle w:val="Compact"/>
      </w:pPr>
      <w:r>
        <w:rPr>
          <w:bCs/>
          <w:b/>
        </w:rPr>
        <w:t xml:space="preserve">(2) Field note</w:t>
      </w:r>
      <w:r>
        <w:t xml:space="preserve"> </w:t>
      </w:r>
      <w:r>
        <w:t xml:space="preserve">— this file. ✅</w:t>
      </w:r>
    </w:p>
    <w:p>
      <w:pPr>
        <w:numPr>
          <w:ilvl w:val="0"/>
          <w:numId w:val="1005"/>
        </w:numPr>
        <w:pStyle w:val="Compact"/>
      </w:pPr>
      <w:r>
        <w:rPr>
          <w:bCs/>
          <w:b/>
        </w:rPr>
        <w:t xml:space="preserve">(3)</w:t>
      </w:r>
      <w:r>
        <w:rPr>
          <w:bCs/>
          <w:b/>
        </w:rPr>
        <w:t xml:space="preserve"> </w:t>
      </w:r>
      <w:r>
        <w:rPr>
          <w:rStyle w:val="VerbatimChar"/>
          <w:bCs/>
          <w:b/>
        </w:rPr>
        <w:t xml:space="preserve">Learn/</w:t>
      </w:r>
      <w:r>
        <w:rPr>
          <w:bCs/>
          <w:b/>
        </w:rPr>
        <w:t xml:space="preserve"> </w:t>
      </w:r>
      <w:r>
        <w:rPr>
          <w:bCs/>
          <w:b/>
        </w:rPr>
        <w:t xml:space="preserve">HTML render</w:t>
      </w:r>
      <w:r>
        <w:t xml:space="preserve"> </w:t>
      </w:r>
      <w:r>
        <w:t xml:space="preserve">—</w:t>
      </w:r>
      <w:r>
        <w:t xml:space="preserve"> </w:t>
      </w:r>
      <w:r>
        <w:rPr>
          <w:rStyle w:val="VerbatimChar"/>
        </w:rPr>
        <w:t xml:space="preserve">Learn/2026-07-24-kya-v2-eddsa-signing-crypto-decision.html</w:t>
      </w:r>
      <w:r>
        <w:t xml:space="preserve"> </w:t>
      </w:r>
      <w:r>
        <w:t xml:space="preserve">(+</w:t>
      </w:r>
      <w:r>
        <w:t xml:space="preserve"> </w:t>
      </w:r>
      <w:r>
        <w:rPr>
          <w:rStyle w:val="VerbatimChar"/>
        </w:rPr>
        <w:t xml:space="preserve">.docx</w:t>
      </w:r>
      <w:r>
        <w:t xml:space="preserve">), via</w:t>
      </w:r>
      <w:r>
        <w:t xml:space="preserve"> </w:t>
      </w:r>
      <w:r>
        <w:rPr>
          <w:rStyle w:val="VerbatimChar"/>
        </w:rPr>
        <w:t xml:space="preserve">scripts/render-doc.sh</w:t>
      </w:r>
      <w:r>
        <w:t xml:space="preserve">. ✅</w:t>
      </w:r>
      <w:r>
        <w:t xml:space="preserve"> </w:t>
      </w:r>
      <w:r>
        <w:rPr>
          <w:iCs/>
          <w:i/>
        </w:rPr>
        <w:t xml:space="preserve">Blocker cleared this session:</w:t>
      </w:r>
      <w:r>
        <w:rPr>
          <w:iCs/>
          <w:i/>
        </w:rPr>
        <w:t xml:space="preserve"> </w:t>
      </w:r>
      <w:r>
        <w:rPr>
          <w:rStyle w:val="VerbatimChar"/>
          <w:iCs/>
          <w:i/>
        </w:rPr>
        <w:t xml:space="preserve">pandoc</w:t>
      </w:r>
      <w:r>
        <w:rPr>
          <w:iCs/>
          <w:i/>
        </w:rPr>
        <w:t xml:space="preserve"> </w:t>
      </w:r>
      <w:r>
        <w:rPr>
          <w:iCs/>
          <w:i/>
        </w:rPr>
        <w:t xml:space="preserve">was absent and has been installed, so the three earlier</w:t>
      </w:r>
      <w:r>
        <w:rPr>
          <w:iCs/>
          <w:i/>
        </w:rPr>
        <w:t xml:space="preserve"> </w:t>
      </w:r>
      <w:r>
        <w:rPr>
          <w:iCs/>
          <w:i/>
        </w:rPr>
        <w:t xml:space="preserve">“</w:t>
      </w:r>
      <w:r>
        <w:rPr>
          <w:iCs/>
          <w:i/>
        </w:rPr>
        <w:t xml:space="preserve">N/A — pandoc missing</w:t>
      </w:r>
      <w:r>
        <w:rPr>
          <w:iCs/>
          <w:i/>
        </w:rPr>
        <w:t xml:space="preserve">”</w:t>
      </w:r>
      <w:r>
        <w:rPr>
          <w:iCs/>
          <w:i/>
        </w:rPr>
        <w:t xml:space="preserve"> </w:t>
      </w:r>
      <w:r>
        <w:rPr>
          <w:iCs/>
          <w:i/>
        </w:rPr>
        <w:t xml:space="preserve">entries in this session’s other notes were a fixable blocker, not a constraint.</w:t>
      </w:r>
    </w:p>
    <w:p>
      <w:pPr>
        <w:numPr>
          <w:ilvl w:val="0"/>
          <w:numId w:val="1005"/>
        </w:numPr>
        <w:pStyle w:val="Compact"/>
      </w:pPr>
      <w:r>
        <w:rPr>
          <w:bCs/>
          <w:b/>
        </w:rPr>
        <w:t xml:space="preserve">(4) Drive export</w:t>
      </w:r>
      <w:r>
        <w:t xml:space="preserve"> </w:t>
      </w:r>
      <w:r>
        <w:t xml:space="preserve">— N/A this session (repo is source of truth, Truth Standard §2E; flagged).</w:t>
      </w:r>
    </w:p>
    <w:p>
      <w:pPr>
        <w:numPr>
          <w:ilvl w:val="0"/>
          <w:numId w:val="1005"/>
        </w:numPr>
        <w:pStyle w:val="Compact"/>
      </w:pPr>
      <w:r>
        <w:rPr>
          <w:bCs/>
          <w:b/>
        </w:rPr>
        <w:t xml:space="preserve">(5) HIC question</w:t>
      </w:r>
      <w:r>
        <w:t xml:space="preserve"> </w:t>
      </w:r>
      <w:r>
        <w:t xml:space="preserve">— below. ✅</w:t>
      </w:r>
    </w:p>
    <w:bookmarkEnd w:id="29"/>
    <w:bookmarkStart w:id="30" w:name="provenance-audit-discipline"/>
    <w:p>
      <w:pPr>
        <w:pStyle w:val="Heading3"/>
      </w:pPr>
      <w:r>
        <w:t xml:space="preserve">Provenance (audit discipline)</w:t>
      </w:r>
    </w:p>
    <w:p>
      <w:pPr>
        <w:numPr>
          <w:ilvl w:val="0"/>
          <w:numId w:val="1006"/>
        </w:numPr>
        <w:pStyle w:val="Compact"/>
      </w:pPr>
      <w:r>
        <w:rPr>
          <w:bCs/>
          <w:b/>
        </w:rPr>
        <w:t xml:space="preserve">Verified:</w:t>
      </w:r>
      <w:r>
        <w:t xml:space="preserve"> </w:t>
      </w:r>
      <w:r>
        <w:t xml:space="preserve">PR #1716 state (</w:t>
      </w:r>
      <w:r>
        <w:rPr>
          <w:rStyle w:val="VerbatimChar"/>
        </w:rPr>
        <w:t xml:space="preserve">open</w:t>
      </w:r>
      <w:r>
        <w:t xml:space="preserve">,</w:t>
      </w:r>
      <w:r>
        <w:t xml:space="preserve"> </w:t>
      </w:r>
      <w:r>
        <w:rPr>
          <w:rStyle w:val="VerbatimChar"/>
        </w:rPr>
        <w:t xml:space="preserve">merged:false</w:t>
      </w:r>
      <w:r>
        <w:t xml:space="preserve">), branch, file/commit counts, body text, comment list (all bots), and that</w:t>
      </w:r>
      <w:r>
        <w:t xml:space="preserve"> </w:t>
      </w:r>
      <w:r>
        <w:rPr>
          <w:rStyle w:val="VerbatimChar"/>
        </w:rPr>
        <w:t xml:space="preserve">attestation-signing.ts</w:t>
      </w:r>
      <w:r>
        <w:t xml:space="preserve"> </w:t>
      </w:r>
      <w:r>
        <w:t xml:space="preserve">is</w:t>
      </w:r>
      <w:r>
        <w:t xml:space="preserve"> </w:t>
      </w:r>
      <w:r>
        <w:rPr>
          <w:bCs/>
          <w:b/>
        </w:rPr>
        <w:t xml:space="preserve">absent from</w:t>
      </w:r>
      <w:r>
        <w:rPr>
          <w:bCs/>
          <w:b/>
        </w:rPr>
        <w:t xml:space="preserve"> </w:t>
      </w:r>
      <w:r>
        <w:rPr>
          <w:rStyle w:val="VerbatimChar"/>
          <w:bCs/>
          <w:b/>
        </w:rPr>
        <w:t xml:space="preserve">origin/main</w:t>
      </w:r>
      <w:r>
        <w:t xml:space="preserve">; local branch is 0 commits behind main.</w:t>
      </w:r>
    </w:p>
    <w:p>
      <w:pPr>
        <w:numPr>
          <w:ilvl w:val="0"/>
          <w:numId w:val="1006"/>
        </w:numPr>
        <w:pStyle w:val="Compact"/>
      </w:pPr>
      <w:r>
        <w:rPr>
          <w:bCs/>
          <w:b/>
        </w:rPr>
        <w:t xml:space="preserve">Not verified — sourced from the PR body only:</w:t>
      </w:r>
      <w:r>
        <w:t xml:space="preserve"> </w:t>
      </w:r>
      <w:r>
        <w:t xml:space="preserve">module APIs, test counts, and the</w:t>
      </w:r>
      <w:r>
        <w:t xml:space="preserve"> </w:t>
      </w:r>
      <w:r>
        <w:rPr>
          <w:rStyle w:val="VerbatimChar"/>
        </w:rPr>
        <w:t xml:space="preserve">tsc</w:t>
      </w:r>
      <w:r>
        <w:t xml:space="preserve">/</w:t>
      </w:r>
      <w:r>
        <w:rPr>
          <w:rStyle w:val="VerbatimChar"/>
        </w:rPr>
        <w:t xml:space="preserve">prettier</w:t>
      </w:r>
      <w:r>
        <w:t xml:space="preserve"> </w:t>
      </w:r>
      <w:r>
        <w:t xml:space="preserve">results. The PR branch was not fetched and</w:t>
      </w:r>
      <w:r>
        <w:t xml:space="preserve"> </w:t>
      </w:r>
      <w:r>
        <w:rPr>
          <w:bCs/>
          <w:b/>
        </w:rPr>
        <w:t xml:space="preserve">no line of</w:t>
      </w:r>
      <w:r>
        <w:rPr>
          <w:bCs/>
          <w:b/>
        </w:rPr>
        <w:t xml:space="preserve"> </w:t>
      </w:r>
      <w:r>
        <w:rPr>
          <w:rStyle w:val="VerbatimChar"/>
          <w:bCs/>
          <w:b/>
        </w:rPr>
        <w:t xml:space="preserve">attestation-signing.ts</w:t>
      </w:r>
      <w:r>
        <w:rPr>
          <w:bCs/>
          <w:b/>
        </w:rPr>
        <w:t xml:space="preserve"> </w:t>
      </w:r>
      <w:r>
        <w:rPr>
          <w:bCs/>
          <w:b/>
        </w:rPr>
        <w:t xml:space="preserve">was read</w:t>
      </w:r>
      <w:r>
        <w:t xml:space="preserve">. Every code-behavior claim here is a restatement of the author’s description, not an inspection. Re-verify against the diff before this note is cited as a design record.</w:t>
      </w:r>
    </w:p>
    <w:p>
      <w:pPr>
        <w:numPr>
          <w:ilvl w:val="0"/>
          <w:numId w:val="1006"/>
        </w:numPr>
        <w:pStyle w:val="Compact"/>
      </w:pPr>
      <w:r>
        <w:rPr>
          <w:bCs/>
          <w:b/>
        </w:rPr>
        <w:t xml:space="preserve">Resolves an earlier flag:</w:t>
      </w:r>
      <w:r>
        <w:t xml:space="preserve"> </w:t>
      </w:r>
      <w:r>
        <w:t xml:space="preserve">migrations 074/079 being live in production — the PR body states this (via #1713). Still second-hand; no production DB was queried.</w:t>
      </w:r>
    </w:p>
    <w:bookmarkEnd w:id="30"/>
    <w:bookmarkStart w:id="31" w:name="X0f904fed17943f32c7eda98943820956407d805"/>
    <w:p>
      <w:pPr>
        <w:pStyle w:val="Heading3"/>
      </w:pPr>
      <w:r>
        <w:t xml:space="preserve">HIC question (EU AI Act Art. 14 intervention point)</w:t>
      </w:r>
    </w:p>
    <w:p>
      <w:pPr>
        <w:pStyle w:val="BlockText"/>
      </w:pPr>
      <w:r>
        <w:rPr>
          <w:bCs/>
          <w:b/>
        </w:rPr>
        <w:t xml:space="preserve">What is the production key-management strategy, and does signing go live before or after it exists?</w:t>
      </w:r>
      <w:r>
        <w:t xml:space="preserve"> </w:t>
      </w:r>
      <w:r>
        <w:t xml:space="preserve">Four sub-decisions are entangled and only you can cut them:</w:t>
      </w:r>
      <w:r>
        <w:t xml:space="preserve"> </w:t>
      </w:r>
      <w:r>
        <w:rPr>
          <w:bCs/>
          <w:b/>
        </w:rPr>
        <w:t xml:space="preserve">(a) custody</w:t>
      </w:r>
      <w:r>
        <w:t xml:space="preserve"> </w:t>
      </w:r>
      <w:r>
        <w:t xml:space="preserve">— Aegis on-prem DGX Spark HSM is specified, but Standard/Sovereign tiers point at an UpCloud UKS HSM that is not stood up; do those tiers ship unsigned until it is?</w:t>
      </w:r>
      <w:r>
        <w:t xml:space="preserve"> </w:t>
      </w:r>
      <w:r>
        <w:rPr>
          <w:bCs/>
          <w:b/>
        </w:rPr>
        <w:t xml:space="preserve">(b) rotation</w:t>
      </w:r>
      <w:r>
        <w:t xml:space="preserve"> </w:t>
      </w:r>
      <w:r>
        <w:t xml:space="preserve">— who rotates, on what cadence, and what happens to already-signed credentials when a key retires (a verifier resolving a rotated key must still validate historical attestations, or every past proof silently breaks)?</w:t>
      </w:r>
      <w:r>
        <w:t xml:space="preserve"> </w:t>
      </w:r>
      <w:r>
        <w:rPr>
          <w:bCs/>
          <w:b/>
        </w:rPr>
        <w:t xml:space="preserve">(c) the silent-downgrade guard</w:t>
      </w:r>
      <w:r>
        <w:t xml:space="preserve"> </w:t>
      </w:r>
      <w:r>
        <w:t xml:space="preserve">— do we add the fail-loud production assertion before the first tenant is switched on, or accept a window where a missing env var mints unverifiable credentials without complaint?</w:t>
      </w:r>
      <w:r>
        <w:t xml:space="preserve"> </w:t>
      </w:r>
      <w:r>
        <w:rPr>
          <w:bCs/>
          <w:b/>
        </w:rPr>
        <w:t xml:space="preserve">(d) revocation reachability</w:t>
      </w:r>
      <w:r>
        <w:t xml:space="preserve"> </w:t>
      </w:r>
      <w:r>
        <w:t xml:space="preserve">— storage supports</w:t>
      </w:r>
      <w:r>
        <w:t xml:space="preserve"> </w:t>
      </w:r>
      <w:r>
        <w:rPr>
          <w:rStyle w:val="VerbatimChar"/>
        </w:rPr>
        <w:t xml:space="preserve">revoked</w:t>
      </w:r>
      <w:r>
        <w:t xml:space="preserve">, but with no published status list a counterparty cannot discover it.</w:t>
      </w:r>
    </w:p>
    <w:p>
      <w:pPr>
        <w:pStyle w:val="BlockText"/>
      </w:pPr>
      <w:r>
        <w:rPr>
          <w:bCs/>
          <w:b/>
        </w:rPr>
        <w:t xml:space="preserve">My recommendation:</w:t>
      </w:r>
      <w:r>
        <w:t xml:space="preserve"> </w:t>
      </w:r>
      <w:r>
        <w:t xml:space="preserve">merge #1716 after a human crypto review, but</w:t>
      </w:r>
      <w:r>
        <w:t xml:space="preserve"> </w:t>
      </w:r>
      <w:r>
        <w:rPr>
          <w:bCs/>
          <w:b/>
        </w:rPr>
        <w:t xml:space="preserve">keep every tier unsigned until (a) and (c) are settled</w:t>
      </w:r>
      <w:r>
        <w:t xml:space="preserve"> </w:t>
      </w:r>
      <w:r>
        <w:t xml:space="preserve">— custody decided, fail-loud assertion in place. Signing is the one step that is expensive to undo: an unsigned credential is a claim we can upgrade later, while a credential signed by a key we cannot properly custody or rotate is a durable liability we have handed to a counterparty. Turn it on first for Aegis on-prem, where the box already holds the key and the blast radius is one tenant.</w:t>
      </w:r>
    </w:p>
    <w:bookmarkEnd w:id="31"/>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2026-07-24T23:05:29Z</dcterms:created>
  <dcterms:modified xsi:type="dcterms:W3CDTF">2026-07-24T23:05:29Z</dcterms:modified>
</cp:coreProperties>
</file>

<file path=docProps/custom.xml><?xml version="1.0" encoding="utf-8"?>
<Properties xmlns="http://schemas.openxmlformats.org/officeDocument/2006/custom-properties" xmlns:vt="http://schemas.openxmlformats.org/officeDocument/2006/docPropsVTypes"/>
</file>