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</w:t>
      </w:r>
      <w:r>
        <w:t xml:space="preserve"> </w:t>
      </w:r>
      <w:r>
        <w:t xml:space="preserve">#1855:</w:t>
      </w:r>
      <w:r>
        <w:t xml:space="preserve"> </w:t>
      </w:r>
      <w:r>
        <w:t xml:space="preserve">Pramaana</w:t>
      </w:r>
      <w:r>
        <w:t xml:space="preserve"> </w:t>
      </w:r>
      <w:r>
        <w:t xml:space="preserve">Labs/RuleArena</w:t>
      </w:r>
      <w:r>
        <w:t xml:space="preserve"> </w:t>
      </w:r>
      <w:r>
        <w:t xml:space="preserve">signal</w:t>
      </w:r>
      <w:r>
        <w:t xml:space="preserve"> </w:t>
      </w:r>
      <w:r>
        <w:t xml:space="preserve">verified,</w:t>
      </w:r>
      <w:r>
        <w:t xml:space="preserve"> </w:t>
      </w:r>
      <w:r>
        <w:t xml:space="preserve">registered</w:t>
      </w:r>
      <w:r>
        <w:t xml:space="preserve"> </w:t>
      </w:r>
      <w:r>
        <w:t xml:space="preserve">as</w:t>
      </w:r>
      <w:r>
        <w:t xml:space="preserve"> </w:t>
      </w:r>
      <w:r>
        <w:t xml:space="preserve">recommendations</w:t>
      </w:r>
      <w:r>
        <w:t xml:space="preserve"> </w:t>
      </w:r>
      <w:r>
        <w:t xml:space="preserve">not</w:t>
      </w:r>
      <w:r>
        <w:t xml:space="preserve"> </w:t>
      </w:r>
      <w:r>
        <w:t xml:space="preserve">hard</w:t>
      </w:r>
      <w:r>
        <w:t xml:space="preserve"> </w:t>
      </w:r>
      <w:r>
        <w:t xml:space="preserve">gates</w:t>
      </w:r>
    </w:p>
    <w:p>
      <w:pPr>
        <w:pStyle w:val="Date"/>
      </w:pPr>
      <w:r>
        <w:t xml:space="preserve">2026-08-19</w:t>
      </w:r>
    </w:p>
    <w:bookmarkStart w:id="20" w:name="what-happened"/>
    <w:p>
      <w:pPr>
        <w:pStyle w:val="Heading1"/>
      </w:pPr>
      <w:r>
        <w:t xml:space="preserve">What happened</w:t>
      </w:r>
    </w:p>
    <w:p>
      <w:pPr>
        <w:pStyle w:val="FirstParagraph"/>
      </w:pPr>
      <w:r>
        <w:t xml:space="preserve">Continuation of the 2026-08-18 Pramaana Labs / Rishikesh Gajjala signal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docs/field-notes/2026-08-18-gajjala-math-academia-verification-signal.md</w:t>
      </w:r>
      <w:r>
        <w:t xml:space="preserve">).</w:t>
      </w:r>
      <w:r>
        <w:t xml:space="preserve"> </w:t>
      </w:r>
      <w:r>
        <w:t xml:space="preserve">Three turns in one session:</w:t>
      </w:r>
    </w:p>
    <w:p>
      <w:pPr>
        <w:numPr>
          <w:ilvl w:val="0"/>
          <w:numId w:val="1001"/>
        </w:numPr>
        <w:pStyle w:val="Compact"/>
      </w:pPr>
      <w:r>
        <w:t xml:space="preserve">HIC asked to study</w:t>
      </w:r>
      <w:r>
        <w:t xml:space="preserve"> </w:t>
      </w:r>
      <w:r>
        <w:rPr>
          <w:rStyle w:val="VerbatimChar"/>
        </w:rPr>
        <w:t xml:space="preserve">pramaanalabs.ai</w:t>
      </w:r>
      <w:r>
        <w:t xml:space="preserve">. Direct fetch was blocked by this</w:t>
      </w:r>
      <w:r>
        <w:t xml:space="preserve"> </w:t>
      </w:r>
      <w:r>
        <w:t xml:space="preserve">session’s network egress policy (</w:t>
      </w:r>
      <w:r>
        <w:rPr>
          <w:rStyle w:val="VerbatimChar"/>
        </w:rPr>
        <w:t xml:space="preserve">EGRESS_BLOCKED</w:t>
      </w:r>
      <w:r>
        <w:t xml:space="preserve">);</w:t>
      </w:r>
      <w:r>
        <w:t xml:space="preserve"> </w:t>
      </w:r>
      <w:r>
        <w:rPr>
          <w:rStyle w:val="VerbatimChar"/>
        </w:rPr>
        <w:t xml:space="preserve">WebSearch</w:t>
      </w:r>
      <w:r>
        <w:t xml:space="preserve"> </w:t>
      </w:r>
      <w:r>
        <w:t xml:space="preserve">was used</w:t>
      </w:r>
      <w:r>
        <w:t xml:space="preserve"> </w:t>
      </w:r>
      <w:r>
        <w:t xml:space="preserve">instead and independently confirmed Pramaana Labs as a real, $27M-seed</w:t>
      </w:r>
      <w:r>
        <w:t xml:space="preserve"> </w:t>
      </w:r>
      <w:r>
        <w:t xml:space="preserve">company (Khosla Ventures lead, CEO Ranjan Rajagopalan, Lean-based</w:t>
      </w:r>
      <w:r>
        <w:t xml:space="preserve"> </w:t>
      </w:r>
      <w:r>
        <w:t xml:space="preserve">verification, targeting law/drug discovery/tax) and the</w:t>
      </w:r>
      <w:r>
        <w:t xml:space="preserve"> </w:t>
      </w:r>
      <w:r>
        <w:rPr>
          <w:bCs/>
          <w:b/>
        </w:rPr>
        <w:t xml:space="preserve">RuleArena</w:t>
      </w:r>
      <w:r>
        <w:t xml:space="preserve"> </w:t>
      </w:r>
      <w:r>
        <w:t xml:space="preserve">benchmark it cites as a real peer-reviewed paper (ACL 2025,</w:t>
      </w:r>
      <w:r>
        <w:t xml:space="preserve"> </w:t>
      </w:r>
      <w:r>
        <w:t xml:space="preserve">arXiv:2412.08972). Gajjala himself is a real, credentialed researcher</w:t>
      </w:r>
      <w:r>
        <w:t xml:space="preserve"> </w:t>
      </w:r>
      <w:r>
        <w:t xml:space="preserve">(PhD, Indian Institute of Science, 2025; postdoc, NYU Abu Dhabi CQTS) —</w:t>
      </w:r>
      <w:r>
        <w:t xml:space="preserve"> </w:t>
      </w:r>
      <w:r>
        <w:t xml:space="preserve">but his specific move to Pramaana Labs remains self-reported, not yet</w:t>
      </w:r>
      <w:r>
        <w:t xml:space="preserve"> </w:t>
      </w:r>
      <w:r>
        <w:t xml:space="preserve">confirmed by any third-party source. This was added to</w:t>
      </w:r>
      <w:r>
        <w:t xml:space="preserve"> </w:t>
      </w:r>
      <w:r>
        <w:rPr>
          <w:rStyle w:val="VerbatimChar"/>
        </w:rPr>
        <w:t xml:space="preserve">PHD_FIREHORSE_EN /_FI.md</w:t>
      </w:r>
      <w:r>
        <w:t xml:space="preserve"> </w:t>
      </w:r>
      <w:r>
        <w:t xml:space="preserve">as §14.51.4, extending Key Contribution #56 in place.</w:t>
      </w:r>
    </w:p>
    <w:p>
      <w:pPr>
        <w:numPr>
          <w:ilvl w:val="0"/>
          <w:numId w:val="1001"/>
        </w:numPr>
        <w:pStyle w:val="Compact"/>
      </w:pPr>
      <w:r>
        <w:t xml:space="preserve">HIC then asked what this adds to the truth standard, explicitly</w:t>
      </w:r>
      <w:r>
        <w:t xml:space="preserve"> </w:t>
      </w:r>
      <w:r>
        <w:t xml:space="preserve">instructing:</w:t>
      </w:r>
      <w:r>
        <w:t xml:space="preserve"> </w:t>
      </w:r>
      <w:r>
        <w:rPr>
          <w:bCs/>
          <w:b/>
        </w:rPr>
        <w:t xml:space="preserve">recommendations, not hard gates</w:t>
      </w:r>
      <w:r>
        <w:t xml:space="preserve">. Registered</w:t>
      </w:r>
      <w:r>
        <w:t xml:space="preserve"> </w:t>
      </w:r>
      <w:r>
        <w:rPr>
          <w:rStyle w:val="VerbatimChar"/>
        </w:rPr>
        <w:t xml:space="preserve">DWS_TRUTH_STANDARD.md</w:t>
      </w:r>
      <w:r>
        <w:t xml:space="preserve"> </w:t>
      </w:r>
      <w:r>
        <w:t xml:space="preserve">§2 row 37 — proactively, per §3A</w:t>
      </w:r>
      <w:r>
        <w:t xml:space="preserve"> </w:t>
      </w:r>
      <w:r>
        <w:t xml:space="preserve">(register-or-it-drifts), before any misquote has actually happened.</w:t>
      </w:r>
      <w:r>
        <w:t xml:space="preserve"> </w:t>
      </w:r>
      <w:r>
        <w:t xml:space="preserve">The row carries WARN-level guidance only (don’t claim DWS performs Lean</w:t>
      </w:r>
      <w:r>
        <w:t xml:space="preserve"> </w:t>
      </w:r>
      <w:r>
        <w:t xml:space="preserve">formal verification; don’t conflate KYA’s trust-score/ATS mechanism with</w:t>
      </w:r>
      <w:r>
        <w:t xml:space="preserve"> </w:t>
      </w:r>
      <w:r>
        <w:t xml:space="preserve">Pramaana’s deterministic proof-checking; cite RuleArena only as</w:t>
      </w:r>
      <w:r>
        <w:t xml:space="preserve"> </w:t>
      </w:r>
      <w:r>
        <w:t xml:space="preserve">third-party evidence, never as an evaluation of a DWS product; Pramaana</w:t>
      </w:r>
      <w:r>
        <w:t xml:space="preserve"> </w:t>
      </w:r>
      <w:r>
        <w:t xml:space="preserve">Labs is an adjacent-thesis company, not a partner) and deliberately</w:t>
      </w:r>
      <w:r>
        <w:t xml:space="preserve"> </w:t>
      </w:r>
      <w:r>
        <w:t xml:space="preserve">carries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FAIL-level deprecated-phrase list and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structured</w:t>
      </w:r>
      <w:r>
        <w:t xml:space="preserve"> </w:t>
      </w:r>
      <w:r>
        <w:t xml:space="preserve">mirror wired into</w:t>
      </w:r>
      <w:r>
        <w:t xml:space="preserve"> </w:t>
      </w:r>
      <w:r>
        <w:rPr>
          <w:rStyle w:val="VerbatimChar"/>
        </w:rPr>
        <w:t xml:space="preserve">scripts/lint-truth-claims.mjs</w:t>
      </w:r>
      <w:r>
        <w:t xml:space="preserve"> </w:t>
      </w:r>
      <w:r>
        <w:t xml:space="preserve">— confirmed the lint</w:t>
      </w:r>
      <w:r>
        <w:t xml:space="preserve"> </w:t>
      </w:r>
      <w:r>
        <w:t xml:space="preserve">still runs clean (</w:t>
      </w:r>
      <w:r>
        <w:rPr>
          <w:rStyle w:val="VerbatimChar"/>
        </w:rPr>
        <w:t xml:space="preserve">0 fail, 0 warn</w:t>
      </w:r>
      <w:r>
        <w:t xml:space="preserve">) after the row was added.</w:t>
      </w:r>
    </w:p>
    <w:p>
      <w:pPr>
        <w:numPr>
          <w:ilvl w:val="0"/>
          <w:numId w:val="1001"/>
        </w:numPr>
        <w:pStyle w:val="Compact"/>
      </w:pPr>
      <w:r>
        <w:t xml:space="preserve">Committed, pushed, and opened</w:t>
      </w:r>
      <w:r>
        <w:t xml:space="preserve"> </w:t>
      </w:r>
      <w:r>
        <w:rPr>
          <w:bCs/>
          <w:b/>
        </w:rPr>
        <w:t xml:space="preserve">PR #1855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https://github.com/blogtheristo/dws6/pull/1855</w:t>
      </w:r>
      <w:r>
        <w:t xml:space="preserve">) 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0"/>
    <w:bookmarkStart w:id="21" w:name="the-insight"/>
    <w:p>
      <w:pPr>
        <w:pStyle w:val="Heading1"/>
      </w:pPr>
      <w:r>
        <w:t xml:space="preserve">The insight</w:t>
      </w:r>
    </w:p>
    <w:p>
      <w:pPr>
        <w:pStyle w:val="FirstParagraph"/>
      </w:pPr>
      <w:r>
        <w:t xml:space="preserve">Two things worth keeping: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hard-gate reflex is the wrong default for an unproven signal.</w:t>
      </w:r>
      <w:r>
        <w:t xml:space="preserve"> </w:t>
      </w:r>
      <w:r>
        <w:t xml:space="preserve">The</w:t>
      </w:r>
      <w:r>
        <w:t xml:space="preserve"> </w:t>
      </w:r>
      <w:r>
        <w:t xml:space="preserve">truth standard’s existing pattern (§3A) is</w:t>
      </w:r>
      <w:r>
        <w:t xml:space="preserve"> </w:t>
      </w:r>
      <w:r>
        <w:t xml:space="preserve">“</w:t>
      </w:r>
      <w:r>
        <w:t xml:space="preserve">register or it drifts,</w:t>
      </w:r>
      <w:r>
        <w:t xml:space="preserve">”</w:t>
      </w:r>
      <w:r>
        <w:t xml:space="preserve"> </w:t>
      </w:r>
      <w:r>
        <w:t xml:space="preserve">which</w:t>
      </w:r>
      <w:r>
        <w:t xml:space="preserve"> </w:t>
      </w:r>
      <w:r>
        <w:t xml:space="preserve">could easily be over-read as</w:t>
      </w:r>
      <w:r>
        <w:t xml:space="preserve"> </w:t>
      </w:r>
      <w:r>
        <w:t xml:space="preserve">“</w:t>
      </w:r>
      <w:r>
        <w:t xml:space="preserve">register and enforce.</w:t>
      </w:r>
      <w:r>
        <w:t xml:space="preserve">”</w:t>
      </w:r>
      <w:r>
        <w:t xml:space="preserve"> </w:t>
      </w:r>
      <w:r>
        <w:t xml:space="preserve">The HIC’s correction</w:t>
      </w:r>
      <w:r>
        <w:t xml:space="preserve"> </w:t>
      </w:r>
      <w:r>
        <w:t xml:space="preserve">here — recommendations first, FAIL enforcement only after an actual</w:t>
      </w:r>
      <w:r>
        <w:t xml:space="preserve"> </w:t>
      </w:r>
      <w:r>
        <w:t xml:space="preserve">misstatement is observed — is the right calibration for a signal that is</w:t>
      </w:r>
      <w:r>
        <w:t xml:space="preserve"> </w:t>
      </w:r>
      <w:r>
        <w:rPr>
          <w:iCs/>
          <w:i/>
        </w:rPr>
        <w:t xml:space="preserve">externally</w:t>
      </w:r>
      <w:r>
        <w:t xml:space="preserve"> </w:t>
      </w:r>
      <w:r>
        <w:t xml:space="preserve">true (Pramaana Labs and RuleArena are real) but has</w:t>
      </w:r>
      <w:r>
        <w:t xml:space="preserve"> </w:t>
      </w:r>
      <w:r>
        <w:rPr>
          <w:iCs/>
          <w:i/>
        </w:rPr>
        <w:t xml:space="preserve">zero</w:t>
      </w:r>
      <w:r>
        <w:t xml:space="preserve"> </w:t>
      </w:r>
      <w:r>
        <w:t xml:space="preserve">DWS-internal usage history yet. Gating a claim nobody has made yet</w:t>
      </w:r>
      <w:r>
        <w:t xml:space="preserve"> </w:t>
      </w:r>
      <w:r>
        <w:t xml:space="preserve">produces false-positive friction with no corresponding drift prevented.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Egress-blocked ≠ unverifiable.</w:t>
      </w:r>
      <w:r>
        <w:t xml:space="preserve"> </w:t>
      </w:r>
      <w:r>
        <w:t xml:space="preserve">The direct site fetch failed twice</w:t>
      </w:r>
      <w:r>
        <w:t xml:space="preserve"> </w:t>
      </w:r>
      <w:r>
        <w:t xml:space="preserve">across both turns (same domain, same block), but</w:t>
      </w:r>
      <w:r>
        <w:t xml:space="preserve"> </w:t>
      </w:r>
      <w:r>
        <w:rPr>
          <w:rStyle w:val="VerbatimChar"/>
        </w:rPr>
        <w:t xml:space="preserve">WebSearch</w:t>
      </w:r>
      <w:r>
        <w:t xml:space="preserve"> </w:t>
      </w:r>
      <w:r>
        <w:t xml:space="preserve">reached</w:t>
      </w:r>
      <w:r>
        <w:t xml:space="preserve"> </w:t>
      </w:r>
      <w:r>
        <w:t xml:space="preserve">independent third-party coverage (TechCrunch, SiliconANGLE, ACL</w:t>
      </w:r>
      <w:r>
        <w:t xml:space="preserve"> </w:t>
      </w:r>
      <w:r>
        <w:t xml:space="preserve">Anthology, dblp, Google Scholar) that verified the substance without</w:t>
      </w:r>
      <w:r>
        <w:t xml:space="preserve"> </w:t>
      </w:r>
      <w:r>
        <w:t xml:space="preserve">ever touching the blocked domain. Worth remembering as a fallback path</w:t>
      </w:r>
      <w:r>
        <w:t xml:space="preserve"> </w:t>
      </w:r>
      <w:r>
        <w:t xml:space="preserve">the next time a specific domain is proxy-blocked but the underlying facts</w:t>
      </w:r>
      <w:r>
        <w:t xml:space="preserve"> </w:t>
      </w:r>
      <w:r>
        <w:t xml:space="preserve">are publicly reported elsewhere.</w:t>
      </w:r>
    </w:p>
    <w:bookmarkEnd w:id="21"/>
    <w:bookmarkStart w:id="22" w:name="kb-update"/>
    <w:p>
      <w:pPr>
        <w:pStyle w:val="Heading1"/>
      </w:pPr>
      <w:r>
        <w:t xml:space="preserve">KB update</w:t>
      </w:r>
    </w:p>
    <w:p>
      <w:pPr>
        <w:pStyle w:val="FirstParagraph"/>
      </w:pPr>
      <w:r>
        <w:t xml:space="preserve">Attempted</w:t>
      </w:r>
      <w:r>
        <w:t xml:space="preserve"> </w:t>
      </w:r>
      <w:r>
        <w:rPr>
          <w:rStyle w:val="VerbatimChar"/>
        </w:rPr>
        <w:t xml:space="preserve">dws kb ingest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/kb</w:t>
      </w:r>
      <w:r>
        <w:t xml:space="preserve"> </w:t>
      </w:r>
      <w:r>
        <w:t xml:space="preserve">protocol — blocked:</w:t>
      </w:r>
      <w:r>
        <w:t xml:space="preserve"> </w:t>
      </w:r>
      <w:r>
        <w:rPr>
          <w:rStyle w:val="VerbatimChar"/>
        </w:rPr>
        <w:t xml:space="preserve">cli/node_modules</w:t>
      </w:r>
      <w:r>
        <w:t xml:space="preserve"> </w:t>
      </w:r>
      <w:r>
        <w:t xml:space="preserve">is not installed in this sandbox, so</w:t>
      </w:r>
      <w:r>
        <w:t xml:space="preserve"> </w:t>
      </w:r>
      <w:r>
        <w:rPr>
          <w:rStyle w:val="VerbatimChar"/>
        </w:rPr>
        <w:t xml:space="preserve">npx tsx src/cli.ts kb ingest</w:t>
      </w:r>
      <w:r>
        <w:t xml:space="preserve"> </w:t>
      </w:r>
      <w:r>
        <w:t xml:space="preserve">cannot</w:t>
      </w:r>
      <w:r>
        <w:t xml:space="preserve"> </w:t>
      </w:r>
      <w:r>
        <w:t xml:space="preserve">run. Fail-loud per Rule 12 rather than silently skipping: manually copied</w:t>
      </w:r>
      <w:r>
        <w:t xml:space="preserve"> </w:t>
      </w:r>
      <w:r>
        <w:t xml:space="preserve">this field note and the 2026-08-18 field note into</w:t>
      </w:r>
      <w:r>
        <w:t xml:space="preserve"> </w:t>
      </w:r>
      <w:r>
        <w:rPr>
          <w:rStyle w:val="VerbatimChar"/>
        </w:rPr>
        <w:t xml:space="preserve">kb/raw/signals/</w:t>
      </w:r>
      <w:r>
        <w:t xml:space="preserve"> </w:t>
      </w:r>
      <w:r>
        <w:t xml:space="preserve">(the</w:t>
      </w:r>
      <w:r>
        <w:t xml:space="preserve"> </w:t>
      </w:r>
      <w:r>
        <w:t xml:space="preserve">human-owned raw-ingestion folder per the KB’s own workflow rules) so a</w:t>
      </w:r>
      <w:r>
        <w:t xml:space="preserve"> </w:t>
      </w:r>
      <w:r>
        <w:t xml:space="preserve">future session with working CLI tooling can run</w:t>
      </w:r>
      <w:r>
        <w:t xml:space="preserve"> </w:t>
      </w:r>
      <w:r>
        <w:rPr>
          <w:rStyle w:val="VerbatimChar"/>
        </w:rPr>
        <w:t xml:space="preserve">/kb compile</w:t>
      </w:r>
      <w:r>
        <w:t xml:space="preserve"> </w:t>
      </w:r>
      <w:r>
        <w:t xml:space="preserve">and pick</w:t>
      </w:r>
      <w:r>
        <w:t xml:space="preserve"> </w:t>
      </w:r>
      <w:r>
        <w:t xml:space="preserve">both up.</w:t>
      </w:r>
      <w:r>
        <w:t xml:space="preserve"> </w:t>
      </w:r>
      <w:r>
        <w:rPr>
          <w:rStyle w:val="VerbatimChar"/>
        </w:rPr>
        <w:t xml:space="preserve">kb/kb.json</w:t>
      </w:r>
      <w:r>
        <w:t xml:space="preserve"> </w:t>
      </w:r>
      <w:r>
        <w:rPr>
          <w:rStyle w:val="VerbatimChar"/>
        </w:rPr>
        <w:t xml:space="preserve">articleCount</w:t>
      </w:r>
      <w:r>
        <w:t xml:space="preserve">/</w:t>
      </w:r>
      <w:r>
        <w:rPr>
          <w:rStyle w:val="VerbatimChar"/>
        </w:rPr>
        <w:t xml:space="preserve">lastCompile</w:t>
      </w:r>
      <w:r>
        <w:t xml:space="preserve"> </w:t>
      </w:r>
      <w:r>
        <w:t xml:space="preserve">are unchanged by this —</w:t>
      </w:r>
      <w:r>
        <w:t xml:space="preserve"> </w:t>
      </w:r>
      <w:r>
        <w:t xml:space="preserve">compile did not run.</w:t>
      </w:r>
    </w:p>
    <w:bookmarkEnd w:id="22"/>
    <w:bookmarkStart w:id="23" w:name="drive-export"/>
    <w:p>
      <w:pPr>
        <w:pStyle w:val="Heading1"/>
      </w:pPr>
      <w:r>
        <w:t xml:space="preserve">Drive export</w:t>
      </w:r>
    </w:p>
    <w:p>
      <w:pPr>
        <w:pStyle w:val="FirstParagraph"/>
      </w:pPr>
      <w:r>
        <w:t xml:space="preserve">Exported this field note to Google Drive via</w:t>
      </w:r>
      <w:r>
        <w:t xml:space="preserve"> </w:t>
      </w:r>
      <w:r>
        <w:rPr>
          <w:rStyle w:val="VerbatimChar"/>
        </w:rPr>
        <w:t xml:space="preserve">Google_Drive.create_file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DWS Field Note 2026-08-19 — Pramaana Labs Truth Standard Row 37</w:t>
      </w:r>
      <w:r>
        <w:t xml:space="preserve">.</w:t>
      </w:r>
      <w:r>
        <w:t xml:space="preserve"> </w:t>
      </w:r>
      <w:r>
        <w:t xml:space="preserve">Repository copy remains source-of-truth per</w:t>
      </w:r>
      <w:r>
        <w:t xml:space="preserve"> </w:t>
      </w:r>
      <w:r>
        <w:rPr>
          <w:rStyle w:val="VerbatimChar"/>
        </w:rPr>
        <w:t xml:space="preserve">DWS_TRUTH_STANDARD.md</w:t>
      </w:r>
      <w:r>
        <w:t xml:space="preserve"> </w:t>
      </w:r>
      <w:r>
        <w:t xml:space="preserve">§2E.</w:t>
      </w:r>
    </w:p>
    <w:bookmarkEnd w:id="23"/>
    <w:bookmarkStart w:id="24" w:name="calendar"/>
    <w:p>
      <w:pPr>
        <w:pStyle w:val="Heading1"/>
      </w:pPr>
      <w:r>
        <w:t xml:space="preserve">Calendar</w:t>
      </w:r>
    </w:p>
    <w:p>
      <w:pPr>
        <w:pStyle w:val="FirstParagraph"/>
      </w:pPr>
      <w:r>
        <w:t xml:space="preserve">N/A — no dated commitment was created or discovered this session. The one</w:t>
      </w:r>
      <w:r>
        <w:t xml:space="preserve"> </w:t>
      </w:r>
      <w:r>
        <w:t xml:space="preserve">contingent future action (add a FAIL-level deprecated-phrase list to row</w:t>
      </w:r>
      <w:r>
        <w:t xml:space="preserve"> </w:t>
      </w:r>
      <w:r>
        <w:t xml:space="preserve">37 if a misstatement is ever observed) has no target date; it is</w:t>
      </w:r>
      <w:r>
        <w:t xml:space="preserve"> </w:t>
      </w:r>
      <w:r>
        <w:t xml:space="preserve">event-triggered, not calendar-triggered.</w:t>
      </w:r>
    </w:p>
    <w:bookmarkEnd w:id="24"/>
    <w:bookmarkStart w:id="25" w:name="question-for-the-hic"/>
    <w:p>
      <w:pPr>
        <w:pStyle w:val="Heading1"/>
      </w:pPr>
      <w:r>
        <w:t xml:space="preserve">Question for the HIC</w:t>
      </w:r>
    </w:p>
    <w:p>
      <w:pPr>
        <w:pStyle w:val="FirstParagraph"/>
      </w:pPr>
      <w:r>
        <w:t xml:space="preserve">Do you want DWS to actively track Pramaana Labs (and the broader</w:t>
      </w:r>
      <w:r>
        <w:t xml:space="preserve"> </w:t>
      </w:r>
      <w:r>
        <w:t xml:space="preserve">LLM-plus-formal-verification space it represents) as a named competitive</w:t>
      </w:r>
      <w:r>
        <w:t xml:space="preserve"> </w:t>
      </w:r>
      <w:r>
        <w:t xml:space="preserve">or adjacent-thesis watch item going forward — with a standing place in</w:t>
      </w:r>
      <w:r>
        <w:t xml:space="preserve"> </w:t>
      </w:r>
      <w:r>
        <w:rPr>
          <w:rStyle w:val="VerbatimChar"/>
        </w:rPr>
        <w:t xml:space="preserve">docs/regulatory-radar/</w:t>
      </w:r>
      <w:r>
        <w:t xml:space="preserve"> </w:t>
      </w:r>
      <w:r>
        <w:t xml:space="preserve">or a dedicated competitive-intel file — or should</w:t>
      </w:r>
      <w:r>
        <w:t xml:space="preserve"> </w:t>
      </w:r>
      <w:r>
        <w:t xml:space="preserve">this stay a one-off signal captured in the PhD thesis with no ongoing</w:t>
      </w:r>
      <w:r>
        <w:t xml:space="preserve"> </w:t>
      </w:r>
      <w:r>
        <w:t xml:space="preserve">monitoring commitment?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 #1855: Pramaana Labs/RuleArena signal verified, registered as recommendations not hard gates</dc:title>
  <dc:creator/>
  <cp:keywords/>
  <dcterms:created xsi:type="dcterms:W3CDTF">2026-08-19T03:16:47Z</dcterms:created>
  <dcterms:modified xsi:type="dcterms:W3CDTF">2026-08-19T03:16:47Z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2026-08-19</vt:lpwstr>
  </property>
  <property fmtid="{D5CDD505-2E9C-101B-9397-08002B2CF9AE}" pid="3" name="tags">
    <vt:lpwstr/>
  </property>
</Properties>
</file>