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3.85</w:t>
      </w:r>
      <w:r>
        <w:t xml:space="preserve"> </w:t>
      </w:r>
      <w:r>
        <w:t xml:space="preserve">Sessions &amp; Modifications:</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Uber, Bolt, Kela, DB Schenker, DHL (€7k MRR live)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52"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3"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End w:id="213"/>
    <w:bookmarkStart w:id="214"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4"/>
    <w:bookmarkStart w:id="219" w:name="liite-g-sanasto"/>
    <w:p>
      <w:pPr>
        <w:pStyle w:val="Heading2"/>
      </w:pPr>
      <w:r>
        <w:t xml:space="preserve">Liite G: Sanasto</w:t>
      </w:r>
    </w:p>
    <w:bookmarkStart w:id="215"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5"/>
    <w:bookmarkStart w:id="216"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6"/>
    <w:bookmarkStart w:id="217"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7"/>
    <w:bookmarkStart w:id="218"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8"/>
    <w:bookmarkEnd w:id="219"/>
    <w:bookmarkStart w:id="226" w:name="Xc0be1d36bf1a371508630efde8054c46bc7c00c"/>
    <w:p>
      <w:pPr>
        <w:pStyle w:val="Heading2"/>
      </w:pPr>
      <w:r>
        <w:t xml:space="preserve">Liite H: Automatisoitu PR-tyonkulku (HIL-automaatio)</w:t>
      </w:r>
    </w:p>
    <w:bookmarkStart w:id="220"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0"/>
    <w:bookmarkStart w:id="221"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1"/>
    <w:bookmarkStart w:id="222"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2"/>
    <w:bookmarkStart w:id="223"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3"/>
    <w:bookmarkStart w:id="224"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4"/>
    <w:bookmarkStart w:id="225"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5"/>
    <w:bookmarkEnd w:id="226"/>
    <w:bookmarkStart w:id="230"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7"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7"/>
    <w:bookmarkStart w:id="228"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8"/>
    <w:bookmarkStart w:id="229"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29"/>
    <w:bookmarkEnd w:id="230"/>
    <w:bookmarkStart w:id="237" w:name="X7051fc67256a71f64fe73dbe0a705317830f2ac"/>
    <w:p>
      <w:pPr>
        <w:pStyle w:val="Heading2"/>
      </w:pPr>
      <w:r>
        <w:t xml:space="preserve">10.14 Agenttijärjestelmän koventaminen — tuotantoluotettavuus</w:t>
      </w:r>
    </w:p>
    <w:bookmarkStart w:id="231"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1"/>
    <w:bookmarkStart w:id="232"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2"/>
    <w:bookmarkStart w:id="233"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3"/>
    <w:bookmarkStart w:id="234"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4"/>
    <w:bookmarkStart w:id="235"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5"/>
    <w:bookmarkStart w:id="236"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6"/>
    <w:bookmarkEnd w:id="237"/>
    <w:bookmarkStart w:id="315" w:name="Xb98f337ebd186f75b928dae02f80fa92c383681"/>
    <w:p>
      <w:pPr>
        <w:pStyle w:val="Heading2"/>
      </w:pPr>
      <w:r>
        <w:t xml:space="preserve">10.15 PostgreSQL-sarakemuotoinen HTAP-arkkitehtuuri — DWS-tietostandardi</w:t>
      </w:r>
    </w:p>
    <w:bookmarkStart w:id="238"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8"/>
    <w:bookmarkStart w:id="239"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39"/>
    <w:bookmarkStart w:id="240"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0"/>
    <w:bookmarkStart w:id="241"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1"/>
    <w:bookmarkStart w:id="242"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2"/>
    <w:bookmarkStart w:id="243"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3"/>
    <w:bookmarkStart w:id="251"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4"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4"/>
    <w:bookmarkStart w:id="245"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5"/>
    <w:bookmarkStart w:id="246"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6"/>
    <w:bookmarkStart w:id="247"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7"/>
    <w:bookmarkStart w:id="248"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8"/>
    <w:bookmarkStart w:id="249"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49"/>
    <w:bookmarkStart w:id="250"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0"/>
    <w:bookmarkEnd w:id="251"/>
    <w:bookmarkStart w:id="258" w:name="X09355fee7262847c4f1f03fd7aea493e7e0ae4a"/>
    <w:p>
      <w:pPr>
        <w:pStyle w:val="Heading3"/>
      </w:pPr>
      <w:r>
        <w:t xml:space="preserve">10.17 Johtopäätökset: Hiilitase vaatimustenmukaisuusinfrastruktuurina</w:t>
      </w:r>
    </w:p>
    <w:bookmarkStart w:id="252"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2"/>
    <w:bookmarkStart w:id="253"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3"/>
    <w:bookmarkStart w:id="254"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4"/>
    <w:bookmarkStart w:id="255"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5"/>
    <w:bookmarkStart w:id="256"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6"/>
    <w:bookmarkStart w:id="257"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7"/>
    <w:bookmarkEnd w:id="258"/>
    <w:bookmarkStart w:id="264" w:name="X0a36d2dbdca243308c7c7db782fff5e15d5756b"/>
    <w:p>
      <w:pPr>
        <w:pStyle w:val="Heading3"/>
      </w:pPr>
      <w:r>
        <w:t xml:space="preserve">10.18 LWM-sekvensointistrategia — Sääntely-älykkyydestä fyysiseen tekoälyyn</w:t>
      </w:r>
    </w:p>
    <w:bookmarkStart w:id="259"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59"/>
    <w:bookmarkStart w:id="260"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0"/>
    <w:bookmarkStart w:id="261"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1"/>
    <w:bookmarkStart w:id="262"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2"/>
    <w:bookmarkStart w:id="263"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3"/>
    <w:bookmarkEnd w:id="264"/>
    <w:bookmarkStart w:id="269" w:name="Xe9d0528f48f817f30896d7a30cacade49a40079"/>
    <w:p>
      <w:pPr>
        <w:pStyle w:val="Heading3"/>
      </w:pPr>
      <w:r>
        <w:t xml:space="preserve">10.19 Opinnäytetyön versiointistrategia: v3.30.50 Metropolia-jäädytys</w:t>
      </w:r>
    </w:p>
    <w:bookmarkStart w:id="265"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5"/>
    <w:bookmarkStart w:id="266"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6"/>
    <w:bookmarkStart w:id="267"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7"/>
    <w:bookmarkStart w:id="268"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8"/>
    <w:bookmarkEnd w:id="269"/>
    <w:bookmarkStart w:id="276"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0"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0"/>
    <w:bookmarkStart w:id="271"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1"/>
    <w:bookmarkStart w:id="272"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2"/>
    <w:bookmarkStart w:id="273"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3"/>
    <w:bookmarkStart w:id="274"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4"/>
    <w:bookmarkStart w:id="275"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5"/>
    <w:bookmarkEnd w:id="276"/>
    <w:bookmarkStart w:id="285" w:name="X523a116a02a00545647f66481225de5f5b8c689"/>
    <w:p>
      <w:pPr>
        <w:pStyle w:val="Heading3"/>
      </w:pPr>
      <w:r>
        <w:t xml:space="preserve">10.21 Tohtoripolun kohdennus: KYA-perusta, DWS 7 tavoitteet ja dual-use-laajennus</w:t>
      </w:r>
    </w:p>
    <w:bookmarkStart w:id="277"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7"/>
    <w:bookmarkStart w:id="278"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8"/>
    <w:bookmarkStart w:id="279"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79"/>
    <w:bookmarkStart w:id="280"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0"/>
    <w:bookmarkStart w:id="281"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1"/>
    <w:bookmarkStart w:id="282"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2"/>
    <w:bookmarkStart w:id="283"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3"/>
    <w:bookmarkStart w:id="284"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4"/>
    <w:bookmarkEnd w:id="285"/>
    <w:bookmarkStart w:id="293"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6"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6"/>
    <w:bookmarkStart w:id="287"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7"/>
    <w:bookmarkStart w:id="288"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8"/>
    <w:bookmarkStart w:id="289"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89"/>
    <w:bookmarkStart w:id="290"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0"/>
    <w:bookmarkStart w:id="291"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1"/>
    <w:bookmarkStart w:id="292"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2"/>
    <w:bookmarkEnd w:id="293"/>
    <w:bookmarkStart w:id="301" w:name="X74e8ca8ab213c7124ce0435f25833df350dc723"/>
    <w:p>
      <w:pPr>
        <w:pStyle w:val="Heading3"/>
      </w:pPr>
      <w:r>
        <w:t xml:space="preserve">10.23 Kolmen pääoman kertymismalli: token-pääoma, inhimillinen pääoma ja Control Room -pääoma DWS IQ 6 -toimintamallin kestävinä omaisuuserinä</w:t>
      </w:r>
    </w:p>
    <w:bookmarkStart w:id="294"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4"/>
    <w:bookmarkStart w:id="295"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5"/>
    <w:bookmarkStart w:id="296"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6"/>
    <w:bookmarkStart w:id="297"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7"/>
    <w:bookmarkStart w:id="298"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8"/>
    <w:bookmarkStart w:id="299"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299"/>
    <w:bookmarkStart w:id="300"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0"/>
    <w:bookmarkEnd w:id="301"/>
    <w:bookmarkStart w:id="314" w:name="Xc0c62829986fd330cab694c1575c415900e0c37"/>
    <w:p>
      <w:pPr>
        <w:pStyle w:val="Heading3"/>
      </w:pPr>
      <w:r>
        <w:t xml:space="preserve">10.24 Kyvykkyysontologia ja kolmen pilarin konsultointimalli — Agenttitaksonomiasta yritystoimitukseen</w:t>
      </w:r>
    </w:p>
    <w:bookmarkStart w:id="302"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2"/>
    <w:bookmarkStart w:id="303"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3"/>
    <w:bookmarkStart w:id="304"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4"/>
    <w:bookmarkStart w:id="305"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5"/>
    <w:bookmarkStart w:id="306"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6"/>
    <w:bookmarkStart w:id="307"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7"/>
    <w:bookmarkStart w:id="313"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8">
        <w:r>
          <w:rPr>
            <w:rStyle w:val="Hyperlink"/>
          </w:rPr>
          <w:t xml:space="preserve">English Version</w:t>
        </w:r>
      </w:hyperlink>
    </w:p>
    <w:p>
      <w:pPr>
        <w:numPr>
          <w:ilvl w:val="0"/>
          <w:numId w:val="1110"/>
        </w:numPr>
        <w:pStyle w:val="Compact"/>
      </w:pPr>
      <w:hyperlink r:id="rId309">
        <w:r>
          <w:rPr>
            <w:rStyle w:val="Hyperlink"/>
          </w:rPr>
          <w:t xml:space="preserve">Agent Signal Instructions</w:t>
        </w:r>
      </w:hyperlink>
    </w:p>
    <w:p>
      <w:pPr>
        <w:numPr>
          <w:ilvl w:val="0"/>
          <w:numId w:val="1110"/>
        </w:numPr>
        <w:pStyle w:val="Compact"/>
      </w:pPr>
      <w:hyperlink r:id="rId310">
        <w:r>
          <w:rPr>
            <w:rStyle w:val="Hyperlink"/>
          </w:rPr>
          <w:t xml:space="preserve">AgentFoundry Architecture</w:t>
        </w:r>
      </w:hyperlink>
    </w:p>
    <w:p>
      <w:pPr>
        <w:numPr>
          <w:ilvl w:val="0"/>
          <w:numId w:val="1110"/>
        </w:numPr>
        <w:pStyle w:val="Compact"/>
      </w:pPr>
      <w:hyperlink r:id="rId311">
        <w:r>
          <w:rPr>
            <w:rStyle w:val="Hyperlink"/>
          </w:rPr>
          <w:t xml:space="preserve">LWM-koulutusmanuaali</w:t>
        </w:r>
      </w:hyperlink>
    </w:p>
    <w:p>
      <w:pPr>
        <w:numPr>
          <w:ilvl w:val="0"/>
          <w:numId w:val="1110"/>
        </w:numPr>
        <w:pStyle w:val="Compact"/>
      </w:pPr>
      <w:hyperlink r:id="rId312">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3"/>
    <w:bookmarkEnd w:id="314"/>
    <w:bookmarkEnd w:id="315"/>
    <w:bookmarkStart w:id="351"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41"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16"/>
            </w:r>
            <w:r>
              <w:t xml:space="preserve">,</w:t>
            </w:r>
            <w:r>
              <w:t xml:space="preserve"> </w:t>
            </w:r>
            <w:r>
              <w:rPr>
                <w:rStyle w:val="FootnoteReference"/>
              </w:rPr>
              <w:footnoteReference w:id="317"/>
            </w:r>
            <w:r>
              <w:t xml:space="preserve">,</w:t>
            </w:r>
            <w:r>
              <w:t xml:space="preserve"> </w:t>
            </w:r>
            <w:r>
              <w:rPr>
                <w:rStyle w:val="FootnoteReference"/>
              </w:rPr>
              <w:footnoteReference w:id="318"/>
            </w:r>
            <w:r>
              <w:t xml:space="preserve">,</w:t>
            </w:r>
            <w:r>
              <w:t xml:space="preserve"> </w:t>
            </w:r>
            <w:r>
              <w:rPr>
                <w:rStyle w:val="FootnoteReference"/>
              </w:rPr>
              <w:footnoteReference w:id="320"/>
            </w:r>
            <w:r>
              <w:t xml:space="preserve">,</w:t>
            </w:r>
            <w:r>
              <w:t xml:space="preserve"> </w:t>
            </w: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25"/>
            </w:r>
            <w:r>
              <w:t xml:space="preserve">,</w:t>
            </w:r>
            <w:r>
              <w:t xml:space="preserve"> </w:t>
            </w:r>
            <w:r>
              <w:rPr>
                <w:rStyle w:val="FootnoteReference"/>
              </w:rPr>
              <w:footnoteReference w:id="326"/>
            </w:r>
          </w:p>
        </w:tc>
      </w:tr>
      <w:tr>
        <w:tc>
          <w:tcPr/>
          <w:p>
            <w:pPr>
              <w:pStyle w:val="Compact"/>
              <w:jc w:val="left"/>
            </w:pPr>
            <w:r>
              <w:t xml:space="preserve">Pilotti- ja tapaustutkimusluku (Outokumpu Tier-1)</w:t>
            </w:r>
          </w:p>
        </w:tc>
        <w:tc>
          <w:tcPr/>
          <w:p>
            <w:pPr>
              <w:pStyle w:val="Compact"/>
              <w:jc w:val="left"/>
            </w:pPr>
            <w:r>
              <w:rPr>
                <w:rStyle w:val="FootnoteReference"/>
              </w:rPr>
              <w:footnoteReference w:id="327"/>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28"/>
            </w:r>
          </w:p>
        </w:tc>
      </w:tr>
      <w:tr>
        <w:tc>
          <w:tcPr/>
          <w:p>
            <w:pPr>
              <w:pStyle w:val="Compact"/>
              <w:jc w:val="left"/>
            </w:pPr>
            <w:r>
              <w:t xml:space="preserve">Kumppanuusluku (xAI ym.)</w:t>
            </w:r>
          </w:p>
        </w:tc>
        <w:tc>
          <w:tcPr/>
          <w:p>
            <w:pPr>
              <w:pStyle w:val="Compact"/>
              <w:jc w:val="left"/>
            </w:pP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Kvantti- ja kryptografialuku</w:t>
            </w:r>
          </w:p>
        </w:tc>
        <w:tc>
          <w:tcPr/>
          <w:p>
            <w:pPr>
              <w:pStyle w:val="Compact"/>
              <w:jc w:val="left"/>
            </w:pPr>
            <w:r>
              <w:rPr>
                <w:rStyle w:val="FootnoteReference"/>
              </w:rPr>
              <w:footnoteReference w:id="331"/>
            </w:r>
            <w:r>
              <w:t xml:space="preserve">,</w:t>
            </w:r>
            <w:r>
              <w:t xml:space="preserve"> </w:t>
            </w:r>
            <w:r>
              <w:rPr>
                <w:rStyle w:val="FootnoteReference"/>
              </w:rPr>
              <w:footnoteReference w:id="332"/>
            </w:r>
            <w:r>
              <w:t xml:space="preserve">,</w:t>
            </w:r>
            <w:r>
              <w:t xml:space="preserve"> </w:t>
            </w:r>
            <w:r>
              <w:rPr>
                <w:rStyle w:val="FootnoteReference"/>
              </w:rPr>
              <w:footnoteReference w:id="334"/>
            </w:r>
            <w:r>
              <w:t xml:space="preserve">,</w:t>
            </w:r>
            <w:r>
              <w:t xml:space="preserve"> </w:t>
            </w:r>
            <w:r>
              <w:rPr>
                <w:rStyle w:val="FootnoteReference"/>
              </w:rPr>
              <w:footnoteReference w:id="336"/>
            </w:r>
          </w:p>
        </w:tc>
      </w:tr>
      <w:tr>
        <w:tc>
          <w:tcPr/>
          <w:p>
            <w:pPr>
              <w:pStyle w:val="Compact"/>
              <w:jc w:val="left"/>
            </w:pPr>
            <w:r>
              <w:t xml:space="preserve">Sääntelyluku (EU AI Act, eIDAS 2.0, EU Data Act)</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0"/>
            </w:r>
          </w:p>
        </w:tc>
      </w:tr>
    </w:tbl>
    <w:bookmarkEnd w:id="341"/>
    <w:bookmarkStart w:id="342" w:name="alaviite-bibliografia"/>
    <w:p>
      <w:pPr>
        <w:pStyle w:val="Heading3"/>
      </w:pPr>
      <w:r>
        <w:t xml:space="preserve">Alaviite-bibliografia</w:t>
      </w:r>
    </w:p>
    <w:bookmarkEnd w:id="342"/>
    <w:bookmarkStart w:id="349" w:name="X321df3f3d4d1b28d97bdb33e1d84a6175b0a5b1"/>
    <w:p>
      <w:pPr>
        <w:pStyle w:val="Heading3"/>
      </w:pPr>
      <w:r>
        <w:t xml:space="preserve">10.25 Monikielinen havainnointi tuotannossa: Aspire Dashboardin käyttöönotto ja hiljaisen telemetrian häiriö</w:t>
      </w:r>
    </w:p>
    <w:bookmarkStart w:id="343"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43"/>
    <w:bookmarkStart w:id="344"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44"/>
    <w:bookmarkStart w:id="345"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45"/>
    <w:bookmarkStart w:id="346"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46"/>
    <w:bookmarkStart w:id="347"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47"/>
    <w:bookmarkStart w:id="348"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48"/>
    <w:bookmarkEnd w:id="349"/>
    <w:bookmarkStart w:id="350"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0"/>
    <w:bookmarkEnd w:id="351"/>
    <w:bookmarkEnd w:id="3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6">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17">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18">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19">
        <w:r>
          <w:rPr>
            <w:rStyle w:val="Hyperlink"/>
          </w:rPr>
          <w:t xml:space="preserve">https://onelifetime.world/posts/sovereignty-field-note-2-three-pillars.fi.html</w:t>
        </w:r>
      </w:hyperlink>
      <w:r>
        <w:t xml:space="preserve">. Päivätty 28.5.2026.</w:t>
      </w:r>
    </w:p>
  </w:footnote>
  <w:footnote w:id="320">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21">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22">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2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28">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31">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32">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33">
        <w:r>
          <w:rPr>
            <w:rStyle w:val="Hyperlink"/>
          </w:rPr>
          <w:t xml:space="preserve">https://csrc.nist.gov/pubs/fips/203/final</w:t>
        </w:r>
      </w:hyperlink>
      <w:r>
        <w:t xml:space="preserve">.</w:t>
      </w:r>
    </w:p>
  </w:footnote>
  <w:footnote w:id="33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35">
        <w:r>
          <w:rPr>
            <w:rStyle w:val="Hyperlink"/>
          </w:rPr>
          <w:t xml:space="preserve">https://csrc.nist.gov/pubs/fips/204/final</w:t>
        </w:r>
      </w:hyperlink>
      <w:r>
        <w:t xml:space="preserve">.</w:t>
      </w:r>
    </w:p>
  </w:footnote>
  <w:footnote w:id="33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37">
        <w:r>
          <w:rPr>
            <w:rStyle w:val="Hyperlink"/>
          </w:rPr>
          <w:t xml:space="preserve">https://csrc.nist.gov/pubs/fips/205/final</w:t>
        </w:r>
      </w:hyperlink>
      <w:r>
        <w:t xml:space="preserve">.</w:t>
      </w:r>
    </w:p>
  </w:footnote>
  <w:footnote w:id="338">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39">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0">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2026-07-25T04:23:40Z</dcterms:created>
  <dcterms:modified xsi:type="dcterms:W3CDTF">2026-07-25T04:23:40Z</dcterms:modified>
</cp:coreProperties>
</file>

<file path=docProps/custom.xml><?xml version="1.0" encoding="utf-8"?>
<Properties xmlns="http://schemas.openxmlformats.org/officeDocument/2006/custom-properties" xmlns:vt="http://schemas.openxmlformats.org/officeDocument/2006/docPropsVTypes"/>
</file>