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d2d2a553010a6cfa6e6bd30a68f652a8e97195"/>
    <w:p>
      <w:pPr>
        <w:pStyle w:val="Heading1"/>
      </w:pPr>
      <w:r>
        <w:t xml:space="preserve">DWS IQ × LUT PhD Interlock Roadmap 2026–2030</w:t>
      </w:r>
    </w:p>
    <w:p>
      <w:r>
        <w:pict>
          <v:rect style="width:0;height:1.5pt" o:hralign="center" o:hrstd="t" o:hr="t"/>
        </w:pict>
      </w:r>
    </w:p>
    <w:bookmarkEnd w:id="20"/>
    <w:bookmarkStart w:id="29" w:name="version-and-agent-history"/>
    <w:p>
      <w:pPr>
        <w:pStyle w:val="Heading1"/>
      </w:pPr>
      <w:r>
        <w:t xml:space="preserve">VERSION AND AGENT HISTORY</w:t>
      </w:r>
    </w:p>
    <w:p>
      <w:pPr>
        <w:pStyle w:val="FirstParagraph"/>
      </w:pPr>
      <w:r>
        <w:t xml:space="preserve">Version: 1.1</w:t>
      </w:r>
    </w:p>
    <w:p>
      <w:pPr>
        <w:pStyle w:val="BodyText"/>
      </w:pPr>
      <w:r>
        <w:t xml:space="preserve">Sessions &amp; Modifications:</w:t>
      </w:r>
    </w:p>
    <w:p>
      <w:pPr>
        <w:numPr>
          <w:ilvl w:val="0"/>
          <w:numId w:val="1001"/>
        </w:numPr>
      </w:pPr>
      <w:r>
        <w:t xml:space="preserve">Version: 1.1 | Tool: Claude Code | Session: session_01T3cDnVQrtyrBNvLT9KeyeW | Date: 05.08.2026 | Changes: Added</w:t>
      </w:r>
      <w:r>
        <w:t xml:space="preserve"> </w:t>
      </w:r>
      <w:r>
        <w:t xml:space="preserve">“</w:t>
      </w:r>
      <w:r>
        <w:t xml:space="preserve">Applicant eligibility — settled</w:t>
      </w:r>
      <w:r>
        <w:t xml:space="preserve">”</w:t>
      </w:r>
      <w:r>
        <w:t xml:space="preserve"> </w:t>
      </w:r>
      <w:r>
        <w:t xml:space="preserve">(HIC fact: LUT DI tuotantotalous 07/2007 — alumnus; Metropolia thesis is NOT a gate, do not re-ask) and the</w:t>
      </w:r>
      <w:r>
        <w:t xml:space="preserve"> </w:t>
      </w:r>
      <w:r>
        <w:t xml:space="preserve">“</w:t>
      </w:r>
      <w:r>
        <w:t xml:space="preserve">Application readiness</w:t>
      </w:r>
      <w:r>
        <w:t xml:space="preserve">”</w:t>
      </w:r>
      <w:r>
        <w:t xml:space="preserve"> </w:t>
      </w:r>
      <w:r>
        <w:t xml:space="preserve">gap table against LUT Studyinfo requirements (research plan sent 14.07 awaiting acceptance + GenAI disclosure; study-plan template and commitment form missing; Smolander working session booked Tue 11.08.2026 12:00, calendared with reminders). Rebased onto the PR #1798 pre-merge review pass, keeping its corrected framing (doctorate contributes independent evidence; the Product Gate certifies). Sources: lut.fi/elut admission pages, 05.08.2026.</w:t>
      </w:r>
    </w:p>
    <w:p>
      <w:pPr>
        <w:numPr>
          <w:ilvl w:val="0"/>
          <w:numId w:val="1001"/>
        </w:numPr>
      </w:pPr>
      <w:r>
        <w:t xml:space="preserve">Version: 1.0 | Tool: Claude Code | Session: session_01T3cDnVQrtyrBNvLT9KeyeW | Date: 05.08.2026 | Changes: Initial creation — four-year LUT doctorate mapped onto the DWS IQ 7→8→9 version roadmap; mutual-reinforcement plan (product supplies the testbed, doctorate supplies independent evidence); per-year article plan; success criteria and risks for both tracks. Anchored to Strategy_Loop.md v1.4 §14.</w:t>
      </w:r>
    </w:p>
    <w:p>
      <w:pPr>
        <w:pStyle w:val="FirstParagraph"/>
      </w:pPr>
      <w:r>
        <w:t xml:space="preserve">Document Status:</w:t>
      </w:r>
    </w:p>
    <w:p>
      <w:pPr>
        <w:numPr>
          <w:ilvl w:val="0"/>
          <w:numId w:val="1002"/>
        </w:numPr>
        <w:pStyle w:val="Compact"/>
      </w:pPr>
      <w:r>
        <w:t xml:space="preserve">Created: 05.08.2026</w:t>
      </w:r>
    </w:p>
    <w:p>
      <w:pPr>
        <w:numPr>
          <w:ilvl w:val="0"/>
          <w:numId w:val="1002"/>
        </w:numPr>
        <w:pStyle w:val="Compact"/>
      </w:pPr>
      <w:r>
        <w:t xml:space="preserve">Last Modified: 05.08.2026</w:t>
      </w:r>
    </w:p>
    <w:p>
      <w:pPr>
        <w:numPr>
          <w:ilvl w:val="0"/>
          <w:numId w:val="1002"/>
        </w:numPr>
        <w:pStyle w:val="Compact"/>
      </w:pPr>
      <w:r>
        <w:t xml:space="preserve">Language: English</w:t>
      </w:r>
    </w:p>
    <w:p>
      <w:pPr>
        <w:numPr>
          <w:ilvl w:val="0"/>
          <w:numId w:val="1002"/>
        </w:numPr>
        <w:pStyle w:val="Compact"/>
      </w:pPr>
      <w:r>
        <w:t xml:space="preserve">Languages Available: English</w:t>
      </w:r>
    </w:p>
    <w:p>
      <w:pPr>
        <w:numPr>
          <w:ilvl w:val="0"/>
          <w:numId w:val="1002"/>
        </w:numPr>
        <w:pStyle w:val="Compact"/>
      </w:pPr>
      <w:r>
        <w:t xml:space="preserve">Publication Status: DRAFT — planning document, pending supervisor alignment</w:t>
      </w:r>
    </w:p>
    <w:p>
      <w:pPr>
        <w:numPr>
          <w:ilvl w:val="0"/>
          <w:numId w:val="1002"/>
        </w:numPr>
        <w:pStyle w:val="Compact"/>
      </w:pPr>
      <w:r>
        <w:t xml:space="preserve">Document Type: Internal Roadmap / Academic-Product Interlock Plan</w:t>
      </w:r>
    </w:p>
    <w:p>
      <w:pPr>
        <w:numPr>
          <w:ilvl w:val="0"/>
          <w:numId w:val="1002"/>
        </w:numPr>
        <w:pStyle w:val="Compact"/>
      </w:pPr>
      <w:r>
        <w:t xml:space="preserve">Owner: Risto Anton Päärni, Founder, CEO, Lifetime Oy</w:t>
      </w:r>
    </w:p>
    <w:p>
      <w:r>
        <w:pict>
          <v:rect style="width:0;height:1.5pt" o:hralign="center" o:hrstd="t" o:hr="t"/>
        </w:pict>
      </w:r>
    </w:p>
    <w:bookmarkStart w:id="21" w:name="one-sentence"/>
    <w:p>
      <w:pPr>
        <w:pStyle w:val="Heading2"/>
      </w:pPr>
      <w:r>
        <w:t xml:space="preserve">One sentence</w:t>
      </w:r>
    </w:p>
    <w:p>
      <w:pPr>
        <w:pStyle w:val="FirstParagraph"/>
      </w:pPr>
      <w:r>
        <w:t xml:space="preserve">The LUT doctorate (4 years, 2027–2030) and the DWS IQ version roadmap</w:t>
      </w:r>
      <w:r>
        <w:t xml:space="preserve"> </w:t>
      </w:r>
      <w:r>
        <w:t xml:space="preserve">(7 → 8 → 9, 2026–2031) are the same programme viewed from two sides: each DWS</w:t>
      </w:r>
      <w:r>
        <w:t xml:space="preserve"> </w:t>
      </w:r>
      <w:r>
        <w:t xml:space="preserve">version supplies the production testbed that makes the research questions</w:t>
      </w:r>
      <w:r>
        <w:t xml:space="preserve"> </w:t>
      </w:r>
      <w:r>
        <w:t xml:space="preserve">falsifiable, and each dissertation article can supply independent,</w:t>
      </w:r>
      <w:r>
        <w:t xml:space="preserve"> </w:t>
      </w:r>
      <w:r>
        <w:t xml:space="preserve">peer-reviewed evidence relevant to the product’s Level 4 claims. The Product</w:t>
      </w:r>
      <w:r>
        <w:t xml:space="preserve"> </w:t>
      </w:r>
      <w:r>
        <w:t xml:space="preserve">Gate—not academic status—determines whether a product claim passes.</w:t>
      </w:r>
    </w:p>
    <w:bookmarkEnd w:id="21"/>
    <w:bookmarkStart w:id="22" w:name="why-the-interlock-wins-on-both-causes"/>
    <w:p>
      <w:pPr>
        <w:pStyle w:val="Heading2"/>
      </w:pPr>
      <w:r>
        <w:t xml:space="preserve">Why the interlock wins on both causes</w:t>
      </w:r>
    </w:p>
    <w:p>
      <w:pPr>
        <w:pStyle w:val="FirstParagraph"/>
      </w:pPr>
      <w:r>
        <w:rPr>
          <w:bCs/>
          <w:b/>
        </w:rPr>
        <w:t xml:space="preserve">Product → PhD (the testbed direction):</w:t>
      </w:r>
    </w:p>
    <w:p>
      <w:pPr>
        <w:numPr>
          <w:ilvl w:val="0"/>
          <w:numId w:val="1003"/>
        </w:numPr>
        <w:pStyle w:val="Compact"/>
      </w:pPr>
      <w:r>
        <w:t xml:space="preserve">DWS 7’s paying industrial customers (target: 16 by Q4 2027) are the empirical</w:t>
      </w:r>
      <w:r>
        <w:t xml:space="preserve"> </w:t>
      </w:r>
      <w:r>
        <w:t xml:space="preserve">case base no competing doctoral candidate has — real MGD/CRC data, Article 12</w:t>
      </w:r>
      <w:r>
        <w:t xml:space="preserve"> </w:t>
      </w:r>
      <w:r>
        <w:t xml:space="preserve">lineage, audit-grade decision records from regulated EU industry.</w:t>
      </w:r>
    </w:p>
    <w:p>
      <w:pPr>
        <w:numPr>
          <w:ilvl w:val="0"/>
          <w:numId w:val="1003"/>
        </w:numPr>
        <w:pStyle w:val="Compact"/>
      </w:pPr>
      <w:r>
        <w:t xml:space="preserve">The Strategy Loop’s own discipline (</w:t>
      </w:r>
      <w:r>
        <w:t xml:space="preserve">“</w:t>
      </w:r>
      <w:r>
        <w:t xml:space="preserve">independently reproduce Level 4–5 claims</w:t>
      </w:r>
      <w:r>
        <w:t xml:space="preserve"> </w:t>
      </w:r>
      <w:r>
        <w:t xml:space="preserve">annually</w:t>
      </w:r>
      <w:r>
        <w:t xml:space="preserve">”</w:t>
      </w:r>
      <w:r>
        <w:t xml:space="preserve">,</w:t>
      </w:r>
      <w:r>
        <w:t xml:space="preserve"> </w:t>
      </w:r>
      <w:r>
        <w:rPr>
          <w:rStyle w:val="VerbatimChar"/>
        </w:rPr>
        <w:t xml:space="preserve">Strategy_Loop.md</w:t>
      </w:r>
      <w:r>
        <w:t xml:space="preserve"> </w:t>
      </w:r>
      <w:r>
        <w:t xml:space="preserve">§6)</w:t>
      </w:r>
      <w:r>
        <w:t xml:space="preserve"> </w:t>
      </w:r>
      <w:r>
        <w:rPr>
          <w:iCs/>
          <w:i/>
        </w:rPr>
        <w:t xml:space="preserve">is</w:t>
      </w:r>
      <w:r>
        <w:t xml:space="preserve"> </w:t>
      </w:r>
      <w:r>
        <w:t xml:space="preserve">an academic validation cycle — the</w:t>
      </w:r>
      <w:r>
        <w:t xml:space="preserve"> </w:t>
      </w:r>
      <w:r>
        <w:t xml:space="preserve">doctoral research subjects the evidence to external academic scrutiny.</w:t>
      </w:r>
    </w:p>
    <w:p>
      <w:pPr>
        <w:numPr>
          <w:ilvl w:val="0"/>
          <w:numId w:val="1003"/>
        </w:numPr>
        <w:pStyle w:val="Compact"/>
      </w:pPr>
      <w:r>
        <w:t xml:space="preserve">KYA’s four falsifiability gates (</w:t>
      </w:r>
      <w:r>
        <w:rPr>
          <w:rStyle w:val="VerbatimChar"/>
        </w:rPr>
        <w:t xml:space="preserve">standards/kya-open/SPEC.md</w:t>
      </w:r>
      <w:r>
        <w:t xml:space="preserve"> </w:t>
      </w:r>
      <w:r>
        <w:t xml:space="preserve">§0.6) cannot be</w:t>
      </w:r>
      <w:r>
        <w:t xml:space="preserve"> </w:t>
      </w:r>
      <w:r>
        <w:t xml:space="preserve">cleared by Lifetime Oy alone by design. The university channel is the realistic</w:t>
      </w:r>
      <w:r>
        <w:t xml:space="preserve"> </w:t>
      </w:r>
      <w:r>
        <w:t xml:space="preserve">source of gate #1 (independent implementations built by parties with no</w:t>
      </w:r>
      <w:r>
        <w:t xml:space="preserve"> </w:t>
      </w:r>
      <w:r>
        <w:t xml:space="preserve">commercial relationship) and gate #2 (a conformance suite an implementation</w:t>
      </w:r>
      <w:r>
        <w:t xml:space="preserve"> </w:t>
      </w:r>
      <w:r>
        <w:t xml:space="preserve">can fail, built as reviewed research instrumentation).</w:t>
      </w:r>
    </w:p>
    <w:p>
      <w:pPr>
        <w:pStyle w:val="FirstParagraph"/>
      </w:pPr>
      <w:r>
        <w:rPr>
          <w:bCs/>
          <w:b/>
        </w:rPr>
        <w:t xml:space="preserve">PhD → Product (the proof direction):</w:t>
      </w:r>
    </w:p>
    <w:p>
      <w:pPr>
        <w:numPr>
          <w:ilvl w:val="0"/>
          <w:numId w:val="1004"/>
        </w:numPr>
        <w:pStyle w:val="Compact"/>
      </w:pPr>
      <w:r>
        <w:t xml:space="preserve">Peer-reviewed articles become first-class Evidence Room artifacts</w:t>
      </w:r>
      <w:r>
        <w:t xml:space="preserve"> </w:t>
      </w:r>
      <w:r>
        <w:t xml:space="preserve">(</w:t>
      </w:r>
      <w:r>
        <w:rPr>
          <w:rStyle w:val="VerbatimChar"/>
        </w:rPr>
        <w:t xml:space="preserve">Strategy_Loop.md</w:t>
      </w:r>
      <w:r>
        <w:t xml:space="preserve"> </w:t>
      </w:r>
      <w:r>
        <w:t xml:space="preserve">§7): published, citable evidence relevant to the Level 4 evaluation that any enterprise buyer — R03/R04 research leaders,</w:t>
      </w:r>
      <w:r>
        <w:t xml:space="preserve"> </w:t>
      </w:r>
      <w:r>
        <w:t xml:space="preserve">R13/R15 technical approvers — can verify without trusting our own materials.</w:t>
      </w:r>
    </w:p>
    <w:p>
      <w:pPr>
        <w:numPr>
          <w:ilvl w:val="0"/>
          <w:numId w:val="1004"/>
        </w:numPr>
        <w:pStyle w:val="Compact"/>
      </w:pPr>
      <w:r>
        <w:t xml:space="preserve">The §4 intelligence maturity model’s Level 4 requires independent</w:t>
      </w:r>
      <w:r>
        <w:t xml:space="preserve"> </w:t>
      </w:r>
      <w:r>
        <w:t xml:space="preserve">reproduction, adversarial review, and an expert baseline. Doctoral research can</w:t>
      </w:r>
      <w:r>
        <w:t xml:space="preserve"> </w:t>
      </w:r>
      <w:r>
        <w:t xml:space="preserve">contribute evidence to those tests, but it does not certify the product or</w:t>
      </w:r>
      <w:r>
        <w:t xml:space="preserve"> </w:t>
      </w:r>
      <w:r>
        <w:t xml:space="preserve">replace an independent Product Gate review.</w:t>
      </w:r>
    </w:p>
    <w:p>
      <w:pPr>
        <w:numPr>
          <w:ilvl w:val="0"/>
          <w:numId w:val="1004"/>
        </w:numPr>
        <w:pStyle w:val="Compact"/>
      </w:pPr>
      <w:r>
        <w:t xml:space="preserve">Enrolled doctoral status unlocks funding lanes closed to a plain company:</w:t>
      </w:r>
      <w:r>
        <w:t xml:space="preserve"> </w:t>
      </w:r>
      <w:r>
        <w:t xml:space="preserve">Finnish foundations requiring a supervisor statement, Business Finland</w:t>
      </w:r>
      <w:r>
        <w:t xml:space="preserve"> </w:t>
      </w:r>
      <w:r>
        <w:t xml:space="preserve">research tracks, EU instruments with academic-partner requirements</w:t>
      </w:r>
      <w:r>
        <w:t xml:space="preserve"> </w:t>
      </w:r>
      <w:r>
        <w:t xml:space="preserve">(</w:t>
      </w:r>
      <w:r>
        <w:rPr>
          <w:rStyle w:val="VerbatimChar"/>
        </w:rPr>
        <w:t xml:space="preserve">docs/lut/fundraising-roadmap-2026-2027.md</w:t>
      </w:r>
      <w:r>
        <w:t xml:space="preserve">,</w:t>
      </w:r>
      <w:r>
        <w:t xml:space="preserve"> </w:t>
      </w:r>
      <w:r>
        <w:rPr>
          <w:rStyle w:val="VerbatimChar"/>
        </w:rPr>
        <w:t xml:space="preserve">docs/lut/fi-se-lanes-research-2026-07.md</w:t>
      </w:r>
      <w:r>
        <w:t xml:space="preserve">).</w:t>
      </w:r>
    </w:p>
    <w:bookmarkEnd w:id="22"/>
    <w:bookmarkStart w:id="25" w:name="the-four-year-map"/>
    <w:p>
      <w:pPr>
        <w:pStyle w:val="Heading2"/>
      </w:pPr>
      <w:r>
        <w:t xml:space="preserve">The four-year map</w:t>
      </w:r>
    </w:p>
    <w:p>
      <w:pPr>
        <w:pStyle w:val="FirstParagraph"/>
      </w:pPr>
      <w:r>
        <w:t xml:space="preserve">LUT industrial doctorate, part-time alongside the CEO role, article-based</w:t>
      </w:r>
      <w:r>
        <w:t xml:space="preserve"> </w:t>
      </w:r>
      <w:r>
        <w:t xml:space="preserve">dissertation (target: 4 publications + kappa). Supervision discussions with</w:t>
      </w:r>
      <w:r>
        <w:t xml:space="preserve"> </w:t>
      </w:r>
      <w:r>
        <w:t xml:space="preserve">Prof. Kari Smolander are in progress; the RQ set is in his inbox (lock rule:</w:t>
      </w:r>
      <w:r>
        <w:t xml:space="preserve"> </w:t>
      </w:r>
      <w:r>
        <w:t xml:space="preserve">changes to it are an external act requiring a HIC decision — PR #1745).</w:t>
      </w:r>
    </w:p>
    <w:bookmarkStart w:id="23" w:name="X192d4cc1b632b7a1d0df3273d90c29ca0ca02ea"/>
    <w:p>
      <w:pPr>
        <w:pStyle w:val="Heading3"/>
      </w:pPr>
      <w:r>
        <w:t xml:space="preserve">Applicant eligibility — settled (HIC, 05.08.2026)</w:t>
      </w:r>
    </w:p>
    <w:p>
      <w:pPr>
        <w:pStyle w:val="FirstParagraph"/>
      </w:pPr>
      <w:r>
        <w:t xml:space="preserve">The applicant</w:t>
      </w:r>
      <w:r>
        <w:t xml:space="preserve"> </w:t>
      </w:r>
      <w:r>
        <w:rPr>
          <w:bCs/>
          <w:b/>
        </w:rPr>
        <w:t xml:space="preserve">graduated from LUT in 07/2007 with a Master’s degree</w:t>
      </w:r>
      <w:r>
        <w:rPr>
          <w:bCs/>
          <w:b/>
        </w:rPr>
        <w:t xml:space="preserve"> </w:t>
      </w:r>
      <w:r>
        <w:rPr>
          <w:bCs/>
          <w:b/>
        </w:rPr>
        <w:t xml:space="preserve">(DI) in Industrial Management (tuotantotalous)</w:t>
      </w:r>
      <w:r>
        <w:t xml:space="preserve"> </w:t>
      </w:r>
      <w:r>
        <w:t xml:space="preserve">— a LUT alumnus applying back</w:t>
      </w:r>
      <w:r>
        <w:t xml:space="preserve"> </w:t>
      </w:r>
      <w:r>
        <w:t xml:space="preserve">to the alma mater. LUT’s degree prerequisite for doctoral admission is met by</w:t>
      </w:r>
      <w:r>
        <w:t xml:space="preserve"> </w:t>
      </w:r>
      <w:r>
        <w:t xml:space="preserve">this 2007 degree. The Metropolia YAMK thesis was graded</w:t>
      </w:r>
      <w:r>
        <w:t xml:space="preserve"> </w:t>
      </w:r>
      <w:r>
        <w:rPr>
          <w:bCs/>
          <w:b/>
        </w:rPr>
        <w:t xml:space="preserve">5/5 (Kiitettävä) on</w:t>
      </w:r>
      <w:r>
        <w:rPr>
          <w:bCs/>
          <w:b/>
        </w:rPr>
        <w:t xml:space="preserve"> </w:t>
      </w:r>
      <w:r>
        <w:rPr>
          <w:bCs/>
          <w:b/>
        </w:rPr>
        <w:t xml:space="preserve">05.06.2026</w:t>
      </w:r>
      <w:r>
        <w:t xml:space="preserve"> </w:t>
      </w:r>
      <w:r>
        <w:t xml:space="preserve">(per</w:t>
      </w:r>
      <w:r>
        <w:t xml:space="preserve"> </w:t>
      </w:r>
      <w:r>
        <w:rPr>
          <w:rStyle w:val="VerbatimChar"/>
        </w:rPr>
        <w:t xml:space="preserve">docs/lut/tutkimussuunnitelma-lut-2026-fi.md</w:t>
      </w:r>
      <w:r>
        <w:t xml:space="preserve">) — additional</w:t>
      </w:r>
      <w:r>
        <w:t xml:space="preserve"> </w:t>
      </w:r>
      <w:r>
        <w:t xml:space="preserve">supporting evidence,</w:t>
      </w:r>
      <w:r>
        <w:t xml:space="preserve"> </w:t>
      </w:r>
      <w:r>
        <w:rPr>
          <w:bCs/>
          <w:b/>
        </w:rPr>
        <w:t xml:space="preserve">not</w:t>
      </w:r>
      <w:r>
        <w:t xml:space="preserve"> </w:t>
      </w:r>
      <w:r>
        <w:t xml:space="preserve">a gate for the LUT application. Do not re-ask</w:t>
      </w:r>
      <w:r>
        <w:t xml:space="preserve"> </w:t>
      </w:r>
      <w:r>
        <w:t xml:space="preserve">this. Remaining eligibility to-do is administrative only: obtain</w:t>
      </w:r>
      <w:r>
        <w:t xml:space="preserve"> </w:t>
      </w:r>
      <w:r>
        <w:t xml:space="preserve">degree certificate + transcript copies for the Studyinfo attachment set (LUT</w:t>
      </w:r>
      <w:r>
        <w:t xml:space="preserve"> </w:t>
      </w:r>
      <w:r>
        <w:t xml:space="preserve">registry can reissue if the 2007 paper copies aren’t at hand).</w:t>
      </w:r>
    </w:p>
    <w:bookmarkEnd w:id="23"/>
    <w:bookmarkStart w:id="24" w:name="Xecadeac537934ff8550ac2560555f02465c2834"/>
    <w:p>
      <w:pPr>
        <w:pStyle w:val="Heading3"/>
      </w:pPr>
      <w:r>
        <w:t xml:space="preserve">Application readiness — state as of 05.08.2026</w:t>
      </w:r>
    </w:p>
    <w:tbl>
      <w:tblPr>
        <w:tblStyle w:val="Table"/>
        <w:tblW w:type="pct" w:w="5000"/>
        <w:tblLook w:firstRow="1" w:lastRow="0" w:firstColumn="0" w:lastColumn="0" w:noHBand="0" w:noVBand="0" w:val="0020"/>
        <w:jc w:val="start"/>
      </w:tblPr>
      <w:tblGrid>
        <w:gridCol w:w="1737"/>
        <w:gridCol w:w="1804"/>
        <w:gridCol w:w="4377"/>
      </w:tblGrid>
      <w:tr>
        <w:trPr>
          <w:tblHeader w:val="true"/>
        </w:trPr>
        <w:tc>
          <w:tcPr/>
          <w:p>
            <w:pPr>
              <w:pStyle w:val="Compact"/>
              <w:jc w:val="left"/>
            </w:pPr>
            <w:r>
              <w:t xml:space="preserve">LUT Studyinfo requirement</w:t>
            </w:r>
          </w:p>
        </w:tc>
        <w:tc>
          <w:tcPr/>
          <w:p>
            <w:pPr>
              <w:pStyle w:val="Compact"/>
              <w:jc w:val="left"/>
            </w:pPr>
            <w:r>
              <w:t xml:space="preserve">State</w:t>
            </w:r>
          </w:p>
        </w:tc>
        <w:tc>
          <w:tcPr/>
          <w:p>
            <w:pPr>
              <w:pStyle w:val="Compact"/>
              <w:jc w:val="left"/>
            </w:pPr>
            <w:r>
              <w:t xml:space="preserve">Blocker</w:t>
            </w:r>
          </w:p>
        </w:tc>
      </w:tr>
      <w:tr>
        <w:tc>
          <w:tcPr/>
          <w:p>
            <w:pPr>
              <w:pStyle w:val="Compact"/>
              <w:jc w:val="left"/>
            </w:pPr>
            <w:r>
              <w:t xml:space="preserve">Research plan, supervisor-accepted before submission</w:t>
            </w:r>
          </w:p>
        </w:tc>
        <w:tc>
          <w:tcPr/>
          <w:p>
            <w:pPr>
              <w:pStyle w:val="Compact"/>
              <w:jc w:val="left"/>
            </w:pPr>
            <w:r>
              <w:t xml:space="preserve">10-page plan v1.1 sent to Smolander 14.07 (6 RQs, DSR)</w:t>
            </w:r>
          </w:p>
        </w:tc>
        <w:tc>
          <w:tcPr/>
          <w:p>
            <w:pPr>
              <w:pStyle w:val="Compact"/>
              <w:jc w:val="left"/>
            </w:pPr>
            <w:r>
              <w:t xml:space="preserve">Supervisor acceptance; mandatory GenAI-use disclosure section not yet written; RQ5 v3 memo unsent</w:t>
            </w:r>
          </w:p>
        </w:tc>
      </w:tr>
      <w:tr>
        <w:tc>
          <w:tcPr/>
          <w:p>
            <w:pPr>
              <w:pStyle w:val="Compact"/>
              <w:jc w:val="left"/>
            </w:pPr>
            <w:r>
              <w:t xml:space="preserve">Doctoral study plan (LUT self-funded template)</w:t>
            </w:r>
          </w:p>
        </w:tc>
        <w:tc>
          <w:tcPr/>
          <w:p>
            <w:pPr>
              <w:pStyle w:val="Compact"/>
              <w:jc w:val="left"/>
            </w:pPr>
            <w:r>
              <w:t xml:space="preserve">Does not exist</w:t>
            </w:r>
          </w:p>
        </w:tc>
        <w:tc>
          <w:tcPr/>
          <w:p>
            <w:pPr>
              <w:pStyle w:val="Compact"/>
              <w:jc w:val="left"/>
            </w:pPr>
            <w:r>
              <w:t xml:space="preserve">Template-fill after RQs settle</w:t>
            </w:r>
          </w:p>
        </w:tc>
      </w:tr>
      <w:tr>
        <w:tc>
          <w:tcPr/>
          <w:p>
            <w:pPr>
              <w:pStyle w:val="Compact"/>
              <w:jc w:val="left"/>
            </w:pPr>
            <w:r>
              <w:t xml:space="preserve">Signed supervisor commitment form</w:t>
            </w:r>
          </w:p>
        </w:tc>
        <w:tc>
          <w:tcPr/>
          <w:p>
            <w:pPr>
              <w:pStyle w:val="Compact"/>
              <w:jc w:val="left"/>
            </w:pPr>
            <w:r>
              <w:t xml:space="preserve">Does not exist</w:t>
            </w:r>
          </w:p>
        </w:tc>
        <w:tc>
          <w:tcPr/>
          <w:p>
            <w:pPr>
              <w:pStyle w:val="Compact"/>
              <w:jc w:val="left"/>
            </w:pPr>
            <w:r>
              <w:rPr>
                <w:bCs/>
                <w:b/>
              </w:rPr>
              <w:t xml:space="preserve">Smolander working session — booked Tue 11.08.2026 12:00</w:t>
            </w:r>
            <w:r>
              <w:t xml:space="preserve"> </w:t>
            </w:r>
            <w:r>
              <w:t xml:space="preserve">(calendared, with the 15.8 Liikesivistysrahasto statement 4 days after)</w:t>
            </w:r>
          </w:p>
        </w:tc>
      </w:tr>
      <w:tr>
        <w:tc>
          <w:tcPr/>
          <w:p>
            <w:pPr>
              <w:pStyle w:val="Compact"/>
              <w:jc w:val="left"/>
            </w:pPr>
            <w:r>
              <w:t xml:space="preserve">Degree certificate + transcript</w:t>
            </w:r>
          </w:p>
        </w:tc>
        <w:tc>
          <w:tcPr/>
          <w:p>
            <w:pPr>
              <w:pStyle w:val="Compact"/>
              <w:jc w:val="left"/>
            </w:pPr>
            <w:r>
              <w:t xml:space="preserve">LUT DI tuotantotalous 07/2007</w:t>
            </w:r>
          </w:p>
        </w:tc>
        <w:tc>
          <w:tcPr/>
          <w:p>
            <w:pPr>
              <w:pStyle w:val="Compact"/>
              <w:jc w:val="left"/>
            </w:pPr>
            <w:r>
              <w:t xml:space="preserve">Order copies if not at hand</w:t>
            </w:r>
          </w:p>
        </w:tc>
      </w:tr>
      <w:tr>
        <w:tc>
          <w:tcPr/>
          <w:p>
            <w:pPr>
              <w:pStyle w:val="Compact"/>
              <w:jc w:val="left"/>
            </w:pPr>
            <w:r>
              <w:t xml:space="preserve">Studyinfo.fi submission</w:t>
            </w:r>
          </w:p>
        </w:tc>
        <w:tc>
          <w:tcPr/>
          <w:p>
            <w:pPr>
              <w:pStyle w:val="Compact"/>
              <w:jc w:val="left"/>
            </w:pPr>
            <w:r>
              <w:t xml:space="preserve">Not sent</w:t>
            </w:r>
          </w:p>
        </w:tc>
        <w:tc>
          <w:tcPr/>
          <w:p>
            <w:pPr>
              <w:pStyle w:val="Compact"/>
              <w:jc w:val="left"/>
            </w:pPr>
            <w:r>
              <w:t xml:space="preserve">Human act, after the above</w:t>
            </w:r>
          </w:p>
        </w:tc>
      </w:tr>
    </w:tbl>
    <w:p/>
    <w:tbl>
      <w:tblPr>
        <w:tblStyle w:val="Table"/>
        <w:tblW w:type="pct" w:w="5000"/>
        <w:tblLook w:firstRow="1" w:lastRow="0" w:firstColumn="0" w:lastColumn="0" w:noHBand="0" w:noVBand="0" w:val="0020"/>
        <w:jc w:val="start"/>
      </w:tblPr>
      <w:tblGrid>
        <w:gridCol w:w="260"/>
        <w:gridCol w:w="2868"/>
        <w:gridCol w:w="2346"/>
        <w:gridCol w:w="2444"/>
      </w:tblGrid>
      <w:tr>
        <w:trPr>
          <w:tblHeader w:val="true"/>
        </w:trPr>
        <w:tc>
          <w:tcPr/>
          <w:p>
            <w:pPr>
              <w:pStyle w:val="Compact"/>
              <w:jc w:val="left"/>
            </w:pPr>
            <w:r>
              <w:t xml:space="preserve">Year</w:t>
            </w:r>
          </w:p>
        </w:tc>
        <w:tc>
          <w:tcPr/>
          <w:p>
            <w:pPr>
              <w:pStyle w:val="Compact"/>
              <w:jc w:val="left"/>
            </w:pPr>
            <w:r>
              <w:t xml:space="preserve">LUT PhD track</w:t>
            </w:r>
          </w:p>
        </w:tc>
        <w:tc>
          <w:tcPr/>
          <w:p>
            <w:pPr>
              <w:pStyle w:val="Compact"/>
              <w:jc w:val="left"/>
            </w:pPr>
            <w:r>
              <w:t xml:space="preserve">DWS IQ track</w:t>
            </w:r>
          </w:p>
        </w:tc>
        <w:tc>
          <w:tcPr/>
          <w:p>
            <w:pPr>
              <w:pStyle w:val="Compact"/>
              <w:jc w:val="left"/>
            </w:pPr>
            <w:r>
              <w:t xml:space="preserve">The interlock deliverable</w:t>
            </w:r>
          </w:p>
        </w:tc>
      </w:tr>
      <w:tr>
        <w:tc>
          <w:tcPr/>
          <w:p>
            <w:pPr>
              <w:pStyle w:val="Compact"/>
              <w:jc w:val="left"/>
            </w:pPr>
            <w:r>
              <w:rPr>
                <w:bCs/>
                <w:b/>
              </w:rPr>
              <w:t xml:space="preserve">Y0 · 2026 H2</w:t>
            </w:r>
          </w:p>
        </w:tc>
        <w:tc>
          <w:tcPr/>
          <w:p>
            <w:pPr>
              <w:pStyle w:val="Compact"/>
              <w:jc w:val="left"/>
            </w:pPr>
            <w:r>
              <w:t xml:space="preserve">Supervision agreement; enrollment application; live funding windows (Liikesivistysrahasto closes 15.8.2026, Nokia Foundation 3.8–15.9.2026 — both need the supervisor statement)</w:t>
            </w:r>
          </w:p>
        </w:tc>
        <w:tc>
          <w:tcPr/>
          <w:p>
            <w:pPr>
              <w:pStyle w:val="Compact"/>
              <w:jc w:val="left"/>
            </w:pPr>
            <w:r>
              <w:t xml:space="preserve">DWS 7 Phase 2 execution; Q1-approved Intelligence Product Gate rollout from Q4 2026; first three evaluated decision workflows (90-day programme)</w:t>
            </w:r>
          </w:p>
        </w:tc>
        <w:tc>
          <w:tcPr/>
          <w:p>
            <w:pPr>
              <w:pStyle w:val="Compact"/>
              <w:jc w:val="left"/>
            </w:pPr>
            <w:r>
              <w:t xml:space="preserve">Research plan finalized against the</w:t>
            </w:r>
            <w:r>
              <w:t xml:space="preserve"> </w:t>
            </w:r>
            <w:r>
              <w:rPr>
                <w:iCs/>
                <w:i/>
              </w:rPr>
              <w:t xml:space="preserve">running</w:t>
            </w:r>
            <w:r>
              <w:t xml:space="preserve"> </w:t>
            </w:r>
            <w:r>
              <w:t xml:space="preserve">testbed; the three gold-case decision workflows double as the dissertation’s baseline datasets</w:t>
            </w:r>
          </w:p>
        </w:tc>
      </w:tr>
      <w:tr>
        <w:tc>
          <w:tcPr/>
          <w:p>
            <w:pPr>
              <w:pStyle w:val="Compact"/>
              <w:jc w:val="left"/>
            </w:pPr>
            <w:r>
              <w:rPr>
                <w:bCs/>
                <w:b/>
              </w:rPr>
              <w:t xml:space="preserve">Y1 · 2027</w:t>
            </w:r>
          </w:p>
        </w:tc>
        <w:tc>
          <w:tcPr/>
          <w:p>
            <w:pPr>
              <w:pStyle w:val="Compact"/>
              <w:jc w:val="left"/>
            </w:pPr>
            <w:r>
              <w:t xml:space="preserve">Enrollment + Article I: runtime assurance / KYA governance evidence from production (design-science method)</w:t>
            </w:r>
          </w:p>
        </w:tc>
        <w:tc>
          <w:tcPr/>
          <w:p>
            <w:pPr>
              <w:pStyle w:val="Compact"/>
              <w:jc w:val="left"/>
            </w:pPr>
            <w:r>
              <w:t xml:space="preserve">DWS 7 GA push → 16 paying customers, €72K MRR target, ISO 27001</w:t>
            </w:r>
          </w:p>
        </w:tc>
        <w:tc>
          <w:tcPr/>
          <w:p>
            <w:pPr>
              <w:pStyle w:val="Compact"/>
              <w:jc w:val="left"/>
            </w:pPr>
            <w:r>
              <w:t xml:space="preserve">Article I’s empirical section = DWS 7 pilot evidence; the article’s method section = the reproducibility protocol the Evidence Room ships to customers</w:t>
            </w:r>
          </w:p>
        </w:tc>
      </w:tr>
      <w:tr>
        <w:tc>
          <w:tcPr/>
          <w:p>
            <w:pPr>
              <w:pStyle w:val="Compact"/>
              <w:jc w:val="left"/>
            </w:pPr>
            <w:r>
              <w:rPr>
                <w:bCs/>
                <w:b/>
              </w:rPr>
              <w:t xml:space="preserve">Y2 · 2028</w:t>
            </w:r>
          </w:p>
        </w:tc>
        <w:tc>
          <w:tcPr/>
          <w:p>
            <w:pPr>
              <w:pStyle w:val="Compact"/>
              <w:jc w:val="left"/>
            </w:pPr>
            <w:r>
              <w:t xml:space="preserve">Article II: cross-industry ontology / carbon-ledger intelligence — what single-vertical tools cannot produce</w:t>
            </w:r>
          </w:p>
        </w:tc>
        <w:tc>
          <w:tcPr/>
          <w:p>
            <w:pPr>
              <w:pStyle w:val="Compact"/>
              <w:jc w:val="left"/>
            </w:pPr>
            <w:r>
              <w:t xml:space="preserve">DWS 8 start: double-entry carbon ledger, 18-source data mesh, cross-vertical network effects</w:t>
            </w:r>
          </w:p>
        </w:tc>
        <w:tc>
          <w:tcPr/>
          <w:p>
            <w:pPr>
              <w:pStyle w:val="Compact"/>
              <w:jc w:val="left"/>
            </w:pPr>
            <w:r>
              <w:t xml:space="preserve">DWS 8’s multi-customer ledger is Article II’s dataset; Article II’s review process pressure-tests the ledger’s evidence claims before auditors do</w:t>
            </w:r>
          </w:p>
        </w:tc>
      </w:tr>
      <w:tr>
        <w:tc>
          <w:tcPr/>
          <w:p>
            <w:pPr>
              <w:pStyle w:val="Compact"/>
              <w:jc w:val="left"/>
            </w:pPr>
            <w:r>
              <w:rPr>
                <w:bCs/>
                <w:b/>
              </w:rPr>
              <w:t xml:space="preserve">Y3 · 2029</w:t>
            </w:r>
          </w:p>
        </w:tc>
        <w:tc>
          <w:tcPr/>
          <w:p>
            <w:pPr>
              <w:pStyle w:val="Compact"/>
              <w:jc w:val="left"/>
            </w:pPr>
            <w:r>
              <w:t xml:space="preserve">Article III: multi-vertical evaluation — cost-of-safety curves, calibration, human-override rates across industries</w:t>
            </w:r>
          </w:p>
        </w:tc>
        <w:tc>
          <w:tcPr/>
          <w:p>
            <w:pPr>
              <w:pStyle w:val="Compact"/>
              <w:jc w:val="left"/>
            </w:pPr>
            <w:r>
              <w:t xml:space="preserve">DWS 8 GA (Q4 2029); Phase 3B post-quantum foundation</w:t>
            </w:r>
          </w:p>
        </w:tc>
        <w:tc>
          <w:tcPr/>
          <w:p>
            <w:pPr>
              <w:pStyle w:val="Compact"/>
              <w:jc w:val="left"/>
            </w:pPr>
            <w:r>
              <w:t xml:space="preserve">The §5 Product Gate scores (0–3, ≥24/30) become Article III’s measurement instrument — the catalog audit</w:t>
            </w:r>
            <w:r>
              <w:t xml:space="preserve"> </w:t>
            </w:r>
            <w:r>
              <w:rPr>
                <w:iCs/>
                <w:i/>
              </w:rPr>
              <w:t xml:space="preserve">is</w:t>
            </w:r>
            <w:r>
              <w:t xml:space="preserve"> </w:t>
            </w:r>
            <w:r>
              <w:t xml:space="preserve">the study</w:t>
            </w:r>
          </w:p>
        </w:tc>
      </w:tr>
      <w:tr>
        <w:tc>
          <w:tcPr/>
          <w:p>
            <w:pPr>
              <w:pStyle w:val="Compact"/>
              <w:jc w:val="left"/>
            </w:pPr>
            <w:r>
              <w:rPr>
                <w:bCs/>
                <w:b/>
              </w:rPr>
              <w:t xml:space="preserve">Y4 · 2030</w:t>
            </w:r>
          </w:p>
        </w:tc>
        <w:tc>
          <w:tcPr/>
          <w:p>
            <w:pPr>
              <w:pStyle w:val="Compact"/>
              <w:jc w:val="left"/>
            </w:pPr>
            <w:r>
              <w:t xml:space="preserve">Article IV + kappa; pre-examination; defense target end-2030/early-2031</w:t>
            </w:r>
          </w:p>
        </w:tc>
        <w:tc>
          <w:tcPr/>
          <w:p>
            <w:pPr>
              <w:pStyle w:val="Compact"/>
              <w:jc w:val="left"/>
            </w:pPr>
            <w:r>
              <w:t xml:space="preserve">DWS 9 start: post-quantum sovereign platform, q-day-gated</w:t>
            </w:r>
          </w:p>
        </w:tc>
        <w:tc>
          <w:tcPr/>
          <w:p>
            <w:pPr>
              <w:pStyle w:val="Compact"/>
              <w:jc w:val="left"/>
            </w:pPr>
            <w:r>
              <w:t xml:space="preserve">Defense may add independent published evidence about versions 7–8; DWS 9 claims remain subject to their own Product Gate evidence</w:t>
            </w:r>
          </w:p>
        </w:tc>
      </w:tr>
    </w:tbl>
    <w:bookmarkEnd w:id="24"/>
    <w:bookmarkEnd w:id="25"/>
    <w:bookmarkStart w:id="26" w:name="Xd76cb31ca57a7ae1944249175e056d5dfca473d"/>
    <w:p>
      <w:pPr>
        <w:pStyle w:val="Heading2"/>
      </w:pPr>
      <w:r>
        <w:t xml:space="preserve">Success criteria — both tracks, one scoreboard</w:t>
      </w:r>
    </w:p>
    <w:p>
      <w:pPr>
        <w:pStyle w:val="FirstParagraph"/>
      </w:pPr>
      <w:r>
        <w:t xml:space="preserve">The strategy works when each row is true on</w:t>
      </w:r>
      <w:r>
        <w:t xml:space="preserve"> </w:t>
      </w:r>
      <w:r>
        <w:rPr>
          <w:iCs/>
          <w:i/>
        </w:rPr>
        <w:t xml:space="preserve">both</w:t>
      </w:r>
      <w:r>
        <w:t xml:space="preserve"> </w:t>
      </w:r>
      <w:r>
        <w:t xml:space="preserve">sides; a row true on one</w:t>
      </w:r>
      <w:r>
        <w:t xml:space="preserve"> </w:t>
      </w:r>
      <w:r>
        <w:t xml:space="preserve">side only is a drift warning:</w:t>
      </w:r>
    </w:p>
    <w:tbl>
      <w:tblPr>
        <w:tblStyle w:val="Table"/>
        <w:tblW w:type="pct" w:w="5000"/>
        <w:tblLook w:firstRow="1" w:lastRow="0" w:firstColumn="0" w:lastColumn="0" w:noHBand="0" w:noVBand="0" w:val="0020"/>
        <w:jc w:val="start"/>
      </w:tblPr>
      <w:tblGrid>
        <w:gridCol w:w="1741"/>
        <w:gridCol w:w="2073"/>
        <w:gridCol w:w="4105"/>
      </w:tblGrid>
      <w:tr>
        <w:trPr>
          <w:tblHeader w:val="true"/>
        </w:trPr>
        <w:tc>
          <w:tcPr/>
          <w:p>
            <w:pPr>
              <w:pStyle w:val="Compact"/>
              <w:jc w:val="left"/>
            </w:pPr>
            <w:r>
              <w:t xml:space="preserve">Signal</w:t>
            </w:r>
          </w:p>
        </w:tc>
        <w:tc>
          <w:tcPr/>
          <w:p>
            <w:pPr>
              <w:pStyle w:val="Compact"/>
              <w:jc w:val="left"/>
            </w:pPr>
            <w:r>
              <w:t xml:space="preserve">PhD side</w:t>
            </w:r>
          </w:p>
        </w:tc>
        <w:tc>
          <w:tcPr/>
          <w:p>
            <w:pPr>
              <w:pStyle w:val="Compact"/>
              <w:jc w:val="left"/>
            </w:pPr>
            <w:r>
              <w:t xml:space="preserve">Product side</w:t>
            </w:r>
          </w:p>
        </w:tc>
      </w:tr>
      <w:tr>
        <w:tc>
          <w:tcPr/>
          <w:p>
            <w:pPr>
              <w:pStyle w:val="Compact"/>
              <w:jc w:val="left"/>
            </w:pPr>
            <w:r>
              <w:t xml:space="preserve">Falsifiable evidence</w:t>
            </w:r>
          </w:p>
        </w:tc>
        <w:tc>
          <w:tcPr/>
          <w:p>
            <w:pPr>
              <w:pStyle w:val="Compact"/>
              <w:jc w:val="left"/>
            </w:pPr>
            <w:r>
              <w:t xml:space="preserve">Article accepted at peer review</w:t>
            </w:r>
          </w:p>
        </w:tc>
        <w:tc>
          <w:tcPr/>
          <w:p>
            <w:pPr>
              <w:pStyle w:val="Compact"/>
              <w:jc w:val="left"/>
            </w:pPr>
            <w:r>
              <w:t xml:space="preserve">Same evidence pack passes a customer/auditor review (MGD counted, Article 12 lineage intact)</w:t>
            </w:r>
          </w:p>
        </w:tc>
      </w:tr>
      <w:tr>
        <w:tc>
          <w:tcPr/>
          <w:p>
            <w:pPr>
              <w:pStyle w:val="Compact"/>
              <w:jc w:val="left"/>
            </w:pPr>
            <w:r>
              <w:t xml:space="preserve">Independent validation</w:t>
            </w:r>
          </w:p>
        </w:tc>
        <w:tc>
          <w:tcPr/>
          <w:p>
            <w:pPr>
              <w:pStyle w:val="Compact"/>
              <w:jc w:val="left"/>
            </w:pPr>
            <w:r>
              <w:t xml:space="preserve">External co-authors / reviewers reproduce results</w:t>
            </w:r>
          </w:p>
        </w:tc>
        <w:tc>
          <w:tcPr/>
          <w:p>
            <w:pPr>
              <w:pStyle w:val="Compact"/>
              <w:jc w:val="left"/>
            </w:pPr>
            <w:r>
              <w:t xml:space="preserve">KYA gate #1–#2 progress: an implementation not built by Lifetime, a conformance suite that can fail</w:t>
            </w:r>
          </w:p>
        </w:tc>
      </w:tr>
      <w:tr>
        <w:tc>
          <w:tcPr/>
          <w:p>
            <w:pPr>
              <w:pStyle w:val="Compact"/>
              <w:jc w:val="left"/>
            </w:pPr>
            <w:r>
              <w:t xml:space="preserve">Knowledge discovery (post-doctorate level)</w:t>
            </w:r>
          </w:p>
        </w:tc>
        <w:tc>
          <w:tcPr/>
          <w:p>
            <w:pPr>
              <w:pStyle w:val="Compact"/>
              <w:jc w:val="left"/>
            </w:pPr>
            <w:r>
              <w:t xml:space="preserve">A novel validated finding per dissertation article</w:t>
            </w:r>
          </w:p>
        </w:tc>
        <w:tc>
          <w:tcPr/>
          <w:p>
            <w:pPr>
              <w:pStyle w:val="Compact"/>
              <w:jc w:val="left"/>
            </w:pPr>
            <w:r>
              <w:t xml:space="preserve">≥1 validated discovery per quarter changes an enterprise decision (</w:t>
            </w:r>
            <w:r>
              <w:rPr>
                <w:rStyle w:val="VerbatimChar"/>
              </w:rPr>
              <w:t xml:space="preserve">Strategy_Loop.md</w:t>
            </w:r>
            <w:r>
              <w:t xml:space="preserve"> </w:t>
            </w:r>
            <w:r>
              <w:t xml:space="preserve">§11)</w:t>
            </w:r>
          </w:p>
        </w:tc>
      </w:tr>
      <w:tr>
        <w:tc>
          <w:tcPr/>
          <w:p>
            <w:pPr>
              <w:pStyle w:val="Compact"/>
              <w:jc w:val="left"/>
            </w:pPr>
            <w:r>
              <w:t xml:space="preserve">Funding</w:t>
            </w:r>
          </w:p>
        </w:tc>
        <w:tc>
          <w:tcPr/>
          <w:p>
            <w:pPr>
              <w:pStyle w:val="Compact"/>
              <w:jc w:val="left"/>
            </w:pPr>
            <w:r>
              <w:t xml:space="preserve">Foundation grants + doctoral funding secured</w:t>
            </w:r>
          </w:p>
        </w:tc>
        <w:tc>
          <w:tcPr/>
          <w:p>
            <w:pPr>
              <w:pStyle w:val="Compact"/>
              <w:jc w:val="left"/>
            </w:pPr>
            <w:r>
              <w:t xml:space="preserve">MRR growth carries the company without diluting for research time</w:t>
            </w:r>
          </w:p>
        </w:tc>
      </w:tr>
    </w:tbl>
    <w:bookmarkEnd w:id="26"/>
    <w:bookmarkStart w:id="27" w:name="risks-and-their-controls"/>
    <w:p>
      <w:pPr>
        <w:pStyle w:val="Heading2"/>
      </w:pPr>
      <w:r>
        <w:t xml:space="preserve">Risks and their controls</w:t>
      </w:r>
    </w:p>
    <w:p>
      <w:pPr>
        <w:numPr>
          <w:ilvl w:val="0"/>
          <w:numId w:val="1005"/>
        </w:numPr>
        <w:pStyle w:val="Compact"/>
      </w:pPr>
      <w:r>
        <w:rPr>
          <w:bCs/>
          <w:b/>
        </w:rPr>
        <w:t xml:space="preserve">Over-scoping</w:t>
      </w:r>
      <w:r>
        <w:t xml:space="preserve"> </w:t>
      </w:r>
      <w:r>
        <w:t xml:space="preserve">— the dominant failure mode named by the supervisory review</w:t>
      </w:r>
      <w:r>
        <w:t xml:space="preserve"> </w:t>
      </w:r>
      <w:r>
        <w:t xml:space="preserve">(PR #1712). Control: articles map 1:1 to already-planned DWS version</w:t>
      </w:r>
      <w:r>
        <w:t xml:space="preserve"> </w:t>
      </w:r>
      <w:r>
        <w:t xml:space="preserve">deliverables; no article requires work the product roadmap doesn’t fund.</w:t>
      </w:r>
    </w:p>
    <w:p>
      <w:pPr>
        <w:numPr>
          <w:ilvl w:val="0"/>
          <w:numId w:val="1005"/>
        </w:numPr>
        <w:pStyle w:val="Compact"/>
      </w:pPr>
      <w:r>
        <w:rPr>
          <w:bCs/>
          <w:b/>
        </w:rPr>
        <w:t xml:space="preserve">Founder bandwidth</w:t>
      </w:r>
      <w:r>
        <w:t xml:space="preserve"> </w:t>
      </w:r>
      <w:r>
        <w:t xml:space="preserve">(CEO + doctorate). Control: the interlock is designed</w:t>
      </w:r>
      <w:r>
        <w:t xml:space="preserve"> </w:t>
      </w:r>
      <w:r>
        <w:t xml:space="preserve">so the same artifact serves both sides once — evidence packs, evaluation</w:t>
      </w:r>
      <w:r>
        <w:t xml:space="preserve"> </w:t>
      </w:r>
      <w:r>
        <w:t xml:space="preserve">runs, and gate audits are produced for customers and</w:t>
      </w:r>
      <w:r>
        <w:t xml:space="preserve"> </w:t>
      </w:r>
      <w:r>
        <w:rPr>
          <w:iCs/>
          <w:i/>
        </w:rPr>
        <w:t xml:space="preserve">reused</w:t>
      </w:r>
      <w:r>
        <w:t xml:space="preserve"> </w:t>
      </w:r>
      <w:r>
        <w:t xml:space="preserve">in articles,</w:t>
      </w:r>
      <w:r>
        <w:t xml:space="preserve"> </w:t>
      </w:r>
      <w:r>
        <w:t xml:space="preserve">never duplicated.</w:t>
      </w:r>
    </w:p>
    <w:p>
      <w:pPr>
        <w:numPr>
          <w:ilvl w:val="0"/>
          <w:numId w:val="1005"/>
        </w:numPr>
        <w:pStyle w:val="Compact"/>
      </w:pPr>
      <w:r>
        <w:rPr>
          <w:bCs/>
          <w:b/>
        </w:rPr>
        <w:t xml:space="preserve">Funding window misses.</w:t>
      </w:r>
      <w:r>
        <w:t xml:space="preserve"> </w:t>
      </w:r>
      <w:r>
        <w:t xml:space="preserve">Both live 2026 windows require the supervisor</w:t>
      </w:r>
      <w:r>
        <w:t xml:space="preserve"> </w:t>
      </w:r>
      <w:r>
        <w:t xml:space="preserve">statement — the critical path is the Smolander working session, not the</w:t>
      </w:r>
      <w:r>
        <w:t xml:space="preserve"> </w:t>
      </w:r>
      <w:r>
        <w:t xml:space="preserve">writing. Next windows otherwise fall to 2027</w:t>
      </w:r>
      <w:r>
        <w:t xml:space="preserve"> </w:t>
      </w:r>
      <w:r>
        <w:t xml:space="preserve">(</w:t>
      </w:r>
      <w:r>
        <w:rPr>
          <w:rStyle w:val="VerbatimChar"/>
        </w:rPr>
        <w:t xml:space="preserve">docs/lut/apuraha-deadline-calendar-2026.md</w:t>
      </w:r>
      <w:r>
        <w:t xml:space="preserve"> </w:t>
      </w:r>
      <w:r>
        <w:t xml:space="preserve">— recovered from unmerged</w:t>
      </w:r>
      <w:r>
        <w:t xml:space="preserve"> </w:t>
      </w:r>
      <w:r>
        <w:t xml:space="preserve">PR #1663 on 05.08.2026; also</w:t>
      </w:r>
      <w:r>
        <w:t xml:space="preserve"> </w:t>
      </w:r>
      <w:r>
        <w:rPr>
          <w:rStyle w:val="VerbatimChar"/>
        </w:rPr>
        <w:t xml:space="preserve">docs/lut/fi-se-lanes-research-2026-07.md</w:t>
      </w:r>
      <w:r>
        <w:t xml:space="preserve">).</w:t>
      </w:r>
    </w:p>
    <w:p>
      <w:pPr>
        <w:numPr>
          <w:ilvl w:val="0"/>
          <w:numId w:val="1005"/>
        </w:numPr>
        <w:pStyle w:val="Compact"/>
      </w:pPr>
      <w:r>
        <w:rPr>
          <w:bCs/>
          <w:b/>
        </w:rPr>
        <w:t xml:space="preserve">Thesis-lock discipline.</w:t>
      </w:r>
      <w:r>
        <w:t xml:space="preserve"> </w:t>
      </w:r>
      <w:r>
        <w:t xml:space="preserve">The RQ set sits in the supervisor’s inbox;</w:t>
      </w:r>
      <w:r>
        <w:t xml:space="preserve"> </w:t>
      </w:r>
      <w:r>
        <w:t xml:space="preserve">revisions are RED-zone (HIC + external act). This roadmap deliberately cites</w:t>
      </w:r>
      <w:r>
        <w:t xml:space="preserve"> </w:t>
      </w:r>
      <w:r>
        <w:t xml:space="preserve">RQs by role (assurance / ontology / evaluation) rather than renumbering them.</w:t>
      </w:r>
    </w:p>
    <w:p>
      <w:pPr>
        <w:numPr>
          <w:ilvl w:val="0"/>
          <w:numId w:val="1005"/>
        </w:numPr>
        <w:pStyle w:val="Compact"/>
      </w:pPr>
      <w:r>
        <w:rPr>
          <w:bCs/>
          <w:b/>
        </w:rPr>
        <w:t xml:space="preserve">DWS 9 slippage is acceptable; Y4 is not coupled to it.</w:t>
      </w:r>
      <w:r>
        <w:t xml:space="preserve"> </w:t>
      </w:r>
      <w:r>
        <w:t xml:space="preserve">The defense</w:t>
      </w:r>
      <w:r>
        <w:t xml:space="preserve"> </w:t>
      </w:r>
      <w:r>
        <w:t xml:space="preserve">depends on Articles I–III evidence from versions 7–8 only; DWS 9 timing is</w:t>
      </w:r>
      <w:r>
        <w:t xml:space="preserve"> </w:t>
      </w:r>
      <w:r>
        <w:t xml:space="preserve">q-day-gated by design and the dissertation must not wait on it.</w:t>
      </w:r>
    </w:p>
    <w:bookmarkEnd w:id="27"/>
    <w:bookmarkStart w:id="28" w:name="standing-references"/>
    <w:p>
      <w:pPr>
        <w:pStyle w:val="Heading2"/>
      </w:pPr>
      <w:r>
        <w:t xml:space="preserve">Standing references</w:t>
      </w:r>
    </w:p>
    <w:p>
      <w:pPr>
        <w:numPr>
          <w:ilvl w:val="0"/>
          <w:numId w:val="1006"/>
        </w:numPr>
        <w:pStyle w:val="Compact"/>
      </w:pPr>
      <w:r>
        <w:t xml:space="preserve">Version roadmaps:</w:t>
      </w:r>
      <w:r>
        <w:t xml:space="preserve"> </w:t>
      </w:r>
      <w:r>
        <w:rPr>
          <w:rStyle w:val="VerbatimChar"/>
        </w:rPr>
        <w:t xml:space="preserve">DWS7_ROADMAP.md</w:t>
      </w:r>
      <w:r>
        <w:t xml:space="preserve"> </w:t>
      </w:r>
      <w:r>
        <w:t xml:space="preserve">(Q1 2026–Q4 2027),</w:t>
      </w:r>
      <w:r>
        <w:t xml:space="preserve"> </w:t>
      </w:r>
      <w:r>
        <w:rPr>
          <w:rStyle w:val="VerbatimChar"/>
        </w:rPr>
        <w:t xml:space="preserve">DWS8_ROADMAP.md</w:t>
      </w:r>
      <w:r>
        <w:t xml:space="preserve"> </w:t>
      </w:r>
      <w:r>
        <w:t xml:space="preserve">(Q1 2028–Q4 2029),</w:t>
      </w:r>
      <w:r>
        <w:t xml:space="preserve"> </w:t>
      </w:r>
      <w:r>
        <w:rPr>
          <w:rStyle w:val="VerbatimChar"/>
        </w:rPr>
        <w:t xml:space="preserve">DWS9_ROADMAP.md</w:t>
      </w:r>
      <w:r>
        <w:t xml:space="preserve"> </w:t>
      </w:r>
      <w:r>
        <w:t xml:space="preserve">(2030+, q-day-gated),</w:t>
      </w:r>
      <w:r>
        <w:t xml:space="preserve"> </w:t>
      </w:r>
      <w:r>
        <w:rPr>
          <w:rStyle w:val="VerbatimChar"/>
        </w:rPr>
        <w:t xml:space="preserve">AEGIS_ROADMAP.md</w:t>
      </w:r>
    </w:p>
    <w:p>
      <w:pPr>
        <w:numPr>
          <w:ilvl w:val="0"/>
          <w:numId w:val="1006"/>
        </w:numPr>
        <w:pStyle w:val="Compact"/>
      </w:pPr>
      <w:r>
        <w:t xml:space="preserve">Strategy:</w:t>
      </w:r>
      <w:r>
        <w:t xml:space="preserve"> </w:t>
      </w:r>
      <w:r>
        <w:rPr>
          <w:rStyle w:val="VerbatimChar"/>
        </w:rPr>
        <w:t xml:space="preserve">Strategy_Loop.md</w:t>
      </w:r>
      <w:r>
        <w:t xml:space="preserve"> </w:t>
      </w:r>
      <w:r>
        <w:t xml:space="preserve">v1.4 (RQ0, maturity model, Product Gate, §13 external-review reconciliation, §14 pointer here)</w:t>
      </w:r>
    </w:p>
    <w:p>
      <w:pPr>
        <w:numPr>
          <w:ilvl w:val="0"/>
          <w:numId w:val="1006"/>
        </w:numPr>
        <w:pStyle w:val="Compact"/>
      </w:pPr>
      <w:r>
        <w:t xml:space="preserve">PhD corpus:</w:t>
      </w:r>
      <w:r>
        <w:t xml:space="preserve"> </w:t>
      </w:r>
      <w:r>
        <w:rPr>
          <w:rStyle w:val="VerbatimChar"/>
        </w:rPr>
        <w:t xml:space="preserve">docs/PHD_FIREHORSE_EN.md</w:t>
      </w:r>
      <w:r>
        <w:t xml:space="preserve"> </w:t>
      </w:r>
      <w:r>
        <w:t xml:space="preserve">§1.2 (seven RQs), §14.42 (four-gate falsifiability); PR #1712 (supervisory review), PR #1745 (falsifiability audit)</w:t>
      </w:r>
    </w:p>
    <w:p>
      <w:pPr>
        <w:numPr>
          <w:ilvl w:val="0"/>
          <w:numId w:val="1006"/>
        </w:numPr>
        <w:pStyle w:val="Compact"/>
      </w:pPr>
      <w:r>
        <w:t xml:space="preserve">Funding:</w:t>
      </w:r>
      <w:r>
        <w:t xml:space="preserve"> </w:t>
      </w:r>
      <w:r>
        <w:rPr>
          <w:rStyle w:val="VerbatimChar"/>
        </w:rPr>
        <w:t xml:space="preserve">docs/lut/fundraising-roadmap-2026-2027.md</w:t>
      </w:r>
      <w:r>
        <w:t xml:space="preserve">,</w:t>
      </w:r>
      <w:r>
        <w:t xml:space="preserve"> </w:t>
      </w:r>
      <w:r>
        <w:rPr>
          <w:rStyle w:val="VerbatimChar"/>
        </w:rPr>
        <w:t xml:space="preserve">docs/lut/apuraha-deadline-calendar-2026.md</w:t>
      </w:r>
      <w:r>
        <w:t xml:space="preserve">,</w:t>
      </w:r>
      <w:r>
        <w:t xml:space="preserve"> </w:t>
      </w:r>
      <w:r>
        <w:rPr>
          <w:rStyle w:val="VerbatimChar"/>
        </w:rPr>
        <w:t xml:space="preserve">docs/lut/fi-se-lanes-research-2026-07.md</w:t>
      </w:r>
    </w:p>
    <w:p>
      <w:pPr>
        <w:numPr>
          <w:ilvl w:val="0"/>
          <w:numId w:val="1006"/>
        </w:numPr>
        <w:pStyle w:val="Compact"/>
      </w:pPr>
      <w:r>
        <w:t xml:space="preserve">Research plan (FI, foundation format incl. §7 rahoitussuunnitelma):</w:t>
      </w:r>
      <w:r>
        <w:t xml:space="preserve"> </w:t>
      </w:r>
      <w:r>
        <w:rPr>
          <w:rStyle w:val="VerbatimChar"/>
        </w:rPr>
        <w:t xml:space="preserve">docs/lut/tutkimussuunnitelma-lut-2026-fi.md</w:t>
      </w:r>
      <w:r>
        <w:t xml:space="preserve"> </w:t>
      </w:r>
      <w:r>
        <w:t xml:space="preserve">— recovered from unmerged PR #1663 on 05.08.2026</w:t>
      </w:r>
    </w:p>
    <w:p>
      <w:pPr>
        <w:numPr>
          <w:ilvl w:val="0"/>
          <w:numId w:val="1006"/>
        </w:numPr>
        <w:pStyle w:val="Compact"/>
      </w:pPr>
      <w:r>
        <w:t xml:space="preserve">Scope split rule: implementation evidence → master’s thesis; market signals and scientific framing → PhD (CLAUDE.md Thesis Content Scope Rule). This document is a</w:t>
      </w:r>
      <w:r>
        <w:t xml:space="preserve"> </w:t>
      </w:r>
      <w:r>
        <w:rPr>
          <w:iCs/>
          <w:i/>
        </w:rPr>
        <w:t xml:space="preserve">planning</w:t>
      </w:r>
      <w:r>
        <w:t xml:space="preserve"> </w:t>
      </w:r>
      <w:r>
        <w:t xml:space="preserve">artifact, not thesis content — nothing here edits the four thesis files.</w:t>
      </w:r>
    </w:p>
    <w:p>
      <w:r>
        <w:pict>
          <v:rect style="width:0;height:1.5pt" o:hralign="center" o:hrstd="t" o:hr="t"/>
        </w:pict>
      </w:r>
    </w:p>
    <w:p>
      <w:pPr>
        <w:pStyle w:val="FirstParagraph"/>
      </w:pPr>
      <w:r>
        <w:rPr>
          <w:bCs/>
          <w:b/>
        </w:rPr>
        <w:t xml:space="preserve">Document version:</w:t>
      </w:r>
      <w:r>
        <w:t xml:space="preserve"> </w:t>
      </w:r>
      <w:r>
        <w:t xml:space="preserve">v1.0 ·</w:t>
      </w:r>
      <w:r>
        <w:t xml:space="preserve"> </w:t>
      </w:r>
      <w:r>
        <w:rPr>
          <w:bCs/>
          <w:b/>
        </w:rPr>
        <w:t xml:space="preserve">Date:</w:t>
      </w:r>
      <w:r>
        <w:t xml:space="preserve"> </w:t>
      </w:r>
      <w:r>
        <w:t xml:space="preserve">05.08.2026 ·</w:t>
      </w:r>
      <w:r>
        <w:t xml:space="preserve"> </w:t>
      </w:r>
      <w:r>
        <w:rPr>
          <w:bCs/>
          <w:b/>
        </w:rPr>
        <w:t xml:space="preserve">Owner:</w:t>
      </w:r>
      <w:r>
        <w:t xml:space="preserve"> </w:t>
      </w:r>
      <w:r>
        <w:t xml:space="preserve">Lifetime Oy</w:t>
      </w:r>
      <w:r>
        <w:t xml:space="preserve"> </w:t>
      </w:r>
      <w:r>
        <w:t xml:space="preserve">© 2026 Lifetime Oy (Y-tunnus 0772407-9). All rights reserved.</w:t>
      </w:r>
      <w:r>
        <w:t xml:space="preserve"> </w:t>
      </w:r>
      <w:r>
        <w:rPr>
          <w:bCs/>
          <w:b/>
        </w:rPr>
        <w:t xml:space="preserve">Business Confidential.</w:t>
      </w:r>
      <w:r>
        <w:t xml:space="preserve"> </w:t>
      </w:r>
      <w:r>
        <w:t xml:space="preserve">This document contains confidential and proprietary information of Lifetime Oy. It is disclosed solely to the intended recipient under an applicable NDA or business relationship and may not be copied, distributed, or disclosed to any third party without Lifetime Oy’s prior written consent.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2026-08-05T07:48:21Z</dcterms:created>
  <dcterms:modified xsi:type="dcterms:W3CDTF">2026-08-05T07:48:21Z</dcterms:modified>
</cp:coreProperties>
</file>

<file path=docProps/custom.xml><?xml version="1.0" encoding="utf-8"?>
<Properties xmlns="http://schemas.openxmlformats.org/officeDocument/2006/custom-properties" xmlns:vt="http://schemas.openxmlformats.org/officeDocument/2006/docPropsVTypes"/>
</file>