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bookmarkStart w:id="27" w:name="Xeef1464726e65efd3c8168e2924d5a0c3551a87"/>
    <w:p>
      <w:pPr>
        <w:pStyle w:val="Heading1"/>
      </w:pPr>
      <w:r>
        <w:t xml:space="preserve">Tuntiraportti — DWS IQ 6 Pilotti | Outokumpu Oyj</w:t>
      </w:r>
    </w:p>
    <w:p>
      <w:pPr>
        <w:pStyle w:val="FirstParagraph"/>
      </w:pPr>
      <w:r>
        <w:rPr>
          <w:bCs/>
          <w:b/>
        </w:rPr>
        <w:t xml:space="preserve">Toimittaja:</w:t>
      </w:r>
      <w:r>
        <w:t xml:space="preserve"> </w:t>
      </w:r>
      <w:r>
        <w:t xml:space="preserve">Lifetime Oy | Y-tunnus: 0772407-9 | VAT: FI07724079</w:t>
      </w:r>
      <w:r>
        <w:t xml:space="preserve"> </w:t>
      </w:r>
      <w:r>
        <w:rPr>
          <w:bCs/>
          <w:b/>
        </w:rPr>
        <w:t xml:space="preserve">Asiakas:</w:t>
      </w:r>
      <w:r>
        <w:t xml:space="preserve"> </w:t>
      </w:r>
      <w:r>
        <w:t xml:space="preserve">Outokumpu Oyj</w:t>
      </w:r>
      <w:r>
        <w:t xml:space="preserve"> </w:t>
      </w:r>
      <w:r>
        <w:rPr>
          <w:bCs/>
          <w:b/>
        </w:rPr>
        <w:t xml:space="preserve">Viite:</w:t>
      </w:r>
      <w:r>
        <w:t xml:space="preserve"> </w:t>
      </w:r>
      <w:r>
        <w:t xml:space="preserve">Tarjouskirje 27.6.2026, hintalomake</w:t>
      </w:r>
      <w:r>
        <w:t xml:space="preserve"> </w:t>
      </w:r>
      <w:r>
        <w:rPr>
          <w:rStyle w:val="VerbatimChar"/>
        </w:rPr>
        <w:t xml:space="preserve">OUTOKUMPU_HINTALOMAKE.md</w:t>
      </w:r>
      <w:r>
        <w:t xml:space="preserve"> </w:t>
      </w:r>
      <w:r>
        <w:t xml:space="preserve">v1.0</w:t>
      </w:r>
      <w:r>
        <w:t xml:space="preserve"> </w:t>
      </w:r>
      <w:r>
        <w:rPr>
          <w:bCs/>
          <w:b/>
        </w:rPr>
        <w:t xml:space="preserve">Päiväys:</w:t>
      </w:r>
      <w:r>
        <w:t xml:space="preserve"> </w:t>
      </w:r>
      <w:r>
        <w:t xml:space="preserve">30.7.2026</w:t>
      </w:r>
      <w:r>
        <w:t xml:space="preserve"> </w:t>
      </w:r>
      <w:r>
        <w:rPr>
          <w:bCs/>
          <w:b/>
        </w:rPr>
        <w:t xml:space="preserve">Versio:</w:t>
      </w:r>
      <w:r>
        <w:t xml:space="preserve"> </w:t>
      </w:r>
      <w:r>
        <w:t xml:space="preserve">1.0</w:t>
      </w:r>
      <w:r>
        <w:t xml:space="preserve"> </w:t>
      </w:r>
      <w:r>
        <w:rPr>
          <w:bCs/>
          <w:b/>
        </w:rPr>
        <w:t xml:space="preserve">Luottamuksellisuus:</w:t>
      </w:r>
      <w:r>
        <w:t xml:space="preserve"> </w:t>
      </w:r>
      <w:r>
        <w:t xml:space="preserve">Luottamuksellinen — vain Outokumpu Oyj ja Lifetime Oy</w:t>
      </w:r>
    </w:p>
    <w:p>
      <w:pPr>
        <w:pStyle w:val="BlockText"/>
      </w:pPr>
      <w:r>
        <w:rPr>
          <w:bCs/>
          <w:b/>
        </w:rPr>
        <w:t xml:space="preserve">Tämä liite ei muuta pilottihintaa.</w:t>
      </w:r>
      <w:r>
        <w:t xml:space="preserve"> </w:t>
      </w:r>
      <w:r>
        <w:t xml:space="preserve">Kiinteä hinta on ja pysyy</w:t>
      </w:r>
      <w:r>
        <w:t xml:space="preserve"> </w:t>
      </w:r>
      <w:r>
        <w:rPr>
          <w:bCs/>
          <w:b/>
        </w:rPr>
        <w:t xml:space="preserve">€24 000 (alv 0 %)</w:t>
      </w:r>
      <w:r>
        <w:t xml:space="preserve">.</w:t>
      </w:r>
      <w:r>
        <w:t xml:space="preserve"> </w:t>
      </w:r>
      <w:r>
        <w:t xml:space="preserve">Alla oleva erittely vastaa kysymykseen</w:t>
      </w:r>
      <w:r>
        <w:t xml:space="preserve"> </w:t>
      </w:r>
      <w:r>
        <w:rPr>
          <w:iCs/>
          <w:i/>
        </w:rPr>
        <w:t xml:space="preserve">“</w:t>
      </w:r>
      <w:r>
        <w:rPr>
          <w:iCs/>
          <w:i/>
        </w:rPr>
        <w:t xml:space="preserve">mistä tunneista tämä koostuu</w:t>
      </w:r>
      <w:r>
        <w:rPr>
          <w:iCs/>
          <w:i/>
        </w:rPr>
        <w:t xml:space="preserve">”</w:t>
      </w:r>
      <w:r>
        <w:t xml:space="preserve"> </w:t>
      </w:r>
      <w:r>
        <w:t xml:space="preserve">— se ei ole</w:t>
      </w:r>
      <w:r>
        <w:t xml:space="preserve"> </w:t>
      </w:r>
      <w:r>
        <w:t xml:space="preserve">uusi hinnoittelumalli eikä tuntilaskutukseen siirtyminen.</w:t>
      </w:r>
    </w:p>
    <w:p>
      <w:r>
        <w:pict>
          <v:rect style="width:0;height:1.5pt" o:hralign="center" o:hrstd="t" o:hr="t"/>
        </w:pict>
      </w:r>
    </w:p>
    <w:bookmarkStart w:id="20" w:name="laskennan-perusta-ja-oletukset"/>
    <w:p>
      <w:pPr>
        <w:pStyle w:val="Heading2"/>
      </w:pPr>
      <w:r>
        <w:t xml:space="preserve">1. Laskennan perusta ja oletukset</w:t>
      </w:r>
    </w:p>
    <w:p>
      <w:pPr>
        <w:pStyle w:val="FirstParagraph"/>
      </w:pPr>
      <w:r>
        <w:t xml:space="preserve">Tarjouskirjeen 27.6.2026 mukaan pilottihinta</w:t>
      </w:r>
      <w:r>
        <w:t xml:space="preserve"> </w:t>
      </w:r>
      <w:r>
        <w:rPr>
          <w:iCs/>
          <w:i/>
        </w:rPr>
        <w:t xml:space="preserve">“</w:t>
      </w:r>
      <w:r>
        <w:rPr>
          <w:iCs/>
          <w:i/>
        </w:rPr>
        <w:t xml:space="preserve">kattaa noin 50 % toimittajan kokonaispanoksesta (n. 1,5 henkilötyökuukautta, senior-insinööri/toimitusjohtajataso)</w:t>
      </w:r>
      <w:r>
        <w:rPr>
          <w:iCs/>
          <w:i/>
        </w:rPr>
        <w:t xml:space="preserve">”</w:t>
      </w:r>
      <w:r>
        <w:t xml:space="preserve">. Tästä seuraa suoraan: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Suure</w:t>
            </w:r>
          </w:p>
        </w:tc>
        <w:tc>
          <w:tcPr/>
          <w:p>
            <w:pPr>
              <w:pStyle w:val="Compact"/>
              <w:jc w:val="right"/>
            </w:pPr>
            <w:r>
              <w:t xml:space="preserve">Arvo</w:t>
            </w:r>
          </w:p>
        </w:tc>
        <w:tc>
          <w:tcPr/>
          <w:p>
            <w:pPr>
              <w:pStyle w:val="Compact"/>
              <w:jc w:val="left"/>
            </w:pPr>
            <w:r>
              <w:t xml:space="preserve">Johdettu</w:t>
            </w:r>
          </w:p>
        </w:tc>
      </w:tr>
      <w:tr>
        <w:tc>
          <w:tcPr/>
          <w:p>
            <w:pPr>
              <w:pStyle w:val="Compact"/>
              <w:jc w:val="left"/>
            </w:pPr>
            <w:r>
              <w:t xml:space="preserve">Laskutettava panos</w:t>
            </w:r>
          </w:p>
        </w:tc>
        <w:tc>
          <w:tcPr/>
          <w:p>
            <w:pPr>
              <w:pStyle w:val="Compact"/>
              <w:jc w:val="right"/>
            </w:pPr>
            <w:r>
              <w:rPr>
                <w:bCs/>
                <w:b/>
              </w:rPr>
              <w:t xml:space="preserve">1,5 htkk</w:t>
            </w:r>
          </w:p>
        </w:tc>
        <w:tc>
          <w:tcPr/>
          <w:p>
            <w:pPr>
              <w:pStyle w:val="Compact"/>
              <w:jc w:val="left"/>
            </w:pPr>
            <w:r>
              <w:t xml:space="preserve">Tarjouskirje 27.6.2026</w:t>
            </w:r>
          </w:p>
        </w:tc>
      </w:tr>
      <w:tr>
        <w:tc>
          <w:tcPr/>
          <w:p>
            <w:pPr>
              <w:pStyle w:val="Compact"/>
              <w:jc w:val="left"/>
            </w:pPr>
            <w:r>
              <w:t xml:space="preserve">Henkilötyökuukausi</w:t>
            </w:r>
          </w:p>
        </w:tc>
        <w:tc>
          <w:tcPr/>
          <w:p>
            <w:pPr>
              <w:pStyle w:val="Compact"/>
              <w:jc w:val="right"/>
            </w:pPr>
            <w:r>
              <w:t xml:space="preserve">160 h</w:t>
            </w:r>
          </w:p>
        </w:tc>
        <w:tc>
          <w:tcPr/>
          <w:p>
            <w:pPr>
              <w:pStyle w:val="Compact"/>
              <w:jc w:val="left"/>
            </w:pPr>
            <w:r>
              <w:t xml:space="preserve">Suomalainen vakiokäytäntö</w:t>
            </w:r>
          </w:p>
        </w:tc>
      </w:tr>
      <w:tr>
        <w:tc>
          <w:tcPr/>
          <w:p>
            <w:pPr>
              <w:pStyle w:val="Compact"/>
              <w:jc w:val="left"/>
            </w:pPr>
            <w:r>
              <w:rPr>
                <w:bCs/>
                <w:b/>
              </w:rPr>
              <w:t xml:space="preserve">Laskutettavat tunnit</w:t>
            </w:r>
          </w:p>
        </w:tc>
        <w:tc>
          <w:tcPr/>
          <w:p>
            <w:pPr>
              <w:pStyle w:val="Compact"/>
              <w:jc w:val="right"/>
            </w:pPr>
            <w:r>
              <w:rPr>
                <w:bCs/>
                <w:b/>
              </w:rPr>
              <w:t xml:space="preserve">240 h</w:t>
            </w:r>
          </w:p>
        </w:tc>
        <w:tc>
          <w:tcPr/>
          <w:p>
            <w:pPr>
              <w:pStyle w:val="Compact"/>
              <w:jc w:val="left"/>
            </w:pPr>
            <w:r>
              <w:t xml:space="preserve">1,5 × 160</w:t>
            </w:r>
          </w:p>
        </w:tc>
      </w:tr>
      <w:tr>
        <w:tc>
          <w:tcPr/>
          <w:p>
            <w:pPr>
              <w:pStyle w:val="Compact"/>
              <w:jc w:val="left"/>
            </w:pPr>
            <w:r>
              <w:t xml:space="preserve">Nimellinen senior-tuntihinta (insinööri/toimitusjohtajataso)</w:t>
            </w:r>
          </w:p>
        </w:tc>
        <w:tc>
          <w:tcPr/>
          <w:p>
            <w:pPr>
              <w:pStyle w:val="Compact"/>
              <w:jc w:val="right"/>
            </w:pPr>
            <w:r>
              <w:t xml:space="preserve">€200/h (alv 0 %)</w:t>
            </w:r>
          </w:p>
        </w:tc>
        <w:tc>
          <w:tcPr/>
          <w:p>
            <w:pPr>
              <w:pStyle w:val="Compact"/>
              <w:jc w:val="left"/>
            </w:pPr>
            <w:r>
              <w:t xml:space="preserve">Lifetime Oy:n nimellinen tuntiarvo</w:t>
            </w:r>
          </w:p>
        </w:tc>
      </w:tr>
      <w:tr>
        <w:tc>
          <w:tcPr/>
          <w:p>
            <w:pPr>
              <w:pStyle w:val="Compact"/>
              <w:jc w:val="left"/>
            </w:pPr>
            <w:r>
              <w:t xml:space="preserve">Laskutettavien tuntien nimellisarvo</w:t>
            </w:r>
          </w:p>
        </w:tc>
        <w:tc>
          <w:tcPr/>
          <w:p>
            <w:pPr>
              <w:pStyle w:val="Compact"/>
              <w:jc w:val="right"/>
            </w:pPr>
            <w:r>
              <w:t xml:space="preserve">€48 000</w:t>
            </w:r>
          </w:p>
        </w:tc>
        <w:tc>
          <w:tcPr/>
          <w:p>
            <w:pPr>
              <w:pStyle w:val="Compact"/>
              <w:jc w:val="left"/>
            </w:pPr>
            <w:r>
              <w:t xml:space="preserve">240 h × €200/h</w:t>
            </w:r>
          </w:p>
        </w:tc>
      </w:tr>
      <w:tr>
        <w:tc>
          <w:tcPr/>
          <w:p>
            <w:pPr>
              <w:pStyle w:val="Compact"/>
              <w:jc w:val="left"/>
            </w:pPr>
            <w:r>
              <w:rPr>
                <w:bCs/>
                <w:b/>
              </w:rPr>
              <w:t xml:space="preserve">Lifetime Oy:n yhteisrahoitus</w:t>
            </w:r>
          </w:p>
        </w:tc>
        <w:tc>
          <w:tcPr/>
          <w:p>
            <w:pPr>
              <w:pStyle w:val="Compact"/>
              <w:jc w:val="right"/>
            </w:pPr>
            <w:r>
              <w:rPr>
                <w:bCs/>
                <w:b/>
              </w:rPr>
              <w:t xml:space="preserve">−50 % = −€24 000</w:t>
            </w:r>
          </w:p>
        </w:tc>
        <w:tc>
          <w:tcPr/>
          <w:p>
            <w:pPr>
              <w:pStyle w:val="Compact"/>
              <w:jc w:val="left"/>
            </w:pPr>
            <w:r>
              <w:t xml:space="preserve">Strateginen pilottijärjestely</w:t>
            </w:r>
          </w:p>
        </w:tc>
      </w:tr>
      <w:tr>
        <w:tc>
          <w:tcPr/>
          <w:p>
            <w:pPr>
              <w:pStyle w:val="Compact"/>
              <w:jc w:val="left"/>
            </w:pPr>
            <w:r>
              <w:rPr>
                <w:bCs/>
                <w:b/>
              </w:rPr>
              <w:t xml:space="preserve">Outokummun maksuosuus (kiinteä)</w:t>
            </w:r>
          </w:p>
        </w:tc>
        <w:tc>
          <w:tcPr/>
          <w:p>
            <w:pPr>
              <w:pStyle w:val="Compact"/>
              <w:jc w:val="right"/>
            </w:pPr>
            <w:r>
              <w:rPr>
                <w:bCs/>
                <w:b/>
              </w:rPr>
              <w:t xml:space="preserve">€24 000 (alv 0 %)</w:t>
            </w:r>
          </w:p>
        </w:tc>
        <w:tc>
          <w:tcPr/>
          <w:p>
            <w:pPr>
              <w:pStyle w:val="Compact"/>
              <w:jc w:val="left"/>
            </w:pPr>
            <w:r>
              <w:t xml:space="preserve">Hintalomake v1.0, rivi 1</w:t>
            </w:r>
          </w:p>
        </w:tc>
      </w:tr>
      <w:tr>
        <w:tc>
          <w:tcPr/>
          <w:p>
            <w:pPr>
              <w:pStyle w:val="Compact"/>
              <w:jc w:val="left"/>
            </w:pPr>
            <w:r>
              <w:rPr>
                <w:bCs/>
                <w:b/>
              </w:rPr>
              <w:t xml:space="preserve">Toteutuva tuntihinta</w:t>
            </w:r>
          </w:p>
        </w:tc>
        <w:tc>
          <w:tcPr/>
          <w:p>
            <w:pPr>
              <w:pStyle w:val="Compact"/>
              <w:jc w:val="right"/>
            </w:pPr>
            <w:r>
              <w:rPr>
                <w:bCs/>
                <w:b/>
              </w:rPr>
              <w:t xml:space="preserve">€100/h (alv 0 %)</w:t>
            </w:r>
          </w:p>
        </w:tc>
        <w:tc>
          <w:tcPr/>
          <w:p>
            <w:pPr>
              <w:pStyle w:val="Compact"/>
              <w:jc w:val="left"/>
            </w:pPr>
            <w:r>
              <w:t xml:space="preserve">€24 000 / 240 h</w:t>
            </w:r>
          </w:p>
        </w:tc>
      </w:tr>
      <w:tr>
        <w:tc>
          <w:tcPr/>
          <w:p>
            <w:pPr>
              <w:pStyle w:val="Compact"/>
              <w:jc w:val="left"/>
            </w:pPr>
            <w:r>
              <w:t xml:space="preserve">Kokonaisjalanjälki hankkeessa</w:t>
            </w:r>
          </w:p>
        </w:tc>
        <w:tc>
          <w:tcPr/>
          <w:p>
            <w:pPr>
              <w:pStyle w:val="Compact"/>
              <w:jc w:val="right"/>
            </w:pPr>
            <w:r>
              <w:t xml:space="preserve">~3 htkk ≈ 480 h</w:t>
            </w:r>
          </w:p>
        </w:tc>
        <w:tc>
          <w:tcPr/>
          <w:p>
            <w:pPr>
              <w:pStyle w:val="Compact"/>
              <w:jc w:val="left"/>
            </w:pPr>
            <w:r>
              <w:t xml:space="preserve">12 viikkoa, sis. ei-laskutettava työ</w:t>
            </w:r>
          </w:p>
        </w:tc>
      </w:tr>
    </w:tbl>
    <w:p>
      <w:pPr>
        <w:pStyle w:val="BodyText"/>
      </w:pPr>
      <w:r>
        <w:rPr>
          <w:bCs/>
          <w:b/>
        </w:rPr>
        <w:t xml:space="preserve">Yhteisrahoitus ilmoitetaan vain yhdellä tavalla.</w:t>
      </w:r>
      <w:r>
        <w:t xml:space="preserve"> </w:t>
      </w:r>
      <w:r>
        <w:t xml:space="preserve">Se on 50 %:n vähennys laskutettavien 240 tunnin nimellisarvosta. Hankkeen kokonaisjalanjälki on suurempi (~480 h), koska mukana on ei-laskutettavaa määrittely- ja taustatyötä, mutta</w:t>
      </w:r>
      <w:r>
        <w:t xml:space="preserve"> </w:t>
      </w:r>
      <w:r>
        <w:rPr>
          <w:bCs/>
          <w:b/>
        </w:rPr>
        <w:t xml:space="preserve">tätä ei lasketa yhteisrahoituksen päälle</w:t>
      </w:r>
      <w:r>
        <w:t xml:space="preserve"> </w:t>
      </w:r>
      <w:r>
        <w:t xml:space="preserve">— muuten sama panos laskettaisiin kahdesti. Yksi luku, yksi peruste.</w:t>
      </w:r>
    </w:p>
    <w:p>
      <w:pPr>
        <w:pStyle w:val="BodyText"/>
      </w:pPr>
      <w:r>
        <w:rPr>
          <w:bCs/>
          <w:b/>
        </w:rPr>
        <w:t xml:space="preserve">Suhde jatkotyön hintaan.</w:t>
      </w:r>
      <w:r>
        <w:t xml:space="preserve"> </w:t>
      </w:r>
      <w:r>
        <w:t xml:space="preserve">Nimellinen €200/h on senior-työn tuntiarvo. Outokummulle tarjottu jatkotyön sopimushinta on hintalomakkeen §4 mukaisesti</w:t>
      </w:r>
      <w:r>
        <w:t xml:space="preserve"> </w:t>
      </w:r>
      <w:r>
        <w:rPr>
          <w:bCs/>
          <w:b/>
        </w:rPr>
        <w:t xml:space="preserve">€120/h</w:t>
      </w:r>
      <w:r>
        <w:t xml:space="preserve"> </w:t>
      </w:r>
      <w:r>
        <w:t xml:space="preserve">— se on ennallaan eikä tämä liite muuta sitä. Pilotin €100/h ei ole listahinta vaan kertaluonteinen, tähän toimeksiantoon sidottu yhteisrahoitettu hinta.</w:t>
      </w:r>
    </w:p>
    <w:p>
      <w:pPr>
        <w:pStyle w:val="BodyText"/>
      </w:pPr>
      <w:r>
        <w:rPr>
          <w:bCs/>
          <w:b/>
        </w:rPr>
        <w:t xml:space="preserve">Tarkistettava oletus.</w:t>
      </w:r>
      <w:r>
        <w:t xml:space="preserve"> </w:t>
      </w:r>
      <w:r>
        <w:t xml:space="preserve">Tuntimäärä 240 h on johdettu tarjouskirjeen sanamuodosta (</w:t>
      </w:r>
      <w:r>
        <w:rPr>
          <w:iCs/>
          <w:i/>
        </w:rPr>
        <w:t xml:space="preserve">“</w:t>
      </w:r>
      <w:r>
        <w:rPr>
          <w:iCs/>
          <w:i/>
        </w:rPr>
        <w:t xml:space="preserve">n. 1,5 henkilötyökuukautta</w:t>
      </w:r>
      <w:r>
        <w:rPr>
          <w:iCs/>
          <w:i/>
        </w:rPr>
        <w:t xml:space="preserve">”</w:t>
      </w:r>
      <w:r>
        <w:t xml:space="preserve">), ei erillisestä työaikakirjanpidosta. Jos toteutunut työaikakirjaus poikkeaa tästä, taulukko on korjattava ennen lähetystä — kiinteä hinta €24 000 ei kuitenkaan muutu.</w:t>
      </w:r>
    </w:p>
    <w:p>
      <w:r>
        <w:pict>
          <v:rect style="width:0;height:1.5pt" o:hralign="center" o:hrstd="t" o:hr="t"/>
        </w:pict>
      </w:r>
    </w:p>
    <w:bookmarkEnd w:id="20"/>
    <w:bookmarkStart w:id="21" w:name="tuntierittely-vaiheittain"/>
    <w:p>
      <w:pPr>
        <w:pStyle w:val="Heading2"/>
      </w:pPr>
      <w:r>
        <w:t xml:space="preserve">2. Tuntierittely vaiheittain</w:t>
      </w:r>
    </w:p>
    <w:p>
      <w:pPr>
        <w:pStyle w:val="FirstParagraph"/>
      </w:pPr>
      <w:r>
        <w:t xml:space="preserve">Vaiheistus noudattaa pilottimäärittelyn</w:t>
      </w:r>
      <w:r>
        <w:t xml:space="preserve"> </w:t>
      </w:r>
      <w:r>
        <w:rPr>
          <w:rStyle w:val="VerbatimChar"/>
        </w:rPr>
        <w:t xml:space="preserve">PILOT_SHEET_OUTOKUMPU_FORTA.md</w:t>
      </w:r>
      <w:r>
        <w:t xml:space="preserve"> </w:t>
      </w:r>
      <w:r>
        <w:t xml:space="preserve">v2.0 §6 viittä vaihetta.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Vaihe</w:t>
            </w:r>
          </w:p>
        </w:tc>
        <w:tc>
          <w:tcPr/>
          <w:p>
            <w:pPr>
              <w:pStyle w:val="Compact"/>
              <w:jc w:val="left"/>
            </w:pPr>
            <w:r>
              <w:t xml:space="preserve">Jakso</w:t>
            </w:r>
          </w:p>
        </w:tc>
        <w:tc>
          <w:tcPr/>
          <w:p>
            <w:pPr>
              <w:pStyle w:val="Compact"/>
              <w:jc w:val="left"/>
            </w:pPr>
            <w:r>
              <w:t xml:space="preserve">Sisältö</w:t>
            </w:r>
          </w:p>
        </w:tc>
        <w:tc>
          <w:tcPr/>
          <w:p>
            <w:pPr>
              <w:pStyle w:val="Compact"/>
              <w:jc w:val="right"/>
            </w:pPr>
            <w:r>
              <w:t xml:space="preserve">Tunnit</w:t>
            </w:r>
          </w:p>
        </w:tc>
        <w:tc>
          <w:tcPr/>
          <w:p>
            <w:pPr>
              <w:pStyle w:val="Compact"/>
              <w:jc w:val="right"/>
            </w:pPr>
            <w:r>
              <w:t xml:space="preserve">Hinta (alv 0 %)</w:t>
            </w:r>
          </w:p>
        </w:tc>
      </w:tr>
      <w:tr>
        <w:tc>
          <w:tcPr/>
          <w:p>
            <w:pPr>
              <w:pStyle w:val="Compact"/>
              <w:jc w:val="left"/>
            </w:pPr>
            <w:r>
              <w:rPr>
                <w:bCs/>
                <w:b/>
              </w:rPr>
              <w:t xml:space="preserve">Vaihe 0 — Laajuuden määrittely</w:t>
            </w:r>
          </w:p>
        </w:tc>
        <w:tc>
          <w:tcPr/>
          <w:p>
            <w:pPr>
              <w:pStyle w:val="Compact"/>
              <w:jc w:val="left"/>
            </w:pPr>
            <w:r>
              <w:t xml:space="preserve">vk 0–2</w:t>
            </w:r>
          </w:p>
        </w:tc>
        <w:tc>
          <w:tcPr/>
          <w:p>
            <w:pPr>
              <w:pStyle w:val="Compact"/>
              <w:jc w:val="left"/>
            </w:pPr>
            <w:r>
              <w:t xml:space="preserve">Forta-alatuotelinjan lukitus, lähdejärjestelmäauditointi (sulattohistorian, energianhallinta, romurekisteri), kriittisyysluokittelu, käyttökatkotilan määrittely, lähtötasomittaus</w:t>
            </w:r>
          </w:p>
        </w:tc>
        <w:tc>
          <w:tcPr/>
          <w:p>
            <w:pPr>
              <w:pStyle w:val="Compact"/>
              <w:jc w:val="right"/>
            </w:pPr>
            <w:r>
              <w:t xml:space="preserve">40 h</w:t>
            </w:r>
          </w:p>
        </w:tc>
        <w:tc>
          <w:tcPr/>
          <w:p>
            <w:pPr>
              <w:pStyle w:val="Compact"/>
              <w:jc w:val="right"/>
            </w:pPr>
            <w:r>
              <w:rPr>
                <w:bCs/>
                <w:b/>
              </w:rPr>
              <w:t xml:space="preserve">MAKSUTON — €0</w:t>
            </w:r>
          </w:p>
        </w:tc>
      </w:tr>
      <w:tr>
        <w:tc>
          <w:tcPr/>
          <w:p>
            <w:pPr>
              <w:pStyle w:val="Compact"/>
              <w:jc w:val="left"/>
            </w:pPr>
            <w:r>
              <w:rPr>
                <w:bCs/>
                <w:b/>
              </w:rPr>
              <w:t xml:space="preserve">Vaihe 1 — Paikallinen perusta</w:t>
            </w:r>
          </w:p>
        </w:tc>
        <w:tc>
          <w:tcPr/>
          <w:p>
            <w:pPr>
              <w:pStyle w:val="Compact"/>
              <w:jc w:val="left"/>
            </w:pPr>
            <w:r>
              <w:t xml:space="preserve">vk 3–5</w:t>
            </w:r>
          </w:p>
        </w:tc>
        <w:tc>
          <w:tcPr/>
          <w:p>
            <w:pPr>
              <w:pStyle w:val="Compact"/>
              <w:jc w:val="left"/>
            </w:pPr>
            <w:r>
              <w:t xml:space="preserve">Suoritusajoympäristö ja mallipalvelu asiakkaan NVIDIA-laitteistolle; paikallisesti ratkeava KYA-agentti-identiteetti; Art. 12 -lokikirjoitin paikalliseen tallennukseen; operaattorin pysäytysvaltuus ilman verkkohyppyä</w:t>
            </w:r>
          </w:p>
        </w:tc>
        <w:tc>
          <w:tcPr/>
          <w:p>
            <w:pPr>
              <w:pStyle w:val="Compact"/>
              <w:jc w:val="right"/>
            </w:pPr>
            <w:r>
              <w:t xml:space="preserve">60 h</w:t>
            </w:r>
          </w:p>
        </w:tc>
        <w:tc>
          <w:tcPr/>
          <w:p>
            <w:pPr>
              <w:pStyle w:val="Compact"/>
              <w:jc w:val="right"/>
            </w:pPr>
            <w:r>
              <w:rPr>
                <w:bCs/>
                <w:b/>
              </w:rPr>
              <w:t xml:space="preserve">€6 000</w:t>
            </w:r>
          </w:p>
        </w:tc>
      </w:tr>
      <w:tr>
        <w:tc>
          <w:tcPr/>
          <w:p>
            <w:pPr>
              <w:pStyle w:val="Compact"/>
              <w:jc w:val="left"/>
            </w:pPr>
            <w:r>
              <w:rPr>
                <w:bCs/>
                <w:b/>
              </w:rPr>
              <w:t xml:space="preserve">Vaihe 2 — Julkistusputken integrointi</w:t>
            </w:r>
          </w:p>
        </w:tc>
        <w:tc>
          <w:tcPr/>
          <w:p>
            <w:pPr>
              <w:pStyle w:val="Compact"/>
              <w:jc w:val="left"/>
            </w:pPr>
            <w:r>
              <w:t xml:space="preserve">vk 6–9</w:t>
            </w:r>
          </w:p>
        </w:tc>
        <w:tc>
          <w:tcPr/>
          <w:p>
            <w:pPr>
              <w:pStyle w:val="Compact"/>
              <w:jc w:val="left"/>
            </w:pPr>
            <w:r>
              <w:t xml:space="preserve">Työnkulun vaatima agenttijoukko; read-only-integraatiot kolmeen lähdejärjestelmään; IP-sääntöskeeman yhteissuunnittelu IP-funktion kanssa; vetooikeusportti paikallisena kryptografisena esteenä; päätöspisteiden kytkentä Art. 12 -tietueeseen; degradoituneen tilan toteutus</w:t>
            </w:r>
          </w:p>
        </w:tc>
        <w:tc>
          <w:tcPr/>
          <w:p>
            <w:pPr>
              <w:pStyle w:val="Compact"/>
              <w:jc w:val="right"/>
            </w:pPr>
            <w:r>
              <w:t xml:space="preserve">90 h</w:t>
            </w:r>
          </w:p>
        </w:tc>
        <w:tc>
          <w:tcPr/>
          <w:p>
            <w:pPr>
              <w:pStyle w:val="Compact"/>
              <w:jc w:val="right"/>
            </w:pPr>
            <w:r>
              <w:rPr>
                <w:bCs/>
                <w:b/>
              </w:rPr>
              <w:t xml:space="preserve">€9 000</w:t>
            </w:r>
          </w:p>
        </w:tc>
      </w:tr>
      <w:tr>
        <w:tc>
          <w:tcPr/>
          <w:p>
            <w:pPr>
              <w:pStyle w:val="Compact"/>
              <w:jc w:val="left"/>
            </w:pPr>
            <w:r>
              <w:rPr>
                <w:bCs/>
                <w:b/>
              </w:rPr>
              <w:t xml:space="preserve">Vaihe 3 — Verkkokatkotesti</w:t>
            </w:r>
          </w:p>
        </w:tc>
        <w:tc>
          <w:tcPr/>
          <w:p>
            <w:pPr>
              <w:pStyle w:val="Compact"/>
              <w:jc w:val="left"/>
            </w:pPr>
            <w:r>
              <w:t xml:space="preserve">vk 10–11</w:t>
            </w:r>
          </w:p>
        </w:tc>
        <w:tc>
          <w:tcPr/>
          <w:p>
            <w:pPr>
              <w:pStyle w:val="Compact"/>
              <w:jc w:val="left"/>
            </w:pPr>
            <w:r>
              <w:t xml:space="preserve">Harjoitusajo ja havaintojen korjaus; todistettu hyväksyntäajo sovitussa katkoikkunassa; kolmen ehdon instrumentoitu mittaus; paluuyhteyden täsmäytyksen varmennus</w:t>
            </w:r>
          </w:p>
        </w:tc>
        <w:tc>
          <w:tcPr/>
          <w:p>
            <w:pPr>
              <w:pStyle w:val="Compact"/>
              <w:jc w:val="right"/>
            </w:pPr>
            <w:r>
              <w:t xml:space="preserve">45 h</w:t>
            </w:r>
          </w:p>
        </w:tc>
        <w:tc>
          <w:tcPr/>
          <w:p>
            <w:pPr>
              <w:pStyle w:val="Compact"/>
              <w:jc w:val="right"/>
            </w:pPr>
            <w:r>
              <w:rPr>
                <w:bCs/>
                <w:b/>
              </w:rPr>
              <w:t xml:space="preserve">€4 500</w:t>
            </w:r>
          </w:p>
        </w:tc>
      </w:tr>
      <w:tr>
        <w:tc>
          <w:tcPr/>
          <w:p>
            <w:pPr>
              <w:pStyle w:val="Compact"/>
              <w:jc w:val="left"/>
            </w:pPr>
            <w:r>
              <w:rPr>
                <w:bCs/>
                <w:b/>
              </w:rPr>
              <w:t xml:space="preserve">Vaihe 4 — Mitoitus ja loppuraportti</w:t>
            </w:r>
          </w:p>
        </w:tc>
        <w:tc>
          <w:tcPr/>
          <w:p>
            <w:pPr>
              <w:pStyle w:val="Compact"/>
              <w:jc w:val="left"/>
            </w:pPr>
            <w:r>
              <w:t xml:space="preserve">vk 12–13</w:t>
            </w:r>
          </w:p>
        </w:tc>
        <w:tc>
          <w:tcPr/>
          <w:p>
            <w:pPr>
              <w:pStyle w:val="Compact"/>
              <w:jc w:val="left"/>
            </w:pPr>
            <w:r>
              <w:t xml:space="preserve">Tuotantomitoitus mitatusta kuormasta; käyttöönottomallin vahvistus; ennen/jälkeen-analyysi neljästä KPI:stä; loppuraportti ja konversiosuositus (myös kielteinen, jos näyttö niin osoittaa)</w:t>
            </w:r>
          </w:p>
        </w:tc>
        <w:tc>
          <w:tcPr/>
          <w:p>
            <w:pPr>
              <w:pStyle w:val="Compact"/>
              <w:jc w:val="right"/>
            </w:pPr>
            <w:r>
              <w:t xml:space="preserve">45 h</w:t>
            </w:r>
          </w:p>
        </w:tc>
        <w:tc>
          <w:tcPr/>
          <w:p>
            <w:pPr>
              <w:pStyle w:val="Compact"/>
              <w:jc w:val="right"/>
            </w:pPr>
            <w:r>
              <w:rPr>
                <w:bCs/>
                <w:b/>
              </w:rPr>
              <w:t xml:space="preserve">€4 500</w:t>
            </w:r>
          </w:p>
        </w:tc>
      </w:tr>
      <w:tr>
        <w:tc>
          <w:tcPr/>
          <w:p>
            <w:pPr>
              <w:pStyle w:val="Compact"/>
            </w:pPr>
          </w:p>
        </w:tc>
        <w:tc>
          <w:tcPr/>
          <w:p>
            <w:pPr>
              <w:pStyle w:val="Compact"/>
            </w:pPr>
          </w:p>
        </w:tc>
        <w:tc>
          <w:tcPr/>
          <w:p>
            <w:pPr>
              <w:pStyle w:val="Compact"/>
              <w:jc w:val="left"/>
            </w:pPr>
            <w:r>
              <w:rPr>
                <w:bCs/>
                <w:b/>
              </w:rPr>
              <w:t xml:space="preserve">Laskutettavat tunnit yhteensä</w:t>
            </w:r>
          </w:p>
        </w:tc>
        <w:tc>
          <w:tcPr/>
          <w:p>
            <w:pPr>
              <w:pStyle w:val="Compact"/>
              <w:jc w:val="right"/>
            </w:pPr>
            <w:r>
              <w:rPr>
                <w:bCs/>
                <w:b/>
              </w:rPr>
              <w:t xml:space="preserve">240 h</w:t>
            </w:r>
          </w:p>
        </w:tc>
        <w:tc>
          <w:tcPr/>
          <w:p>
            <w:pPr>
              <w:pStyle w:val="Compact"/>
              <w:jc w:val="right"/>
            </w:pPr>
            <w:r>
              <w:rPr>
                <w:bCs/>
                <w:b/>
              </w:rPr>
              <w:t xml:space="preserve">€24 000</w:t>
            </w:r>
          </w:p>
        </w:tc>
      </w:tr>
    </w:tbl>
    <w:p>
      <w:pPr>
        <w:pStyle w:val="BodyText"/>
      </w:pPr>
      <w:r>
        <w:rPr>
          <w:bCs/>
          <w:b/>
        </w:rPr>
        <w:t xml:space="preserve">Tuntipainotuksen perustelu.</w:t>
      </w:r>
      <w:r>
        <w:t xml:space="preserve"> </w:t>
      </w:r>
      <w:r>
        <w:t xml:space="preserve">Vaihe 2 on raskain (90 h), koska kolme read-only-integraatiota ja IP-sääntöskeeman yhteissuunnittelu ovat pilotin varsinainen rakennustyö. Vaihe 1 (60 h) edeltää sitä tarkoituksella: paikallinen perusta todennetaan ennen kuin työnkulkua on olemassa, jolloin vaiheen 3 mahdollinen epäonnistuminen on työnkulun eikä alustan ongelma. Vaiheet 3 ja 4 ovat kevyempiä (45 h kumpikin), koska niissä mitataan ja raportoidaan sitä, mikä on jo rakennettu.</w:t>
      </w:r>
    </w:p>
    <w:p>
      <w:r>
        <w:pict>
          <v:rect style="width:0;height:1.5pt" o:hralign="center" o:hrstd="t" o:hr="t"/>
        </w:pict>
      </w:r>
    </w:p>
    <w:bookmarkEnd w:id="21"/>
    <w:bookmarkStart w:id="22" w:name="toimittajan-osuus"/>
    <w:p>
      <w:pPr>
        <w:pStyle w:val="Heading2"/>
      </w:pPr>
      <w:r>
        <w:t xml:space="preserve">3. Toimittajan osuus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Erä</w:t>
            </w:r>
          </w:p>
        </w:tc>
        <w:tc>
          <w:tcPr/>
          <w:p>
            <w:pPr>
              <w:pStyle w:val="Compact"/>
              <w:jc w:val="right"/>
            </w:pPr>
            <w:r>
              <w:t xml:space="preserve">Määrä</w:t>
            </w:r>
          </w:p>
        </w:tc>
        <w:tc>
          <w:tcPr/>
          <w:p>
            <w:pPr>
              <w:pStyle w:val="Compact"/>
              <w:jc w:val="left"/>
            </w:pPr>
            <w:r>
              <w:t xml:space="preserve">Huomio</w:t>
            </w:r>
          </w:p>
        </w:tc>
      </w:tr>
      <w:tr>
        <w:tc>
          <w:tcPr/>
          <w:p>
            <w:pPr>
              <w:pStyle w:val="Compact"/>
              <w:jc w:val="left"/>
            </w:pPr>
            <w:r>
              <w:t xml:space="preserve">Laskutettavien tuntien nimellisarvo</w:t>
            </w:r>
          </w:p>
        </w:tc>
        <w:tc>
          <w:tcPr/>
          <w:p>
            <w:pPr>
              <w:pStyle w:val="Compact"/>
              <w:jc w:val="right"/>
            </w:pPr>
            <w:r>
              <w:t xml:space="preserve">€48 000</w:t>
            </w:r>
          </w:p>
        </w:tc>
        <w:tc>
          <w:tcPr/>
          <w:p>
            <w:pPr>
              <w:pStyle w:val="Compact"/>
              <w:jc w:val="left"/>
            </w:pPr>
            <w:r>
              <w:t xml:space="preserve">240 h × €200/h</w:t>
            </w:r>
          </w:p>
        </w:tc>
      </w:tr>
      <w:tr>
        <w:tc>
          <w:tcPr/>
          <w:p>
            <w:pPr>
              <w:pStyle w:val="Compact"/>
              <w:jc w:val="left"/>
            </w:pPr>
            <w:r>
              <w:rPr>
                <w:bCs/>
                <w:b/>
              </w:rPr>
              <w:t xml:space="preserve">Lifetime Oy:n yhteisrahoitus</w:t>
            </w:r>
          </w:p>
        </w:tc>
        <w:tc>
          <w:tcPr/>
          <w:p>
            <w:pPr>
              <w:pStyle w:val="Compact"/>
              <w:jc w:val="right"/>
            </w:pPr>
            <w:r>
              <w:rPr>
                <w:bCs/>
                <w:b/>
              </w:rPr>
              <w:t xml:space="preserve">€24 000</w:t>
            </w:r>
          </w:p>
        </w:tc>
        <w:tc>
          <w:tcPr/>
          <w:p>
            <w:pPr>
              <w:pStyle w:val="Compact"/>
              <w:jc w:val="left"/>
            </w:pPr>
            <w:r>
              <w:t xml:space="preserve">50 % nimellisarvosta</w:t>
            </w:r>
          </w:p>
        </w:tc>
      </w:tr>
      <w:tr>
        <w:tc>
          <w:tcPr/>
          <w:p>
            <w:pPr>
              <w:pStyle w:val="Compact"/>
              <w:jc w:val="left"/>
            </w:pPr>
            <w:r>
              <w:t xml:space="preserve">Outokummun maksuosuus</w:t>
            </w:r>
          </w:p>
        </w:tc>
        <w:tc>
          <w:tcPr/>
          <w:p>
            <w:pPr>
              <w:pStyle w:val="Compact"/>
              <w:jc w:val="right"/>
            </w:pPr>
            <w:r>
              <w:t xml:space="preserve">€24 000</w:t>
            </w:r>
          </w:p>
        </w:tc>
        <w:tc>
          <w:tcPr/>
          <w:p>
            <w:pPr>
              <w:pStyle w:val="Compact"/>
              <w:jc w:val="left"/>
            </w:pPr>
            <w:r>
              <w:t xml:space="preserve">Kiinteä pilottihinta</w:t>
            </w:r>
          </w:p>
        </w:tc>
      </w:tr>
      <w:tr>
        <w:tc>
          <w:tcPr/>
          <w:p>
            <w:pPr>
              <w:pStyle w:val="Compact"/>
              <w:jc w:val="left"/>
            </w:pPr>
            <w:r>
              <w:t xml:space="preserve">Vaihe 0 — laajuuden määrittely</w:t>
            </w:r>
          </w:p>
        </w:tc>
        <w:tc>
          <w:tcPr/>
          <w:p>
            <w:pPr>
              <w:pStyle w:val="Compact"/>
              <w:jc w:val="right"/>
            </w:pPr>
            <w:r>
              <w:t xml:space="preserve">40 h</w:t>
            </w:r>
          </w:p>
        </w:tc>
        <w:tc>
          <w:tcPr/>
          <w:p>
            <w:pPr>
              <w:pStyle w:val="Compact"/>
              <w:jc w:val="left"/>
            </w:pPr>
            <w:r>
              <w:t xml:space="preserve">Maksuton, ei sisälly laskutettaviin 240 tuntiin</w:t>
            </w:r>
          </w:p>
        </w:tc>
      </w:tr>
      <w:tr>
        <w:tc>
          <w:tcPr/>
          <w:p>
            <w:pPr>
              <w:pStyle w:val="Compact"/>
              <w:jc w:val="left"/>
            </w:pPr>
            <w:r>
              <w:t xml:space="preserve">Muu ei-laskutettava tausta- ja määrittelytyö</w:t>
            </w:r>
          </w:p>
        </w:tc>
        <w:tc>
          <w:tcPr/>
          <w:p>
            <w:pPr>
              <w:pStyle w:val="Compact"/>
              <w:jc w:val="right"/>
            </w:pPr>
            <w:r>
              <w:t xml:space="preserve">~200 h</w:t>
            </w:r>
          </w:p>
        </w:tc>
        <w:tc>
          <w:tcPr/>
          <w:p>
            <w:pPr>
              <w:pStyle w:val="Compact"/>
              <w:jc w:val="left"/>
            </w:pPr>
            <w:r>
              <w:t xml:space="preserve">Osa kokonaisjalanjälkeä,</w:t>
            </w:r>
            <w:r>
              <w:t xml:space="preserve"> </w:t>
            </w:r>
            <w:r>
              <w:rPr>
                <w:bCs/>
                <w:b/>
              </w:rPr>
              <w:t xml:space="preserve">ei osa yhteisrahoituslukua</w:t>
            </w:r>
          </w:p>
        </w:tc>
      </w:tr>
    </w:tbl>
    <w:p>
      <w:pPr>
        <w:pStyle w:val="BodyText"/>
      </w:pPr>
      <w:r>
        <w:rPr>
          <w:bCs/>
          <w:b/>
        </w:rPr>
        <w:t xml:space="preserve">Yhteisrahoitus on €24 000 — ei enempää.</w:t>
      </w:r>
      <w:r>
        <w:t xml:space="preserve"> </w:t>
      </w:r>
      <w:r>
        <w:t xml:space="preserve">Hankkeen kokonaisjalanjälki on ~480 h, mutta ei-laskutettavaa taustatyötä</w:t>
      </w:r>
      <w:r>
        <w:t xml:space="preserve"> </w:t>
      </w:r>
      <w:r>
        <w:rPr>
          <w:bCs/>
          <w:b/>
        </w:rPr>
        <w:t xml:space="preserve">ei lisätä</w:t>
      </w:r>
      <w:r>
        <w:t xml:space="preserve"> </w:t>
      </w:r>
      <w:r>
        <w:t xml:space="preserve">yhteisrahoituksen päälle. Yksi luku kestää tarkastelun; kahden päällekkäisen luvun summa ei kestä.</w:t>
      </w:r>
    </w:p>
    <w:p>
      <w:pPr>
        <w:pStyle w:val="BodyText"/>
      </w:pPr>
      <w:r>
        <w:rPr>
          <w:bCs/>
          <w:b/>
        </w:rPr>
        <w:t xml:space="preserve">Tämä ei ole alennus vaan yhteisrahoitus.</w:t>
      </w:r>
      <w:r>
        <w:t xml:space="preserve"> </w:t>
      </w:r>
      <w:r>
        <w:t xml:space="preserve">Pilotin tarkoitus on tuottaa mittausdata, jonka perusteella kaupallinen konversio joko perustellaan tai hylätään. Lifetime kantaa puolet työstä, koska mittaustulos on arvokas myös meille — emme myy tässä tuntityötä vaan hankimme yhdessä asiakkaan kanssa näytön siitä, toimiiko paikallinen arkkitehtuuri Tornion kaltaisessa ympäristössä.</w:t>
      </w:r>
    </w:p>
    <w:p>
      <w:pPr>
        <w:pStyle w:val="BodyText"/>
      </w:pPr>
      <w:r>
        <w:rPr>
          <w:bCs/>
          <w:b/>
        </w:rPr>
        <w:t xml:space="preserve">Ero alennuksen ja yhteisrahoituksen välillä on olennainen hinnoittelun kannalta.</w:t>
      </w:r>
      <w:r>
        <w:t xml:space="preserve"> </w:t>
      </w:r>
      <w:r>
        <w:t xml:space="preserve">Alennus laskee listahintaa ja jää voimaan seuraavassa neuvottelussa. Yhteisrahoitus on kertaluonteinen, rajattuun toimeksiantoon sidottu järjestely, joka päättyy pilotin päättyessä. Siksi §6 toteaa nimenomaisesti, että pilotin jälkeinen asiantuntijatyö laskutetaan hintalomakkeen §4 mukaisella listahinnalla</w:t>
      </w:r>
      <w:r>
        <w:t xml:space="preserve"> </w:t>
      </w:r>
      <w:r>
        <w:rPr>
          <w:bCs/>
          <w:b/>
        </w:rPr>
        <w:t xml:space="preserve">€120/h</w:t>
      </w:r>
      <w:r>
        <w:t xml:space="preserve"> </w:t>
      </w:r>
      <w:r>
        <w:t xml:space="preserve">— pilotin €100/h ei siirry jatkosopimukseen eikä laajemman käyttöönoton hinnoitteluun.</w:t>
      </w:r>
    </w:p>
    <w:p>
      <w:r>
        <w:pict>
          <v:rect style="width:0;height:1.5pt" o:hralign="center" o:hrstd="t" o:hr="t"/>
        </w:pict>
      </w:r>
    </w:p>
    <w:bookmarkEnd w:id="22"/>
    <w:bookmarkStart w:id="23" w:name="vertailu-tuntilaskutukseen"/>
    <w:p>
      <w:pPr>
        <w:pStyle w:val="Heading2"/>
      </w:pPr>
      <w:r>
        <w:t xml:space="preserve">4. Vertailu tuntilaskutukseen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Malli</w:t>
            </w:r>
          </w:p>
        </w:tc>
        <w:tc>
          <w:tcPr/>
          <w:p>
            <w:pPr>
              <w:pStyle w:val="Compact"/>
              <w:jc w:val="left"/>
            </w:pPr>
            <w:r>
              <w:t xml:space="preserve">Laskelma</w:t>
            </w:r>
          </w:p>
        </w:tc>
        <w:tc>
          <w:tcPr/>
          <w:p>
            <w:pPr>
              <w:pStyle w:val="Compact"/>
              <w:jc w:val="right"/>
            </w:pPr>
            <w:r>
              <w:t xml:space="preserve">Hinta (alv 0 %)</w:t>
            </w:r>
          </w:p>
        </w:tc>
      </w:tr>
      <w:tr>
        <w:tc>
          <w:tcPr/>
          <w:p>
            <w:pPr>
              <w:pStyle w:val="Compact"/>
              <w:jc w:val="left"/>
            </w:pPr>
            <w:r>
              <w:rPr>
                <w:bCs/>
                <w:b/>
              </w:rPr>
              <w:t xml:space="preserve">Tämä tarjous — kiinteä, yhteisrahoitettu pilottihinta</w:t>
            </w:r>
          </w:p>
        </w:tc>
        <w:tc>
          <w:tcPr/>
          <w:p>
            <w:pPr>
              <w:pStyle w:val="Compact"/>
              <w:jc w:val="left"/>
            </w:pPr>
            <w:r>
              <w:t xml:space="preserve">240 h × €100/h</w:t>
            </w:r>
          </w:p>
        </w:tc>
        <w:tc>
          <w:tcPr/>
          <w:p>
            <w:pPr>
              <w:pStyle w:val="Compact"/>
              <w:jc w:val="right"/>
            </w:pPr>
            <w:r>
              <w:rPr>
                <w:bCs/>
                <w:b/>
              </w:rPr>
              <w:t xml:space="preserve">€24 000</w:t>
            </w:r>
          </w:p>
        </w:tc>
      </w:tr>
      <w:tr>
        <w:tc>
          <w:tcPr/>
          <w:p>
            <w:pPr>
              <w:pStyle w:val="Compact"/>
              <w:jc w:val="left"/>
            </w:pPr>
            <w:r>
              <w:t xml:space="preserve">Sama laajuus Outokummulle tarjotulla jatkotyön sopimushinnalla</w:t>
            </w:r>
          </w:p>
        </w:tc>
        <w:tc>
          <w:tcPr/>
          <w:p>
            <w:pPr>
              <w:pStyle w:val="Compact"/>
              <w:jc w:val="left"/>
            </w:pPr>
            <w:r>
              <w:t xml:space="preserve">240 h × €120/h</w:t>
            </w:r>
          </w:p>
        </w:tc>
        <w:tc>
          <w:tcPr/>
          <w:p>
            <w:pPr>
              <w:pStyle w:val="Compact"/>
              <w:jc w:val="right"/>
            </w:pPr>
            <w:r>
              <w:t xml:space="preserve">€28 800</w:t>
            </w:r>
          </w:p>
        </w:tc>
      </w:tr>
      <w:tr>
        <w:tc>
          <w:tcPr/>
          <w:p>
            <w:pPr>
              <w:pStyle w:val="Compact"/>
              <w:jc w:val="left"/>
            </w:pPr>
            <w:r>
              <w:t xml:space="preserve">Sama laajuus nimellisellä senior-tuntihinnalla</w:t>
            </w:r>
          </w:p>
        </w:tc>
        <w:tc>
          <w:tcPr/>
          <w:p>
            <w:pPr>
              <w:pStyle w:val="Compact"/>
              <w:jc w:val="left"/>
            </w:pPr>
            <w:r>
              <w:t xml:space="preserve">240 h × €200/h</w:t>
            </w:r>
          </w:p>
        </w:tc>
        <w:tc>
          <w:tcPr/>
          <w:p>
            <w:pPr>
              <w:pStyle w:val="Compact"/>
              <w:jc w:val="right"/>
            </w:pPr>
            <w:r>
              <w:t xml:space="preserve">€48 000</w:t>
            </w:r>
          </w:p>
        </w:tc>
      </w:tr>
    </w:tbl>
    <w:p>
      <w:pPr>
        <w:pStyle w:val="BodyText"/>
      </w:pPr>
      <w:r>
        <w:rPr>
          <w:bCs/>
          <w:b/>
        </w:rPr>
        <w:t xml:space="preserve">Kiinteä hinta siirtää ylityksen riskin toimittajalle.</w:t>
      </w:r>
      <w:r>
        <w:t xml:space="preserve"> </w:t>
      </w:r>
      <w:r>
        <w:t xml:space="preserve">Jos vaihe 2 vaatii arvioitua enemmän työtä, se ei näy Outokummun laskulla. Tuntilaskutuksessa se näkyisi.</w:t>
      </w:r>
    </w:p>
    <w:p>
      <w:r>
        <w:pict>
          <v:rect style="width:0;height:1.5pt" o:hralign="center" o:hrstd="t" o:hr="t"/>
        </w:pict>
      </w:r>
    </w:p>
    <w:bookmarkEnd w:id="23"/>
    <w:bookmarkStart w:id="24" w:name="mitä-tuntierittely-ei-tarkoita"/>
    <w:p>
      <w:pPr>
        <w:pStyle w:val="Heading2"/>
      </w:pPr>
      <w:r>
        <w:t xml:space="preserve">5. Mitä tuntierittely</w:t>
      </w:r>
      <w:r>
        <w:t xml:space="preserve"> </w:t>
      </w:r>
      <w:r>
        <w:rPr>
          <w:bCs/>
          <w:b/>
        </w:rPr>
        <w:t xml:space="preserve">ei</w:t>
      </w:r>
      <w:r>
        <w:t xml:space="preserve"> </w:t>
      </w:r>
      <w:r>
        <w:t xml:space="preserve">tarkoita</w:t>
      </w:r>
    </w:p>
    <w:p>
      <w:pPr>
        <w:numPr>
          <w:ilvl w:val="0"/>
          <w:numId w:val="1001"/>
        </w:numPr>
        <w:pStyle w:val="Compact"/>
      </w:pPr>
      <w:r>
        <w:rPr>
          <w:bCs/>
          <w:b/>
        </w:rPr>
        <w:t xml:space="preserve">Ei siirrytä tuntilaskutukseen.</w:t>
      </w:r>
      <w:r>
        <w:t xml:space="preserve"> </w:t>
      </w:r>
      <w:r>
        <w:t xml:space="preserve">Pilotti on kiinteähintainen. Tämä erittely on hankinnan vertailua varten.</w:t>
      </w:r>
    </w:p>
    <w:p>
      <w:pPr>
        <w:numPr>
          <w:ilvl w:val="0"/>
          <w:numId w:val="1001"/>
        </w:numPr>
        <w:pStyle w:val="Compact"/>
      </w:pPr>
      <w:r>
        <w:rPr>
          <w:bCs/>
          <w:b/>
        </w:rPr>
        <w:t xml:space="preserve">Ei laskuteta toteutuneiden tuntien mukaan.</w:t>
      </w:r>
      <w:r>
        <w:t xml:space="preserve"> </w:t>
      </w:r>
      <w:r>
        <w:t xml:space="preserve">Maksuaikataulu on hintalomakkeen mukaan 50 % allekirjoituksella, 50 % loppuraportin hyväksynnällä — riippumatta siitä, toteutuuko 240 h vai 300 h.</w:t>
      </w:r>
    </w:p>
    <w:p>
      <w:pPr>
        <w:numPr>
          <w:ilvl w:val="0"/>
          <w:numId w:val="1001"/>
        </w:numPr>
        <w:pStyle w:val="Compact"/>
      </w:pPr>
      <w:r>
        <w:rPr>
          <w:bCs/>
          <w:b/>
        </w:rPr>
        <w:t xml:space="preserve">Ei muuteta laajuutta.</w:t>
      </w:r>
      <w:r>
        <w:t xml:space="preserve"> </w:t>
      </w:r>
      <w:r>
        <w:t xml:space="preserve">Vaiheiden tuntijako on suunnitteluarvio, ei sopimusrajaus. Sopimusrajaus on pilottimäärittelyn §2 laajuus ja §8 onnistumiskriteerit.</w:t>
      </w:r>
    </w:p>
    <w:p>
      <w:pPr>
        <w:numPr>
          <w:ilvl w:val="0"/>
          <w:numId w:val="1001"/>
        </w:numPr>
        <w:pStyle w:val="Compact"/>
      </w:pPr>
      <w:r>
        <w:rPr>
          <w:bCs/>
          <w:b/>
        </w:rPr>
        <w:t xml:space="preserve">Ei koske laitteistoa eikä pilvipalveluita.</w:t>
      </w:r>
      <w:r>
        <w:t xml:space="preserve"> </w:t>
      </w:r>
      <w:r>
        <w:t xml:space="preserve">Ne ovat asiakkaan CAPEX/OPEX ja kulkevat läpilaskutuksena ilman katetta (hintalomake §3).</w:t>
      </w:r>
    </w:p>
    <w:p>
      <w:r>
        <w:pict>
          <v:rect style="width:0;height:1.5pt" o:hralign="center" o:hrstd="t" o:hr="t"/>
        </w:pict>
      </w:r>
    </w:p>
    <w:bookmarkEnd w:id="24"/>
    <w:bookmarkStart w:id="25" w:name="jatkotyön-tuntihinta"/>
    <w:p>
      <w:pPr>
        <w:pStyle w:val="Heading2"/>
      </w:pPr>
      <w:r>
        <w:t xml:space="preserve">6. Jatkotyön tuntihinta</w:t>
      </w:r>
    </w:p>
    <w:p>
      <w:pPr>
        <w:pStyle w:val="FirstParagraph"/>
      </w:pPr>
      <w:r>
        <w:t xml:space="preserve">Pilotin jälkeinen asiantuntijatyö laskutetaan hintalomakkeen §4 mukaisesti</w:t>
      </w:r>
      <w:r>
        <w:t xml:space="preserve"> </w:t>
      </w:r>
      <w:r>
        <w:rPr>
          <w:bCs/>
          <w:b/>
        </w:rPr>
        <w:t xml:space="preserve">€120/h (alv 0 %)</w:t>
      </w:r>
      <w:r>
        <w:t xml:space="preserve"> </w:t>
      </w:r>
      <w:r>
        <w:t xml:space="preserve">toteutuneiden tuntien mukaan. Pilotin €100/h on kertaluonteinen pilottihinta tälle rajatulle toimeksiannolle, ei uusi listahinta.</w:t>
      </w:r>
    </w:p>
    <w:p>
      <w:r>
        <w:pict>
          <v:rect style="width:0;height:1.5pt" o:hralign="center" o:hrstd="t" o:hr="t"/>
        </w:pict>
      </w:r>
    </w:p>
    <w:p>
      <w:pPr>
        <w:pStyle w:val="FirstParagraph"/>
      </w:pPr>
      <w:r>
        <w:rPr>
          <w:bCs/>
          <w:b/>
        </w:rPr>
        <w:t xml:space="preserve">Risto Anton Päärni</w:t>
      </w:r>
      <w:r>
        <w:t xml:space="preserve"> </w:t>
      </w:r>
      <w:r>
        <w:t xml:space="preserve">Toimitusjohtaja, Lifetime Oy</w:t>
      </w:r>
      <w:r>
        <w:t xml:space="preserve"> </w:t>
      </w:r>
      <w:r>
        <w:t xml:space="preserve">risto.paarni@lifetime.fi · +358 400 319 010</w:t>
      </w:r>
      <w:r>
        <w:t xml:space="preserve"> </w:t>
      </w:r>
      <w:r>
        <w:t xml:space="preserve">Laidunmaanraitti 2 A 25, 02330 Espoo, Finland</w:t>
      </w:r>
      <w:r>
        <w:t xml:space="preserve"> </w:t>
      </w:r>
      <w:r>
        <w:t xml:space="preserve">Y-tunnus: 0772407-9 | VAT: FI07724079</w:t>
      </w:r>
    </w:p>
    <w:p>
      <w:r>
        <w:pict>
          <v:rect style="width:0;height:1.5pt" o:hralign="center" o:hrstd="t" o:hr="t"/>
        </w:pict>
      </w:r>
    </w:p>
    <w:bookmarkEnd w:id="25"/>
    <w:bookmarkStart w:id="26" w:name="asiakirjan-hallinta"/>
    <w:p>
      <w:pPr>
        <w:pStyle w:val="Heading2"/>
      </w:pPr>
      <w:r>
        <w:t xml:space="preserve">Asiakirjan hallinta</w:t>
      </w:r>
    </w:p>
    <w:p>
      <w:pPr>
        <w:numPr>
          <w:ilvl w:val="0"/>
          <w:numId w:val="1002"/>
        </w:numPr>
        <w:pStyle w:val="Compact"/>
      </w:pPr>
      <w:r>
        <w:t xml:space="preserve">Lähde tuntimäärille: tarjouskirje 27.6.2026 (</w:t>
      </w:r>
      <w:r>
        <w:t xml:space="preserve">“</w:t>
      </w:r>
      <w:r>
        <w:t xml:space="preserve">n. 1,5 henkilötyökuukautta</w:t>
      </w:r>
      <w:r>
        <w:t xml:space="preserve">”</w:t>
      </w:r>
      <w:r>
        <w:t xml:space="preserve">,</w:t>
      </w:r>
      <w:r>
        <w:t xml:space="preserve"> </w:t>
      </w:r>
      <w:r>
        <w:t xml:space="preserve">“</w:t>
      </w:r>
      <w:r>
        <w:t xml:space="preserve">n. 50 % kokonaispanoksesta</w:t>
      </w:r>
      <w:r>
        <w:t xml:space="preserve">”</w:t>
      </w:r>
      <w:r>
        <w:t xml:space="preserve">).</w:t>
      </w:r>
    </w:p>
    <w:p>
      <w:pPr>
        <w:numPr>
          <w:ilvl w:val="0"/>
          <w:numId w:val="1002"/>
        </w:numPr>
        <w:pStyle w:val="Compact"/>
      </w:pPr>
      <w:r>
        <w:t xml:space="preserve">Lähde tuntihinnalle €120/h:</w:t>
      </w:r>
      <w:r>
        <w:t xml:space="preserve"> </w:t>
      </w:r>
      <w:r>
        <w:rPr>
          <w:rStyle w:val="VerbatimChar"/>
        </w:rPr>
        <w:t xml:space="preserve">OUTOKUMPU_HINTALOMAKE.md</w:t>
      </w:r>
      <w:r>
        <w:t xml:space="preserve"> </w:t>
      </w:r>
      <w:r>
        <w:t xml:space="preserve">v1.0 §4.</w:t>
      </w:r>
    </w:p>
    <w:p>
      <w:pPr>
        <w:numPr>
          <w:ilvl w:val="0"/>
          <w:numId w:val="1002"/>
        </w:numPr>
        <w:pStyle w:val="Compact"/>
      </w:pPr>
      <w:r>
        <w:t xml:space="preserve">Vaiheistus:</w:t>
      </w:r>
      <w:r>
        <w:t xml:space="preserve"> </w:t>
      </w:r>
      <w:r>
        <w:rPr>
          <w:rStyle w:val="VerbatimChar"/>
        </w:rPr>
        <w:t xml:space="preserve">sales-outreach/PILOT_SHEET_OUTOKUMPU_FORTA.md</w:t>
      </w:r>
      <w:r>
        <w:t xml:space="preserve"> </w:t>
      </w:r>
      <w:r>
        <w:t xml:space="preserve">v2.0 §6.</w:t>
      </w:r>
    </w:p>
    <w:p>
      <w:pPr>
        <w:numPr>
          <w:ilvl w:val="0"/>
          <w:numId w:val="1002"/>
        </w:numPr>
        <w:pStyle w:val="Compact"/>
      </w:pPr>
      <w:r>
        <w:t xml:space="preserve">Erittelymalli:</w:t>
      </w:r>
      <w:r>
        <w:t xml:space="preserve"> </w:t>
      </w:r>
      <w:r>
        <w:rPr>
          <w:rStyle w:val="VerbatimChar"/>
        </w:rPr>
        <w:t xml:space="preserve">sales-outreach/TARJOUS_CARIN_HUOLTOPALVELU_VERKKOSIVUT_FI.md</w:t>
      </w:r>
      <w:r>
        <w:t xml:space="preserve"> </w:t>
      </w:r>
      <w:r>
        <w:t xml:space="preserve">kohta 2 (tuntiarviotaulukko).</w:t>
      </w:r>
    </w:p>
    <w:p>
      <w:pPr>
        <w:numPr>
          <w:ilvl w:val="0"/>
          <w:numId w:val="1002"/>
        </w:numPr>
        <w:pStyle w:val="Compact"/>
      </w:pPr>
      <w:r>
        <w:rPr>
          <w:bCs/>
          <w:b/>
        </w:rPr>
        <w:t xml:space="preserve">Tämä dokumentti ei muuta lähetettyä tarjousta.</w:t>
      </w:r>
      <w:r>
        <w:t xml:space="preserve"> </w:t>
      </w:r>
      <w:r>
        <w:t xml:space="preserve">Lähetetyt asiakirjat (</w:t>
      </w:r>
      <w:r>
        <w:rPr>
          <w:rStyle w:val="VerbatimChar"/>
        </w:rPr>
        <w:t xml:space="preserve">OUTOKUMPU_TARJOUSKIRJE.md</w:t>
      </w:r>
      <w:r>
        <w:t xml:space="preserve">,</w:t>
      </w:r>
      <w:r>
        <w:t xml:space="preserve"> </w:t>
      </w:r>
      <w:r>
        <w:rPr>
          <w:rStyle w:val="VerbatimChar"/>
        </w:rPr>
        <w:t xml:space="preserve">OUTOKUMPU_HINTALOMAKE.md</w:t>
      </w:r>
      <w:r>
        <w:t xml:space="preserve">, 27.6.2026) ovat muuttumattomia.</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2026-07-30T23:08:47Z</dcterms:created>
  <dcterms:modified xsi:type="dcterms:W3CDTF">2026-07-30T23:08:47Z</dcterms:modified>
</cp:coreProperties>
</file>

<file path=docProps/custom.xml><?xml version="1.0" encoding="utf-8"?>
<Properties xmlns="http://schemas.openxmlformats.org/officeDocument/2006/custom-properties" xmlns:vt="http://schemas.openxmlformats.org/officeDocument/2006/docPropsVTypes"/>
</file>