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ae6728c986473a2f57c52e3dc63248d0184a37"/>
    <w:p>
      <w:pPr>
        <w:pStyle w:val="Heading1"/>
      </w:pPr>
      <w:r>
        <w:t xml:space="preserve">Field Note: Arvonluonnin Ajurit Blog Launch — and the Text-Provenance Extension</w:t>
      </w:r>
    </w:p>
    <w:p>
      <w:r>
        <w:pict>
          <v:rect style="width:0;height:1.5pt" o:hralign="center" o:hrstd="t" o:hr="t"/>
        </w:pict>
      </w:r>
    </w:p>
    <w:bookmarkEnd w:id="20"/>
    <w:bookmarkStart w:id="25" w:name="version-and-agent-history"/>
    <w:p>
      <w:pPr>
        <w:pStyle w:val="Heading1"/>
      </w:pPr>
      <w:r>
        <w:t xml:space="preserve">VERSION AND AGENT HISTORY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Sessions &amp; Modifications:</w:t>
      </w:r>
    </w:p>
    <w:p>
      <w:pPr>
        <w:numPr>
          <w:ilvl w:val="0"/>
          <w:numId w:val="1001"/>
        </w:numPr>
        <w:pStyle w:val="Compact"/>
      </w:pPr>
      <w:r>
        <w:t xml:space="preserve">Version: 1.0 | Tool: Claude Code (Sonnet 5) | Session: claude/arvonluonnin-ajurit-research-hpiipo | Date: 06.08.2026 | Changes: Initial field note. Records the 5-language publication of the</w:t>
      </w:r>
      <w:r>
        <w:t xml:space="preserve"> </w:t>
      </w:r>
      <w:r>
        <w:t xml:space="preserve">“</w:t>
      </w:r>
      <w:r>
        <w:t xml:space="preserve">Six Drivers of Value</w:t>
      </w:r>
      <w:r>
        <w:t xml:space="preserve">”</w:t>
      </w:r>
      <w:r>
        <w:t xml:space="preserve"> </w:t>
      </w:r>
      <w:r>
        <w:t xml:space="preserve">post, the AI-content labelling implementation (EU AI Act Article 50(4)), the lockstep thesis extension, and the DWS7 roadmap / Konsultoinnin käsikirja pointer updates from the same session.</w:t>
      </w:r>
    </w:p>
    <w:p>
      <w:pPr>
        <w:pStyle w:val="FirstParagraph"/>
      </w:pPr>
      <w:r>
        <w:t xml:space="preserve">Session Links &amp; References:</w:t>
      </w:r>
    </w:p>
    <w:p>
      <w:pPr>
        <w:numPr>
          <w:ilvl w:val="0"/>
          <w:numId w:val="1002"/>
        </w:numPr>
        <w:pStyle w:val="Compact"/>
      </w:pPr>
      <w:r>
        <w:t xml:space="preserve">Claude Code (claude/arvonluonnin-ajurit-research-hpiipo): https://claude.ai/code</w:t>
      </w:r>
    </w:p>
    <w:p>
      <w:pPr>
        <w:pStyle w:val="FirstParagraph"/>
      </w:pPr>
      <w:r>
        <w:t xml:space="preserve">Document Status:</w:t>
      </w:r>
    </w:p>
    <w:p>
      <w:pPr>
        <w:numPr>
          <w:ilvl w:val="0"/>
          <w:numId w:val="1003"/>
        </w:numPr>
        <w:pStyle w:val="Compact"/>
      </w:pPr>
      <w:r>
        <w:t xml:space="preserve">Created: 06.08.2026</w:t>
      </w:r>
    </w:p>
    <w:p>
      <w:pPr>
        <w:numPr>
          <w:ilvl w:val="0"/>
          <w:numId w:val="1003"/>
        </w:numPr>
        <w:pStyle w:val="Compact"/>
      </w:pPr>
      <w:r>
        <w:t xml:space="preserve">Last Modified: 06.08.2026</w:t>
      </w:r>
    </w:p>
    <w:p>
      <w:pPr>
        <w:numPr>
          <w:ilvl w:val="0"/>
          <w:numId w:val="1003"/>
        </w:numPr>
        <w:pStyle w:val="Compact"/>
      </w:pPr>
      <w:r>
        <w:t xml:space="preserve">Language: English</w:t>
      </w:r>
    </w:p>
    <w:p>
      <w:pPr>
        <w:numPr>
          <w:ilvl w:val="0"/>
          <w:numId w:val="1003"/>
        </w:numPr>
        <w:pStyle w:val="Compact"/>
      </w:pPr>
      <w:r>
        <w:t xml:space="preserve">Publication Status: ACTIVE</w:t>
      </w:r>
    </w:p>
    <w:p>
      <w:pPr>
        <w:numPr>
          <w:ilvl w:val="0"/>
          <w:numId w:val="1003"/>
        </w:numPr>
        <w:pStyle w:val="Compact"/>
      </w:pPr>
      <w:r>
        <w:t xml:space="preserve">Classification: INTERNAL</w:t>
      </w:r>
    </w:p>
    <w:p>
      <w:pPr>
        <w:numPr>
          <w:ilvl w:val="0"/>
          <w:numId w:val="1003"/>
        </w:numPr>
        <w:pStyle w:val="Compact"/>
      </w:pPr>
      <w:r>
        <w:t xml:space="preserve">Document Type: Field Note / HIC Learning Outcome</w:t>
      </w:r>
    </w:p>
    <w:p>
      <w:pPr>
        <w:pStyle w:val="FirstParagraph"/>
      </w:pPr>
      <w:r>
        <w:t xml:space="preserve">Related Documents: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docs/KONSULTOINNIN_KASIKIRJA_2026.md</w:t>
      </w:r>
      <w:r>
        <w:t xml:space="preserve"> </w:t>
      </w:r>
      <w:r>
        <w:t xml:space="preserve">v1.11 (§2.1/§2.2, source content)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docs/BLOG_STANDARD.md</w:t>
      </w:r>
      <w:r>
        <w:t xml:space="preserve"> </w:t>
      </w:r>
      <w:r>
        <w:t xml:space="preserve">§3.2.1 (AI-content labelling policy)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docs/metropolia/master-thesis/{en,fi}/V3Thesis_{EN,FI}.md</w:t>
      </w:r>
      <w:r>
        <w:t xml:space="preserve"> </w:t>
      </w:r>
      <w:r>
        <w:t xml:space="preserve">§10.17 (implementation)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docs/PHD_FIREHORSE_{EN,FI}.md</w:t>
      </w:r>
      <w:r>
        <w:t xml:space="preserve"> </w:t>
      </w:r>
      <w:r>
        <w:t xml:space="preserve">§14.48 / Key Contribution #53 (scientific restatement)</w:t>
      </w:r>
    </w:p>
    <w:p>
      <w:r>
        <w:pict>
          <v:rect style="width:0;height:1.5pt" o:hralign="center" o:hrstd="t" o:hr="t"/>
        </w:pict>
      </w:r>
    </w:p>
    <w:bookmarkStart w:id="21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This session (continued from a prior arvonluonnin-ajurit research session) did three things in sequence: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Drafted and published a 5-language blog post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Six Drivers of Value — and the Research Behind Them</w:t>
      </w:r>
      <w:r>
        <w:t xml:space="preserve">”</w:t>
      </w:r>
      <w:r>
        <w:t xml:space="preserve"> </w:t>
      </w:r>
      <w:r>
        <w:t xml:space="preserve">(EN/FI/SV/DE/FR), at</w:t>
      </w:r>
      <w:r>
        <w:t xml:space="preserve"> </w:t>
      </w:r>
      <w:r>
        <w:rPr>
          <w:rStyle w:val="VerbatimChar"/>
        </w:rPr>
        <w:t xml:space="preserve">onelifetime.world/posts/arvonluonnin-ajurit-2026*.html</w:t>
      </w:r>
      <w:r>
        <w:t xml:space="preserve">. EN and FI were agent-drafted from the handbook’s §2.1/§2.2. SV, DE and FR went through two rounds: an initial agent free-translation, then a full rewrite using HIC-supplied structured text (the FR variant explicitly labelled</w:t>
      </w:r>
      <w:r>
        <w:t xml:space="preserve"> </w:t>
      </w:r>
      <w:r>
        <w:t xml:space="preserve">“</w:t>
      </w:r>
      <w:r>
        <w:t xml:space="preserve">Gemini version</w:t>
      </w:r>
      <w:r>
        <w:t xml:space="preserve">”</w:t>
      </w:r>
      <w:r>
        <w:t xml:space="preserve"> </w:t>
      </w:r>
      <w:r>
        <w:t xml:space="preserve">by the HIC) — the second round is what shipped. Hero images are two infographics the HIC uploaded directly, confirmed byte-identical to</w:t>
      </w:r>
      <w:r>
        <w:t xml:space="preserve"> </w:t>
      </w:r>
      <w:r>
        <w:rPr>
          <w:rStyle w:val="VerbatimChar"/>
        </w:rPr>
        <w:t xml:space="preserve">Sales/IMG_6895.png</w:t>
      </w:r>
      <w:r>
        <w:t xml:space="preserve"> </w:t>
      </w:r>
      <w:r>
        <w:t xml:space="preserve">(FI) /</w:t>
      </w:r>
      <w:r>
        <w:t xml:space="preserve"> </w:t>
      </w:r>
      <w:r>
        <w:rPr>
          <w:rStyle w:val="VerbatimChar"/>
        </w:rPr>
        <w:t xml:space="preserve">IMG_6896.png</w:t>
      </w:r>
      <w:r>
        <w:t xml:space="preserve"> </w:t>
      </w:r>
      <w:r>
        <w:t xml:space="preserve">(EN) already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Built the publishing pipeline and the AI-content notice.</w:t>
      </w:r>
      <w:r>
        <w:t xml:space="preserve"> </w:t>
      </w:r>
      <w:r>
        <w:rPr>
          <w:rStyle w:val="VerbatimChar"/>
        </w:rPr>
        <w:t xml:space="preserve">scripts/build-arvonluonnin-ajurit-post.mjs</w:t>
      </w:r>
      <w:r>
        <w:t xml:space="preserve"> </w:t>
      </w:r>
      <w:r>
        <w:t xml:space="preserve">renders the 5 approved drafts to HTML, refuses to run unless every draft’s</w:t>
      </w:r>
      <w:r>
        <w:t xml:space="preserve"> </w:t>
      </w:r>
      <w:r>
        <w:rPr>
          <w:rStyle w:val="VerbatimChar"/>
        </w:rPr>
        <w:t xml:space="preserve">Status: APPROVED</w:t>
      </w:r>
      <w:r>
        <w:t xml:space="preserve">, and unconditionally injects a per-language</w:t>
      </w:r>
      <w:r>
        <w:t xml:space="preserve"> </w:t>
      </w:r>
      <w:r>
        <w:rPr>
          <w:rStyle w:val="VerbatimChar"/>
        </w:rPr>
        <w:t xml:space="preserve">&lt;aside class="ai-notice"&gt;</w:t>
      </w:r>
      <w:r>
        <w:t xml:space="preserve"> </w:t>
      </w:r>
      <w:r>
        <w:t xml:space="preserve">(EU AI Act Article 50(4), per</w:t>
      </w:r>
      <w:r>
        <w:t xml:space="preserve"> </w:t>
      </w:r>
      <w:r>
        <w:rPr>
          <w:rStyle w:val="VerbatimChar"/>
        </w:rPr>
        <w:t xml:space="preserve">DWS_BLOG_STANDARD.md</w:t>
      </w:r>
      <w:r>
        <w:t xml:space="preserve"> </w:t>
      </w:r>
      <w:r>
        <w:t xml:space="preserve">§3.2.1) — sourced from a table in the script, not authored per post. Registered in the post registry,</w:t>
      </w:r>
      <w:r>
        <w:t xml:space="preserve"> </w:t>
      </w:r>
      <w:r>
        <w:rPr>
          <w:rStyle w:val="VerbatimChar"/>
        </w:rPr>
        <w:t xml:space="preserve">latestPosts</w:t>
      </w:r>
      <w:r>
        <w:t xml:space="preserve">, and the nav injector; dual-folder synced throughout.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Propagated the outcome into three canonical documents</w:t>
      </w:r>
      <w:r>
        <w:t xml:space="preserve">, additively, in lockstep where required:</w:t>
      </w:r>
      <w:r>
        <w:t xml:space="preserve"> </w:t>
      </w:r>
      <w:r>
        <w:rPr>
          <w:rStyle w:val="VerbatimChar"/>
        </w:rPr>
        <w:t xml:space="preserve">DWS7_ROADMAP.md</w:t>
      </w:r>
      <w:r>
        <w:t xml:space="preserve"> </w:t>
      </w:r>
      <w:r>
        <w:t xml:space="preserve">(changelog pointer, no PR content changed),</w:t>
      </w:r>
      <w:r>
        <w:t xml:space="preserve"> </w:t>
      </w:r>
      <w:r>
        <w:rPr>
          <w:rStyle w:val="VerbatimChar"/>
        </w:rPr>
        <w:t xml:space="preserve">Konsultoinnin käsikirja</w:t>
      </w:r>
      <w:r>
        <w:t xml:space="preserve"> </w:t>
      </w:r>
      <w:r>
        <w:t xml:space="preserve">v1.10→v1.11 (cross-reference to the live post), and the four-file thesis set (master’s + PhD, EN + FI) at v3.97→v3.98, adding §10.17 / §14.48 + Key Contribution #53.</w:t>
      </w:r>
    </w:p>
    <w:bookmarkEnd w:id="21"/>
    <w:bookmarkStart w:id="22" w:name="the-insight"/>
    <w:p>
      <w:pPr>
        <w:pStyle w:val="Heading2"/>
      </w:pPr>
      <w:r>
        <w:t xml:space="preserve">The insight</w:t>
      </w:r>
    </w:p>
    <w:p>
      <w:pPr>
        <w:pStyle w:val="FirstParagraph"/>
      </w:pPr>
      <w:r>
        <w:t xml:space="preserve">Two governance layers that look like the same approval are not.</w:t>
      </w:r>
      <w:r>
        <w:t xml:space="preserve"> </w:t>
      </w:r>
      <w:r>
        <w:rPr>
          <w:bCs/>
          <w:b/>
        </w:rPr>
        <w:t xml:space="preserve">Rule 13’s publication gate</w:t>
      </w:r>
      <w:r>
        <w:t xml:space="preserve"> </w:t>
      </w:r>
      <w:r>
        <w:t xml:space="preserve">(</w:t>
      </w:r>
      <w:r>
        <w:t xml:space="preserve">“</w:t>
      </w:r>
      <w:r>
        <w:t xml:space="preserve">did a human read and approve this text before it ships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Article 50(4)’s labelling gate</w:t>
      </w:r>
      <w:r>
        <w:t xml:space="preserve"> </w:t>
      </w:r>
      <w:r>
        <w:t xml:space="preserve">(</w:t>
      </w:r>
      <w:r>
        <w:t xml:space="preserve">“</w:t>
      </w:r>
      <w:r>
        <w:t xml:space="preserve">is there a named, publicly-reachable, accountable reviewer credited on this page</w:t>
      </w:r>
      <w:r>
        <w:t xml:space="preserve">”</w:t>
      </w:r>
      <w:r>
        <w:t xml:space="preserve">) ask different questions and carry different evidentiary standards. This session’s own conversational approval of all 5 drafts satisfied the first and, on its own, did not satisfy the second — no per-page reviewer credit was produced, so all 5 pages correctly ship with the AI-content notice on by default per</w:t>
      </w:r>
      <w:r>
        <w:t xml:space="preserve"> </w:t>
      </w:r>
      <w:r>
        <w:rPr>
          <w:rStyle w:val="VerbatimChar"/>
        </w:rPr>
        <w:t xml:space="preserve">DWS_BLOG_STANDARD.md</w:t>
      </w:r>
      <w:r>
        <w:t xml:space="preserve"> </w:t>
      </w:r>
      <w:r>
        <w:t xml:space="preserve">§3.2.1’s stricter-than-statutory four-condition test.</w:t>
      </w:r>
    </w:p>
    <w:p>
      <w:pPr>
        <w:pStyle w:val="BodyText"/>
      </w:pPr>
      <w:r>
        <w:t xml:space="preserve">The engineering corollary, extending the same rule the media-marking work (§10.16, four days earlier) established: a label a human is expected to remember per-post will eventually be forgotten; a label attached mechanically from a table at build time cannot be. This is now demonstrated at both the media layer (icon composited into video frames) and the text/translation layer (notice injected from a per-language table into every rendered page) — recorded as the</w:t>
      </w:r>
      <w:r>
        <w:t xml:space="preserve"> </w:t>
      </w:r>
      <w:r>
        <w:t xml:space="preserve">“</w:t>
      </w:r>
      <w:r>
        <w:t xml:space="preserve">Text-Provenance Extension</w:t>
      </w:r>
      <w:r>
        <w:t xml:space="preserve">”</w:t>
      </w:r>
      <w:r>
        <w:t xml:space="preserve"> </w:t>
      </w:r>
      <w:r>
        <w:t xml:space="preserve">in the PhD thesis (§14.48, Key Contribution #53) and as implementation evidence in the master’s thesis (§10.17).</w:t>
      </w:r>
    </w:p>
    <w:bookmarkEnd w:id="22"/>
    <w:bookmarkStart w:id="2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6"/>
        </w:numPr>
        <w:pStyle w:val="Compact"/>
      </w:pPr>
      <w:r>
        <w:t xml:space="preserve">If the HIC wants any language’s notice removed, the 4-condition reviewer-credit process (named reviewer, demonstrated authority, publicly reachable contact, explicit removal action —</w:t>
      </w:r>
      <w:r>
        <w:t xml:space="preserve"> </w:t>
      </w:r>
      <w:r>
        <w:rPr>
          <w:rStyle w:val="VerbatimChar"/>
        </w:rPr>
        <w:t xml:space="preserve">DWS_BLOG_STANDARD.md</w:t>
      </w:r>
      <w:r>
        <w:t xml:space="preserve"> </w:t>
      </w:r>
      <w:r>
        <w:t xml:space="preserve">§3.2.1) must run per-language; it has not run for any of the 5 pages yet.</w:t>
      </w:r>
    </w:p>
    <w:p>
      <w:pPr>
        <w:numPr>
          <w:ilvl w:val="0"/>
          <w:numId w:val="1006"/>
        </w:numPr>
        <w:pStyle w:val="Compact"/>
      </w:pPr>
      <w:r>
        <w:t xml:space="preserve">The blog post is live on the feature branch, 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sites auto-deploy via Cloudflare Pages only on merge to main. Awaiting HIC instruction to merge.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docs/blog-drafts/kya-s1-one-signed-page.md</w:t>
      </w:r>
      <w:r>
        <w:t xml:space="preserve"> </w:t>
      </w:r>
      <w:r>
        <w:t xml:space="preserve">remains a parked, unpublished draft from an earlier session (04.08.2026) — flagged by the session-stop hook as advisory. Not actioned this session; still awaiting an HIC decision to publish or park permanently.</w:t>
      </w:r>
    </w:p>
    <w:bookmarkEnd w:id="23"/>
    <w:bookmarkStart w:id="24" w:name="hic-learning-outcome-six-step-record"/>
    <w:p>
      <w:pPr>
        <w:pStyle w:val="Heading2"/>
      </w:pPr>
      <w:r>
        <w:t xml:space="preserve">HIC Learning Outcome — six-step record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Knowledge base:</w:t>
      </w:r>
      <w:r>
        <w:t xml:space="preserve"> </w:t>
      </w:r>
      <w:r>
        <w:t xml:space="preserve">N/A — no</w:t>
      </w:r>
      <w:r>
        <w:t xml:space="preserve"> </w:t>
      </w:r>
      <w:r>
        <w:rPr>
          <w:rStyle w:val="VerbatimChar"/>
        </w:rPr>
        <w:t xml:space="preserve">kb/</w:t>
      </w:r>
      <w:r>
        <w:t xml:space="preserve"> </w:t>
      </w:r>
      <w:r>
        <w:t xml:space="preserve">directory exists in this clone; content carried by this field note and the thesis §10.17/§14.48 entries.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Field note:</w:t>
      </w:r>
      <w:r>
        <w:t xml:space="preserve"> </w:t>
      </w:r>
      <w:r>
        <w:t xml:space="preserve">this document.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Learn/2026-08-06-arvonluonnin-ajurit-blog-launch-and-text-provenance.html</w:t>
      </w:r>
      <w:r>
        <w:t xml:space="preserve"> </w:t>
      </w:r>
      <w:r>
        <w:t xml:space="preserve">(this note) plus the 4 thesis renders at v3.98 (</w:t>
      </w:r>
      <w:r>
        <w:rPr>
          <w:rStyle w:val="VerbatimChar"/>
        </w:rPr>
        <w:t xml:space="preserve">Learn/V3Thesis_{EN,FI}_v3.98.html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Learn/PHD_FIREHORSE_{EN,FI}_v3.98.html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Drive export:</w:t>
      </w:r>
      <w:r>
        <w:t xml:space="preserve"> </w:t>
      </w:r>
      <w:r>
        <w:t xml:space="preserve">not performed this session — offered, not yet done. Say the word and this note plus the thesis renders can be pushed to the</w:t>
      </w:r>
      <w:r>
        <w:t xml:space="preserve"> </w:t>
      </w:r>
      <w:r>
        <w:rPr>
          <w:rStyle w:val="VerbatimChar"/>
        </w:rPr>
        <w:t xml:space="preserve">2026 DWS6</w:t>
      </w:r>
      <w:r>
        <w:t xml:space="preserve"> </w:t>
      </w:r>
      <w:r>
        <w:t xml:space="preserve">Drive folder.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HIC decision-shaped question:</w:t>
      </w:r>
      <w:r>
        <w:t xml:space="preserve"> </w:t>
      </w:r>
      <w:r>
        <w:t xml:space="preserve">see chat, end of session.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Calendar:</w:t>
      </w:r>
      <w:r>
        <w:t xml:space="preserve"> </w:t>
      </w:r>
      <w:r>
        <w:t xml:space="preserve">no new dated commitment was created this session (the KYA-S1 04.11.2026 comment-window close and the 07.08.2026 Shai-Hulud freeze review were already calendared in prior sessions). Nothing new to calendar.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2026-08-06T03:37:02Z</dcterms:created>
  <dcterms:modified xsi:type="dcterms:W3CDTF">2026-08-06T03:37:02Z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