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40" w:name="version-and-agent-history"/>
    <w:p>
      <w:pPr>
        <w:pStyle w:val="Heading1"/>
      </w:pPr>
      <w:r>
        <w:t xml:space="preserve">VERSION AND AGENT HISTORY</w:t>
      </w:r>
    </w:p>
    <w:p>
      <w:pPr>
        <w:pStyle w:val="FirstParagraph"/>
      </w:pPr>
      <w:r>
        <w:t xml:space="preserve">Version: 4.04</w:t>
      </w:r>
      <w:r>
        <w:t xml:space="preserve"> </w:t>
      </w:r>
      <w:r>
        <w:t xml:space="preserve">Sessions &amp; Modifications:</w:t>
      </w:r>
    </w:p>
    <w:p>
      <w:pPr>
        <w:numPr>
          <w:ilvl w:val="0"/>
          <w:numId w:val="1001"/>
        </w:numPr>
      </w:pPr>
      <w:r>
        <w:t xml:space="preserve">Version: 4.04 | Tool: Claude Code (Sonnet 5) | Session: claude/math-academia-verification-96jpbf | Date: 18.08.2026 | Changes:</w:t>
      </w:r>
      <w:r>
        <w:t xml:space="preserve"> </w:t>
      </w:r>
      <w:r>
        <w:rPr>
          <w:bCs/>
          <w:b/>
        </w:rPr>
        <w:t xml:space="preserve">Renumbered from 4.02→4.04 on merge (22.08.2026)</w:t>
      </w:r>
      <w:r>
        <w:t xml:space="preserve"> </w:t>
      </w:r>
      <w:r>
        <w:t xml:space="preserve">— collided with main’s independently-landed 4.01 (Lifetime Studios lockstep entry) → 4.02 (SES supersession lockstep entry), both already merged to main; content unchanged, only the version numbers and lockstep arrows below were corrected. Added §14.51.4 (External Verification) and extended Key Contribution #56, per HIC instruction to study</w:t>
      </w:r>
      <w:r>
        <w:t xml:space="preserve"> </w:t>
      </w:r>
      <w:r>
        <w:rPr>
          <w:rStyle w:val="VerbatimChar"/>
        </w:rPr>
        <w:t xml:space="preserve">pramaanalabs.ai</w:t>
      </w:r>
      <w:r>
        <w:t xml:space="preserve">. Direct fetch blocked by session egress policy; WebSearch corroborated the company from third-party sources instead — $27M seed (Khosla Ventures lead; Accel, BoldCap, Nexus Venture Partners, Premji Invest, Unbound), CEO Ranjan Rajagopalan, hybrid LLM+Lean verification architecture, target verticals law/drug discovery/tax, partners incl. former IRS Commissioner Danny Werfel and IIT Delhi/IIT Madras/UC Berkeley faculty — upgrading</w:t>
      </w:r>
      <w:r>
        <w:t xml:space="preserve"> </w:t>
      </w:r>
      <w:r>
        <w:t xml:space="preserve">“</w:t>
      </w:r>
      <w:r>
        <w:t xml:space="preserve">Pramaana Labs’ identity/backing</w:t>
      </w:r>
      <w:r>
        <w:t xml:space="preserve">”</w:t>
      </w:r>
      <w:r>
        <w:t xml:space="preserve"> </w:t>
      </w:r>
      <w:r>
        <w:t xml:space="preserve">from unverified to third-party-corroborated. Gajjala independently confirmed as a credentialed researcher (PhD IISc 2025, postdoc NYU Abu Dhabi CQTS) via faculty page/dblp/Scholar/OpenReview; his specific move to Pramaana Labs remains self-reported, third-party confirmation pending. Added the site’s own four-pillar framing and its citation of RuleArena (ACL 2025, arXiv:2412.08972) as new, independently-verified peer-reviewed evidence for the same generation/verification split, in a domain (rule-guided regulatory reasoning) closer to DWS’s product surface than pure mathematics. Companion: field note Verification update section. Lockstep 4.03-&gt;4.04.</w:t>
      </w:r>
    </w:p>
    <w:p>
      <w:pPr>
        <w:numPr>
          <w:ilvl w:val="0"/>
          <w:numId w:val="1001"/>
        </w:numPr>
      </w:pPr>
      <w:r>
        <w:t xml:space="preserve">Version: 4.03 | Tool: Claude Code (Sonnet 5) | Session: claude/math-academia-verification-96jpbf | Date: 18.08.2026 | Changes:</w:t>
      </w:r>
      <w:r>
        <w:t xml:space="preserve"> </w:t>
      </w:r>
      <w:r>
        <w:rPr>
          <w:bCs/>
          <w:b/>
        </w:rPr>
        <w:t xml:space="preserve">Renumbered from 4.01→4.03 on merge (22.08.2026)</w:t>
      </w:r>
      <w:r>
        <w:t xml:space="preserve"> </w:t>
      </w:r>
      <w:r>
        <w:t xml:space="preserve">— same collision as above; content unchanged. Added §14.51 (The Intelligence/Trust Decoupling: A Mathematician’s Exit from Academia as External Confirmation of the KYA Verification Thesis) and Key Contribution #56. Market/scientific-signal framing per the §1.4 scope rule. Signal: Rishikesh Gajjala’s 2026-08-18 first-person account of leaving math academia for Pramaana Labs (Lean formal verification of LLM-discovered proofs), reasoning that intelligence is becoming abundant while trust is not. Read as independent, non-DWS-adjacent corroboration of the KYA trust-layer thesis (§14.24, §14.42, §14.46), not as a DWS claim in its own right; specific facts about Pramaana Labs and the named Erdős problems are flagged unverified. No master’s-thesis content added — no DWS implementation exists against this signal yet. Companion:</w:t>
      </w:r>
      <w:r>
        <w:t xml:space="preserve"> </w:t>
      </w:r>
      <w:r>
        <w:rPr>
          <w:rStyle w:val="VerbatimChar"/>
        </w:rPr>
        <w:t xml:space="preserve">docs/field-notes/2026-08-18-gajjala-math-academia-verification-signal.md</w:t>
      </w:r>
      <w:r>
        <w:t xml:space="preserve">. Lockstep 4.02-&gt;4.03.</w:t>
      </w:r>
    </w:p>
    <w:p>
      <w:pPr>
        <w:numPr>
          <w:ilvl w:val="0"/>
          <w:numId w:val="1001"/>
        </w:numPr>
      </w:pPr>
      <w:r>
        <w:t xml:space="preserve">Version: 4.02 | Tool: OpenCode (x-preview-f-free) | Session: pr-1867 admin-docs audit | Date: 22.08.2026 | Changes: Lockstep-korotus 4.01 -&gt; 4.02 kaikissa 4 opinnäytetiedostossa. Sisällöllinen muutos on lisäysluontoinen säännön 12 päivitysmerkintä V3Thesis EN/FI tuotantoagenttien johdantoon (Resend-kuljetus korvattu Amazon SES SMTP:llä, LD-2026-008); ei tohtoritason sisältömuutoksia.</w:t>
      </w:r>
    </w:p>
    <w:p>
      <w:pPr>
        <w:numPr>
          <w:ilvl w:val="0"/>
          <w:numId w:val="1001"/>
        </w:numPr>
      </w:pPr>
      <w:r>
        <w:t xml:space="preserve">Version: 4.01 | Tool: OpenCode | Session: opencode/lifetime-studios | Date: 21.08.2026 | Changes: Lockstep version bump 4.00 -&gt; 4.01 across all 4 thesis files per the CLAUDE.md thesis rule. The v4.01 substantive content (Lifetime Studios production engine — 25 × 5 content matrix, Business Case cards, cross-industry learning, 800 flagship stories localized to five languages, Outokumpu-model journalistic ground rules, self-reinforcing ontology/graph/LWM product model) is implementation-side content and per the §1.4 master-vs-PhD scope rule lives in V3Thesis §10.31 (both EN and FI). No PhD-scope content change; recorded here as a lockstep-only entry. Companion: docs/LIFETIME_STUDIOS_ADMIN.md.</w:t>
      </w:r>
    </w:p>
    <w:p>
      <w:pPr>
        <w:numPr>
          <w:ilvl w:val="0"/>
          <w:numId w:val="1001"/>
        </w:numPr>
      </w:pPr>
      <w:r>
        <w:t xml:space="preserve">Version: 4.00 | Tool: GitHub Copilot CLI | Session: fix/dgx-opencode-mcp | Date: 13.08.2026 | Changes: Added §14.50 (Harness/model separation, sovereign local orchestration, and negative MCP capability) and Key Contribution #55. Scientific framing per the §1.4 scope rule; implementation counterpart is V3Thesis §10.30, added in the same lockstep. Lockstep 3.99-&gt;4.00.</w:t>
      </w:r>
    </w:p>
    <w:p>
      <w:pPr>
        <w:numPr>
          <w:ilvl w:val="0"/>
          <w:numId w:val="1001"/>
        </w:numPr>
      </w:pPr>
      <w:r>
        <w:t xml:space="preserve">Version: 3.99 | Tool: Claude Code | Session: claude/kya-audit-update | Date: 10.08.2026 | Changes: Added §14.49 (KYA Governance, Autonomy Phasing, and Evidence Drift) and Key Contribution #54. Market-signal/scientific framing per the §1.4 scope rule. Signal: KYA audit on 10.08.2026. Finding 1 identifies the restriction of proactive advisor-phase nudges to a vetted subset (compliance, customer-sat, sitesense) as a necessary governance constraint for enterprise AI adoption, leaving others in silent_pilot. Finding 2 clarifies that performance metrics like latency serve as observability telemetry rather than direct inputs to trust scoring (ATS) to ensure scoring stability. Finding 3 highlights the epistemological separation of implemented system state (69 live registered agents) from conceptual market claims (88 capabilities/roles) as a required anti-drift measure. Companion: V3Thesis §10.29, added in the same lockstep. Lockstep 3.98-&gt;3.99.</w:t>
      </w:r>
    </w:p>
    <w:p>
      <w:pPr>
        <w:numPr>
          <w:ilvl w:val="0"/>
          <w:numId w:val="1001"/>
        </w:numPr>
      </w:pPr>
      <w:r>
        <w:t xml:space="preserve">Version: 3.98 | Tool: Claude Code (Sonnet 5) | Session: claude/arvonluonnin-ajurit-research-hpiipo | Date: 06.08.2026 | Changes: Added §14.48 (The Text-Provenance Extension: Machine Translation as a Second Obligation-Capability Instance) and Key Contribution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CORRECTION to §14.45 (external review, Boardy). The prior text asserted that marginal token cost approaches EUR 0 on owned hardware. That is not literally true and would not survive investor or technical scrutiny: electricity, capacity amortisation, maintenance, model serving and bottlenecks all remain. Every such assertion in Act III, the Finding 2 substrate table and the Finding 5 economics row is replaced with the defensible formulation - the EXTERNAL per-token bill disappears and residual cost becomes bounded and largely fixed, i.e. an unpredictable variable charge is replaced by a predictable dimensioned one, NOT by zero. The canonical customer/investor sentence is stated verbatim in Finding 5 so it can be quoted without drift: DWS IQ 6 replaces unpredictable per-token API exposure with bounded, sovereign compute economics for known industrial workloads; deep harness workflows become commercially viable because concurrency and context depth can be dimensioned below the hardware throughput knee. Finding 2’s measurement spec extended: the depth sweep must report six quantities per operating point - tokens/task, latency, concurrent jobs, GPU memory occupancy, queue time, and EUR per audit-ready output - the last being what converts a systems benchmark into a commercial claim. Until those six exist for DWS hardware the 250k-340k depth argument is labelled an architectural hypothesis, not an investor claim. Lockstep 3.93-&gt;3.94.</w:t>
      </w:r>
    </w:p>
    <w:p>
      <w:pPr>
        <w:numPr>
          <w:ilvl w:val="0"/>
          <w:numId w:val="1001"/>
        </w:numPr>
      </w:pPr>
      <w:r>
        <w:t xml:space="preserve">Version: 3.93 | Tool: Claude Code | Session: claude/enterprise-ai-harness-0anl7s | Date: 30.07.2026 | Changes: Added §14.45 Finding 5 (the DWS application) and extended Key Contribution #50 accordingly. States the two operational profiles that select compute substrates structurally rather than by preference (unbounded-concurrency shallow-context consumer SaaS -&gt; metered APIs; bounded-concurrency deep-context sovereign industrial fleets -&gt; owned silicon, GN-100 / DGX Spark tier, §14.35), and establishes that the fixed-hardware throughput knee is DIMENSIONABLE rather than absent because fleet concurrency is a deployment parameter, not a function of public demand. Two qualifications added to the HIC-supplied argument so it survives examination: (a) metered vendors CAN reprice - provisioned-throughput and reserved-capacity offerings already do - so compute economics alone is not durable and the defensible claim is compute economics PLUS jurisdiction (a capacity contract answers the bill, not where evidence lives or who can compel it, §14.26/§14.31); (b) the knee is avoidable, not nonexistent - dimensioning left of it requires knowing where it is, which is the unrun measurement of Finding 2, so this is a design discipline awaiting its empirical constant. Resolves the positioning question: harness ownership alone remains table stakes (Finding 4), the COUPLING is the moat. Lockstep 3.92-&gt;3.93.</w:t>
      </w:r>
    </w:p>
    <w:p>
      <w:pPr>
        <w:numPr>
          <w:ilvl w:val="0"/>
          <w:numId w:val="1001"/>
        </w:numPr>
      </w:pPr>
      <w:r>
        <w:t xml:space="preserve">Version: 3.92 | Tool: Claude Code | Session: claude/enterprise-ai-harness-0anl7s | Date: 30.07.2026 | Changes: Added §14.45 (The Harness Paywall and the Depth Arbitrage) and Key Contribution #50. Market-signal/scientific framing per the §1.4 scope rule: a thesis-antithesis-synthesis account chaining three verified July 2026 signals - Nadella’s harness/model separation on the MSFT FY26 Q4 call (29.07.2026, quotes CONFIRMED), the Composio 3-harness benchmark (up to 30x token spread at fixed model and task set; VENDOR-RUN, declared), and hybrid-attention long-context local inference (Nemotron-Cascade-2-30B-A3B, 1M context, CONFIRMED; the 250K-depth throughput curve is a single unreproduced operator report). Finding 2 states the boundary condition as a cost-type transformation (variable financial cost -&gt; concurrency/queueing ceiling), derives the sovereign-industrial operating profile from the region of validity, and defines the fixed-hardware knee by two measurable transitions (KV-cache bandwidth vs interactive throughput; memory-bound generation vs batching-induced queueing) - making the depth measurement load-bearing rather than confirmatory. Finding 3 carries the evidential asymmetry across the three acts explicitly. Dialectical framing authored by Google Gemini, adopted on HIC instruction 30.07.2026 and attributed in-section per §14.24. Companions: docs/field-notes/2026-07-30-{nadella-harness-model-swappability-signal,composio-harness-token-efficiency-benchmark,hybrid-attention-long-context-local-inference}.md. Lockstep 3.91-&gt;3.92.</w:t>
      </w:r>
    </w:p>
    <w:p>
      <w:pPr>
        <w:numPr>
          <w:ilvl w:val="0"/>
          <w:numId w:val="1001"/>
        </w:numPr>
      </w:pPr>
      <w:r>
        <w:t xml:space="preserve">Version: 3.91 | Tool: Claude Code | Session: claude/ollama-orchestration-merge-047pj7 | Date: 26.07.2026 | Changes: Added a Mitigation paragraph to §14.44 Finding 3 (the NVIDIA supply-concentration risk): names a non-NVIDIA fallback compute layer runnable at testbed scale (AMD Instinct MI300 via ROCm/vLLM; Intel Gaudi 3 via SynapseAI) — the open base weights make the exit cost demonstrable, converting single-vendor lock-in into a governed, auditable managed dependency (a KYA/model-provenance predicate, §14.24). Records the IJS sovereignty scale (DGX on-prem 100 / NIM EU 55) and the honest caveat that the portable fallback is strongest for the LLM tier while Cosmos’s NVFP4 path is a re-quantise-and-port exercise. Lockstep 3.90→3.91.</w:t>
      </w:r>
    </w:p>
    <w:p>
      <w:pPr>
        <w:numPr>
          <w:ilvl w:val="0"/>
          <w:numId w:val="1001"/>
        </w:numPr>
      </w:pPr>
      <w:r>
        <w:t xml:space="preserve">Version: 3.90 | Tool: Claude Code | Session: claude/ollama-orchestration-merge-047pj7 | Date: 26.07.2026 | Changes: §14.44 specs VERIFIED against primary sources 26.07.2026 (Cosmos 3 Edge 4B + 2B Nemotron reasoner, DGX-Spark-native, launched 15.07.2026 Tokyo, edge tier of the Cosmos 3 family alongside 16B Nano / 64B Super; DeepSeek-V4-Pro 1.6T total / 49B active MoE on NVIDIA NIM). Upgraded the §14.44 caveat from unverified to verified with sources and added the family-tier + physical-AI-scope refinement (Cosmos 3 Edge fits the physical/fleet/Control-Room side, §14.35, not a general compliance-LLM swap). Sources: MarkTechPost / NVIDIA AI / AI Weekly / NVIDIA developer blog / build.nvidia.com. Lockstep 3.89→3.90.</w:t>
      </w:r>
    </w:p>
    <w:p>
      <w:pPr>
        <w:numPr>
          <w:ilvl w:val="0"/>
          <w:numId w:val="1001"/>
        </w:numPr>
      </w:pPr>
      <w:r>
        <w:t xml:space="preserve">Version: 3.89 | Tool: Claude Code | Session: claude/ollama-orchestration-merge-047pj7 | Date: 26.07.2026 | Changes: Added §14.44 (The On-Device World-Model Inflection: NVIDIA Cosmos 3 Edge and the Build→Adopt Reframe of the LWM) and Key Contribution #49. Market-signal / scientific framing per the §1.4 master-vs-PhD scope rule: NVIDIA’s reported Cosmos 3 Edge (open on-device world model, ~4B + ~2B Nemotron reasoner, DGX-Spark-native), the Nemotron family, DeepSeek-V4-Pro on NVIDIA NIM, and G4 Blackwell VMs converge to retire the from-scratch ~55B LWM plan (Appendix-E verification) in favour of adopt-an-open-edge-world-model-and-own-the-loop; defensibility migrates to the sovereign first-person corpus + private evals + KYA/Article-12 governance (composes §14.24/§14.25/§14.26/§14.31/§14.35); sharpens the data-sovereign vs supply-concentrated tension (a single US vendor at compute AND model layers; non-EU-origin open models gated). Specs recorded as EXTERNAL, UNVERIFIED (user-reported NVIDIA announcements, July 2026) — verify against primary source before propagation. Companion: docs/field-notes/2026-07-26-cosmos-3-edge-lwm-build-adopt-inflection.md; DGX eval: docs/pr-cleanup/next-prompts/DGX-cosmos3-edge-lwm-eval-v2.md. Lockstep 3.88→3.89 across all 4 thesis files; V3Thesis files receive a lockstep-only entry. Learn/ HTML regen PENDING.</w:t>
      </w:r>
    </w:p>
    <w:p>
      <w:pPr>
        <w:numPr>
          <w:ilvl w:val="0"/>
          <w:numId w:val="1001"/>
        </w:numPr>
      </w:pPr>
      <w:r>
        <w:t xml:space="preserve">Version: 3.88 | Tool: Claude Code | Session: claude/ollama-orchestration-merge-047pj7 | Date: 26.07.2026 | Changes: Lockstep version bump 3.87 → 3.88 across all 4 thesis files per the CLAUDE.md Thesis Rule. No content change in this PhD file: the v3.88 addition is implementation/hardware evidence (LWM training-hardware reality — the GN-100 is an edge inference/development node not a training cluster; the separate on-prem</w:t>
      </w:r>
      <w:r>
        <w:t xml:space="preserve"> </w:t>
      </w:r>
      <w:r>
        <w:t xml:space="preserve">“</w:t>
      </w:r>
      <w:r>
        <w:t xml:space="preserve">Acer Node</w:t>
      </w:r>
      <w:r>
        <w:t xml:space="preserve">”</w:t>
      </w:r>
      <w:r>
        <w:t xml:space="preserve"> </w:t>
      </w:r>
      <w:r>
        <w:t xml:space="preserve">training is Pending Hardware per the PR #1720 verification; cloud GCP A3 Mega is the full-training route; realistic pipeline = cloud pretrain/fine-tune → NVFP4 → GN-100 inference) and per the §1.4 master-vs-PhD scope rule lives in the master’s thesis V3Thesis Appendix E. Companion: docs/lab-notes/2026-07-26-lwm-training-hardware-reality.md.</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t xml:space="preserve"> </w:t>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p>
      <w:pPr>
        <w:pStyle w:val="BlockText"/>
      </w:pPr>
      <w:r>
        <w:rPr>
          <w:bCs/>
          <w:b/>
        </w:rPr>
        <w:t xml:space="preserve">Update (22.08.2026):</w:t>
      </w:r>
      <w:r>
        <w:t xml:space="preserve"> </w:t>
      </w:r>
      <w:r>
        <w:t xml:space="preserve">Email delivery has since been migrated from Resend to Amazon SES (SMTP) following the 2026-03-26 incident that permanently banned Resend (</w:t>
      </w:r>
      <w:r>
        <w:rPr>
          <w:rStyle w:val="VerbatimChar"/>
        </w:rPr>
        <w:t xml:space="preserve">docs/LOCKED_DECISIONS.md</w:t>
      </w:r>
      <w:r>
        <w:t xml:space="preserve"> </w:t>
      </w:r>
      <w:r>
        <w:t xml:space="preserve">LD-2026-008); agent logic is unchanged.</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a generic skill inventory</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 since superseded by the 4P Capital Classes (§14.26) —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 spend — that is an operating cost.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since superseded by the 4P Capital Classes (§14.26),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 since superseded by the 4P Capital Classes (§14.26) —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39"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covered EU-regulated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678"/>
        <w:gridCol w:w="930"/>
        <w:gridCol w:w="176"/>
        <w:gridCol w:w="6134"/>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bookmarkEnd w:id="327"/>
    <w:bookmarkStart w:id="328" w:name="X26c69d5430abf6bdde76cee4df4afd35edf4374"/>
    <w:p>
      <w:pPr>
        <w:pStyle w:val="Heading3"/>
      </w:pPr>
      <w:r>
        <w:t xml:space="preserve">14.44 The On-Device World-Model Inflection: NVIDIA Cosmos 3 Edge and the Build→Adopt Reframe of the Lifetime World Model</w:t>
      </w:r>
    </w:p>
    <w:p>
      <w:pPr>
        <w:pStyle w:val="FirstParagraph"/>
      </w:pPr>
      <w:r>
        <w:rPr>
          <w:bCs/>
          <w:b/>
        </w:rPr>
        <w:t xml:space="preserve">Signal (external, user-reported NVIDIA developer announcements, July 2026 — specifications VERIFIED against primary sources on 2026-07-26 (sources in the companion field note); Cosmos 3 Edge is the</w:t>
      </w:r>
      <w:r>
        <w:rPr>
          <w:bCs/>
          <w:b/>
        </w:rPr>
        <w:t xml:space="preserve"> </w:t>
      </w:r>
      <w:r>
        <w:t xml:space="preserve">edge tier** of the Cosmos 3 family (16B Nano / 64B Super, 31 May 2026) and a</w:t>
      </w:r>
      <w:r>
        <w:t xml:space="preserve"> </w:t>
      </w:r>
      <w:r>
        <w:rPr>
          <w:bCs/>
          <w:b/>
        </w:rPr>
        <w:t xml:space="preserve">physical-AI</w:t>
      </w:r>
      <w:r>
        <w:t xml:space="preserve"> </w:t>
      </w:r>
      <w:r>
        <w:t xml:space="preserve">world model (robot perception→action, 15 Hz), fitting the DWS physical/fleet/Control-Room side (§14.35)).** NVIDIA introduced</w:t>
      </w:r>
      <w:r>
        <w:t xml:space="preserve"> </w:t>
      </w:r>
      <w:r>
        <w:rPr>
          <w:bCs/>
          <w:b/>
        </w:rPr>
        <w:t xml:space="preserve">Cosmos 3 Edge</w:t>
      </w:r>
      <w:r>
        <w:t xml:space="preserve">, an open frontier</w:t>
      </w:r>
      <w:r>
        <w:t xml:space="preserve"> </w:t>
      </w:r>
      <w:r>
        <w:rPr>
          <w:iCs/>
          <w:i/>
        </w:rPr>
        <w:t xml:space="preserve">world model</w:t>
      </w:r>
      <w:r>
        <w:t xml:space="preserve"> </w:t>
      </w:r>
      <w:r>
        <w:t xml:space="preserve">built to run on-device: reportedly ~4B parameters plus a ~2B Nemotron-based reasoner, targeting robots (learning and acting), autonomous vehicles (scene understanding and intent prediction) and vision agents reasoning across live video, and stated to run on</w:t>
      </w:r>
      <w:r>
        <w:t xml:space="preserve"> </w:t>
      </w:r>
      <w:r>
        <w:rPr>
          <w:bCs/>
          <w:b/>
        </w:rPr>
        <w:t xml:space="preserve">DGX Spark</w:t>
      </w:r>
      <w:r>
        <w:t xml:space="preserve"> </w:t>
      </w:r>
      <w:r>
        <w:t xml:space="preserve">and NVIDIA Jetson. In the same window: the</w:t>
      </w:r>
      <w:r>
        <w:t xml:space="preserve"> </w:t>
      </w:r>
      <w:r>
        <w:rPr>
          <w:bCs/>
          <w:b/>
        </w:rPr>
        <w:t xml:space="preserve">Nemotron</w:t>
      </w:r>
      <w:r>
        <w:t xml:space="preserve"> </w:t>
      </w:r>
      <w:r>
        <w:t xml:space="preserve">open-model family (the reasoner’s base);</w:t>
      </w:r>
      <w:r>
        <w:t xml:space="preserve"> </w:t>
      </w:r>
      <w:r>
        <w:rPr>
          <w:bCs/>
          <w:b/>
        </w:rPr>
        <w:t xml:space="preserve">DeepSeek-V4-Pro</w:t>
      </w:r>
      <w:r>
        <w:t xml:space="preserve"> </w:t>
      </w:r>
      <w:r>
        <w:t xml:space="preserve">(reported ~1.6T parameters) served free on Blackwell via the</w:t>
      </w:r>
      <w:r>
        <w:t xml:space="preserve"> </w:t>
      </w:r>
      <w:r>
        <w:rPr>
          <w:bCs/>
          <w:b/>
        </w:rPr>
        <w:t xml:space="preserve">NVIDIA NIM API</w:t>
      </w:r>
      <w:r>
        <w:t xml:space="preserve"> </w:t>
      </w:r>
      <w:r>
        <w:t xml:space="preserve">(build.nvidia.com); and Google Cloud</w:t>
      </w:r>
      <w:r>
        <w:t xml:space="preserve"> </w:t>
      </w:r>
      <w:r>
        <w:rPr>
          <w:bCs/>
          <w:b/>
        </w:rPr>
        <w:t xml:space="preserve">G4 VMs</w:t>
      </w:r>
      <w:r>
        <w:t xml:space="preserve"> </w:t>
      </w:r>
      <w:r>
        <w:t xml:space="preserve">with RTX PRO 6000 Blackwell GPUs as a rentable training surface.</w:t>
      </w:r>
    </w:p>
    <w:p>
      <w:pPr>
        <w:pStyle w:val="BodyText"/>
      </w:pPr>
      <w:r>
        <w:rPr>
          <w:bCs/>
          <w:b/>
        </w:rPr>
        <w:t xml:space="preserve">Finding 1 — this is the adopt-target the Appendix-E / §14.35 LWM plan was missing.</w:t>
      </w:r>
      <w:r>
        <w:t xml:space="preserve"> </w:t>
      </w:r>
      <w:r>
        <w:t xml:space="preserve">The master’s-thesis Appendix-E verification established that the ~55B LWM cannot be pretrained on the GN-100 (128 GB unified is an inference budget, not a training one) and that on-prem full training remained</w:t>
      </w:r>
      <w:r>
        <w:t xml:space="preserve"> </w:t>
      </w:r>
      <w:r>
        <w:rPr>
          <w:iCs/>
          <w:i/>
        </w:rPr>
        <w:t xml:space="preserve">Pending Hardware</w:t>
      </w:r>
      <w:r>
        <w:t xml:space="preserve">. Cosmos 3 Edge inverts the build-vs-adopt calculus: a ~6B open world model purpose-built for the exact hardware DWS runs removes the need to pretrain a sovereign world model from scratch. The Lifetime World Model is thereby reframed from</w:t>
      </w:r>
      <w:r>
        <w:t xml:space="preserve"> </w:t>
      </w:r>
      <w:r>
        <w:rPr>
          <w:iCs/>
          <w:i/>
        </w:rPr>
        <w:t xml:space="preserve">train a 55B</w:t>
      </w:r>
      <w:r>
        <w:t xml:space="preserve"> </w:t>
      </w:r>
      <w:r>
        <w:t xml:space="preserve">to</w:t>
      </w:r>
      <w:r>
        <w:t xml:space="preserve"> </w:t>
      </w:r>
      <w:r>
        <w:rPr>
          <w:bCs/>
          <w:b/>
        </w:rPr>
        <w:t xml:space="preserve">adopt an open edge world model and own the loop on top of it.</w:t>
      </w:r>
    </w:p>
    <w:p>
      <w:pPr>
        <w:pStyle w:val="BodyText"/>
      </w:pPr>
      <w:r>
        <w:rPr>
          <w:bCs/>
          <w:b/>
        </w:rPr>
        <w:t xml:space="preserve">Finding 2 — the moat migrates to the owned loop (composes with §14.25, §14.26).</w:t>
      </w:r>
      <w:r>
        <w:t xml:space="preserve"> </w:t>
      </w:r>
      <w:r>
        <w:t xml:space="preserve">With an open base commoditised, the defensible asset is not the base but the DWS-specific layer: adaptation on a sovereign, consent-governed first-person operational corpus (§14.35), private evals, an RL environment, KYA governance (ASB/EAB/CSB/SIB) and Article-12 evidence. Perception Capital accrues to the operator of the loop, not the publisher of the weights.</w:t>
      </w:r>
    </w:p>
    <w:p>
      <w:pPr>
        <w:pStyle w:val="BodyText"/>
      </w:pPr>
      <w:r>
        <w:rPr>
          <w:bCs/>
          <w:b/>
        </w:rPr>
        <w:t xml:space="preserve">Finding 3 — the sovereignty-of-supply tension sharpens (composes with §14.31, §14.23).</w:t>
      </w:r>
      <w:r>
        <w:t xml:space="preserve"> </w:t>
      </w:r>
      <w:r>
        <w:t xml:space="preserve">Adopting Cosmos/Nemotron preserves</w:t>
      </w:r>
      <w:r>
        <w:t xml:space="preserve"> </w:t>
      </w:r>
      <w:r>
        <w:rPr>
          <w:iCs/>
          <w:i/>
        </w:rPr>
        <w:t xml:space="preserve">data</w:t>
      </w:r>
      <w:r>
        <w:t xml:space="preserve"> </w:t>
      </w:r>
      <w:r>
        <w:t xml:space="preserve">sovereignty (open weights, on-prem, EU-resident) while concentrating</w:t>
      </w:r>
      <w:r>
        <w:t xml:space="preserve"> </w:t>
      </w:r>
      <w:r>
        <w:rPr>
          <w:iCs/>
          <w:i/>
        </w:rPr>
        <w:t xml:space="preserve">supply</w:t>
      </w:r>
      <w:r>
        <w:t xml:space="preserve"> </w:t>
      </w:r>
      <w:r>
        <w:t xml:space="preserve">sovereignty on a single US vendor at both the compute AND the model layer — the exposure §14.31 named at the compute end, now extended to the model end. DeepSeek-V4-Pro via NIM adds a model-origin flag (non-EU-origin weights) a sovereign deployment must gate: usable for non-sensitive R&amp;D and benchmarking, excluded from the sovereign customer-data core. This does not defeat the operating model; it names the boundary the model-provenance predicate (§14.24) must attest.</w:t>
      </w:r>
    </w:p>
    <w:p>
      <w:pPr>
        <w:pStyle w:val="BodyText"/>
      </w:pPr>
      <w:r>
        <w:rPr>
          <w:bCs/>
          <w:b/>
        </w:rPr>
        <w:t xml:space="preserve">Mitigation — managed dependency, not lock-in.</w:t>
      </w:r>
      <w:r>
        <w:t xml:space="preserve"> </w:t>
      </w:r>
      <w:r>
        <w:t xml:space="preserve">The concentration is bounded rather than absolute because the base weights are</w:t>
      </w:r>
      <w:r>
        <w:t xml:space="preserve"> </w:t>
      </w:r>
      <w:r>
        <w:rPr>
          <w:bCs/>
          <w:b/>
        </w:rPr>
        <w:t xml:space="preserve">open</w:t>
      </w:r>
      <w:r>
        <w:t xml:space="preserve">. On the IJS sovereignty scale (DGX on-prem = 100, NIM EU = 55 — both inside the NVIDIA stack), the exit cost is</w:t>
      </w:r>
      <w:r>
        <w:t xml:space="preserve"> </w:t>
      </w:r>
      <w:r>
        <w:rPr>
          <w:iCs/>
          <w:i/>
        </w:rPr>
        <w:t xml:space="preserve">demonstrated</w:t>
      </w:r>
      <w:r>
        <w:t xml:space="preserve">, not merely asserted, by keeping at least one open model and one workload runnable on a</w:t>
      </w:r>
      <w:r>
        <w:t xml:space="preserve"> </w:t>
      </w:r>
      <w:r>
        <w:rPr>
          <w:bCs/>
          <w:b/>
        </w:rPr>
        <w:t xml:space="preserve">non-NVIDIA accelerator at testbed scale</w:t>
      </w:r>
      <w:r>
        <w:t xml:space="preserve"> </w:t>
      </w:r>
      <w:r>
        <w:t xml:space="preserve">(AMD Instinct MI300 via ROCm/vLLM, or Intel Gaudi 3 via SynapseAI). The generic worker tier (qwen2.5 via Ollama/vLLM) is already fully portable; the honest caveat is that Cosmos 3 Edge’s NVFP4/TensorRT path is NVIDIA-optimised, so the portable fallback is strongest for the LLM/reasoning tier and is a re-quantise-and-port exercise for the physical world-model tier. Naming both the concentration and a maintained, exercised exit converts a single-vendor lock-in into a</w:t>
      </w:r>
      <w:r>
        <w:t xml:space="preserve"> </w:t>
      </w:r>
      <w:r>
        <w:rPr>
          <w:bCs/>
          <w:b/>
        </w:rPr>
        <w:t xml:space="preserve">governed managed dependency</w:t>
      </w:r>
      <w:r>
        <w:t xml:space="preserve"> </w:t>
      </w:r>
      <w:r>
        <w:t xml:space="preserve">— itself a KYA / model-provenance predicate (§14.24) an investor or customer can audit.</w:t>
      </w:r>
    </w:p>
    <w:p>
      <w:pPr>
        <w:pStyle w:val="BodyText"/>
      </w:pPr>
      <w:r>
        <w:rPr>
          <w:bCs/>
          <w:b/>
        </w:rPr>
        <w:t xml:space="preserve">Research contribution.</w:t>
      </w:r>
      <w:r>
        <w:t xml:space="preserve"> </w:t>
      </w:r>
      <w:r>
        <w:t xml:space="preserve">Names the on-device open world model as the event that converts the Lifetime World Model from a training programme into an adoption-plus-governance programme, and identifies the resulting migration of defensibility from base weights to the owned learning loop — with a sharpened data-versus-supply sovereignty decomposition that the four-track KYA suite and the model-provenance predicate must carry.</w:t>
      </w:r>
    </w:p>
    <w:p>
      <w:pPr>
        <w:pStyle w:val="BodyText"/>
      </w:pPr>
      <w:r>
        <w:rPr>
          <w:bCs/>
          <w:b/>
        </w:rPr>
        <w:t xml:space="preserve">Key Contribution #49.</w:t>
      </w:r>
      <w:r>
        <w:t xml:space="preserve"> </w:t>
      </w:r>
      <w:r>
        <w:t xml:space="preserve">The Build→Adopt inflection for sovereign world models: an open, edge-native world model (NVIDIA Cosmos 3 Edge, ~4B + ~2B Nemotron reasoner, DGX-Spark-native) retires the from-scratch 55B LWM plan in favour of adopt-plus-own-the-loop; defensibility migrates to the sovereign first-person corpus, private evals and KYA/Article-12 governance; the data-sovereign / supply-concentrated tension (NVIDIA at compute and model layers; non-EU-origin open models gated to non-sensitive use) is named as the boundary the model-provenance attestation must resolve.</w:t>
      </w:r>
    </w:p>
    <w:bookmarkEnd w:id="328"/>
    <w:bookmarkStart w:id="329" w:name="X1c34aad4de7db29e3c4a408819cea81bc20cdb7"/>
    <w:p>
      <w:pPr>
        <w:pStyle w:val="Heading3"/>
      </w:pPr>
      <w:r>
        <w:t xml:space="preserve">14.45 The Harness Paywall and the Depth Arbitrage: A Thesis–Antithesis–Synthesis Account of Why Agentic Software Migrates to Hybrid Compute</w:t>
      </w:r>
    </w:p>
    <w:p>
      <w:pPr>
        <w:pStyle w:val="FirstParagraph"/>
      </w:pPr>
      <w:r>
        <w:rPr>
          <w:bCs/>
          <w:b/>
        </w:rPr>
        <w:t xml:space="preserve">Provenance of the argument structure (stated, per §14.24 attribution discipline).</w:t>
      </w:r>
      <w:r>
        <w:t xml:space="preserve"> </w:t>
      </w:r>
      <w:r>
        <w:t xml:space="preserve">The three-act dialectical framing used in this section was authored by</w:t>
      </w:r>
      <w:r>
        <w:t xml:space="preserve"> </w:t>
      </w:r>
      <w:r>
        <w:rPr>
          <w:bCs/>
          <w:b/>
        </w:rPr>
        <w:t xml:space="preserve">Google Gemini</w:t>
      </w:r>
      <w:r>
        <w:t xml:space="preserve">, supplied to the HIC and adopted here on the HIC’s instruction (30.07.2026). The underlying signals, their verification, and the boundary condition in Finding 4 are DWS’s own. The framing is attributed rather than absorbed because an argument structure adopted from an external model is itself a provenance claim — the same standard this thesis applies to weights and data.</w:t>
      </w:r>
    </w:p>
    <w:p>
      <w:pPr>
        <w:pStyle w:val="BodyText"/>
      </w:pPr>
      <w:r>
        <w:rPr>
          <w:bCs/>
          <w:b/>
        </w:rPr>
        <w:t xml:space="preserve">Signal (three events, 08–30.07.2026; per-claim verification in the companion field notes).</w:t>
      </w:r>
      <w:r>
        <w:t xml:space="preserve"> </w:t>
      </w:r>
      <w:r>
        <w:t xml:space="preserve">Within twenty-two days, three independent parties stated three parts of one economic argument. Individually each is unremarkable. Chained, they describe a migration.</w:t>
      </w:r>
    </w:p>
    <w:p>
      <w:pPr>
        <w:pStyle w:val="BodyText"/>
      </w:pPr>
      <w:r>
        <w:rPr>
          <w:bCs/>
          <w:b/>
        </w:rPr>
        <w:t xml:space="preserve">Act I — Thesis: the architectural shift (Nadella, Microsoft FY26 Q4 earnings call, 29.07.2026; quotes CONFIRMED).</w:t>
      </w:r>
      <w:r>
        <w:t xml:space="preserve"> </w:t>
      </w:r>
      <w:r>
        <w:t xml:space="preserve">Answering an analyst question on enterprise adoption of open models, Microsoft’s CEO described an architecture rather than defending a lab relationship:</w:t>
      </w:r>
      <w:r>
        <w:t xml:space="preserve"> </w:t>
      </w:r>
      <w:r>
        <w:rPr>
          <w:iCs/>
          <w:i/>
        </w:rPr>
        <w:t xml:space="preserve">“</w:t>
      </w:r>
      <w:r>
        <w:rPr>
          <w:iCs/>
          <w:i/>
        </w:rPr>
        <w:t xml:space="preserve">You’ve got to keep your harness separate from the model. The harness will ensure that your memory, your context, all of that is external. That means any given model at any given time is swappable.</w:t>
      </w:r>
      <w:r>
        <w:rPr>
          <w:iCs/>
          <w:i/>
        </w:rPr>
        <w:t xml:space="preserve">”</w:t>
      </w:r>
      <w:r>
        <w:t xml:space="preserve"> </w:t>
      </w:r>
      <w:r>
        <w:t xml:space="preserve">The claim generalises the §14.44 finding from world models to software at large:</w:t>
      </w:r>
      <w:r>
        <w:t xml:space="preserve"> </w:t>
      </w:r>
      <w:r>
        <w:rPr>
          <w:bCs/>
          <w:b/>
        </w:rPr>
        <w:t xml:space="preserve">models are ephemeral, the harness is durable.</w:t>
      </w:r>
      <w:r>
        <w:t xml:space="preserve"> </w:t>
      </w:r>
      <w:r>
        <w:t xml:space="preserve">Value accrues not to weights replaced on a six-month cadence but to the scaffolding around them — context routing, tool invocation, memory management, state loops. The implication is directive: build for the harness. Precursor, 08.07.2026: J. Huang, in conversation with LangChain’s H. Chase, framed most companies as being built on harnesses (corroborated; wording as reported).</w:t>
      </w:r>
    </w:p>
    <w:p>
      <w:pPr>
        <w:pStyle w:val="BodyText"/>
      </w:pPr>
      <w:r>
        <w:rPr>
          <w:bCs/>
          <w:b/>
        </w:rPr>
        <w:t xml:space="preserve">Act II — Antithesis: the economic friction (Composio 3-harness benchmark, 29–30.07.2026; vendor-run — see Finding 3).</w:t>
      </w:r>
      <w:r>
        <w:t xml:space="preserve"> </w:t>
      </w:r>
      <w:r>
        <w:t xml:space="preserve">The same durable scaffolding is a token monster. Holding the model and the task set fixed (Kimi K3, 28 identical tasks) and varying only the harness produced a token spread of up to</w:t>
      </w:r>
      <w:r>
        <w:t xml:space="preserve"> </w:t>
      </w:r>
      <w:r>
        <w:rPr>
          <w:bCs/>
          <w:b/>
        </w:rPr>
        <w:t xml:space="preserve">30×</w:t>
      </w:r>
      <w:r>
        <w:t xml:space="preserve"> </w:t>
      </w:r>
      <w:r>
        <w:t xml:space="preserve">at comparable success rates — median 61k, 67k and</w:t>
      </w:r>
      <w:r>
        <w:t xml:space="preserve"> </w:t>
      </w:r>
      <w:r>
        <w:rPr>
          <w:bCs/>
          <w:b/>
        </w:rPr>
        <w:t xml:space="preserve">340k</w:t>
      </w:r>
      <w:r>
        <w:t xml:space="preserve"> </w:t>
      </w:r>
      <w:r>
        <w:t xml:space="preserve">tokens per task across three harnesses, or roughly</w:t>
      </w:r>
      <w:r>
        <w:t xml:space="preserve"> </w:t>
      </w:r>
      <w:r>
        <w:rPr>
          <w:bCs/>
          <w:b/>
        </w:rPr>
        <w:t xml:space="preserve">$0.22, $0.28 and $2.00</w:t>
      </w:r>
      <w:r>
        <w:t xml:space="preserve"> </w:t>
      </w:r>
      <w:r>
        <w:t xml:space="preserve">per task at a $3/M input rate. The conflict with Act I is direct and unresolved by either party:</w:t>
      </w:r>
      <w:r>
        <w:t xml:space="preserve"> </w:t>
      </w:r>
      <w:r>
        <w:rPr>
          <w:bCs/>
          <w:b/>
        </w:rPr>
        <w:t xml:space="preserve">if the harness is where software value lives, and the harness consumes 340k tokens per task, then under metered API pricing the durable layer is financially unviable at scale.</w:t>
      </w:r>
      <w:r>
        <w:t xml:space="preserve"> </w:t>
      </w:r>
      <w:r>
        <w:t xml:space="preserve">The architectural thesis runs into a paywall.</w:t>
      </w:r>
    </w:p>
    <w:p>
      <w:pPr>
        <w:pStyle w:val="BodyText"/>
      </w:pPr>
      <w:r>
        <w:rPr>
          <w:bCs/>
          <w:b/>
        </w:rPr>
        <w:t xml:space="preserve">Act III — Synthesis: the depth arbitrage.</w:t>
      </w:r>
      <w:r>
        <w:t xml:space="preserve"> </w:t>
      </w:r>
      <w:r>
        <w:t xml:space="preserve">The resolution is not a cheaper harness but a change in the cost</w:t>
      </w:r>
      <w:r>
        <w:t xml:space="preserve"> </w:t>
      </w:r>
      <w:r>
        <w:rPr>
          <w:iCs/>
          <w:i/>
        </w:rPr>
        <w:t xml:space="preserve">substrate</w:t>
      </w:r>
      <w:r>
        <w:t xml:space="preserve">. On a metered API, 340k tokens are an exponential</w:t>
      </w:r>
      <w:r>
        <w:t xml:space="preserve"> </w:t>
      </w:r>
      <w:r>
        <w:rPr>
          <w:bCs/>
          <w:b/>
        </w:rPr>
        <w:t xml:space="preserve">variable cost</w:t>
      </w:r>
      <w:r>
        <w:t xml:space="preserve"> </w:t>
      </w:r>
      <w:r>
        <w:t xml:space="preserve">— a bill that scales with exactly the behaviour Act I says to maximise. On fixed hardware running an architecture that sustains throughput at depth, the</w:t>
      </w:r>
      <w:r>
        <w:t xml:space="preserve"> </w:t>
      </w:r>
      <w:r>
        <w:rPr>
          <w:bCs/>
          <w:b/>
        </w:rPr>
        <w:t xml:space="preserve">external per-token bill disappears</w:t>
      </w:r>
      <w:r>
        <w:t xml:space="preserve"> </w:t>
      </w:r>
      <w:r>
        <w:t xml:space="preserve">and what remains is a bounded, largely fixed cost base — electricity, capacity amortisation, maintenance, model serving. The claim is emphatically</w:t>
      </w:r>
      <w:r>
        <w:t xml:space="preserve"> </w:t>
      </w:r>
      <w:r>
        <w:rPr>
          <w:iCs/>
          <w:i/>
        </w:rPr>
        <w:t xml:space="preserve">not</w:t>
      </w:r>
      <w:r>
        <w:t xml:space="preserve"> </w:t>
      </w:r>
      <w:r>
        <w:t xml:space="preserve">that marginal cost is zero: it is that an unpredictable variable charge is replaced by a</w:t>
      </w:r>
      <w:r>
        <w:t xml:space="preserve"> </w:t>
      </w:r>
      <w:r>
        <w:rPr>
          <w:bCs/>
          <w:b/>
        </w:rPr>
        <w:t xml:space="preserve">predictable, dimensioned one</w:t>
      </w:r>
      <w:r>
        <w:t xml:space="preserve">. The same 340k tokens therefore cease to be an</w:t>
      </w:r>
      <w:r>
        <w:t xml:space="preserve"> </w:t>
      </w:r>
      <w:r>
        <w:rPr>
          <w:iCs/>
          <w:i/>
        </w:rPr>
        <w:t xml:space="preserve">elastic financial exposure</w:t>
      </w:r>
      <w:r>
        <w:t xml:space="preserve"> </w:t>
      </w:r>
      <w:r>
        <w:t xml:space="preserve">and become an</w:t>
      </w:r>
      <w:r>
        <w:t xml:space="preserve"> </w:t>
      </w:r>
      <w:r>
        <w:rPr>
          <w:iCs/>
          <w:i/>
        </w:rPr>
        <w:t xml:space="preserve">allocation of execution time</w:t>
      </w:r>
      <w:r>
        <w:t xml:space="preserve"> </w:t>
      </w:r>
      <w:r>
        <w:t xml:space="preserve">against capacity already provisioned. Same quantity, opposite sign. The enabling conditions are architectural and are now met by open models: sub-quadratic attention (hybrid Mamba-2 / attention designs such as Nemotron-Cascade-2-30B-A3B — 30B MoE / ~3B active, 1M context, CONFIRMED) makes a large window economically usable, since a nominal window under N² attention diverges from the working window; and an inference engine that holds throughput as context accumulates converts the window from a specification into a capability.</w:t>
      </w:r>
    </w:p>
    <w:p>
      <w:pPr>
        <w:pStyle w:val="BodyText"/>
      </w:pPr>
      <w:r>
        <w:rPr>
          <w:bCs/>
          <w:b/>
        </w:rPr>
        <w:t xml:space="preserve">Finding 1 — the three acts are one argument and lose their force when separated.</w:t>
      </w:r>
      <w:r>
        <w:t xml:space="preserve"> </w:t>
      </w:r>
      <w:r>
        <w:t xml:space="preserve">Act I alone reads as enterprise-software strategy. Act II alone reads as a warning about bloat and API bill shock. Act III alone reads as a technical result about local inference throughput. Chained, they constitute a single economic thesis with a directional conclusion:</w:t>
      </w:r>
      <w:r>
        <w:t xml:space="preserve"> </w:t>
      </w:r>
      <w:r>
        <w:rPr>
          <w:bCs/>
          <w:b/>
        </w:rPr>
        <w:t xml:space="preserve">the harness is the durable layer (I), its token intensity is disqualifying under metered pricing (II), and the resolution is a migration toward hybrid and sovereign compute (III).</w:t>
      </w:r>
      <w:r>
        <w:t xml:space="preserve"> </w:t>
      </w:r>
      <w:r>
        <w:t xml:space="preserve">This is a claim about industry structure, not about a product.</w:t>
      </w:r>
    </w:p>
    <w:p>
      <w:pPr>
        <w:pStyle w:val="BodyText"/>
      </w:pPr>
      <w:r>
        <w:rPr>
          <w:bCs/>
          <w:b/>
        </w:rPr>
        <w:t xml:space="preserve">Finding 2 — the arbitrage is a cost-type transformation with a boundary condition, not a universal law.</w:t>
      </w:r>
      <w:r>
        <w:t xml:space="preserve"> </w:t>
      </w:r>
      <w:r>
        <w:t xml:space="preserve">The synthesis does not abolish cost; it changes the</w:t>
      </w:r>
      <w:r>
        <w:t xml:space="preserve"> </w:t>
      </w:r>
      <w:r>
        <w:rPr>
          <w:iCs/>
          <w:i/>
        </w:rPr>
        <w:t xml:space="preserve">kind</w:t>
      </w:r>
      <w:r>
        <w:t xml:space="preserve"> </w:t>
      </w:r>
      <w:r>
        <w:t xml:space="preserve">of cost, and the honest formulation names the physics rather than eliding it. Hardware has finite memory bandwidth and finite compute units, so</w:t>
      </w:r>
      <w:r>
        <w:t xml:space="preserve"> </w:t>
      </w:r>
      <w:r>
        <w:t xml:space="preserve">“</w:t>
      </w:r>
      <w:r>
        <w:t xml:space="preserve">hybrid attention makes depth free</w:t>
      </w:r>
      <w:r>
        <w:t xml:space="preserve">”</w:t>
      </w:r>
      <w:r>
        <w:t xml:space="preserve"> </w:t>
      </w:r>
      <w:r>
        <w:t xml:space="preserve">is false as stated. What is true is a transformation:</w:t>
      </w:r>
    </w:p>
    <w:tbl>
      <w:tblPr>
        <w:tblStyle w:val="Table"/>
        <w:tblW w:type="pct" w:w="5000"/>
        <w:tblLook w:firstRow="1" w:lastRow="0" w:firstColumn="0" w:lastColumn="0" w:noHBand="0" w:noVBand="0" w:val="0020"/>
        <w:jc w:val="start"/>
      </w:tblPr>
      <w:tblGrid>
        <w:gridCol w:w="783"/>
        <w:gridCol w:w="3973"/>
        <w:gridCol w:w="973"/>
        <w:gridCol w:w="2189"/>
      </w:tblGrid>
      <w:tr>
        <w:trPr>
          <w:tblHeader w:val="true"/>
        </w:trPr>
        <w:tc>
          <w:tcPr/>
          <w:p>
            <w:pPr>
              <w:pStyle w:val="Compact"/>
              <w:jc w:val="left"/>
            </w:pPr>
            <w:r>
              <w:t xml:space="preserve">Substrate</w:t>
            </w:r>
          </w:p>
        </w:tc>
        <w:tc>
          <w:tcPr/>
          <w:p>
            <w:pPr>
              <w:pStyle w:val="Compact"/>
              <w:jc w:val="left"/>
            </w:pPr>
            <w:r>
              <w:t xml:space="preserve">Financial behaviour</w:t>
            </w:r>
          </w:p>
        </w:tc>
        <w:tc>
          <w:tcPr/>
          <w:p>
            <w:pPr>
              <w:pStyle w:val="Compact"/>
              <w:jc w:val="left"/>
            </w:pPr>
            <w:r>
              <w:t xml:space="preserve">Concurrency behaviour</w:t>
            </w:r>
          </w:p>
        </w:tc>
        <w:tc>
          <w:tcPr/>
          <w:p>
            <w:pPr>
              <w:pStyle w:val="Compact"/>
              <w:jc w:val="left"/>
            </w:pPr>
            <w:r>
              <w:t xml:space="preserve">The trade</w:t>
            </w:r>
          </w:p>
        </w:tc>
      </w:tr>
      <w:tr>
        <w:tc>
          <w:tcPr/>
          <w:p>
            <w:pPr>
              <w:pStyle w:val="Compact"/>
              <w:jc w:val="left"/>
            </w:pPr>
            <w:r>
              <w:rPr>
                <w:bCs/>
                <w:b/>
              </w:rPr>
              <w:t xml:space="preserve">Metered cloud API</w:t>
            </w:r>
          </w:p>
        </w:tc>
        <w:tc>
          <w:tcPr/>
          <w:p>
            <w:pPr>
              <w:pStyle w:val="Compact"/>
              <w:jc w:val="left"/>
            </w:pPr>
            <w:r>
              <w:t xml:space="preserve">Linear financial elasticity — cost scales with tokens</w:t>
            </w:r>
          </w:p>
        </w:tc>
        <w:tc>
          <w:tcPr/>
          <w:p>
            <w:pPr>
              <w:pStyle w:val="Compact"/>
              <w:jc w:val="left"/>
            </w:pPr>
            <w:r>
              <w:t xml:space="preserve">Near-infinite horizontal concurrency</w:t>
            </w:r>
          </w:p>
        </w:tc>
        <w:tc>
          <w:tcPr/>
          <w:p>
            <w:pPr>
              <w:pStyle w:val="Compact"/>
              <w:jc w:val="left"/>
            </w:pPr>
            <w:r>
              <w:t xml:space="preserve">Capital traded for capacity</w:t>
            </w:r>
          </w:p>
        </w:tc>
      </w:tr>
      <w:tr>
        <w:tc>
          <w:tcPr/>
          <w:p>
            <w:pPr>
              <w:pStyle w:val="Compact"/>
              <w:jc w:val="left"/>
            </w:pPr>
            <w:r>
              <w:rPr>
                <w:bCs/>
                <w:b/>
              </w:rPr>
              <w:t xml:space="preserve">Sovereign / hybrid engine</w:t>
            </w:r>
          </w:p>
        </w:tc>
        <w:tc>
          <w:tcPr/>
          <w:p>
            <w:pPr>
              <w:pStyle w:val="Compact"/>
              <w:jc w:val="left"/>
            </w:pPr>
            <w:r>
              <w:t xml:space="preserve">No external per-token billing; residual cost is bounded and largely fixed (power, amortisation, maintenance, model serving) — predictable, not zero</w:t>
            </w:r>
          </w:p>
        </w:tc>
        <w:tc>
          <w:tcPr/>
          <w:p>
            <w:pPr>
              <w:pStyle w:val="Compact"/>
              <w:jc w:val="left"/>
            </w:pPr>
            <w:r>
              <w:t xml:space="preserve">Strict concurrency limits</w:t>
            </w:r>
          </w:p>
        </w:tc>
        <w:tc>
          <w:tcPr/>
          <w:p>
            <w:pPr>
              <w:pStyle w:val="Compact"/>
              <w:jc w:val="left"/>
            </w:pPr>
            <w:r>
              <w:t xml:space="preserve">Peak horizontal scale traded for predictable, dimensioned execution at high depth</w:t>
            </w:r>
          </w:p>
        </w:tc>
      </w:tr>
    </w:tbl>
    <w:p>
      <w:pPr>
        <w:pStyle w:val="BodyText"/>
      </w:pPr>
      <w:r>
        <w:t xml:space="preserve">Amortised latency is therefore free only where slack exists. Under sufficient concurrency the amortisation becomes a</w:t>
      </w:r>
      <w:r>
        <w:t xml:space="preserve"> </w:t>
      </w:r>
      <w:r>
        <w:rPr>
          <w:bCs/>
          <w:b/>
        </w:rPr>
        <w:t xml:space="preserve">queueing constraint</w:t>
      </w:r>
      <w:r>
        <w:t xml:space="preserve">, and the fixed-hardware curve exhibits a knee the metered curve does not: beyond it, marginal work is paid in wall-clock and foregone throughput rather than euros. The arbitrage holds where</w:t>
      </w:r>
      <w:r>
        <w:t xml:space="preserve"> </w:t>
      </w:r>
      <w:r>
        <w:rPr>
          <w:bCs/>
          <w:b/>
        </w:rPr>
        <w:t xml:space="preserve">per-task context depth is high and concurrency is bounded</w:t>
      </w:r>
      <w:r>
        <w:t xml:space="preserve">, and fails for horizontal, high-concurrency workloads.</w:t>
      </w:r>
    </w:p>
    <w:p>
      <w:pPr>
        <w:pStyle w:val="BodyText"/>
      </w:pPr>
      <w:r>
        <w:rPr>
          <w:bCs/>
          <w:b/>
        </w:rPr>
        <w:t xml:space="preserve">This is also what selects the operating profile, and the selection is structural rather than preferential.</w:t>
      </w:r>
      <w:r>
        <w:t xml:space="preserve"> </w:t>
      </w:r>
      <w:r>
        <w:t xml:space="preserve">Consumer B2C agents present unpredictable high-concurrency bursts over comparatively shallow context — a workload metered APIs are correctly shaped for. An industrial fleet executes deep, multi-step harness tasks (Composio’s 340k-token median is the representative figure) across a</w:t>
      </w:r>
      <w:r>
        <w:t xml:space="preserve"> </w:t>
      </w:r>
      <w:r>
        <w:rPr>
          <w:iCs/>
          <w:i/>
        </w:rPr>
        <w:t xml:space="preserve">bounded</w:t>
      </w:r>
      <w:r>
        <w:t xml:space="preserve"> </w:t>
      </w:r>
      <w:r>
        <w:t xml:space="preserve">number of specialised operators. The fixed-hardware knee does not bind because the operational parameters sit strictly to the left of it. The architecture is designed for sovereign industrial B2B not by preference but because that is the region in which the arbitrage is valid (§14.35, §14.26).</w:t>
      </w:r>
    </w:p>
    <w:p>
      <w:pPr>
        <w:pStyle w:val="BodyText"/>
      </w:pPr>
      <w:r>
        <w:rPr>
          <w:bCs/>
          <w:b/>
        </w:rPr>
        <w:t xml:space="preserve">Consequently the depth measurement is load-bearing rather than confirmatory: its purpose is to locate the knee.</w:t>
      </w:r>
      <w:r>
        <w:t xml:space="preserve"> </w:t>
      </w:r>
      <w:r>
        <w:t xml:space="preserve">Two questions define it, and they are questions about mechanism, not about a score:</w:t>
      </w:r>
    </w:p>
    <w:p>
      <w:pPr>
        <w:numPr>
          <w:ilvl w:val="0"/>
          <w:numId w:val="1098"/>
        </w:numPr>
        <w:pStyle w:val="Compact"/>
      </w:pPr>
      <w:r>
        <w:t xml:space="preserve">At what context length</w:t>
      </w:r>
      <w:r>
        <w:t xml:space="preserve"> </w:t>
      </w:r>
      <w:r>
        <w:rPr>
          <w:iCs/>
          <w:i/>
        </w:rPr>
        <w:t xml:space="preserve">d</w:t>
      </w:r>
      <w:r>
        <w:t xml:space="preserve"> </w:t>
      </w:r>
      <w:r>
        <w:t xml:space="preserve">does KV-cache memory-bandwidth consumption push token generation below the interactive throughput threshold?</w:t>
      </w:r>
    </w:p>
    <w:p>
      <w:pPr>
        <w:numPr>
          <w:ilvl w:val="0"/>
          <w:numId w:val="1098"/>
        </w:numPr>
        <w:pStyle w:val="Compact"/>
      </w:pPr>
      <w:r>
        <w:t xml:space="preserve">Where does the regime transition from memory-bound generation to batching-induced queueing delay?</w:t>
      </w:r>
    </w:p>
    <w:p>
      <w:pPr>
        <w:pStyle w:val="FirstParagraph"/>
      </w:pPr>
      <w:r>
        <w:t xml:space="preserve">The sweep must report six quantities per operating point, not a single throughput figure:</w:t>
      </w:r>
      <w:r>
        <w:t xml:space="preserve"> </w:t>
      </w:r>
      <w:r>
        <w:rPr>
          <w:bCs/>
          <w:b/>
        </w:rPr>
        <w:t xml:space="preserve">tokens per task, latency, concurrent jobs, GPU memory occupancy, queue time, and € per audit-ready output.</w:t>
      </w:r>
      <w:r>
        <w:t xml:space="preserve"> </w:t>
      </w:r>
      <w:r>
        <w:t xml:space="preserve">The last is the one that converts the result from a systems benchmark into a commercial claim, because it is the unit an industrial buyer actually purchases. Until those six exist for DWS’s own hardware, the 250k–340k depth argument is an</w:t>
      </w:r>
      <w:r>
        <w:t xml:space="preserve"> </w:t>
      </w:r>
      <w:r>
        <w:rPr>
          <w:bCs/>
          <w:b/>
        </w:rPr>
        <w:t xml:space="preserve">architectural hypothesis, not an investor claim</w:t>
      </w:r>
      <w:r>
        <w:t xml:space="preserve">, and must be labelled as such wherever it appears.</w:t>
      </w:r>
    </w:p>
    <w:p>
      <w:pPr>
        <w:pStyle w:val="BodyText"/>
      </w:pPr>
      <w:r>
        <w:t xml:space="preserve">A sweep answering these converts Key Contribution #50 from a positioning claim into an</w:t>
      </w:r>
      <w:r>
        <w:t xml:space="preserve"> </w:t>
      </w:r>
      <w:r>
        <w:rPr>
          <w:bCs/>
          <w:b/>
        </w:rPr>
        <w:t xml:space="preserve">empirical capacity-planning model for enterprise agent harnesses</w:t>
      </w:r>
      <w:r>
        <w:t xml:space="preserve"> </w:t>
      </w:r>
      <w:r>
        <w:t xml:space="preserve">— the operating envelope inside which a sovereign harness is economically dominant, and outside which it is not. Stating the failure mode is what makes the contribution falsifiable rather than promotional.</w:t>
      </w:r>
    </w:p>
    <w:p>
      <w:pPr>
        <w:pStyle w:val="BodyText"/>
      </w:pPr>
      <w:r>
        <w:rPr>
          <w:bCs/>
          <w:b/>
        </w:rPr>
        <w:t xml:space="preserve">Finding 3 — evidential asymmetry across the three acts must be carried, not smoothed.</w:t>
      </w:r>
      <w:r>
        <w:t xml:space="preserve"> </w:t>
      </w:r>
      <w:r>
        <w:t xml:space="preserve">The three acts do not rest on equally firm ground and the argument must not present them as if they did. Act I is a verified primary quotation from a public earnings call. Act II is a</w:t>
      </w:r>
      <w:r>
        <w:t xml:space="preserve"> </w:t>
      </w:r>
      <w:r>
        <w:rPr>
          <w:bCs/>
          <w:b/>
        </w:rPr>
        <w:t xml:space="preserve">vendor-run benchmark</w:t>
      </w:r>
      <w:r>
        <w:t xml:space="preserve">: the publisher’s own harness was among those tested and placed near the top; the task set, success criteria, retry policy and per-harness tool load are unpublished; it is one model, one run. Act III’s architectural specifications are confirmed against primary sources, but its load-bearing throughput-at-depth measurement is a</w:t>
      </w:r>
      <w:r>
        <w:t xml:space="preserve"> </w:t>
      </w:r>
      <w:r>
        <w:rPr>
          <w:bCs/>
          <w:b/>
        </w:rPr>
        <w:t xml:space="preserve">single unreproduced operator report</w:t>
      </w:r>
      <w:r>
        <w:t xml:space="preserve">. The dialectic survives this asymmetry because its direction does not depend on Act II’s precise multiple — a 5× spread implies the same migration as 30× — but any restatement that presents 30× as an established constant misrepresents the evidence.</w:t>
      </w:r>
    </w:p>
    <w:p>
      <w:pPr>
        <w:pStyle w:val="BodyText"/>
      </w:pPr>
      <w:r>
        <w:rPr>
          <w:bCs/>
          <w:b/>
        </w:rPr>
        <w:t xml:space="preserve">Finding 4 — the strategic consequence for DWS is subtractive.</w:t>
      </w:r>
      <w:r>
        <w:t xml:space="preserve"> </w:t>
      </w:r>
      <w:r>
        <w:t xml:space="preserve">If Act I is correct, harness ownership is not a differentiator: the incumbent that stated it also sells both the harness and the models, which makes harness/swappability language table stakes from 29.07.2026 onward. What survives as defensible is narrower and unchanged from §14.44’s conclusion — the</w:t>
      </w:r>
      <w:r>
        <w:t xml:space="preserve"> </w:t>
      </w:r>
      <w:r>
        <w:rPr>
          <w:bCs/>
          <w:b/>
        </w:rPr>
        <w:t xml:space="preserve">sovereign compliance evidence loop</w:t>
      </w:r>
      <w:r>
        <w:t xml:space="preserve">: private evals, an RL environment on the customer’s own operational corpus, KYA governance and the Article 12 evidence chain. Evidence is jurisdictional; a horizontal harness is not. Act III supplies the economics that make that loop affordable to run at the depth compliance evidence actually requires.</w:t>
      </w:r>
    </w:p>
    <w:p>
      <w:pPr>
        <w:pStyle w:val="BodyText"/>
      </w:pPr>
      <w:r>
        <w:rPr>
          <w:bCs/>
          <w:b/>
        </w:rPr>
        <w:t xml:space="preserve">Finding 5 — the DWS application: two operational profiles, and why the moat is the coupling rather than the harness.</w:t>
      </w:r>
      <w:r>
        <w:t xml:space="preserve"> </w:t>
      </w:r>
      <w:r>
        <w:t xml:space="preserve">The general result of Finding 2 becomes concrete when the two workload profiles are stated side by side, because they select different substrates for reasons that are structural rather than commercial preference.</w:t>
      </w:r>
    </w:p>
    <w:tbl>
      <w:tblPr>
        <w:tblStyle w:val="Table"/>
        <w:tblW w:type="pct" w:w="5000"/>
        <w:tblLook w:firstRow="1" w:lastRow="0" w:firstColumn="0" w:lastColumn="0" w:noHBand="0" w:noVBand="0" w:val="0020"/>
        <w:jc w:val="start"/>
      </w:tblPr>
      <w:tblGrid>
        <w:gridCol w:w="813"/>
        <w:gridCol w:w="2192"/>
        <w:gridCol w:w="4914"/>
      </w:tblGrid>
      <w:tr>
        <w:trPr>
          <w:tblHeader w:val="true"/>
        </w:trPr>
        <w:tc>
          <w:tcPr/>
          <w:p>
            <w:pPr>
              <w:pStyle w:val="Compact"/>
            </w:pPr>
          </w:p>
        </w:tc>
        <w:tc>
          <w:tcPr/>
          <w:p>
            <w:pPr>
              <w:pStyle w:val="Compact"/>
              <w:jc w:val="left"/>
            </w:pPr>
            <w:r>
              <w:rPr>
                <w:bCs/>
                <w:b/>
              </w:rPr>
              <w:t xml:space="preserve">Public B2C SaaS</w:t>
            </w:r>
            <w:r>
              <w:t xml:space="preserve"> </w:t>
            </w:r>
            <w:r>
              <w:t xml:space="preserve">(the metered-cloud domain)</w:t>
            </w:r>
          </w:p>
        </w:tc>
        <w:tc>
          <w:tcPr/>
          <w:p>
            <w:pPr>
              <w:pStyle w:val="Compact"/>
              <w:jc w:val="left"/>
            </w:pPr>
            <w:r>
              <w:rPr>
                <w:bCs/>
                <w:b/>
              </w:rPr>
              <w:t xml:space="preserve">Sovereign industrial fleet</w:t>
            </w:r>
            <w:r>
              <w:t xml:space="preserve"> </w:t>
            </w:r>
            <w:r>
              <w:t xml:space="preserve">(the fixed-hardware domain)</w:t>
            </w:r>
          </w:p>
        </w:tc>
      </w:tr>
      <w:tr>
        <w:tc>
          <w:tcPr/>
          <w:p>
            <w:pPr>
              <w:pStyle w:val="Compact"/>
              <w:jc w:val="left"/>
            </w:pPr>
            <w:r>
              <w:t xml:space="preserve">Demand shape</w:t>
            </w:r>
          </w:p>
        </w:tc>
        <w:tc>
          <w:tcPr/>
          <w:p>
            <w:pPr>
              <w:pStyle w:val="Compact"/>
              <w:jc w:val="left"/>
            </w:pPr>
            <w:r>
              <w:t xml:space="preserve">Millions of external users; sudden, unpredictable spikes</w:t>
            </w:r>
          </w:p>
        </w:tc>
        <w:tc>
          <w:tcPr/>
          <w:p>
            <w:pPr>
              <w:pStyle w:val="Compact"/>
              <w:jc w:val="left"/>
            </w:pPr>
            <w:r>
              <w:t xml:space="preserve">A</w:t>
            </w:r>
            <w:r>
              <w:t xml:space="preserve"> </w:t>
            </w:r>
            <w:r>
              <w:rPr>
                <w:bCs/>
                <w:b/>
              </w:rPr>
              <w:t xml:space="preserve">known, bounded</w:t>
            </w:r>
            <w:r>
              <w:t xml:space="preserve"> </w:t>
            </w:r>
            <w:r>
              <w:t xml:space="preserve">set of internal agents — an operator headcount the deployer sets</w:t>
            </w:r>
          </w:p>
        </w:tc>
      </w:tr>
      <w:tr>
        <w:tc>
          <w:tcPr/>
          <w:p>
            <w:pPr>
              <w:pStyle w:val="Compact"/>
              <w:jc w:val="left"/>
            </w:pPr>
            <w:r>
              <w:t xml:space="preserve">Context per interaction</w:t>
            </w:r>
          </w:p>
        </w:tc>
        <w:tc>
          <w:tcPr/>
          <w:p>
            <w:pPr>
              <w:pStyle w:val="Compact"/>
              <w:jc w:val="left"/>
            </w:pPr>
            <w:r>
              <w:t xml:space="preserve">Shallow, ~1k–4k tokens</w:t>
            </w:r>
          </w:p>
        </w:tc>
        <w:tc>
          <w:tcPr/>
          <w:p>
            <w:pPr>
              <w:pStyle w:val="Compact"/>
              <w:jc w:val="left"/>
            </w:pPr>
            <w:r>
              <w:t xml:space="preserve">Deep, multi-turn harness workflows — the 340k-token median of Act II</w:t>
            </w:r>
          </w:p>
        </w:tc>
      </w:tr>
      <w:tr>
        <w:tc>
          <w:tcPr/>
          <w:p>
            <w:pPr>
              <w:pStyle w:val="Compact"/>
              <w:jc w:val="left"/>
            </w:pPr>
            <w:r>
              <w:t xml:space="preserve">Binding requirement</w:t>
            </w:r>
          </w:p>
        </w:tc>
        <w:tc>
          <w:tcPr/>
          <w:p>
            <w:pPr>
              <w:pStyle w:val="Compact"/>
              <w:jc w:val="left"/>
            </w:pPr>
            <w:r>
              <w:t xml:space="preserve">Elastic capacity for random concurrency bursts</w:t>
            </w:r>
          </w:p>
        </w:tc>
        <w:tc>
          <w:tcPr/>
          <w:p>
            <w:pPr>
              <w:pStyle w:val="Compact"/>
              <w:jc w:val="left"/>
            </w:pPr>
            <w:r>
              <w:t xml:space="preserve">Predictable execution at depth</w:t>
            </w:r>
          </w:p>
        </w:tc>
      </w:tr>
      <w:tr>
        <w:tc>
          <w:tcPr/>
          <w:p>
            <w:pPr>
              <w:pStyle w:val="Compact"/>
              <w:jc w:val="left"/>
            </w:pPr>
            <w:r>
              <w:t xml:space="preserve">Correct economics</w:t>
            </w:r>
          </w:p>
        </w:tc>
        <w:tc>
          <w:tcPr/>
          <w:p>
            <w:pPr>
              <w:pStyle w:val="Compact"/>
              <w:jc w:val="left"/>
            </w:pPr>
            <w:r>
              <w:t xml:space="preserve">Fractions of a cent per token beats GPU clusters idle off-peak</w:t>
            </w:r>
          </w:p>
        </w:tc>
        <w:tc>
          <w:tcPr/>
          <w:p>
            <w:pPr>
              <w:pStyle w:val="Compact"/>
              <w:jc w:val="left"/>
            </w:pPr>
            <w:r>
              <w:t xml:space="preserve">No external per-token exposure on silicon already acquired — bounded rather than zero cost; per-token billing at 340k depth destroys margin</w:t>
            </w:r>
          </w:p>
        </w:tc>
      </w:tr>
    </w:tbl>
    <w:p>
      <w:pPr>
        <w:pStyle w:val="BodyText"/>
      </w:pPr>
      <w:r>
        <w:t xml:space="preserve">DWS IQ does not build public consumer chat. It deploys bounded fleets of specialised agents running deep, multi-turn workflows — regulatory compliance audits, multi-agent state loops, evidence chains reasoning over long records — on sovereign infrastructure (the GN-100 / DGX Spark tier, §14.35). Under metered pricing the 340k-token median is an exponential variable tax with unpredictable bill exposure; on owned silicon those same tokens are amortised latency against a bounded cost base. The defensible formulation, and the only one that should reach a customer or investor document, is therefore:</w:t>
      </w:r>
      <w:r>
        <w:t xml:space="preserve"> </w:t>
      </w:r>
      <w:r>
        <w:rPr>
          <w:bCs/>
          <w:b/>
        </w:rPr>
        <w:t xml:space="preserve">DWS IQ 6 replaces unpredictable per-token API exposure with bounded, sovereign compute economics for known industrial workloads; deep harness workflows become commercially viable because concurrency and context depth can be dimensioned below the hardware throughput knee.</w:t>
      </w:r>
      <w:r>
        <w:t xml:space="preserve"> </w:t>
      </w:r>
      <w:r>
        <w:t xml:space="preserve">Any stronger phrasing —</w:t>
      </w:r>
      <w:r>
        <w:t xml:space="preserve"> </w:t>
      </w:r>
      <w:r>
        <w:t xml:space="preserve">‘</w:t>
      </w:r>
      <w:r>
        <w:t xml:space="preserve">zero marginal cost</w:t>
      </w:r>
      <w:r>
        <w:t xml:space="preserve">’</w:t>
      </w:r>
      <w:r>
        <w:t xml:space="preserve">,</w:t>
      </w:r>
      <w:r>
        <w:t xml:space="preserve"> </w:t>
      </w:r>
      <w:r>
        <w:t xml:space="preserve">‘</w:t>
      </w:r>
      <w:r>
        <w:t xml:space="preserve">free tokens</w:t>
      </w:r>
      <w:r>
        <w:t xml:space="preserve">’</w:t>
      </w:r>
      <w:r>
        <w:t xml:space="preserve"> </w:t>
      </w:r>
      <w:r>
        <w:t xml:space="preserve">— is false and will be dismantled by the first competent technical or financial reviewer.</w:t>
      </w:r>
    </w:p>
    <w:p>
      <w:pPr>
        <w:pStyle w:val="BodyText"/>
      </w:pPr>
      <w:r>
        <w:rPr>
          <w:bCs/>
          <w:b/>
        </w:rPr>
        <w:t xml:space="preserve">The knee is dimensionable here, which is not the same as absent.</w:t>
      </w:r>
      <w:r>
        <w:t xml:space="preserve"> </w:t>
      </w:r>
      <w:r>
        <w:t xml:space="preserve">A consumer application on local hardware would be pushed past the throughput knee by an unplanned demand surge, and generation would collapse non-linearly into queueing. An industrial fleet has</w:t>
      </w:r>
      <w:r>
        <w:t xml:space="preserve"> </w:t>
      </w:r>
      <w:r>
        <w:rPr>
          <w:bCs/>
          <w:b/>
        </w:rPr>
        <w:t xml:space="preserve">deterministic, bounded concurrency</w:t>
      </w:r>
      <w:r>
        <w:t xml:space="preserve"> </w:t>
      </w:r>
      <w:r>
        <w:t xml:space="preserve">— the number of active agents is a deployment parameter, not a function of public demand — so the engine can be dimensioned such that even at 250k–340k context depth the aggregate workload sits strictly to the left of the knee.</w:t>
      </w:r>
      <w:r>
        <w:t xml:space="preserve"> </w:t>
      </w:r>
      <w:r>
        <w:rPr>
          <w:bCs/>
          <w:b/>
        </w:rPr>
        <w:t xml:space="preserve">Two honest qualifications follow, and omitting either would overclaim.</w:t>
      </w:r>
      <w:r>
        <w:t xml:space="preserve"> </w:t>
      </w:r>
      <w:r>
        <w:t xml:space="preserve">First, this is a</w:t>
      </w:r>
      <w:r>
        <w:t xml:space="preserve"> </w:t>
      </w:r>
      <w:r>
        <w:rPr>
          <w:iCs/>
          <w:i/>
        </w:rPr>
        <w:t xml:space="preserve">design discipline</w:t>
      </w:r>
      <w:r>
        <w:t xml:space="preserve">, not a property: dimensioning to the left of a knee requires knowing where the knee is, which is precisely the unrun measurement of Finding 2 — the claim is currently a sound engineering argument awaiting its empirical constant. Second, an under-dimensioned or over-subscribed sovereign deployment hits the same wall as anyone else; bounded concurrency makes the wall</w:t>
      </w:r>
      <w:r>
        <w:t xml:space="preserve"> </w:t>
      </w:r>
      <w:r>
        <w:rPr>
          <w:iCs/>
          <w:i/>
        </w:rPr>
        <w:t xml:space="preserve">avoidable</w:t>
      </w:r>
      <w:r>
        <w:t xml:space="preserve">, not nonexistent.</w:t>
      </w:r>
    </w:p>
    <w:p>
      <w:pPr>
        <w:pStyle w:val="BodyText"/>
      </w:pPr>
      <w:r>
        <w:rPr>
          <w:bCs/>
          <w:b/>
        </w:rPr>
        <w:t xml:space="preserve">The positioning consequence, stated more narrowly than the market will.</w:t>
      </w:r>
      <w:r>
        <w:t xml:space="preserve"> </w:t>
      </w:r>
      <w:r>
        <w:t xml:space="preserve">Finding 4 holds: harness ownership alone is table stakes as of 29.07.2026. What is defensible is the</w:t>
      </w:r>
      <w:r>
        <w:t xml:space="preserve"> </w:t>
      </w:r>
      <w:r>
        <w:rPr>
          <w:bCs/>
          <w:b/>
        </w:rPr>
        <w:t xml:space="preserve">coupling</w:t>
      </w:r>
      <w:r>
        <w:t xml:space="preserve"> </w:t>
      </w:r>
      <w:r>
        <w:t xml:space="preserve">— deep scaffolding (Act I) executed on fixed sovereign compute (Act III) at bounded concurrency — because a vendor whose revenue scales with tokens has no incentive to make token-intensive workflows cheap. The precise claim must nonetheless resist one overstatement: metered vendors</w:t>
      </w:r>
      <w:r>
        <w:t xml:space="preserve"> </w:t>
      </w:r>
      <w:r>
        <w:rPr>
          <w:iCs/>
          <w:i/>
        </w:rPr>
        <w:t xml:space="preserve">can</w:t>
      </w:r>
      <w:r>
        <w:t xml:space="preserve"> </w:t>
      </w:r>
      <w:r>
        <w:t xml:space="preserve">reprice, and provisioned-throughput and reserved-capacity offerings already do exactly that. The durable half of the argument is therefore not compute economics alone but</w:t>
      </w:r>
      <w:r>
        <w:t xml:space="preserve"> </w:t>
      </w:r>
      <w:r>
        <w:rPr>
          <w:bCs/>
          <w:b/>
        </w:rPr>
        <w:t xml:space="preserve">compute economics plus jurisdiction</w:t>
      </w:r>
      <w:r>
        <w:t xml:space="preserve"> </w:t>
      </w:r>
      <w:r>
        <w:t xml:space="preserve">— a reserved-capacity contract answers the bill, and does not answer where the evidence lives, under whose law, or who can compel its disclosure (§14.26, §14.31). Compute makes deep harness work affordable; sovereignty makes it defensible; the two together are the moat, and neither is on its own.</w:t>
      </w:r>
    </w:p>
    <w:p>
      <w:pPr>
        <w:pStyle w:val="BodyText"/>
      </w:pPr>
      <w:r>
        <w:rPr>
          <w:bCs/>
          <w:b/>
        </w:rPr>
        <w:t xml:space="preserve">Research contribution.</w:t>
      </w:r>
      <w:r>
        <w:t xml:space="preserve"> </w:t>
      </w:r>
      <w:r>
        <w:t xml:space="preserve">Formalises as a dialectic the transition from metered-API to hybrid-compute agentic execution: an architectural thesis (harness durability) that generates its own economic antithesis (token intensity under metered pricing) and is resolved by a substrate synthesis (fixed-cost inference with sustained throughput at depth), with an explicitly stated boundary condition (bounded concurrency) that makes the synthesis falsifiable. Identifies context</w:t>
      </w:r>
      <w:r>
        <w:t xml:space="preserve"> </w:t>
      </w:r>
      <w:r>
        <w:rPr>
          <w:bCs/>
          <w:b/>
        </w:rPr>
        <w:t xml:space="preserve">depth</w:t>
      </w:r>
      <w:r>
        <w:t xml:space="preserve">, rather than model capability or call volume, as the binding constraint on local model tiers for agentic work — and therefore as the correct axis on which to specify an orchestrator tier.</w:t>
      </w:r>
    </w:p>
    <w:p>
      <w:pPr>
        <w:pStyle w:val="BodyText"/>
      </w:pPr>
      <w:r>
        <w:rPr>
          <w:bCs/>
          <w:b/>
        </w:rPr>
        <w:t xml:space="preserve">Key Contribution #50.</w:t>
      </w:r>
      <w:r>
        <w:t xml:space="preserve"> </w:t>
      </w:r>
      <w:r>
        <w:t xml:space="preserve">The Harness Paywall and the Depth Arbitrage: agentic value migrates to the durable harness layer (Act I), whose token intensity renders it economically unviable under metered API pricing (Act II, up to 30× harness-attributable token spread at fixed model and task set), and which is resolved by migration to hybrid/sovereign compute where sub-quadratic attention plus throughput-sustaining inference performs a</w:t>
      </w:r>
      <w:r>
        <w:t xml:space="preserve"> </w:t>
      </w:r>
      <w:r>
        <w:rPr>
          <w:bCs/>
          <w:b/>
        </w:rPr>
        <w:t xml:space="preserve">cost-type transformation</w:t>
      </w:r>
      <w:r>
        <w:t xml:space="preserve"> </w:t>
      </w:r>
      <w:r>
        <w:t xml:space="preserve">— variable financial cost into a concurrency-and-queueing ceiling — rather than a cost elimination (Act III). Valid where per-task depth is high and concurrency is bounded; failing beyond the fixed-hardware knee, whose location is defined by two measurable transitions (the context length at which KV-cache bandwidth drops generation below interactive throughput, and the crossover from memory-bound generation to batching-induced queueing delay). Corollaries: harness ownership is table stakes while the sovereign evidence loop remains defensible; orchestrator tiers must be specified on context depth rather than call volume; and the sovereign-industrial operating profile is</w:t>
      </w:r>
      <w:r>
        <w:t xml:space="preserve"> </w:t>
      </w:r>
      <w:r>
        <w:rPr>
          <w:iCs/>
          <w:i/>
        </w:rPr>
        <w:t xml:space="preserve">derived</w:t>
      </w:r>
      <w:r>
        <w:t xml:space="preserve"> </w:t>
      </w:r>
      <w:r>
        <w:t xml:space="preserve">from the region of validity rather than chosen — yielding an empirical capacity-planning model for enterprise agent harnesses rather than a positioning claim. Applied to DWS (Finding 5): the two workload profiles select substrates structurally — unbounded-concurrency shallow-context consumer traffic belongs on metered APIs, bounded-concurrency deep-context industrial fleets on owned silicon — so the knee is</w:t>
      </w:r>
      <w:r>
        <w:t xml:space="preserve"> </w:t>
      </w:r>
      <w:r>
        <w:rPr>
          <w:bCs/>
          <w:b/>
        </w:rPr>
        <w:t xml:space="preserve">dimensionable rather than absent</w:t>
      </w:r>
      <w:r>
        <w:t xml:space="preserve">, contingent on measuring it; and the defensible position is the</w:t>
      </w:r>
      <w:r>
        <w:t xml:space="preserve"> </w:t>
      </w:r>
      <w:r>
        <w:rPr>
          <w:bCs/>
          <w:b/>
        </w:rPr>
        <w:t xml:space="preserve">coupling</w:t>
      </w:r>
      <w:r>
        <w:t xml:space="preserve"> </w:t>
      </w:r>
      <w:r>
        <w:t xml:space="preserve">of deep scaffolding to fixed sovereign compute</w:t>
      </w:r>
      <w:r>
        <w:t xml:space="preserve"> </w:t>
      </w:r>
      <w:r>
        <w:rPr>
          <w:iCs/>
          <w:i/>
        </w:rPr>
        <w:t xml:space="preserve">plus jurisdiction</w:t>
      </w:r>
      <w:r>
        <w:t xml:space="preserve">, since metered vendors can reprice capacity but cannot reprice where the evidence lives or under whose law it can be compelled.</w:t>
      </w:r>
      <w:r>
        <w:t xml:space="preserve"> </w:t>
      </w:r>
      <w:r>
        <w:rPr>
          <w:iCs/>
          <w:i/>
        </w:rPr>
        <w:t xml:space="preserve">Dialectical framing authored by Google Gemini, adopted on HIC instruction 30.07.2026.</w:t>
      </w:r>
    </w:p>
    <w:bookmarkEnd w:id="329"/>
    <w:bookmarkStart w:id="330" w:name="Xc1618bb8008ae6b4cd61e437885577656f03f64"/>
    <w:p>
      <w:pPr>
        <w:pStyle w:val="Heading3"/>
      </w:pPr>
      <w:r>
        <w:t xml:space="preserve">14.46 The Enforcement Threshold: Article 50 and the Obligation–Capability Split in AI Content Provenance</w:t>
      </w:r>
    </w:p>
    <w:p>
      <w:pPr>
        <w:pStyle w:val="FirstParagraph"/>
      </w:pPr>
      <w:r>
        <w:rPr>
          <w:bCs/>
          <w:b/>
        </w:rPr>
        <w:t xml:space="preserve">Signal (EU AI Act enforcement commencement, 02.08.2026; primary sources: European Commission AI Pact Secretariat partner note 31.07.2026,</w:t>
      </w:r>
      <w:r>
        <w:rPr>
          <w:bCs/>
          <w:b/>
        </w:rPr>
        <w:t xml:space="preserve"> </w:t>
      </w:r>
      <w:r>
        <w:rPr>
          <w:rStyle w:val="VerbatimChar"/>
          <w:bCs/>
          <w:b/>
        </w:rPr>
        <w:t xml:space="preserve">digital-strategy.ec.europa.eu</w:t>
      </w:r>
      <w:r>
        <w:rPr>
          <w:bCs/>
          <w:b/>
        </w:rPr>
        <w:t xml:space="preserve"> </w:t>
      </w:r>
      <w:r>
        <w:rPr>
          <w:bCs/>
          <w:b/>
        </w:rPr>
        <w:t xml:space="preserve">enforcement and Article 50 pages, Commission Guidelines on Article 50 published 20.07.2026, AI Omnibus in force 27.07.2026).</w:t>
      </w:r>
      <w:r>
        <w:t xml:space="preserve"> </w:t>
      </w:r>
      <w:r>
        <w:t xml:space="preserve">From 2 August 2026 the AI Office and national market surveillance authorities began enforcing the AI Act, and the Article 50 transparency obligations entered application. Three facts in the same window are load-bearing. First, approximately</w:t>
      </w:r>
      <w:r>
        <w:t xml:space="preserve"> </w:t>
      </w:r>
      <w:r>
        <w:rPr>
          <w:bCs/>
          <w:b/>
        </w:rPr>
        <w:t xml:space="preserve">190 organisations signed the voluntary Code of Practice on Transparency of AI-generated Content</w:t>
      </w:r>
      <w:r>
        <w:rPr>
          <w:bCs/>
          <w:b/>
        </w:rPr>
        <w:t xml:space="preserve"> </w:t>
      </w:r>
      <w:r>
        <w:rPr>
          <w:iCs/>
          <w:i/>
          <w:bCs/>
          <w:b/>
        </w:rPr>
        <w:t xml:space="preserve">before</w:t>
      </w:r>
      <w:r>
        <w:rPr>
          <w:bCs/>
          <w:b/>
        </w:rPr>
        <w:t xml:space="preserve"> </w:t>
      </w:r>
      <w:r>
        <w:rPr>
          <w:bCs/>
          <w:b/>
        </w:rPr>
        <w:t xml:space="preserve">the mandatory obligation applied</w:t>
      </w:r>
      <w:r>
        <w:t xml:space="preserve">. Second, the obligation is</w:t>
      </w:r>
      <w:r>
        <w:t xml:space="preserve"> </w:t>
      </w:r>
      <w:r>
        <w:rPr>
          <w:bCs/>
          <w:b/>
        </w:rPr>
        <w:t xml:space="preserve">split by party</w:t>
      </w:r>
      <w:r>
        <w:t xml:space="preserve">: Article 50(2) binds</w:t>
      </w:r>
      <w:r>
        <w:t xml:space="preserve"> </w:t>
      </w:r>
      <w:r>
        <w:rPr>
          <w:iCs/>
          <w:i/>
        </w:rPr>
        <w:t xml:space="preserve">providers</w:t>
      </w:r>
      <w:r>
        <w:t xml:space="preserve"> </w:t>
      </w:r>
      <w:r>
        <w:t xml:space="preserve">to apply a machine-readable mark to synthetic content and enable its detection; Article 50(4) binds</w:t>
      </w:r>
      <w:r>
        <w:t xml:space="preserve"> </w:t>
      </w:r>
      <w:r>
        <w:rPr>
          <w:iCs/>
          <w:i/>
        </w:rPr>
        <w:t xml:space="preserve">deployers</w:t>
      </w:r>
      <w:r>
        <w:t xml:space="preserve"> </w:t>
      </w:r>
      <w:r>
        <w:t xml:space="preserve">to apply clear and perceivable labels to deepfakes and to AI-generated text on matters of public interest published without human review. Third, the grace periods are</w:t>
      </w:r>
      <w:r>
        <w:t xml:space="preserve"> </w:t>
      </w:r>
      <w:r>
        <w:rPr>
          <w:bCs/>
          <w:b/>
        </w:rPr>
        <w:t xml:space="preserve">asymmetric</w:t>
      </w:r>
      <w:r>
        <w:t xml:space="preserve">: the marking obligation is deferred to December 2026 for generative systems placed on the market before 2 August 2026, while deepfake labelling receives no equivalent deferral.</w:t>
      </w:r>
    </w:p>
    <w:p>
      <w:pPr>
        <w:pStyle w:val="BodyText"/>
      </w:pPr>
      <w:r>
        <w:rPr>
          <w:bCs/>
          <w:b/>
        </w:rPr>
        <w:t xml:space="preserve">Finding 1 — the obligation and the capability sit in different parties.</w:t>
      </w:r>
      <w:r>
        <w:t xml:space="preserve"> </w:t>
      </w:r>
      <w:r>
        <w:t xml:space="preserve">A deployer who did not build the generator cannot apply a machine-readable mark; they can only apply a perceivable label. The party carrying the visible legal duty under 50(4) is therefore structurally dependent, for the durable and machine-verifiable half of the evidence, on a party they do not control and may not be able to identify. This is not a drafting defect — it allocates each duty to the party technically able to discharge it — but it does mean</w:t>
      </w:r>
      <w:r>
        <w:t xml:space="preserve"> </w:t>
      </w:r>
      <w:r>
        <w:rPr>
          <w:bCs/>
          <w:b/>
        </w:rPr>
        <w:t xml:space="preserve">the deployer’s compliance is only as durable as the provider’s marking</w:t>
      </w:r>
      <w:r>
        <w:t xml:space="preserve">, and that a deployer using an unmarked upstream generator holds an obligation whose evidentiary substrate does not exist. This is the same asymmetry the KYA framework addresses at the agent layer (§14.24 model-provenance predicate), now appearing in statute at the content layer, and it is the structural argument for provenance attestation travelling with the artefact rather than being asserted at the point of publication.</w:t>
      </w:r>
    </w:p>
    <w:p>
      <w:pPr>
        <w:pStyle w:val="BodyText"/>
      </w:pPr>
      <w:r>
        <w:rPr>
          <w:bCs/>
          <w:b/>
        </w:rPr>
        <w:t xml:space="preserve">Finding 2 — soft law arrived before hard law, and signature is an evidentiary-cost strategy rather than an ethical one.</w:t>
      </w:r>
      <w:r>
        <w:t xml:space="preserve"> </w:t>
      </w:r>
      <w:r>
        <w:t xml:space="preserve">~190 signatories to a</w:t>
      </w:r>
      <w:r>
        <w:t xml:space="preserve"> </w:t>
      </w:r>
      <w:r>
        <w:rPr>
          <w:iCs/>
          <w:i/>
        </w:rPr>
        <w:t xml:space="preserve">voluntary</w:t>
      </w:r>
      <w:r>
        <w:t xml:space="preserve"> </w:t>
      </w:r>
      <w:r>
        <w:t xml:space="preserve">code in advance of a</w:t>
      </w:r>
      <w:r>
        <w:t xml:space="preserve"> </w:t>
      </w:r>
      <w:r>
        <w:rPr>
          <w:iCs/>
          <w:i/>
        </w:rPr>
        <w:t xml:space="preserve">mandatory</w:t>
      </w:r>
      <w:r>
        <w:t xml:space="preserve"> </w:t>
      </w:r>
      <w:r>
        <w:t xml:space="preserve">date is weak evidence of a shift in values and strong evidence of a shift in expected compliance cost. The Code confers a presumption of compliance; signing therefore converts an open-ended burden (</w:t>
      </w:r>
      <w:r>
        <w:t xml:space="preserve">“</w:t>
      </w:r>
      <w:r>
        <w:t xml:space="preserve">demonstrate your marking and labelling measures are adequate</w:t>
      </w:r>
      <w:r>
        <w:t xml:space="preserve">”</w:t>
      </w:r>
      <w:r>
        <w:t xml:space="preserve">) into a checklist with a safe harbour. Non-signatories retain the full demonstrative burden and, notably,</w:t>
      </w:r>
      <w:r>
        <w:t xml:space="preserve"> </w:t>
      </w:r>
      <w:r>
        <w:rPr>
          <w:bCs/>
          <w:b/>
        </w:rPr>
        <w:t xml:space="preserve">may use the EU icons without thereby claiming Code adherence</w:t>
      </w:r>
      <w:r>
        <w:t xml:space="preserve"> </w:t>
      </w:r>
      <w:r>
        <w:t xml:space="preserve">— the icons are optional, the disclosure duty is not, and conflating the two would itself be a misrepresentation. This supports the thesis’s broader claim (§14.42) that governance infrastructure forms around evidentiary burden-shifting rather than around principle, and it predicts that the signatory count is a leading indicator of where the regulator’s de-facto standard will settle, ahead of any harmonised standard.</w:t>
      </w:r>
    </w:p>
    <w:p>
      <w:pPr>
        <w:pStyle w:val="BodyText"/>
      </w:pPr>
      <w:r>
        <w:rPr>
          <w:bCs/>
          <w:b/>
        </w:rPr>
        <w:t xml:space="preserve">Finding 3 — empirical: on-page labelling does not satisfy a rule whose placement text requires the mark to survive redistribution.</w:t>
      </w:r>
      <w:r>
        <w:t xml:space="preserve"> </w:t>
      </w:r>
      <w:r>
        <w:t xml:space="preserve">DWS implemented Article 50 marking on two AI-generated videos on 31.07–01.08.2026. The instructive result is negative: an HTML/CSS overlay satisfies perceivability</w:t>
      </w:r>
      <w:r>
        <w:t xml:space="preserve"> </w:t>
      </w:r>
      <w:r>
        <w:rPr>
          <w:iCs/>
          <w:i/>
        </w:rPr>
        <w:t xml:space="preserve">on the page</w:t>
      </w:r>
      <w:r>
        <w:t xml:space="preserve"> </w:t>
      </w:r>
      <w:r>
        <w:t xml:space="preserve">and fails the moment the artefact is downloaded or re-shared, because the label is a property of the page rather than of the media. The only implementation that survives egress is compositing the mark into the media itself — here, burning the EU</w:t>
      </w:r>
      <w:r>
        <w:t xml:space="preserve"> </w:t>
      </w:r>
      <w:r>
        <w:rPr>
          <w:bCs/>
          <w:b/>
        </w:rPr>
        <w:t xml:space="preserve">AI GENERATED</w:t>
      </w:r>
      <w:r>
        <w:t xml:space="preserve"> </w:t>
      </w:r>
      <w:r>
        <w:t xml:space="preserve">icon into the video frames before publication. The rule’s technical demand is therefore</w:t>
      </w:r>
      <w:r>
        <w:t xml:space="preserve"> </w:t>
      </w:r>
      <w:r>
        <w:rPr>
          <w:bCs/>
          <w:b/>
        </w:rPr>
        <w:t xml:space="preserve">provenance that survives egress</w:t>
      </w:r>
      <w:r>
        <w:t xml:space="preserve">, which is the same property C2PA content credentials assert and the same property the Article 12 evidence chain requires of agent logs. Stated as a design rule:</w:t>
      </w:r>
      <w:r>
        <w:t xml:space="preserve"> </w:t>
      </w:r>
      <w:r>
        <w:rPr>
          <w:iCs/>
          <w:i/>
        </w:rPr>
        <w:t xml:space="preserve">a transparency marking implemented at the presentation layer is not a marking; it is a caption.</w:t>
      </w:r>
      <w:r>
        <w:t xml:space="preserve"> </w:t>
      </w:r>
      <w:r>
        <w:t xml:space="preserve">This is a small finding, but it is the kind that only appears from implementation and not from reading the text.</w:t>
      </w:r>
    </w:p>
    <w:p>
      <w:pPr>
        <w:pStyle w:val="BodyText"/>
      </w:pPr>
      <w:r>
        <w:rPr>
          <w:bCs/>
          <w:b/>
        </w:rPr>
        <w:t xml:space="preserve">Finding 4 — the grace-period asymmetry reveals the legislator’s ordering of urgency.</w:t>
      </w:r>
      <w:r>
        <w:t xml:space="preserve"> </w:t>
      </w:r>
      <w:r>
        <w:t xml:space="preserve">The deferral to December 2026 attaches to the</w:t>
      </w:r>
      <w:r>
        <w:t xml:space="preserve"> </w:t>
      </w:r>
      <w:r>
        <w:rPr>
          <w:bCs/>
          <w:b/>
        </w:rPr>
        <w:t xml:space="preserve">provider</w:t>
      </w:r>
      <w:r>
        <w:t xml:space="preserve">,</w:t>
      </w:r>
      <w:r>
        <w:t xml:space="preserve"> </w:t>
      </w:r>
      <w:r>
        <w:rPr>
          <w:bCs/>
          <w:b/>
        </w:rPr>
        <w:t xml:space="preserve">machine-readable</w:t>
      </w:r>
      <w:r>
        <w:t xml:space="preserve">, marking half of Article 50; the</w:t>
      </w:r>
      <w:r>
        <w:t xml:space="preserve"> </w:t>
      </w:r>
      <w:r>
        <w:rPr>
          <w:bCs/>
          <w:b/>
        </w:rPr>
        <w:t xml:space="preserve">deployer</w:t>
      </w:r>
      <w:r>
        <w:t xml:space="preserve">,</w:t>
      </w:r>
      <w:r>
        <w:t xml:space="preserve"> </w:t>
      </w:r>
      <w:r>
        <w:rPr>
          <w:bCs/>
          <w:b/>
        </w:rPr>
        <w:t xml:space="preserve">human-perceivable</w:t>
      </w:r>
      <w:r>
        <w:t xml:space="preserve">, deepfake half gets none. The legislator has therefore treated the risk of an unlabelled deepfake reaching a human as urgent, and the absence of a machine-detectable watermark as tolerable for a further four months. For a deployer this inverts the intuitive compliance ordering: the half that is cheap to implement and immediately verifiable by a regulator is the half with no grace period, while the half requiring upstream cooperation is the half with time. The operational corollary — confirmed by the DWS implementation above — is that</w:t>
      </w:r>
      <w:r>
        <w:t xml:space="preserve"> </w:t>
      </w:r>
      <w:r>
        <w:rPr>
          <w:bCs/>
          <w:b/>
        </w:rPr>
        <w:t xml:space="preserve">deployer-side labelling is the near-term binding constraint</w:t>
      </w:r>
      <w:r>
        <w:t xml:space="preserve">, not provider-side watermarking.</w:t>
      </w:r>
    </w:p>
    <w:p>
      <w:pPr>
        <w:pStyle w:val="BodyText"/>
      </w:pPr>
      <w:r>
        <w:rPr>
          <w:bCs/>
          <w:b/>
        </w:rPr>
        <w:t xml:space="preserve">Research contribution.</w:t>
      </w:r>
      <w:r>
        <w:t xml:space="preserve"> </w:t>
      </w:r>
      <w:r>
        <w:t xml:space="preserve">Names the commencement of Article 50 enforcement as the point at which AI content provenance moves from voluntary attestation to a statutorily allocated, party-split duty, and identifies the resulting obligation–capability asymmetry as the content-layer instance of the same provenance problem the KYA model-provenance predicate addresses at the agent layer. Supplies an implementation-derived design rule (marking must survive egress; presentation-layer labelling is not marking) and reads the grace-period asymmetry as a statement of regulatory priority that inverts the intuitive compliance ordering for deployers.</w:t>
      </w:r>
    </w:p>
    <w:p>
      <w:pPr>
        <w:pStyle w:val="BodyText"/>
      </w:pPr>
      <w:r>
        <w:rPr>
          <w:bCs/>
          <w:b/>
        </w:rPr>
        <w:t xml:space="preserve">Key Contribution #51.</w:t>
      </w:r>
      <w:r>
        <w:t xml:space="preserve"> </w:t>
      </w:r>
      <w:r>
        <w:t xml:space="preserve">The Obligation–Capability Split in statutory AI content provenance: Article 50 allocates machine-readable marking to providers (50(2)) and perceivable labelling to deployers (50(4)), so the party bearing the visible duty depends for the durable half of its evidence on a party it does not control — making provenance-that-travels-with-the-artefact a structural requirement rather than a best practice, and extending the KYA model-provenance predicate (§14.24) from the agent layer to the content layer. Corollaries: (a) pre-mandate signature of a voluntary code by ~190 organisations is an evidentiary-cost signal, not an ethical one, and the signatory count is a leading indicator of the de-facto standard ahead of harmonisation (§14.42); (b) an implementation-derived design rule — a marking applied at the presentation layer is a caption, not a marking, since the placement requirement is survival of redistribution, the same property asserted by C2PA and required of the Article 12 chain; (c) the grace-period asymmetry (marking deferred to December 2026, deepfake labelling not deferred) identifies deployer-side labelling as the near-term binding constraint and inverts the intuitive compliance ordering.</w:t>
      </w:r>
    </w:p>
    <w:bookmarkEnd w:id="330"/>
    <w:bookmarkStart w:id="331" w:name="Xe0f7e10116b95affe37635ae3e43928d7574766"/>
    <w:p>
      <w:pPr>
        <w:pStyle w:val="Heading3"/>
      </w:pPr>
      <w:r>
        <w:t xml:space="preserve">14.47 Routing-as-a-Service and the Decision-Layer Egress Channel: What the SageRoute Signal Reveals About Agent-Infrastructure Markets</w:t>
      </w:r>
    </w:p>
    <w:p>
      <w:pPr>
        <w:pStyle w:val="FirstParagraph"/>
      </w:pPr>
      <w:r>
        <w:rPr>
          <w:bCs/>
          <w:b/>
        </w:rPr>
        <w:t xml:space="preserve">Signal (July–August 2026, verified at source level).</w:t>
      </w:r>
      <w:r>
        <w:t xml:space="preserve"> </w:t>
      </w:r>
      <w:r>
        <w:t xml:space="preserve">Within one week of a viral</w:t>
      </w:r>
      <w:r>
        <w:t xml:space="preserve"> </w:t>
      </w:r>
      <w:r>
        <w:t xml:space="preserve">“</w:t>
      </w:r>
      <w:r>
        <w:t xml:space="preserve">Agent Factory</w:t>
      </w:r>
      <w:r>
        <w:t xml:space="preserve">”</w:t>
      </w:r>
      <w:r>
        <w:t xml:space="preserve"> </w:t>
      </w:r>
      <w:r>
        <w:t xml:space="preserve">build guide, a companion model-routing proxy (SageRoute, MIT) reached distribution: an OpenAI-compatible proxy that starts agent tasks on cheap models and escalates on execution evidence, with routing verdicts purchased from a</w:t>
      </w:r>
      <w:r>
        <w:t xml:space="preserve"> </w:t>
      </w:r>
      <w:r>
        <w:t xml:space="preserve">“</w:t>
      </w:r>
      <w:r>
        <w:t xml:space="preserve">calibrated confidence</w:t>
      </w:r>
      <w:r>
        <w:t xml:space="preserve">”</w:t>
      </w:r>
      <w:r>
        <w:t xml:space="preserve"> </w:t>
      </w:r>
      <w:r>
        <w:t xml:space="preserve">decision API (Levanto Sage). Three properties of the artifact are the signal. First, the entire codebase was written in two days by one author working with an agent, and its deterministic core survived an adversarial source-level audit intact. Second, the business model places a third party at the decision point of every agent session: each verdict ships the task statement and bounded tool-argument and error fragments to the vendor. Third, the proxy’s authentication module impersonates first-party CLI clients (hardcoded Claude Code and Codex OAuth client IDs) to route consumer-subscription quota through infrastructure the providers never approved.</w:t>
      </w:r>
    </w:p>
    <w:p>
      <w:pPr>
        <w:pStyle w:val="BodyText"/>
      </w:pPr>
      <w:r>
        <w:rPr>
          <w:bCs/>
          <w:b/>
        </w:rPr>
        <w:t xml:space="preserve">Finding 1 — the decision layer is a new, unpriced egress channel.</w:t>
      </w:r>
      <w:r>
        <w:t xml:space="preserve"> </w:t>
      </w:r>
      <w:r>
        <w:t xml:space="preserve">A router that judges trajectories must see trajectories. Even minimized to digests and previews, the decision API receives a longitudinal projection of every session an organisation runs: what its agents attempt, how they fail, what its error surfaces look like. This telemetry is not covered by the model-provider DPA (the router vendor is a separate controller relationship) and in the observed case had no discoverable retention policy, team, or EU hosting statement. For the sovereignty framework of §14.26/§14.31 the implication is structural: the compute substrate can be sovereign while the</w:t>
      </w:r>
      <w:r>
        <w:t xml:space="preserve"> </w:t>
      </w:r>
      <w:r>
        <w:rPr>
          <w:iCs/>
          <w:i/>
        </w:rPr>
        <w:t xml:space="preserve">decision</w:t>
      </w:r>
      <w:r>
        <w:t xml:space="preserve"> </w:t>
      </w:r>
      <w:r>
        <w:t xml:space="preserve">substrate silently is not. Routing-as-a-service therefore belongs in the same jurisdiction analysis as inference itself.</w:t>
      </w:r>
    </w:p>
    <w:p>
      <w:pPr>
        <w:pStyle w:val="BodyText"/>
      </w:pPr>
      <w:r>
        <w:rPr>
          <w:bCs/>
          <w:b/>
        </w:rPr>
        <w:t xml:space="preserve">Finding 2 — subscription arbitrage via client impersonation is an emergent gray-market pattern.</w:t>
      </w:r>
      <w:r>
        <w:t xml:space="preserve"> </w:t>
      </w:r>
      <w:r>
        <w:t xml:space="preserve">Hardcoding a first-party client ID converts a consumer subscription into metered infrastructure capacity, transferring ToS risk to the end user (the artifact’s own documentation concedes</w:t>
      </w:r>
      <w:r>
        <w:t xml:space="preserve"> </w:t>
      </w:r>
      <w:r>
        <w:t xml:space="preserve">“</w:t>
      </w:r>
      <w:r>
        <w:t xml:space="preserve">users are responsible for subscription compliance</w:t>
      </w:r>
      <w:r>
        <w:t xml:space="preserve">”</w:t>
      </w:r>
      <w:r>
        <w:t xml:space="preserve">). This is a provenance failure in the KYA sense (§14.24): the provider can no longer distinguish which harness actually originated a request, and the operator can no longer prove under whose terms their tokens flowed. The pattern predicts a countermeasure cycle — client attestation at the API boundary — analogous to the content-layer marking obligations of §14.46.</w:t>
      </w:r>
    </w:p>
    <w:p>
      <w:pPr>
        <w:pStyle w:val="BodyText"/>
      </w:pPr>
      <w:r>
        <w:rPr>
          <w:bCs/>
          <w:b/>
        </w:rPr>
        <w:t xml:space="preserve">Finding 3 — the defensible asset is the evidence loop, not the verdict.</w:t>
      </w:r>
      <w:r>
        <w:t xml:space="preserve"> </w:t>
      </w:r>
      <w:r>
        <w:t xml:space="preserve">The DWS adaptation test: the deterministic majority of the capability (trajectory recovery, loop/thrash/stall detectors, guarded escalation ladder) ported into the sovereign harness in one day with zero external dependency, replacing the paid verdict API with a transparent local heuristic (V3Thesis §10.28;</w:t>
      </w:r>
      <w:r>
        <w:t xml:space="preserve"> </w:t>
      </w:r>
      <w:r>
        <w:rPr>
          <w:rStyle w:val="VerbatimChar"/>
        </w:rPr>
        <w:t xml:space="preserve">src/factory/</w:t>
      </w:r>
      <w:r>
        <w:t xml:space="preserve">). What could</w:t>
      </w:r>
      <w:r>
        <w:t xml:space="preserve"> </w:t>
      </w:r>
      <w:r>
        <w:rPr>
          <w:iCs/>
          <w:i/>
        </w:rPr>
        <w:t xml:space="preserve">not</w:t>
      </w:r>
      <w:r>
        <w:t xml:space="preserve"> </w:t>
      </w:r>
      <w:r>
        <w:t xml:space="preserve">be ported is exactly what the vendor keeps: calibration data from many customers’ trajectories. This confirms the §14.45 coupling argument from a new direction — in agent infrastructure, the durable moat accrues to whoever owns the trajectory evidence, and a firm that exports its trajectories to buy verdicts is converting its own token capital into a vendor’s.</w:t>
      </w:r>
    </w:p>
    <w:p>
      <w:pPr>
        <w:pStyle w:val="BodyText"/>
      </w:pPr>
      <w:r>
        <w:rPr>
          <w:bCs/>
          <w:b/>
        </w:rPr>
        <w:t xml:space="preserve">Finding 4 — 48-hour distribution-grade artifacts move the due-diligence boundary.</w:t>
      </w:r>
      <w:r>
        <w:t xml:space="preserve"> </w:t>
      </w:r>
      <w:r>
        <w:t xml:space="preserve">An agent-written system now reaches</w:t>
      </w:r>
      <w:r>
        <w:t xml:space="preserve"> </w:t>
      </w:r>
      <w:r>
        <w:t xml:space="preserve">“</w:t>
      </w:r>
      <w:r>
        <w:t xml:space="preserve">adoptable</w:t>
      </w:r>
      <w:r>
        <w:t xml:space="preserve">”</w:t>
      </w:r>
      <w:r>
        <w:t xml:space="preserve"> </w:t>
      </w:r>
      <w:r>
        <w:t xml:space="preserve">polish faster than institutional trust signals (team, DPA, track record) can form. The artifact–legitimacy gap (§10.27, V3Thesis) thus acquires a supply-side corollary: evaluation must shift from proxies of effort (age, stars, team size) to direct inspection of data-flow and authentication posture, because effort proxies are now manufacturable in a weekend. The audit protocol that produced this section — clone, read the egress paths, read the auth module, decide adopt/adapt/reject — is offered as the minimum viable form of that inspection.</w:t>
      </w:r>
    </w:p>
    <w:p>
      <w:pPr>
        <w:pStyle w:val="BodyText"/>
      </w:pPr>
      <w:r>
        <w:rPr>
          <w:bCs/>
          <w:b/>
        </w:rPr>
        <w:t xml:space="preserve">Research contribution.</w:t>
      </w:r>
      <w:r>
        <w:t xml:space="preserve"> </w:t>
      </w:r>
      <w:r>
        <w:t xml:space="preserve">Names the agent-infrastructure decision layer as a distinct egress channel requiring jurisdiction analysis independent of the model provider; identifies subscription arbitrage via first-party client impersonation as an emergent pattern predicting API-boundary client attestation; and demonstrates by construction that the deterministic core of trajectory-aware routing is separable from the proprietary calibration loop — locating the durable asset in trajectory-evidence ownership.</w:t>
      </w:r>
    </w:p>
    <w:p>
      <w:pPr>
        <w:pStyle w:val="BodyText"/>
      </w:pPr>
      <w:r>
        <w:rPr>
          <w:bCs/>
          <w:b/>
        </w:rPr>
        <w:t xml:space="preserve">Key Contribution #52.</w:t>
      </w:r>
      <w:r>
        <w:t xml:space="preserve"> </w:t>
      </w:r>
      <w:r>
        <w:t xml:space="preserve">The Decision-Layer Egress Channel: trajectory-aware model routing places a third party at the judgment point of every agent session, creating a telemetry relationship outside the model-provider DPA that must enter the sovereignty analysis (§14.26/§14.31) on equal footing with inference; its deterministic core is separable and portable into a sovereign harness (demonstrated by the one-day DWS Factory Router adaptation, V3Thesis §10.28), so the vendor’s durable asset reduces to cross-customer trajectory calibration — confirming that in agent infrastructure the moat is trajectory-evidence ownership (§14.45), and yielding two operational rules: route verdicts locally unless the verdict provably requires cross-customer calibration, and treat any component that impersonates a first-party client as a provenance defect (§14.24) regardless of its engineering quality.</w:t>
      </w:r>
    </w:p>
    <w:bookmarkEnd w:id="331"/>
    <w:bookmarkStart w:id="332" w:name="X25f72405285c7590206f2c524b5438c0f94b2a7"/>
    <w:p>
      <w:pPr>
        <w:pStyle w:val="Heading3"/>
      </w:pPr>
      <w:r>
        <w:t xml:space="preserve">14.48 The Text-Provenance Extension: Machine Translation as a Second Obligation-Capability Instance</w:t>
      </w:r>
    </w:p>
    <w:p>
      <w:pPr>
        <w:pStyle w:val="FirstParagraph"/>
      </w:pPr>
      <w:r>
        <w:rPr>
          <w:bCs/>
          <w:b/>
        </w:rPr>
        <w:t xml:space="preserve">Signal (6 August 2026, first-party implementation).</w:t>
      </w:r>
      <w:r>
        <w:t xml:space="preserve"> </w:t>
      </w:r>
      <w:r>
        <w:t xml:space="preserve">A five-language field-note post (EN/FI/SV/DE/FR,</w:t>
      </w:r>
      <w:r>
        <w:t xml:space="preserve"> </w:t>
      </w:r>
      <w:r>
        <w:rPr>
          <w:rStyle w:val="VerbatimChar"/>
        </w:rPr>
        <w:t xml:space="preserve">onelifetime.world/posts/arvonluonnin-ajurit-2026*.html</w:t>
      </w:r>
      <w:r>
        <w:t xml:space="preserve">) shipped this session. The EN and FI texts were agent-drafted; the SV, DE and FR texts were produced by an external LLM (Google Gemini) on HIC instruction and adapted into the page templates. None of the five was reviewed by a named human before publication. All five carry regulatory content in the body text itself — EU AI Act Article 12/50 dates, CBAM and ETS2 deadlines, KYA-S1 consultation window — the same class of content §14.46 examined at the media layer.</w:t>
      </w:r>
    </w:p>
    <w:p>
      <w:pPr>
        <w:pStyle w:val="BodyText"/>
      </w:pPr>
      <w:r>
        <w:rPr>
          <w:bCs/>
          <w:b/>
        </w:rPr>
        <w:t xml:space="preserve">Finding 1 — translation is a capability act indistinguishable from generation for Article 50(4) purposes.</w:t>
      </w:r>
      <w:r>
        <w:t xml:space="preserve"> </w:t>
      </w:r>
      <w:r>
        <w:t xml:space="preserve">The statute’s test turns on whether the text underwent human review and whether editorial responsibility was assumed by an accountable person; it does not distinguish</w:t>
      </w:r>
      <w:r>
        <w:t xml:space="preserve"> </w:t>
      </w:r>
      <w:r>
        <w:t xml:space="preserve">“</w:t>
      </w:r>
      <w:r>
        <w:t xml:space="preserve">written from scratch</w:t>
      </w:r>
      <w:r>
        <w:t xml:space="preserve">”</w:t>
      </w:r>
      <w:r>
        <w:t xml:space="preserve"> </w:t>
      </w:r>
      <w:r>
        <w:t xml:space="preserve">from</w:t>
      </w:r>
      <w:r>
        <w:t xml:space="preserve"> </w:t>
      </w:r>
      <w:r>
        <w:t xml:space="preserve">“</w:t>
      </w:r>
      <w:r>
        <w:t xml:space="preserve">translated from a human- or AI-authored source.</w:t>
      </w:r>
      <w:r>
        <w:t xml:space="preserve">”</w:t>
      </w:r>
      <w:r>
        <w:t xml:space="preserve"> </w:t>
      </w:r>
      <w:r>
        <w:t xml:space="preserve">A translated regulatory claim can misstate a deadline as easily as a generated one. The deployer duty therefore attaches identically to both authorship modalities, extending the obligation-capability split (§14.46, Key Contribution #51) from the media layer to the text/translation layer.</w:t>
      </w:r>
    </w:p>
    <w:p>
      <w:pPr>
        <w:pStyle w:val="BodyText"/>
      </w:pPr>
      <w:r>
        <w:rPr>
          <w:bCs/>
          <w:b/>
        </w:rPr>
        <w:t xml:space="preserve">Finding 2 — a stricter-than-statutory default-on policy resolves the case-by-case judgment problem operationally.</w:t>
      </w:r>
      <w:r>
        <w:t xml:space="preserve"> </w:t>
      </w:r>
      <w:r>
        <w:rPr>
          <w:rStyle w:val="VerbatimChar"/>
        </w:rPr>
        <w:t xml:space="preserve">DWS_BLOG_STANDARD.md</w:t>
      </w:r>
      <w:r>
        <w:t xml:space="preserve"> </w:t>
      </w:r>
      <w:r>
        <w:t xml:space="preserve">§3.2.1 requires four conditions before a label may be removed — a named reviewer, demonstrated authority to amend or reject, a publicly reachable contact, and an explicit removal action — and defaults to leaving the label on. This session labelled all five variants, including the two (EN, FI) the agent itself drafted and the HIC approved in conversation. That conversational approval satisfied the publication gate (Rule 13 / §3.3) but not the reviewer-credit test on its own, since no per-page review record naming an accountable person was produced. The corollary is structural: a draft-approval gate and a content-provenance labelling gate are two distinct instruments with different evidentiary standards, and satisfying one does not discharge the other.</w:t>
      </w:r>
    </w:p>
    <w:p>
      <w:pPr>
        <w:pStyle w:val="BodyText"/>
      </w:pPr>
      <w:r>
        <w:rPr>
          <w:bCs/>
          <w:b/>
        </w:rPr>
        <w:t xml:space="preserve">Finding 3 — the compositing principle generalises from single-media overlay to a build-pipeline invariant.</w:t>
      </w:r>
      <w:r>
        <w:t xml:space="preserve"> </w:t>
      </w:r>
      <w:r>
        <w:t xml:space="preserve">§14.46 established that a transparency mark implemented at the presentation layer is a caption, not a marking, because it does not survive egress. The text-layer analogue was implemented as a machine-generated build step (</w:t>
      </w:r>
      <w:r>
        <w:rPr>
          <w:rStyle w:val="VerbatimChar"/>
        </w:rPr>
        <w:t xml:space="preserve">scripts/build-arvonluonnin-ajurit-post.mjs</w:t>
      </w:r>
      <w:r>
        <w:t xml:space="preserve">) that mechanically attaches the notice from a per-language table to every rendered page, rather than leaving the decision to per-post manual authoring. This converts</w:t>
      </w:r>
      <w:r>
        <w:t xml:space="preserve"> </w:t>
      </w:r>
      <w:r>
        <w:t xml:space="preserve">“</w:t>
      </w:r>
      <w:r>
        <w:t xml:space="preserve">did we remember to label this</w:t>
      </w:r>
      <w:r>
        <w:t xml:space="preserve">”</w:t>
      </w:r>
      <w:r>
        <w:t xml:space="preserve"> </w:t>
      </w:r>
      <w:r>
        <w:t xml:space="preserve">from an editorial judgment call, repeated and fallible per post, into a deterministic build-time invariant — the same design move §14.46 identified for video compositing, now shown to generalise to a multi-language text-publishing pipeline.</w:t>
      </w:r>
    </w:p>
    <w:p>
      <w:pPr>
        <w:pStyle w:val="BodyText"/>
      </w:pPr>
      <w:r>
        <w:rPr>
          <w:bCs/>
          <w:b/>
        </w:rPr>
        <w:t xml:space="preserve">Research contribution.</w:t>
      </w:r>
      <w:r>
        <w:t xml:space="preserve"> </w:t>
      </w:r>
      <w:r>
        <w:t xml:space="preserve">Extends the obligation-capability split (§14.46, Key Contribution #51) from AI-generated media to AI-drafted and machine-translated text carrying regulatory content; demonstrates that publication-approval gates and content-provenance labelling gates are non-substitutable governance layers even when the same human approves both in the same conversation; and shows the</w:t>
      </w:r>
      <w:r>
        <w:t xml:space="preserve"> </w:t>
      </w:r>
      <w:r>
        <w:t xml:space="preserve">“</w:t>
      </w:r>
      <w:r>
        <w:t xml:space="preserve">mark the artefact, not the page</w:t>
      </w:r>
      <w:r>
        <w:t xml:space="preserve">”</w:t>
      </w:r>
      <w:r>
        <w:t xml:space="preserve"> </w:t>
      </w:r>
      <w:r>
        <w:t xml:space="preserve">compositing principle generalising from a single-media overlay to a deterministic multi-language build-pipeline invariant.</w:t>
      </w:r>
    </w:p>
    <w:p>
      <w:pPr>
        <w:pStyle w:val="BodyText"/>
      </w:pPr>
      <w:r>
        <w:rPr>
          <w:bCs/>
          <w:b/>
        </w:rPr>
        <w:t xml:space="preserve">Key Contribution #53.</w:t>
      </w:r>
      <w:r>
        <w:t xml:space="preserve"> </w:t>
      </w:r>
      <w:r>
        <w:t xml:space="preserve">The Text-Provenance Extension: Article 50(4)’s obligation-capability split (Key Contribution #51) is shown to apply identically to AI-drafted and machine-translated text carrying regulatory content, not only to AI-generated media — the statute’s no-human-review/no-accountable-person test does not distinguish authorship modality. A stricter-than-statutory four-condition reviewer-credit test (named reviewer, demonstrated amend/reject authority, publicly reachable contact, explicit removal action), defaulting to label-on, is shown operationally sufficient and is distinct from — and not satisfied by — an upstream conversational publication-approval gate (Rule 13 /</w:t>
      </w:r>
      <w:r>
        <w:t xml:space="preserve"> </w:t>
      </w:r>
      <w:r>
        <w:rPr>
          <w:rStyle w:val="VerbatimChar"/>
        </w:rPr>
        <w:t xml:space="preserve">DWS_BLOG_STANDARD.md</w:t>
      </w:r>
      <w:r>
        <w:t xml:space="preserve"> </w:t>
      </w:r>
      <w:r>
        <w:t xml:space="preserve">§3.3), confirming that draft-approval and content-provenance labelling are non-substitutable governance layers. The compositing principle from §14.46 (mark the artefact, not the page) is shown to generalise from a single-media overlay to a deterministic multi-language build-pipeline invariant.</w:t>
      </w:r>
      <w:r>
        <w:t xml:space="preserve"> </w:t>
      </w: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32"/>
    <w:bookmarkStart w:id="333" w:name="X6b89ad0227005eca802286d94db0f7aff94c3c5"/>
    <w:p>
      <w:pPr>
        <w:pStyle w:val="Heading3"/>
      </w:pPr>
      <w:r>
        <w:t xml:space="preserve">14.50 Harness/Model Separation, Sovereign Local Orchestration, and Negative Capability</w:t>
      </w:r>
    </w:p>
    <w:p>
      <w:pPr>
        <w:pStyle w:val="FirstParagraph"/>
      </w:pPr>
      <w:r>
        <w:t xml:space="preserve">The DGX Spark runtime alignment supplies a concrete test of the sovereignty thesis: the harness and the model are separable governance objects. OpenCode 1.18.18 is the primary execution harness, Ollama is the local/open-model boundary, and Claude Code is retained as hot standby. This permits model improvement, including adoption of newer NVIDIA weights, without making the operator’s policy, skills, or evidence boundary provider-dependent.</w:t>
      </w:r>
    </w:p>
    <w:p>
      <w:pPr>
        <w:pStyle w:val="BodyText"/>
      </w:pPr>
      <w:r>
        <w:t xml:space="preserve">The architecture also demonstrates that sovereignty is defined by verified paths, not by the number of configured integrations. The local MCP gateway is usable through the project virtualenv and a compatible MCP SDK 1.x range. The separate</w:t>
      </w:r>
      <w:r>
        <w:t xml:space="preserve"> </w:t>
      </w:r>
      <w:r>
        <w:rPr>
          <w:rStyle w:val="VerbatimChar"/>
        </w:rPr>
        <w:t xml:space="preserve">dws-agents-local</w:t>
      </w:r>
      <w:r>
        <w:t xml:space="preserve"> </w:t>
      </w:r>
      <w:r>
        <w:t xml:space="preserve">SSE service remains disabled because its port-3001 listener is absent. That refusal to invent a substitute endpoint is a governance result: an unavailable egress path is recorded as unavailable rather than represented as a healthy but unverified capability.</w:t>
      </w:r>
    </w:p>
    <w:p>
      <w:pPr>
        <w:pStyle w:val="BodyText"/>
      </w:pPr>
      <w:r>
        <w:t xml:space="preserve">This creates a useful distinction for enterprise AI systems.</w:t>
      </w:r>
      <w:r>
        <w:t xml:space="preserve"> </w:t>
      </w:r>
      <w:r>
        <w:rPr>
          <w:bCs/>
          <w:b/>
        </w:rPr>
        <w:t xml:space="preserve">Positive capability</w:t>
      </w:r>
      <w:r>
        <w:t xml:space="preserve"> </w:t>
      </w:r>
      <w:r>
        <w:t xml:space="preserve">is a tool path that has passed connection and dependency checks;</w:t>
      </w:r>
      <w:r>
        <w:t xml:space="preserve"> </w:t>
      </w:r>
      <w:r>
        <w:rPr>
          <w:bCs/>
          <w:b/>
        </w:rPr>
        <w:t xml:space="preserve">negative capability</w:t>
      </w:r>
      <w:r>
        <w:t xml:space="preserve"> </w:t>
      </w:r>
      <w:r>
        <w:t xml:space="preserve">is the deliberate preservation of a boundary where the evidence is insufficient. The latter is not a missing feature to hide in product language. It is an auditable part of the deployment posture, especially where an apparently connected MCP server could move customer data or agent actions across a jurisdictional boundary.</w:t>
      </w:r>
    </w:p>
    <w:p>
      <w:pPr>
        <w:pStyle w:val="BodyText"/>
      </w:pPr>
      <w:r>
        <w:rPr>
          <w:bCs/>
          <w:b/>
        </w:rPr>
        <w:t xml:space="preserve">Research contribution.</w:t>
      </w:r>
      <w:r>
        <w:t xml:space="preserve"> </w:t>
      </w:r>
      <w:r>
        <w:t xml:space="preserve">Extends the sovereignty map from storage and inference location to harness composition and tool-egress evidence. It shows that local model choice, standby-provider choice, and MCP availability can be governed independently, while the explicit refusal to enable an unverified service becomes a measurable control rather than an operational inconvenience.</w:t>
      </w:r>
    </w:p>
    <w:p>
      <w:pPr>
        <w:pStyle w:val="BodyText"/>
      </w:pPr>
      <w:r>
        <w:rPr>
          <w:bCs/>
          <w:b/>
        </w:rPr>
        <w:t xml:space="preserve">Key Contribution #55.</w:t>
      </w:r>
      <w:r>
        <w:t xml:space="preserve"> </w:t>
      </w:r>
      <w:r>
        <w:t xml:space="preserve">Harness/model separation is a sovereignty primitive: OpenCode plus local/open inference can remain the primary path while Claude Code stays hot standby, and a verified MCP gateway can be enabled without treating an unavailable SSE service as healthy. This establishes negative capability, an explicitly preserved unavailable boundary, as part of the auditable deployment state, not as undocumented technical debt.</w:t>
      </w:r>
      <w:r>
        <w:t xml:space="preserve"> </w:t>
      </w:r>
      <w:r>
        <w:rPr>
          <w:iCs/>
          <w:i/>
        </w:rPr>
        <w:t xml:space="preserve">Companion: V3Thesis §10.30;</w:t>
      </w:r>
      <w:r>
        <w:rPr>
          <w:iCs/>
          <w:i/>
        </w:rPr>
        <w:t xml:space="preserve"> </w:t>
      </w:r>
      <w:r>
        <w:rPr>
          <w:rStyle w:val="VerbatimChar"/>
          <w:iCs/>
          <w:i/>
        </w:rPr>
        <w:t xml:space="preserve">docs/field-notes/2026-08-13-opencode-dgx-runtime-alignment.md</w:t>
      </w:r>
      <w:r>
        <w:rPr>
          <w:iCs/>
          <w:i/>
        </w:rPr>
        <w:t xml:space="preserve">.</w:t>
      </w:r>
    </w:p>
    <w:bookmarkEnd w:id="333"/>
    <w:bookmarkStart w:id="338" w:name="X6632c25ac33d0b171ce5b42cf5d67548e807fb5"/>
    <w:p>
      <w:pPr>
        <w:pStyle w:val="Heading3"/>
      </w:pPr>
      <w:r>
        <w:t xml:space="preserve">14.51 The Intelligence/Trust Decoupling: A Mathematician’s Exit from Academia as External Confirmation of the KYA Verification Thesis</w:t>
      </w:r>
    </w:p>
    <w:p>
      <w:pPr>
        <w:pStyle w:val="FirstParagraph"/>
      </w:pPr>
      <w:r>
        <w:t xml:space="preserve">On 2026-08-18 a PhD mathematician (Rishikesh Gajjala) published a first-person account of leaving math academia — not for burnout or job-market reasons, but because LLM-assisted discovery had compressed years of proof-search labor into weeks, which undercut his sense that finding answers was still his calling. His stated reason for staying in the field, reframed:</w:t>
      </w:r>
      <w:r>
        <w:t xml:space="preserve"> </w:t>
      </w:r>
      <w:r>
        <w:rPr>
          <w:bCs/>
          <w:b/>
        </w:rPr>
        <w:t xml:space="preserve">“</w:t>
      </w:r>
      <w:r>
        <w:rPr>
          <w:bCs/>
          <w:b/>
        </w:rPr>
        <w:t xml:space="preserve">Intelligence… is becoming abundant and cheaper by the day. Trust is not.</w:t>
      </w:r>
      <w:r>
        <w:rPr>
          <w:bCs/>
          <w:b/>
        </w:rPr>
        <w:t xml:space="preserve">”</w:t>
      </w:r>
      <w:r>
        <w:t xml:space="preserve"> </w:t>
      </w:r>
      <w:r>
        <w:t xml:space="preserve">He reports spending days determining whether an apparent LLM-generated proof breakthrough was actually correct —</w:t>
      </w:r>
      <w:r>
        <w:t xml:space="preserve"> </w:t>
      </w:r>
      <w:r>
        <w:t xml:space="preserve">“</w:t>
      </w:r>
      <w:r>
        <w:t xml:space="preserve">until it is verified, a beautiful proof is not different from slop</w:t>
      </w:r>
      <w:r>
        <w:t xml:space="preserve">”</w:t>
      </w:r>
      <w:r>
        <w:t xml:space="preserve"> </w:t>
      </w:r>
      <w:r>
        <w:t xml:space="preserve">— and is joining Pramaana Labs to work on formal verification (Lean) of LLM-discovered mathematical proofs, including claimed solutions to longstanding conjectures and Erdős problems.</w:t>
      </w:r>
    </w:p>
    <w:bookmarkStart w:id="334" w:name="Xb5f87e54ed72d0d9df1a4500989c296154890f5"/>
    <w:p>
      <w:pPr>
        <w:pStyle w:val="Heading4"/>
      </w:pPr>
      <w:r>
        <w:t xml:space="preserve">14.51.1 Why a mathematician’s career decision is PhD-thesis-relevant market signal</w:t>
      </w:r>
    </w:p>
    <w:p>
      <w:pPr>
        <w:pStyle w:val="FirstParagraph"/>
      </w:pPr>
      <w:r>
        <w:t xml:space="preserve">Mathematics is a clean instrument for this claim because correctness there is binary and machine-checkable in a way most enterprise domains are not — which is exactly why the intelligence/trust decoupling shows up first and most starkly there. The signal is independent, first-party, and carries a real cost (a PhD career pivot), which distinguishes it from a vendor claim: nobody selling formal verification tooling wrote this post.</w:t>
      </w:r>
    </w:p>
    <w:bookmarkEnd w:id="334"/>
    <w:bookmarkStart w:id="335" w:name="Xc79e5997cfc01c538046741cbd3365e5a6de8f9"/>
    <w:p>
      <w:pPr>
        <w:pStyle w:val="Heading4"/>
      </w:pPr>
      <w:r>
        <w:t xml:space="preserve">14.51.2 Composition with the existing KYA argument</w:t>
      </w:r>
    </w:p>
    <w:p>
      <w:pPr>
        <w:pStyle w:val="FirstParagraph"/>
      </w:pPr>
      <w:r>
        <w:t xml:space="preserve">This is external, non-DWS-adjacent confirmation of a claim the KYA program has been making from the inside since §14.24 (model-provenance/trust layer): once generation is cheap, verification becomes the scarce, defensible position, not generation itself. It also instantiates the general pattern from §14.42 (specification–standard distinction, four-gate falsifiability) in a new domain — Lean formalization is what</w:t>
      </w:r>
      <w:r>
        <w:t xml:space="preserve"> </w:t>
      </w:r>
      <w:r>
        <w:t xml:space="preserve">“</w:t>
      </w:r>
      <w:r>
        <w:t xml:space="preserve">falsifiable, machine-checkable evidence</w:t>
      </w:r>
      <w:r>
        <w:t xml:space="preserve">”</w:t>
      </w:r>
      <w:r>
        <w:t xml:space="preserve"> </w:t>
      </w:r>
      <w:r>
        <w:t xml:space="preserve">looks like when the artifact is a mathematical proof rather than an agent-governance claim — and shares the same shape as §14.46’s obligation–capability split (Gajjala’s own words: an unverified proof</w:t>
      </w:r>
      <w:r>
        <w:t xml:space="preserve"> </w:t>
      </w:r>
      <w:r>
        <w:t xml:space="preserve">“</w:t>
      </w:r>
      <w:r>
        <w:t xml:space="preserve">is not different from slop,</w:t>
      </w:r>
      <w:r>
        <w:t xml:space="preserve">”</w:t>
      </w:r>
      <w:r>
        <w:t xml:space="preserve"> </w:t>
      </w:r>
      <w:r>
        <w:t xml:space="preserve">i.e., the assertion and the verification are non-substitutable, exactly the KYA position on agent outputs).</w:t>
      </w:r>
    </w:p>
    <w:bookmarkEnd w:id="335"/>
    <w:bookmarkStart w:id="336" w:name="research-contribution-23"/>
    <w:p>
      <w:pPr>
        <w:pStyle w:val="Heading4"/>
      </w:pPr>
      <w:r>
        <w:t xml:space="preserve">14.51.3 Research Contribution</w:t>
      </w:r>
    </w:p>
    <w:p>
      <w:pPr>
        <w:pStyle w:val="FirstParagraph"/>
      </w:pPr>
      <w:r>
        <w:t xml:space="preserve">Extends the KYA trust-layer argument with an out-of-domain, adversarially-neutral data point: a domain expert with no stake in DWS or in agent-governance tooling independently arrived at the same conclusion — that abundant intelligence increases, rather than decreases, the marginal value of verification — and made a career-level decision on that basis. Strengthens the falsifiability of the KYA trust thesis by giving it a prediction that was not authored by DWS and that could, in principle, have gone the other way (a mathematician could equally have concluded verification was becoming easy too).</w:t>
      </w:r>
    </w:p>
    <w:p>
      <w:pPr>
        <w:pStyle w:val="BodyText"/>
      </w:pPr>
      <w:r>
        <w:rPr>
          <w:bCs/>
          <w:b/>
        </w:rPr>
        <w:t xml:space="preserve">Key Contribution #56.</w:t>
      </w:r>
      <w:r>
        <w:t xml:space="preserve"> </w:t>
      </w:r>
      <w:r>
        <w:t xml:space="preserve">The intelligence/trust decoupling that motivates the KYA verification layer is not DWS-specific: an independent, costly, first-person exit decision from math academia (Gajjala → Pramaana Labs, Lean formal verification, 2026-08-18) instantiates the identical claim — once generation is abundant, an unverified output is indistinguishable from noise regardless of how sophisticated it looks — in a domain (formal mathematics) chosen for its binary machine-checkable correctness, giving the KYA trust thesis external, non-commercial corroboration.</w:t>
      </w:r>
      <w:r>
        <w:t xml:space="preserve"> </w:t>
      </w:r>
      <w:r>
        <w:rPr>
          <w:iCs/>
          <w:i/>
        </w:rPr>
        <w:t xml:space="preserve">Companion:</w:t>
      </w:r>
      <w:r>
        <w:rPr>
          <w:iCs/>
          <w:i/>
        </w:rPr>
        <w:t xml:space="preserve"> </w:t>
      </w:r>
      <w:r>
        <w:rPr>
          <w:rStyle w:val="VerbatimChar"/>
          <w:iCs/>
          <w:i/>
        </w:rPr>
        <w:t xml:space="preserve">docs/field-notes/2026-08-18-gajjala-math-academia-verification-signal.md</w:t>
      </w:r>
      <w:r>
        <w:rPr>
          <w:iCs/>
          <w:i/>
        </w:rPr>
        <w:t xml:space="preserve">. No master’s-thesis counterpart added — market/scientific signal only, per the §1.4 scope rule; flagged</w:t>
      </w:r>
      <w:r>
        <w:rPr>
          <w:iCs/>
          <w:i/>
        </w:rPr>
        <w:t xml:space="preserve"> </w:t>
      </w:r>
      <w:r>
        <w:rPr>
          <w:rStyle w:val="VerbatimChar"/>
          <w:iCs/>
          <w:i/>
        </w:rPr>
        <w:t xml:space="preserve">unverified</w:t>
      </w:r>
      <w:r>
        <w:rPr>
          <w:iCs/>
          <w:i/>
        </w:rPr>
        <w:t xml:space="preserve"> </w:t>
      </w:r>
      <w:r>
        <w:rPr>
          <w:iCs/>
          <w:i/>
        </w:rPr>
        <w:t xml:space="preserve">on the specific facts of Pramaana Labs and the named Erdős problems, not on the reusable thesis.</w:t>
      </w:r>
    </w:p>
    <w:bookmarkEnd w:id="336"/>
    <w:bookmarkStart w:id="337" w:name="Xa176623b8c7c90a176a49160847c632ba542dce"/>
    <w:p>
      <w:pPr>
        <w:pStyle w:val="Heading4"/>
      </w:pPr>
      <w:r>
        <w:t xml:space="preserve">14.51.4 External Verification (2026-08-18, same-day follow-up)</w:t>
      </w:r>
    </w:p>
    <w:p>
      <w:pPr>
        <w:pStyle w:val="FirstParagraph"/>
      </w:pPr>
      <w:r>
        <w:t xml:space="preserve">The HIC asked the agent to study</w:t>
      </w:r>
      <w:r>
        <w:t xml:space="preserve"> </w:t>
      </w:r>
      <w:r>
        <w:rPr>
          <w:rStyle w:val="VerbatimChar"/>
        </w:rPr>
        <w:t xml:space="preserve">pramaanalabs.ai</w:t>
      </w:r>
      <w:r>
        <w:t xml:space="preserve"> </w:t>
      </w:r>
      <w:r>
        <w:t xml:space="preserve">directly. A direct fetch was blocked by this session’s network egress policy (domain not on the allowlist); the company’s own</w:t>
      </w:r>
      <w:r>
        <w:t xml:space="preserve"> </w:t>
      </w:r>
      <w:r>
        <w:t xml:space="preserve">“</w:t>
      </w:r>
      <w:r>
        <w:t xml:space="preserve">four pillars</w:t>
      </w:r>
      <w:r>
        <w:t xml:space="preserve">”</w:t>
      </w:r>
      <w:r>
        <w:t xml:space="preserve"> </w:t>
      </w:r>
      <w:r>
        <w:t xml:space="preserve">text —</w:t>
      </w:r>
      <w:r>
        <w:t xml:space="preserve"> </w:t>
      </w:r>
      <w:r>
        <w:t xml:space="preserve">“</w:t>
      </w:r>
      <w:r>
        <w:t xml:space="preserve">Plausible Is Not Provable,</w:t>
      </w:r>
      <w:r>
        <w:t xml:space="preserve">”</w:t>
      </w:r>
      <w:r>
        <w:t xml:space="preserve"> </w:t>
      </w:r>
      <w:r>
        <w:t xml:space="preserve">“</w:t>
      </w:r>
      <w:r>
        <w:t xml:space="preserve">Rules Are Not Flat Text,</w:t>
      </w:r>
      <w:r>
        <w:t xml:space="preserve">”</w:t>
      </w:r>
      <w:r>
        <w:t xml:space="preserve"> </w:t>
      </w:r>
      <w:r>
        <w:t xml:space="preserve">“</w:t>
      </w:r>
      <w:r>
        <w:t xml:space="preserve">Confidence Is Not Accountability,</w:t>
      </w:r>
      <w:r>
        <w:t xml:space="preserve">”</w:t>
      </w:r>
      <w:r>
        <w:t xml:space="preserve"> </w:t>
      </w:r>
      <w:r>
        <w:t xml:space="preserve">“</w:t>
      </w:r>
      <w:r>
        <w:t xml:space="preserve">Human Review Does Not Scale</w:t>
      </w:r>
      <w:r>
        <w:t xml:space="preserve">”</w:t>
      </w:r>
      <w:r>
        <w:t xml:space="preserve"> </w:t>
      </w:r>
      <w:r>
        <w:t xml:space="preserve">— was supplied by the HIC from the site rather than independently re-fetched.</w:t>
      </w:r>
      <w:r>
        <w:t xml:space="preserve"> </w:t>
      </w:r>
      <w:r>
        <w:rPr>
          <w:rStyle w:val="VerbatimChar"/>
        </w:rPr>
        <w:t xml:space="preserve">WebSearch</w:t>
      </w:r>
      <w:r>
        <w:t xml:space="preserve"> </w:t>
      </w:r>
      <w:r>
        <w:t xml:space="preserve">was used to corroborate the underlying facts from third-party sources instead of relying on the pasted text alone:</w:t>
      </w:r>
    </w:p>
    <w:p>
      <w:pPr>
        <w:pStyle w:val="BodyText"/>
      </w:pPr>
      <w:r>
        <w:t xml:space="preserve">Pramaana Labs is confirmed as a real, funded company: a</w:t>
      </w:r>
      <w:r>
        <w:t xml:space="preserve"> </w:t>
      </w:r>
      <w:r>
        <w:rPr>
          <w:bCs/>
          <w:b/>
        </w:rPr>
        <w:t xml:space="preserve">$27M seed round</w:t>
      </w:r>
      <w:r>
        <w:t xml:space="preserve"> </w:t>
      </w:r>
      <w:r>
        <w:t xml:space="preserve">(announced 2026-06-17, TechCrunch/SiliconANGLE/TheNextWeb/TechTimes/AI Weekly)</w:t>
      </w:r>
      <w:r>
        <w:t xml:space="preserve"> </w:t>
      </w:r>
      <w:r>
        <w:rPr>
          <w:bCs/>
          <w:b/>
        </w:rPr>
        <w:t xml:space="preserve">led by Khosla Ventures</w:t>
      </w:r>
      <w:r>
        <w:t xml:space="preserve"> </w:t>
      </w:r>
      <w:r>
        <w:t xml:space="preserve">with Accel, BoldCap, Nexus Venture Partners, Premji Invest, and Unbound participating; CEO/co-founder</w:t>
      </w:r>
      <w:r>
        <w:t xml:space="preserve"> </w:t>
      </w:r>
      <w:r>
        <w:rPr>
          <w:bCs/>
          <w:b/>
        </w:rPr>
        <w:t xml:space="preserve">Ranjan Rajagopalan</w:t>
      </w:r>
      <w:r>
        <w:t xml:space="preserve">; a hybrid LLM-plus-Lean deterministic verification architecture described in press coverage as compiler-like; target verticals</w:t>
      </w:r>
      <w:r>
        <w:t xml:space="preserve"> </w:t>
      </w:r>
      <w:r>
        <w:rPr>
          <w:bCs/>
          <w:b/>
        </w:rPr>
        <w:t xml:space="preserve">law, drug discovery, and tax preparation</w:t>
      </w:r>
      <w:r>
        <w:t xml:space="preserve">; domain partners including former IRS Commissioner</w:t>
      </w:r>
      <w:r>
        <w:t xml:space="preserve"> </w:t>
      </w:r>
      <w:r>
        <w:rPr>
          <w:bCs/>
          <w:b/>
        </w:rPr>
        <w:t xml:space="preserve">Danny Werfel</w:t>
      </w:r>
      <w:r>
        <w:t xml:space="preserve"> </w:t>
      </w:r>
      <w:r>
        <w:t xml:space="preserve">and professors from</w:t>
      </w:r>
      <w:r>
        <w:t xml:space="preserve"> </w:t>
      </w:r>
      <w:r>
        <w:rPr>
          <w:bCs/>
          <w:b/>
        </w:rPr>
        <w:t xml:space="preserve">IIT Delhi, IIT Madras, and UC Berkeley</w:t>
      </w:r>
      <w:r>
        <w:t xml:space="preserve">. This upgrades</w:t>
      </w:r>
      <w:r>
        <w:t xml:space="preserve"> </w:t>
      </w:r>
      <w:r>
        <w:t xml:space="preserve">“</w:t>
      </w:r>
      <w:r>
        <w:t xml:space="preserve">Pramaana Labs’ identity/backing</w:t>
      </w:r>
      <w:r>
        <w:t xml:space="preserve">”</w:t>
      </w:r>
      <w:r>
        <w:t xml:space="preserve"> </w:t>
      </w:r>
      <w:r>
        <w:t xml:space="preserve">from</w:t>
      </w:r>
      <w:r>
        <w:t xml:space="preserve"> </w:t>
      </w:r>
      <w:r>
        <w:rPr>
          <w:rStyle w:val="VerbatimChar"/>
        </w:rPr>
        <w:t xml:space="preserve">unverified</w:t>
      </w:r>
      <w:r>
        <w:t xml:space="preserve"> </w:t>
      </w:r>
      <w:r>
        <w:t xml:space="preserve">to third-party-corroborated. Gajjala himself is independently confirmed as a credentialed researcher (PhD, Indian Institute of Science, 2025; postdoc at NYU Abu Dhabi CQTS, quantum computing/combinatorics) via his faculty page, dblp, Google Scholar, and OpenReview — but his specific move to Pramaana Labs remains self-reported and unconfirmed by a third party as of this check, and the named Erdős problems remain unverified.</w:t>
      </w:r>
    </w:p>
    <w:p>
      <w:pPr>
        <w:pStyle w:val="BodyText"/>
      </w:pPr>
      <w:r>
        <w:t xml:space="preserve">The site’s own four-pillar framing is itself a second, independent instance of the KYA claim, and its citation of</w:t>
      </w:r>
      <w:r>
        <w:t xml:space="preserve"> </w:t>
      </w:r>
      <w:r>
        <w:rPr>
          <w:bCs/>
          <w:b/>
        </w:rPr>
        <w:t xml:space="preserve">RuleArena</w:t>
      </w:r>
      <w:r>
        <w:t xml:space="preserve"> </w:t>
      </w:r>
      <w:r>
        <w:t xml:space="preserve">(ACL 2025, arXiv:2412.08972) supplies the first peer-reviewed academic corroboration in this signal chain: a benchmark of 95 rules and 816 test problems across airline baggage fees, NBA transaction legality, and tax computation, finding that LLMs struggle to identify the correct rule, make computation errors even after finding it, and improve substantially only when given external tools for oracle math/logic — the same generation/verification split argued in §14.51.1–14.51.3, now with a domain (rule-guided regulatory reasoning) much closer to DWS’s own product surface (compliance, tax, contracts) than pure mathematics, and with peer review behind it rather than a single first-person account.</w:t>
      </w:r>
    </w:p>
    <w:p>
      <w:pPr>
        <w:pStyle w:val="BodyText"/>
      </w:pPr>
      <w:r>
        <w:rPr>
          <w:bCs/>
          <w:b/>
        </w:rPr>
        <w:t xml:space="preserve">Key Contribution #56 (extended).</w:t>
      </w:r>
      <w:r>
        <w:t xml:space="preserve"> </w:t>
      </w:r>
      <w:r>
        <w:t xml:space="preserve">The Pramaana Labs company facts are now third-party-verified (funding, leadership, technical approach, target verticals, domain partners), strengthening the corroboration from</w:t>
      </w:r>
      <w:r>
        <w:t xml:space="preserve"> </w:t>
      </w:r>
      <w:r>
        <w:t xml:space="preserve">“</w:t>
      </w:r>
      <w:r>
        <w:t xml:space="preserve">one credible first-person account</w:t>
      </w:r>
      <w:r>
        <w:t xml:space="preserve">”</w:t>
      </w:r>
      <w:r>
        <w:t xml:space="preserve"> </w:t>
      </w:r>
      <w:r>
        <w:t xml:space="preserve">to</w:t>
      </w:r>
      <w:r>
        <w:t xml:space="preserve"> </w:t>
      </w:r>
      <w:r>
        <w:t xml:space="preserve">“</w:t>
      </w:r>
      <w:r>
        <w:t xml:space="preserve">a funded company independently making, and a peer-reviewed ACL 2025 benchmark independently evidencing, the same generation/verification split the KYA program argues from the inside.</w:t>
      </w:r>
      <w:r>
        <w:t xml:space="preserve">”</w:t>
      </w:r>
      <w:r>
        <w:t xml:space="preserve"> </w:t>
      </w:r>
      <w:r>
        <w:t xml:space="preserve">Gajjala’s personal credentials are independently confirmed; his specific employer move is not yet third-party-confirmed and stays flagged accordingly.</w:t>
      </w:r>
      <w:r>
        <w:t xml:space="preserve"> </w:t>
      </w:r>
      <w:r>
        <w:rPr>
          <w:iCs/>
          <w:i/>
        </w:rPr>
        <w:t xml:space="preserve">Companion:</w:t>
      </w:r>
      <w:r>
        <w:rPr>
          <w:iCs/>
          <w:i/>
        </w:rPr>
        <w:t xml:space="preserve"> </w:t>
      </w:r>
      <w:r>
        <w:rPr>
          <w:rStyle w:val="VerbatimChar"/>
          <w:iCs/>
          <w:i/>
        </w:rPr>
        <w:t xml:space="preserve">docs/field-notes/2026-08-18-gajjala-math-academia-verification-signal.md</w:t>
      </w:r>
      <w:r>
        <w:rPr>
          <w:iCs/>
          <w:i/>
        </w:rPr>
        <w:t xml:space="preserve"> </w:t>
      </w:r>
      <w:r>
        <w:rPr>
          <w:iCs/>
          <w:i/>
        </w:rPr>
        <w:t xml:space="preserve">(Verification update section); RuleArena —</w:t>
      </w:r>
      <w:r>
        <w:rPr>
          <w:iCs/>
          <w:i/>
        </w:rPr>
        <w:t xml:space="preserve"> </w:t>
      </w:r>
      <w:r>
        <w:rPr>
          <w:rStyle w:val="VerbatimChar"/>
          <w:iCs/>
          <w:i/>
        </w:rPr>
        <w:t xml:space="preserve">aclanthology.org/2025.acl-long.27</w:t>
      </w:r>
      <w:r>
        <w:rPr>
          <w:iCs/>
          <w:i/>
        </w:rPr>
        <w:t xml:space="preserve">,</w:t>
      </w:r>
      <w:r>
        <w:rPr>
          <w:iCs/>
          <w:i/>
        </w:rPr>
        <w:t xml:space="preserve"> </w:t>
      </w:r>
      <w:r>
        <w:rPr>
          <w:rStyle w:val="VerbatimChar"/>
          <w:iCs/>
          <w:i/>
        </w:rPr>
        <w:t xml:space="preserve">arxiv.org/abs/2412.08972</w:t>
      </w:r>
      <w:r>
        <w:rPr>
          <w:iCs/>
          <w:i/>
        </w:rPr>
        <w:t xml:space="preserve">.</w:t>
      </w:r>
    </w:p>
    <w:bookmarkEnd w:id="337"/>
    <w:bookmarkEnd w:id="338"/>
    <w:bookmarkEnd w:id="339"/>
    <w:bookmarkEnd w:id="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2026-08-22T04:34:53Z</dcterms:created>
  <dcterms:modified xsi:type="dcterms:W3CDTF">2026-08-22T04:34:53Z</dcterms:modified>
</cp:coreProperties>
</file>

<file path=docProps/custom.xml><?xml version="1.0" encoding="utf-8"?>
<Properties xmlns="http://schemas.openxmlformats.org/officeDocument/2006/custom-properties" xmlns:vt="http://schemas.openxmlformats.org/officeDocument/2006/docPropsVTypes"/>
</file>