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778495ede64f780ee20a17419b911b803b17"/>
    <w:p>
      <w:pPr>
        <w:pStyle w:val="Heading1"/>
      </w:pPr>
      <w:r>
        <w:t xml:space="preserve">Firehorse Product Manufacturing Operating Model</w:t>
      </w:r>
    </w:p>
    <w:bookmarkStart w:id="20" w:name="X23038f51c82a5836529dc388a6b0ad950b800f0"/>
    <w:p>
      <w:pPr>
        <w:pStyle w:val="Heading2"/>
      </w:pPr>
      <w:r>
        <w:t xml:space="preserve">Hybrid AI-Edge Architecture for Climate-Intelligent Industrial Platforms</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4.02</w:t>
      </w:r>
      <w:r>
        <w:t xml:space="preserve"> </w:t>
      </w:r>
      <w:r>
        <w:t xml:space="preserve">Sessions &amp; Modifications:</w:t>
      </w:r>
    </w:p>
    <w:p>
      <w:pPr>
        <w:numPr>
          <w:ilvl w:val="0"/>
          <w:numId w:val="1001"/>
        </w:numPr>
      </w:pPr>
      <w:r>
        <w:t xml:space="preserve">Version: 4.02 | Tool: Claude Code (Sonnet 5) | Session: claude/math-academia-verification-96jpbf | Date: 18.08.2026 | Changes: Lockstep version bump only — no master’s-thesis content added. The substantive addition (§14.51.4, extending Key Contribution #56: third-party verification of Pramaana Labs via WebSearch — $27M Khosla Ventures-led seed, CEO Ranjan Rajagopalan, and the RuleArena ACL 2025 benchmark as new peer-reviewed corroborating evidence) is a market/scientific signal, out of scope for the implementation-focused master’s thesis per §1.4. Companion: PHD_FIREHORSE_EN §14.51.4. Lockstep 4.01-&gt;4.02.</w:t>
      </w:r>
    </w:p>
    <w:p>
      <w:pPr>
        <w:numPr>
          <w:ilvl w:val="0"/>
          <w:numId w:val="1001"/>
        </w:numPr>
      </w:pPr>
      <w:r>
        <w:t xml:space="preserve">Version: 4.01 | Tool: Claude Code (Sonnet 5) | Session: claude/math-academia-verification-96jpbf | Date: 18.08.2026 | Changes: Lockstep version bump only — no master’s-thesis content added. The substantive addition (§14.51, Key Contribution #56: the intelligence/trust decoupling as external confirmation of the KYA verification thesis, sourced from Rishikesh Gajjala’s 2026-08-18 exit from math academia for Pramaana Labs formal verification) is a market/scientific signal, out of scope for the implementation-focused master’s thesis per §1.4. Recorded here per the CLAUDE.md four-file lockstep rule. Companion: PHD_FIREHORSE_EN §14.51;</w:t>
      </w:r>
      <w:r>
        <w:t xml:space="preserve"> </w:t>
      </w:r>
      <w:r>
        <w:rPr>
          <w:rStyle w:val="VerbatimChar"/>
        </w:rPr>
        <w:t xml:space="preserve">docs/field-notes/2026-08-18-gajjala-math-academia-verification-signal.md</w:t>
      </w:r>
      <w:r>
        <w:t xml:space="preserve">. Lockstep 4.00-&gt;4.01.</w:t>
      </w:r>
    </w:p>
    <w:p>
      <w:pPr>
        <w:numPr>
          <w:ilvl w:val="0"/>
          <w:numId w:val="1001"/>
        </w:numPr>
      </w:pPr>
      <w:r>
        <w:t xml:space="preserve">Version: 4.00 | Tool: GitHub Copilot CLI | Session: fix/dgx-opencode-mcp | Date: 13.08.2026 | Changes: Added §10.30 (OpenCode-primary DGX runtime and MCP boundary). Records the verified OpenCode 1.18.18 + Ollama/open-model development path, Claude Code hot standby, Linux PATH handling, the gateway virtualenv, MCP SDK compatibility pin, and the explicit boundary created by disabling the unavailable port-3001 SSE service. Lockstep 3.99-&gt;4.00 with PHD_FIREHORSE §14.50 / Key Contribution #55.</w:t>
      </w:r>
    </w:p>
    <w:p>
      <w:pPr>
        <w:numPr>
          <w:ilvl w:val="0"/>
          <w:numId w:val="1001"/>
        </w:numPr>
      </w:pPr>
      <w:r>
        <w:t xml:space="preserve">Version: 3.99 | Tool: Claude Code | Session: claude/kya-audit-update | Date: 10.08.2026 | Changes: Added §10.29 (KYA Audit and Reference Implementation Hardening). Implementation evidence per the Thesis Content Scope Rule; the scientific/market-signal counterpart is PHD_FIREHORSE §14.49 / Key Contribution #54, added in the same lockstep. Records the 10.08.2026 KYA audit which hardened the reference implementation by: (1) restricting proactive advisor-phase nudges to</w:t>
      </w:r>
      <w:r>
        <w:t xml:space="preserve"> </w:t>
      </w:r>
      <w:r>
        <w:rPr>
          <w:rStyle w:val="VerbatimChar"/>
        </w:rPr>
        <w:t xml:space="preserve">compliance</w:t>
      </w:r>
      <w:r>
        <w:t xml:space="preserve">,</w:t>
      </w:r>
      <w:r>
        <w:t xml:space="preserve"> </w:t>
      </w:r>
      <w:r>
        <w:rPr>
          <w:rStyle w:val="VerbatimChar"/>
        </w:rPr>
        <w:t xml:space="preserve">customer-sat</w:t>
      </w:r>
      <w:r>
        <w:t xml:space="preserve">, and</w:t>
      </w:r>
      <w:r>
        <w:t xml:space="preserve"> </w:t>
      </w:r>
      <w:r>
        <w:rPr>
          <w:rStyle w:val="VerbatimChar"/>
        </w:rPr>
        <w:t xml:space="preserve">sitesense</w:t>
      </w:r>
      <w:r>
        <w:t xml:space="preserve"> </w:t>
      </w:r>
      <w:r>
        <w:t xml:space="preserve">while other agents remain</w:t>
      </w:r>
      <w:r>
        <w:t xml:space="preserve"> </w:t>
      </w:r>
      <w:r>
        <w:rPr>
          <w:rStyle w:val="VerbatimChar"/>
        </w:rPr>
        <w:t xml:space="preserve">silent_pilot</w:t>
      </w:r>
      <w:r>
        <w:t xml:space="preserve"> </w:t>
      </w:r>
      <w:r>
        <w:t xml:space="preserve">by default, (2) removing latency from ATS (Agent Trust Score) scoring while retaining it as observability-only telemetry to prevent scoring instability, and (3) separating the live registered-agent count (69) from the 88 capabilities/roles claim to prevent evidence drift. Lockstep 3.98-&gt;3.99.</w:t>
      </w:r>
    </w:p>
    <w:p>
      <w:pPr>
        <w:numPr>
          <w:ilvl w:val="0"/>
          <w:numId w:val="1001"/>
        </w:numPr>
      </w:pPr>
      <w:r>
        <w:t xml:space="preserve">Version: 3.98 | Tool: Claude Code (Sonnet 5) | Session: claude/arvonluonnin-ajurit-research-hpiipo | Date: 06.08.2026 | Changes: Added §10.17 (Extending Article 50(4) Labelling to AI-Drafted and Machine-Translated Text). Implementation evidence per the Thesis Content Scope Rule; the scientific/market-signal counterpart is PHD_FIREHORSE §14.48 / Key Contribution #53, added in the same lockstep. Records the first live test of the DWS_BLOG_STANDARD §3.2.1 four-condition reviewer-credit policy against a real multi-language publish (the arvonluonnin-ajurit-2026 five-language blog post, EN/FI agent-drafted, SV/DE/FR Gemini-drafted on HIC instruction): all five removal conditions unmet at publish time, so all five ship with the AI-content notice; the build script (scripts/build-arvonluonnin-ajurit-post.mjs) attaches the notice from a per-language table rather than per-post authoring; and the finding that the HIC’s conversational draft approval (Rule 13/§3.3 publication gate) does not on its own satisfy the separate reviewer-credit labelling gate. Companion: docs/BLOG_STANDARD.md §3 (#49-53); docs/KONSULTOINNIN_KASIKIRJA_2026.md v1.11. Lockstep 3.97-&gt;3.98.</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Lockstep version bump 3.93 -&gt; 3.94 per the CLAUDE.md Thesis Rule. No content change here: the v3.94 correction (marginal token cost on owned hardware is bounded, not zero; and the six-metric requirement before the depth argument may be used as a commercial claim) is market-signal and scientific framing, and lives in PHD_FIREHORSE §14.45.</w:t>
      </w:r>
    </w:p>
    <w:p>
      <w:pPr>
        <w:numPr>
          <w:ilvl w:val="0"/>
          <w:numId w:val="1001"/>
        </w:numPr>
      </w:pPr>
      <w:r>
        <w:t xml:space="preserve">Version: 3.93 | Tool: Claude Code | Session: claude/enterprise-ai-harness-0anl7s | Date: 30.07.2026 | Changes: Lockstep version bump 3.92 -&gt; 3.93 per the CLAUDE.md Thesis Rule. No content change here: the v3.93 addition (the two-operational-profile split, the dimensionable-knee argument, and the compute-plus-jurisdiction coupling) is market-signal and scientific framing, and lives in PHD_FIREHORSE §14.45 Finding 5 / Key Contribution #50.</w:t>
      </w:r>
    </w:p>
    <w:p>
      <w:pPr>
        <w:numPr>
          <w:ilvl w:val="0"/>
          <w:numId w:val="1001"/>
        </w:numPr>
      </w:pPr>
      <w:r>
        <w:t xml:space="preserve">Version: 3.92 | Tool: Claude Code | Session: claude/enterprise-ai-harness-0anl7s | Date: 30.07.2026 | Changes: Lockstep version bump 3.91 -&gt; 3.92 per the CLAUDE.md Thesis Rule. No content change here: the v3.92 addition (the harness-paywall / depth-arbitrage dialectic and its capacity-planning boundary condition) is market-signal and scientific framing, and lives in PHD_FIREHORSE §14.45 / Key Contribution #50.</w:t>
      </w:r>
    </w:p>
    <w:p>
      <w:pPr>
        <w:numPr>
          <w:ilvl w:val="0"/>
          <w:numId w:val="1001"/>
        </w:numPr>
      </w:pPr>
      <w:r>
        <w:t xml:space="preserve">Version: 3.91 | Tool: Claude Code | Session: claude/ollama-orchestration-merge-047pj7 | Date: 26.07.2026 | Changes: Lockstep version bump 3.90 → 3.91 per the CLAUDE.md Thesis Rule. No content change here: the v3.91 addition (a supply-concentration mitigation — non-NVIDIA fallback compute layer at testbed scale converting lock-in into a governed managed dependency) is market-signal/scientific framing and lives in PHD_FIREHORSE §14.44 Finding 3.</w:t>
      </w:r>
    </w:p>
    <w:p>
      <w:pPr>
        <w:numPr>
          <w:ilvl w:val="0"/>
          <w:numId w:val="1001"/>
        </w:numPr>
      </w:pPr>
      <w:r>
        <w:t xml:space="preserve">Version: 3.90 | Tool: Claude Code | Session: claude/ollama-orchestration-merge-047pj7 | Date: 26.07.2026 | Changes: Lockstep version bump 3.89 → 3.90 per the CLAUDE.md Thesis Rule. No content change here: the v3.90 change (Cosmos 3 Edge / DeepSeek-V4-Pro specs VERIFIED against primary sources 26.07.2026; §14.44 caveat upgraded + family-tier/physical-AI refinement + a FI-file placement fix) is market-signal/scientific framing and lives in PHD_FIREHORSE §14.44.</w:t>
      </w:r>
    </w:p>
    <w:p>
      <w:pPr>
        <w:numPr>
          <w:ilvl w:val="0"/>
          <w:numId w:val="1001"/>
        </w:numPr>
      </w:pPr>
      <w:r>
        <w:t xml:space="preserve">Version: 3.89 | Tool: Claude Code | Session: claude/ollama-orchestration-merge-047pj7 | Date: 26.07.2026 | Changes: Lockstep version bump 3.88 → 3.89 across all 4 thesis files per the CLAUDE.md Thesis Rule. No content change in this master’s thesis file: the v3.89 addition (NVIDIA Cosmos 3 Edge on-device world model as the build→adopt inflection for the Lifetime World Model, and the data-sovereign vs supply-concentrated tension) is a market-signal / scientific-framing contribution and per the §1.4 scope rule lives in PHD_FIREHORSE_EN.md §14.44 and Key Contribution #49. When/if Cosmos 3 Edge is actually wired into the stack, the implementation evidence will be added to this file’s Appendix E. Specs are external/unverified (user-reported NVIDIA announcements, July 2026). Companion: docs/field-notes/2026-07-26-cosmos-3-edge-lwm-build-adopt-inflection.md.</w:t>
      </w:r>
    </w:p>
    <w:p>
      <w:pPr>
        <w:numPr>
          <w:ilvl w:val="0"/>
          <w:numId w:val="1001"/>
        </w:numPr>
      </w:pPr>
      <w:r>
        <w:t xml:space="preserve">Version: 3.88 | Tool: Claude Code | Session: claude/ollama-orchestration-merge-047pj7 | Date: 26.07.2026 | Changes: Amended Appendix E (LWM Training Infrastructure) with a verified training-hardware reality subsection (implementation evidence per the §1.4 master-vs-PhD scope rule; the existing QLoRA pipeline text is preserved per Rule 12). Confirms the GN-100 is an edge INFERENCE / development node — feasible for QLoRA fine-tuning of small (~7–13B) models, NOT for full ~55B LWM pretraining (training footprint ~8–16× inference → hundreds of GB–TB vs 128 GB unified). Records the PR #1720 verification demoting the separate on-prem</w:t>
      </w:r>
      <w:r>
        <w:t xml:space="preserve"> </w:t>
      </w:r>
      <w:r>
        <w:t xml:space="preserve">“</w:t>
      </w:r>
      <w:r>
        <w:t xml:space="preserve">Acer Node</w:t>
      </w:r>
      <w:r>
        <w:t xml:space="preserve">”</w:t>
      </w:r>
      <w:r>
        <w:t xml:space="preserve"> </w:t>
      </w:r>
      <w:r>
        <w:t xml:space="preserve">training claim to Pending Hardware (no pipeline code, no such x86/2×RTX-4090 node, no go-live); cloud (GCP A3 Mega) is the only available full-training route. States the realistic pipeline (cloud pretrain/fine-tune → NVFP4 quantise for Blackwell → GN-100 edge inference) and the token-capital framing (moat = learning loop + private evals on owned fleet data, not a from-scratch 55B). Companion: docs/lab-notes/2026-07-26-lwm-training-hardware-reality.md. Lockstep 3.87→3.88 across all 4 thesis files; PHD files receive a lockstep-only entry; Learn/ HTML regeneration PENDING (Pandoc build).</w:t>
      </w:r>
    </w:p>
    <w:p>
      <w:pPr>
        <w:numPr>
          <w:ilvl w:val="0"/>
          <w:numId w:val="1001"/>
        </w:numPr>
      </w:pPr>
      <w:r>
        <w:t xml:space="preserve">Version: 3.87 | Tool: Claude Code (claude-opus-5) | Session: claude/greg-isenberg-field-notes-a2r544 | Date: 25.07.2026 | Changes: Sharpened §10.27 on two points from external review. (1)</w:t>
      </w:r>
      <w:r>
        <w:t xml:space="preserve"> </w:t>
      </w:r>
      <w:r>
        <w:rPr>
          <w:bCs/>
          <w:b/>
        </w:rPr>
        <w:t xml:space="preserve">Reconciliation debt</w:t>
      </w:r>
      <w:r>
        <w:t xml:space="preserve"> </w:t>
      </w:r>
      <w:r>
        <w:t xml:space="preserve">— the original text said legitimacy</w:t>
      </w:r>
      <w:r>
        <w:t xml:space="preserve"> </w:t>
      </w:r>
      <w:r>
        <w:t xml:space="preserve">“</w:t>
      </w:r>
      <w:r>
        <w:t xml:space="preserve">does not move</w:t>
      </w:r>
      <w:r>
        <w:t xml:space="preserve">”</w:t>
      </w:r>
      <w:r>
        <w:t xml:space="preserve">, which understates the risk. A body’s acceptance criteria form by consensus among parties with divergent commercial interests, while a solo-authored artifact optimises for internal coherence because that is the only constraint its author can feel; each unreviewed iteration therefore improves the document against the wrong objective function and may drift FURTHER from adoptability while appearing to improve by every internally visible measure. Unreviewed iteration can accumulate reconciliation debt, and nothing inside the authoring organisation distinguishes the technically-best version from the closest-to-adoptable one. (2) Added</w:t>
      </w:r>
      <w:r>
        <w:t xml:space="preserve"> </w:t>
      </w:r>
      <w:r>
        <w:rPr>
          <w:bCs/>
          <w:b/>
        </w:rPr>
        <w:t xml:space="preserve">“</w:t>
      </w:r>
      <w:r>
        <w:rPr>
          <w:bCs/>
          <w:b/>
        </w:rPr>
        <w:t xml:space="preserve">Default to internal</w:t>
      </w:r>
      <w:r>
        <w:rPr>
          <w:bCs/>
          <w:b/>
        </w:rPr>
        <w:t xml:space="preserve">”</w:t>
      </w:r>
      <w:r>
        <w:t xml:space="preserve"> </w:t>
      </w:r>
      <w:r>
        <w:t xml:space="preserve">as the governing platform principle (now §10.27.4 principle 1, others renumbered 2–5): a specification is an internal working artifact until it earns external validation through the appropriate gate per jurisdiction — the posture is not to publish faster but to earn adoption at the pace each body requires. Deliberately NOT adopted from the same review: the claim that this gap is</w:t>
      </w:r>
      <w:r>
        <w:t xml:space="preserve"> </w:t>
      </w:r>
      <w:r>
        <w:t xml:space="preserve">“</w:t>
      </w:r>
      <w:r>
        <w:t xml:space="preserve">where most AI-native compliance work fails</w:t>
      </w:r>
      <w:r>
        <w:t xml:space="preserve">”</w:t>
      </w:r>
      <w:r>
        <w:t xml:space="preserve">, which is an unevidenced market assertion this programme has no data to support and which would be a conjecture stated as an observation.</w:t>
      </w:r>
    </w:p>
    <w:p>
      <w:pPr>
        <w:numPr>
          <w:ilvl w:val="0"/>
          <w:numId w:val="1001"/>
        </w:numPr>
      </w:pPr>
      <w:r>
        <w:t xml:space="preserve">Version: 3.86 | Tool: Claude Code (claude-opus-5) | Session: claude/greg-isenberg-field-notes-a2r544 | Date: 25.07.2026 | Changes: Added §10.27 (The Artifact–Legitimacy Gap). Names the single largest practical problem encountered building with frontier models through Claude Code: production of a technically complete artifact compresses to hours while the institutional processes that make it LEGITIMATE — adversarial review by competing interests, independent implementation, body acceptance, per-jurisdiction legal review — do not compress at all. Identifies the dangerous second-order effect: specification quality was historically evidence of process (nobody wrote RFC 2119 language, version history and a conformance section alone in an afternoon), frontier models break that correlation, and readers still use fluency as a legitimacy proxy — so THE AUTHOR OVER-CLAIMS WITHOUT INTENDING TO. Uses KYA v1.5 as the worked case (publication-quality, titled</w:t>
      </w:r>
      <w:r>
        <w:t xml:space="preserve"> </w:t>
      </w:r>
      <w:r>
        <w:t xml:space="preserve">“</w:t>
      </w:r>
      <w:r>
        <w:t xml:space="preserve">Open Standard</w:t>
      </w:r>
      <w:r>
        <w:t xml:space="preserve">”</w:t>
      </w:r>
      <w:r>
        <w:t xml:space="preserve">, met ZERO of four gates, retitled Specification 24.07.2026; nothing technically wrong, the CATEGORY was wrong). States the core finding: the same capacity that produced v1.5 in one session can produce v2.0 and v3.0 — the version number accelerates, the legitimacy does not move, because what is missing is not technical. Three-jurisdiction extension makes it measurable (one clock cannot be entered on the author’s initiative at all under Art. 40), yielding: DWS can technically build better KYA versions indefinitely; in practice they remain specifications, and across three jurisdictions three profiles of one specification. Documents DWS_LEARNING_STANDARD §10 as the implemented countermeasure — a rate limiter on legitimacy claims (§10.3 reversibility, §10.3.1 cooling gap, §10.4 verified-vs-propagated, §10.1/§10.6 decision format and cap). Derives FOUR PLATFORM DESIGN PRINCIPLES for compliance intelligence: sell evidence not verdicts; every claim carries its phase adjacent to the claim; profiles not forks; build the rate limiter into the product, not only the process. Closes with why this is a commercial position rather than a limitation — polished compliance documents are now universal, and the scarce capability is saying which parts are load-bearing.</w:t>
      </w:r>
    </w:p>
    <w:p>
      <w:pPr>
        <w:numPr>
          <w:ilvl w:val="0"/>
          <w:numId w:val="1001"/>
        </w:numPr>
      </w:pPr>
      <w:r>
        <w:t xml:space="preserve">Version: 3.85 | Tool: Claude Code (claude-opus-5) | Session: claude/greg-isenberg-field-notes-a2r544 | Date: 25.07.2026 | Changes: Lockstep version bump 3.84 → 3.85 across all 4 thesis files per the CLAUDE.md Thesis Rule. No content change in this file: the session’s new material is standardisation-route and jurisdiction-architecture analysis, which belongs to the PhD per the Thesis Content Scope Rule (see PHD_FIREHORSE §14.43). Implementation evidence from this session remains at §10.26.</w:t>
      </w:r>
    </w:p>
    <w:p>
      <w:pPr>
        <w:numPr>
          <w:ilvl w:val="0"/>
          <w:numId w:val="1001"/>
        </w:numPr>
      </w:pPr>
      <w:r>
        <w:t xml:space="preserve">Version: 3.84 | Tool: Claude Code (claude-opus-5) | Session: claude/greg-isenberg-field-notes-a2r544 | Date: 25.07.2026 | Changes: Added §10.26 (Cryptographic Review of the Verified-Done Attestation Signing Path: Two Findings, and Falsification as a Test-Quality Gate). Implementation evidence per the CLAUDE.md Thesis Content Scope Rule: documents the Ed25519-via-node:crypto dependency decision (narrow trusted computing base over ergonomics); finding F1 (HIGH) that the signature excluded the proof options, leaving proof.created and proof.verificationMethod mutable post-signing — an unprotected Article 12 timestamp and trust-anchor selection from unsigned data; the root cause in TEST DESIGN rather than cryptographic knowledge (the suite tampered the credential subject, never the proof block); the W3C Data Integrity remediation binding proof options into the signing payload; finding F3 (key-type assertion, fail-loud on misconfiguration while unconfigured stays valid); and the methodological contribution — falsification as a test-quality gate, in which the fix was REVERTED and the four new tests confirmed to fail against the defective source before acceptance, yielding the criterion that a test passing both before and after a fix carries no information about that fix (47 → 51 tests). Also records the attestation-anchor schema finding sequencing the tenant fix as a precondition to enabling signatures. Market-signal and scientific framing for the same session is in PHD_FIREHORSE §14.42.</w:t>
      </w:r>
    </w:p>
    <w:p>
      <w:pPr>
        <w:numPr>
          <w:ilvl w:val="0"/>
          <w:numId w:val="1001"/>
        </w:numPr>
      </w:pPr>
      <w:r>
        <w:t xml:space="preserve">Version: 3.83 | Tool: Claude Code | Session: claude/eda-dws-iq-business-case-jm7p3g | Date: 17.07.2026 | Changes: Lockstep version bump 3.82 → 3.83 across all 4 thesis files per CLAUDE.md thesis rule. No content change in this master’s thesis file: the v3.83 addition (DAC 2026’s agentic-EDA tutorial track as cross-disciplinary evidence for the three-vector agentic/open/governed operating-model thesis, and the sovereign design-IP-envelope relocation of the EDA defensible remainder) is a market-signal/scientific-framing contribution and per the §1.4 master-vs-PhD scope rule lives in PHD_FIREHORSE_EN.md §14.41 and Key Contribution #48. Companion artefacts: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Changes: Lockstep version bump 3.81 → 3.82 across all 4 thesis files per CLAUDE.md thesis rule. No content change in this master’s thesis file: the v3.82 addition (NVIDIA Halos for Robotics as a standardisation-ahead-of-deadline signal for physical-AI safety certification, the certification-vs-evidence regulatory-object distinction, and the KYA physical-safety binding) is a market-signal/regulatory-pipeline contribution and per the §1.4 master-vs-PhD scope rule lives in PHD_FIREHORSE_EN.md §14.40 and Key Contribution #47. Companion artefact: docs/regulatory-radar/NVIDIA_HALOS_ROBOTICS_BRIEF.md.</w:t>
      </w:r>
    </w:p>
    <w:p>
      <w:pPr>
        <w:numPr>
          <w:ilvl w:val="0"/>
          <w:numId w:val="1001"/>
        </w:numPr>
      </w:pPr>
      <w:r>
        <w:t xml:space="preserve">Version: 3.81 | Tool: Claude Code (Fable 5) | Session: claude/ai-sovereignty-research-9eshgd (merge-integrated) | Date: 07.07.2026 | Changes: Lockstep version bump 3.80 → 3.81 across all 4 thesis files per CLAUDE.md thesis rule. No content change in this master’s thesis file: the v3.81 merge-integrated content (the AI-sovereignty nine-theses framework and the weights-control argument — an optionality definition of sovereignty, three silently-confiscated assets data/weights/value-orientation, the sovereignty–alpha identity, the Theses 6–9 governance layer, and the Palantir connector model as its operational instance) is a scientific/normative-framing contribution and per the §1.4 master-vs-PhD scope rule lives in PHD_FIREHORSE_EN.md §14.39 (renumbered from the branch’s original §14.34 — that slot was independently taken by</w:t>
      </w:r>
      <w:r>
        <w:t xml:space="preserve"> </w:t>
      </w:r>
      <w:r>
        <w:t xml:space="preserve">“</w:t>
      </w:r>
      <w:r>
        <w:t xml:space="preserve">The National Aggregation-Effect Framework</w:t>
      </w:r>
      <w:r>
        <w:t xml:space="preserve">”</w:t>
      </w:r>
      <w:r>
        <w:t xml:space="preserve"> </w:t>
      </w:r>
      <w:r>
        <w:t xml:space="preserve">on main) and Key Contribution #46. Companion artefact: docs/field-notes/2026-07-01-ai-sovereignty-nine-theses.md.</w:t>
      </w:r>
    </w:p>
    <w:p>
      <w:pPr>
        <w:numPr>
          <w:ilvl w:val="0"/>
          <w:numId w:val="1001"/>
        </w:numPr>
      </w:pPr>
      <w:r>
        <w:t xml:space="preserve">Version: 3.80 | Tool: Claude Code (Fable 5) | Session: claude/industry-world-models-study-Mk2mu (merge-integrated) | Date: 07.07.2026 | Changes: Lockstep version bump 3.79 → 3.80 across all 4 thesis files per CLAUDE.md thesis rule. No content change in this master’s thesis file: the v3.80 merge-integrated addition is a market/architecture signal (Karpathy GPT-2 → industry world models, five competing architectures, 16-industry Fit for 55 world model specification matrix, modular world model factory proposal, 2026 ecosystem convergence: AMI Labs / Cosmos 2.5 / Genie 3 / Marble / Siemens Digital Twin Composer) which per the master-vs-PhD scope rule §1.4 belongs in the PhD thesis only. See PHD_FIREHORSE_EN.md §14.38 (Industry World Models, renumbered from the branch’s original §14.20 — that slot was independently taken by</w:t>
      </w:r>
      <w:r>
        <w:t xml:space="preserve"> </w:t>
      </w:r>
      <w:r>
        <w:t xml:space="preserve">“</w:t>
      </w:r>
      <w:r>
        <w:t xml:space="preserve">AI Pricing Capitulation</w:t>
      </w:r>
      <w:r>
        <w:t xml:space="preserve">”</w:t>
      </w:r>
      <w:r>
        <w:t xml:space="preserve"> </w:t>
      </w:r>
      <w:r>
        <w:t xml:space="preserve">on main) and Key Contribution #45 for the scientific framing. Full study: docs/INDUSTRY_WORLD_MODELS_STUDY.md.</w:t>
      </w:r>
    </w:p>
    <w:p>
      <w:pPr>
        <w:numPr>
          <w:ilvl w:val="0"/>
          <w:numId w:val="1001"/>
        </w:numPr>
      </w:pPr>
      <w:r>
        <w:t xml:space="preserve">Version: 3.79 | Tool: Claude Code | Session: claude/aspire-development-evolution-16fxg0 | Date: 07.07.2026 | Changes: Added §10.25.6 (Amendment: The Span-Stamped Authorization Verdict) — external critique (Hakimi) that the GenAI trace records what fired but never whether it should have been able to; verified accurate against the code (LLM client had only the provider Bearer header; KYA enforcement isolated at the sandbox layer). Implemented same-day: KYAVerdict on withAgentSpan/withLLMSpan stamping dws.kya.verdict/trust_score/policy_version/gate alongside gen_ai.*; verdict-less spans stamped</w:t>
      </w:r>
      <w:r>
        <w:t xml:space="preserve"> </w:t>
      </w:r>
      <w:r>
        <w:t xml:space="preserve">‘</w:t>
      </w:r>
      <w:r>
        <w:t xml:space="preserve">ungated</w:t>
      </w:r>
      <w:r>
        <w:t xml:space="preserve">’</w:t>
      </w:r>
      <w:r>
        <w:t xml:space="preserve"> </w:t>
      </w:r>
      <w:r>
        <w:t xml:space="preserve">(never blank) so authorization-coverage gaps are queryable; ungated-span count named as the coverage-gap metric; 2 new unit tests (8/8 passing). PHD files receive the scientific restatement (§14.37.4 correction to KC #44(b)). Lockstep 3.78→3.79; Learn/ HTML regenerated. Companion: docs/field-notes/2026-07-07-hakimi-observability-vs-authorization.md.</w:t>
      </w:r>
    </w:p>
    <w:p>
      <w:pPr>
        <w:numPr>
          <w:ilvl w:val="0"/>
          <w:numId w:val="1001"/>
        </w:numPr>
      </w:pPr>
      <w:r>
        <w:t xml:space="preserve">Version: 3.78 | Tool: Claude Code | Session: claude/aspire-development-evolution-16fxg0 | Date: 07.07.2026 | Changes: Added §10.25 (Polyglot Observability in Production: Aspire Dashboard Adoption and the Silent-Telemetry Incident) — implementation-side content per the master-vs-PhD scope rule: dashboard-only Aspire adoption on DGX Spark (aspire-dashboard:13.3.5 pinned, compose v1.1.1), OTel implementation inventory (otel.ts opt-in init, tracing.ts GenAI semantic-convention span helpers, telemetry.types.ts + migration 066 Article-12 cross-referencing), the July 2026 silent-telemetry incident (all three OTLP producers pushed http/protobuf to the dashboard UI port 18888 instead of the OTLP/HTTP listener 18890 — telemetry silently dropped; fixed in compose v1.3.1), three engineering lessons (behavioral verification, fail-silent subsystems need compensating controls, adjacent-port failure class), and the open GenAI message-content-capture data-protection decision. PHD files receive the market-signal framing (§14.37 + Key Contribution #44). All 4 thesis files bumped 3.77→3.78 in lockstep per CLAUDE.md thesis rule; Learn/ HTML regenerated.</w:t>
      </w:r>
    </w:p>
    <w:p>
      <w:pPr>
        <w:numPr>
          <w:ilvl w:val="0"/>
          <w:numId w:val="1001"/>
        </w:numPr>
      </w:pPr>
      <w:r>
        <w:t xml:space="preserve">Version: 3.77 | Tool: Claude Code | Session: claude/dws-nvidia-os-NDuOs | Date: 19.05.2026 | Changes: Lockstep version bump 3.76 → 3.77 across all 4 thesis files per CLAUDE.md thesis rule. No content change in this master’s thesis file: the v3.77 substantive addition is a research-framing reframe and a 48-hour market signal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that names</w:t>
      </w:r>
      <w:r>
        <w:t xml:space="preserve"> </w:t>
      </w:r>
      <w:r>
        <w:rPr>
          <w:iCs/>
          <w:i/>
        </w:rPr>
        <w:t xml:space="preserve">DWS OS</w:t>
      </w:r>
      <w:r>
        <w:t xml:space="preserve"> </w:t>
      </w:r>
      <w:r>
        <w:t xml:space="preserve">as the unifying artefactual spine of the doctoral programme. Per the master-vs-PhD scope rule §1.4, research framing and market signals belong in the PhD thesis only. See PHD_FIREHORSE_EN.md §1.2.2 (Unified DWS OS Spine and Scenario Prioritization) and §14.36 (Two-Signal Convergence) for the scientific framing, and</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for the supervisor-bound deliverables.</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Lockstep version bump 3.75 → 3.76 across all 4 thesis files per CLAUDE.md thesis rule. The v3.76 substantive content (Jensen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the re-identification of the LWM Phase-3 gating input as first-person operational data rather than compute or alignment; the element-for-element mapping of Huang’s five-element physical-AI stack — data engine / simulator / reward / runtime / computer — onto the Brain–Memory–Body–Hands architecture; the specification of Perception Capital’s production mechanism; and a sovereign, consent-governed, EU-resident first-person-data-provenance predicate extending the four-track KYA suite) is a market signal / scientific framing and per the §1.4 master-vs-PhD scope rule lives in PHD_FIREHORSE_EN.md §14.35 (The First-Person Data Bottleneck) and Key Contribution #42. Section/version/KC numbers advanced from the original v3.71/§14.33/#39 draft to v3.76/§14.35/#42 to avoid collision with main’s already-landed §14.33/§14.34 and KC #39–#41. No implementation has shipped for this signal (thesis/strategy-first decision), so this file receives a lockstep-only version-bump entry and no new sections.</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Lockstep version bump only. Substantive content (Finnish Ministry of Finance security-oriented information management guide, VM 2026:27, mapped to DWS’s Control Room/Situation Room retention model) is regulatory-pipeline/market-signal framing per §1.4 master-vs-PhD scope rule, so it lives in</w:t>
      </w:r>
      <w:r>
        <w:t xml:space="preserve"> </w:t>
      </w:r>
      <w:r>
        <w:rPr>
          <w:rStyle w:val="VerbatimChar"/>
        </w:rPr>
        <w:t xml:space="preserve">docs/PHD_FIREHORSE_EN.md</w:t>
      </w:r>
      <w:r>
        <w:t xml:space="preserve"> </w:t>
      </w:r>
      <w:r>
        <w:t xml:space="preserve">§14.34 and Key Contribution #41. No implementation content added here.</w:t>
      </w:r>
    </w:p>
    <w:p>
      <w:pPr>
        <w:numPr>
          <w:ilvl w:val="0"/>
          <w:numId w:val="1001"/>
        </w:numPr>
      </w:pPr>
      <w:r>
        <w:t xml:space="preserve">Version: 3.74 | Tool: Claude Code (claude-opus-4-8) | Session: claude/anduril-case-study-iridtj | Date: 29.06.2026 | Changes: CSRD scope refined to the FINAL post-Omnibus figure (Council 24.02.2026):</w:t>
      </w:r>
      <w:r>
        <w:t xml:space="preserve"> </w:t>
      </w:r>
      <w:r>
        <w:t xml:space="preserve">“</w:t>
      </w:r>
      <w:r>
        <w:t xml:space="preserve">After Omnibus</w:t>
      </w:r>
      <w:r>
        <w:t xml:space="preserve">”</w:t>
      </w:r>
      <w:r>
        <w:t xml:space="preserve"> </w:t>
      </w:r>
      <w:r>
        <w:t xml:space="preserve">= fewer than ~5,000 large companies (&gt;1,000 employees AND &gt;450M EUR turnover), replacing the interim ~10,000; flat</w:t>
      </w:r>
      <w:r>
        <w:t xml:space="preserve"> </w:t>
      </w:r>
      <w:r>
        <w:t xml:space="preserve">“</w:t>
      </w:r>
      <w:r>
        <w:t xml:space="preserve">50,000+ by 2028</w:t>
      </w:r>
      <w:r>
        <w:t xml:space="preserve">”</w:t>
      </w:r>
      <w:r>
        <w:t xml:space="preserve"> </w:t>
      </w:r>
      <w:r>
        <w:t xml:space="preserve">market-timing claims corrected to post-Omnibus reality + Scope-3 value-chain pull. Lockstep across all 4 thesis files per CLAUDE.md thesis rule; DWS_TRUTH_STANDARD v2.5 section 2C. Learn/ HTML regeneration (Pandoc) + PhD-side figure references PENDING.</w:t>
      </w:r>
    </w:p>
    <w:p>
      <w:pPr>
        <w:numPr>
          <w:ilvl w:val="0"/>
          <w:numId w:val="1001"/>
        </w:numPr>
      </w:pPr>
      <w:r>
        <w:t xml:space="preserve">Version: 3.73 | Tool: Claude Code | Session: claude/article-research-phd-tvmskz | Date: 28.06.2026 | Changes: Merge conflict resolution: merged branch claude/article-research-phd-tvmskz (v3.71 RQGM §14.33) with origin/main (v3.71 interruption-cost §14.20.8 + v3.72 capability-ontology V3Thesis §10.24). KC#39 numbering collision resolved: main used KC#39 for capability ontology (V3Thesis §10.24), this branch used KC#39 for RQGM (PHD §14.33) → RQGM renumbered to KC#40. All 4 thesis files bumped to v3.73 in lockstep.</w:t>
      </w:r>
    </w:p>
    <w:p>
      <w:pPr>
        <w:numPr>
          <w:ilvl w:val="0"/>
          <w:numId w:val="1001"/>
        </w:numPr>
      </w:pPr>
      <w:r>
        <w:t xml:space="preserve">Version: 3.72 | Tool: Claude Code | Session: claude/winning-sales-strategy-qb1boj | Date: 28.06.2026 | Changes: Added §10.24 (Capability Ontology and Three-Pillar Consulting GTM — from agent taxonomy to enterprise delivery). Implementation evidence: 10 LWM-based knowledge graph classes organising 80+ agent capabilities (62 existing + 18 new), three-pillar consulting model (capability training, industry-specific compliance workflow development, disruption-free project continuity with Keskeytyslaskuri integration), Aegis Defence honest capability correction (SAR orbital detection only — no drone detection), and lifetime.fi website deployment with three-pillar consulting section. Companion artefact:</w:t>
      </w:r>
      <w:r>
        <w:t xml:space="preserve"> </w:t>
      </w:r>
      <w:r>
        <w:rPr>
          <w:rStyle w:val="VerbatimChar"/>
        </w:rPr>
        <w:t xml:space="preserve">docs/KONSULTOINNIN_KASIKIRJA_2026.md</w:t>
      </w:r>
      <w:r>
        <w:t xml:space="preserve"> </w:t>
      </w:r>
      <w:r>
        <w:t xml:space="preserve">v1.5 (Consultant Handbook 2026). Key Contribution #39. All 4 thesis files bumped to v3.72 in lockstep per CLAUDE.md thesis rule.</w:t>
      </w:r>
    </w:p>
    <w:p>
      <w:pPr>
        <w:numPr>
          <w:ilvl w:val="0"/>
          <w:numId w:val="1001"/>
        </w:numPr>
      </w:pPr>
      <w:r>
        <w:t xml:space="preserve">Version: 3.71 | Tool: Claude Code | Session: claude/article-research-phd-tvmskz | Date: 27.06.2026 | Changes: Lockstep version bump 3.70 → 3.71 across all 4 thesis files per CLAUDE.md thesis rule. The v3.71 substantive content (the Red Queen Gödel Machine signal — RQGM, Iacob et al., arXiv:2606.26294v1, 24.06.2026, Cambridge / NVIDIA / Flower Labs / MBZUAI / Inria — an evolutionary framework for recursive self-improvement under non-stationary utilities via controlled utility evolution; names the conformance-temporal gap where fixed evaluators degrade as agents improve, empirically 1.91× over-acceptance; extends the KYA four-track suite with epoch subscripts requiring evaluator re-validation; derives an Article 12 evaluator-calibration requirement; identifies Flower Labs federated learning as sovereignty-preserving transport for co-evolutionary improvement) is a market-signal / scientific-framing contribution and per the §1.4 master-vs-PhD scope rule lives in PHD_FIREHORSE_EN.md §14.33 and Key Contribution #40. No implementation has shipped; this file receives a lockstep-only version-bump entry. Companion artefact: docs/field-notes/2026-06-27-red-queen-godel-machine-rqgm.md.</w:t>
      </w:r>
    </w:p>
    <w:p>
      <w:pPr>
        <w:numPr>
          <w:ilvl w:val="0"/>
          <w:numId w:val="1001"/>
        </w:numPr>
      </w:pPr>
      <w:r>
        <w:t xml:space="preserve">Version: 3.71 | Tool: Claude Code | Session: claude/keskeytyslaskuri-lifetime-missing-6uaxvu | Date: 27.06.2026 | Changes: Lockstep version bump 3.70 → 3.71 across all 4 thesis files per CLAUDE.md thesis rule. The v3.71 substantive content (interruption-cost economics as a five-driver model extending the CSB-track with a CSB-I sub-track, derived from the Keskeytyslaskuri tool at lifetime.fi/laskuri/) is a market-signal/cost-analysis contribution and per the §1.4 master-vs-PhD scope rule lives in PHD_FIREHORSE_EN.md §14.20.8. No implementation-side content belongs in this master’s thesis for this signal, so this file receives a lockstep-only version-bump entry and no new sections.</w:t>
      </w:r>
    </w:p>
    <w:p>
      <w:pPr>
        <w:numPr>
          <w:ilvl w:val="0"/>
          <w:numId w:val="1001"/>
        </w:numPr>
      </w:pPr>
      <w:r>
        <w:t xml:space="preserve">Version: 3.70 | Tool: Claude Code | Session: claude/nvidia-vera-rubin-card-be8g7t | Date: 25.06.2026 | Changes: Lockstep version bump 3.69 → 3.70 across all 4 thesis files per CLAUDE.md thesis rule. The v3.70 substantive content (the regulated-industry autonomous-engineer category — composing the 51 Firehorse Skilled Agents + workflow orchestrators + the KYA bridge into NemoClaw long-running agents under OpenShell, with the KYA/Article-12/EU-sovereign envelope as the defensible remainder) is a strategy/market-signal contribution and per the §1.4 master-vs-PhD scope rule lives in PHD_FIREHORSE_EN.md §14.32 and Key Contribution #38. No implementation has shipped (thesis/strategy-first decision); this file receives a lockstep-only version-bump entry.</w:t>
      </w:r>
      <w:r>
        <w:t xml:space="preserve"> </w:t>
      </w:r>
      <w:r>
        <w:rPr>
          <w:rStyle w:val="VerbatimChar"/>
        </w:rPr>
        <w:t xml:space="preserve">Learn/</w:t>
      </w:r>
      <w:r>
        <w:t xml:space="preserve"> </w:t>
      </w:r>
      <w:r>
        <w:t xml:space="preserve">HTML regenerated at v3.70 via scripts/gen-thesis-html.cjs.</w:t>
      </w:r>
    </w:p>
    <w:p>
      <w:pPr>
        <w:numPr>
          <w:ilvl w:val="0"/>
          <w:numId w:val="1001"/>
        </w:numPr>
      </w:pPr>
      <w:r>
        <w:t xml:space="preserve">Version: 3.69 | Tool: Claude Code | Session: claude/nvidia-vera-rubin-card-be8g7t | Date: 25.06.2026 | Changes: Lockstep version bump 3.68 → 3.69 across all 4 thesis files per CLAUDE.md thesis rule. The v3.69 substantive content (NVIDIA’s June-2026 EuroHPC EU AI-Factory buildout as the public EU-sovereign training upstream, and NVIDIA’s open agent security stack — NeMo Agent Toolkit, OpenShell kernel-sandbox runtime, NemoClaw, Hermes/Nous Research — as a vendor-backed reference runtime for the KYA ASB/SIB tracks) is a market signal and per the §1.4 master-vs-PhD scope rule lives in PHD_FIREHORSE_EN.md §14.31 and Key Contribution #37. The one implementation-side consequence — migrating the agent runtime from bare OpenClaw to the OpenShell-sandboxed NemoClaw distribution on security grounds — is tracked as a scoped engineering migration, not a new master’s-thesis section, so this file receives a lockstep-only version-bump entry.</w:t>
      </w:r>
      <w:r>
        <w:t xml:space="preserve"> </w:t>
      </w:r>
      <w:r>
        <w:rPr>
          <w:rStyle w:val="VerbatimChar"/>
        </w:rPr>
        <w:t xml:space="preserve">Learn/</w:t>
      </w:r>
      <w:r>
        <w:t xml:space="preserve"> </w:t>
      </w:r>
      <w:r>
        <w:t xml:space="preserve">HTML regenerated at v3.69 via scripts/gen-thesis-html.cjs.</w:t>
      </w:r>
    </w:p>
    <w:p>
      <w:pPr>
        <w:numPr>
          <w:ilvl w:val="0"/>
          <w:numId w:val="1001"/>
        </w:numPr>
      </w:pPr>
      <w:r>
        <w:t xml:space="preserve">Version: 3.68 | Tool: Claude Code | Session: claude/aegis-multilingual-pages-3clsx0 | Date: 23.06.2026 | Changes: Lockstep version bump 3.67 → 3.68 across all 4 thesis files per CLAUDE.md thesis rule. The v3.68 substantive content (EU multilingual terminology as the canonical conformance layer for sovereign regulatory claims — the Regulation (EU) 2021/821 dual-use term across the official EU languages; the international-short-form-vs-national-official register decision; and sovereign-defence-market positioning relative to the Finnish defence-tech ecosystem — Nokia, Patria, VTT, NATO DIANA Espoo, EDIP 2026–2027) is a market/regulatory-positioning signal and per the §1.4 master-vs-PhD scope rule lives in PHD_FIREHORSE_EN.md §14.30 (The EU-Multilingual Sovereignty Surface) and Key Contribution #36. The implementation-side artefact — the Aegis intro page (/aegis) and product page (/products/aegis) rendered in five EU languages (FI/SV/DE/FR/EN) via the vertical language bar (vertical-lang-bar.js v1.3) with in-place dws-lang-stay switching and dual-folder mirror sync on dws10.com — is a thin web GTM-surface change already covered by the existing operations-model framing and requires no new master’s-thesis section.</w:t>
      </w:r>
      <w:r>
        <w:t xml:space="preserve"> </w:t>
      </w:r>
      <w:r>
        <w:rPr>
          <w:rStyle w:val="VerbatimChar"/>
        </w:rPr>
        <w:t xml:space="preserve">Learn/</w:t>
      </w:r>
      <w:r>
        <w:t xml:space="preserve"> </w:t>
      </w:r>
      <w:r>
        <w:t xml:space="preserve">HTML regenerated at v3.68 via scripts/gen-thesis-html.cjs.</w:t>
      </w:r>
    </w:p>
    <w:p>
      <w:pPr>
        <w:numPr>
          <w:ilvl w:val="0"/>
          <w:numId w:val="1001"/>
        </w:numPr>
      </w:pPr>
      <w:r>
        <w:t xml:space="preserve">Version: 3.67 | Tool: Claude Code | Session: claude/thesis-v3.64-lockstep-kqtal1 | Date: 21.06.2026 | Changes: Lockstep version bump 3.66 → 3.67 across all 4 thesis files per CLAUDE.md thesis rule. The v3.67 substantive content (the VTV 10/2026 supreme-audit signal on Finnish public-sector AI readiness) is a market/regulatory signal and per the §1.4 master-vs-PhD scope rule lives in PHD_FIREHORSE_EN.md §14.29 (The Finnish Public-Sector AI-Adoption Audit Signal) and Key Contribution #35. No implementation-side content belongs in this master’s thesis for this signal, so this file receives a lockstep-only version-bump entry and no new sections.</w:t>
      </w:r>
      <w:r>
        <w:t xml:space="preserve"> </w:t>
      </w:r>
      <w:r>
        <w:rPr>
          <w:rStyle w:val="VerbatimChar"/>
        </w:rPr>
        <w:t xml:space="preserve">Learn/</w:t>
      </w:r>
      <w:r>
        <w:t xml:space="preserve"> </w:t>
      </w:r>
      <w:r>
        <w:t xml:space="preserve">HTML regenerated at v3.67 via scripts/gen-thesis-html.cjs.</w:t>
      </w:r>
    </w:p>
    <w:p>
      <w:pPr>
        <w:numPr>
          <w:ilvl w:val="0"/>
          <w:numId w:val="1001"/>
        </w:numPr>
      </w:pPr>
      <w:r>
        <w:t xml:space="preserve">Version: 3.66 | Tool: Claude Code | Session: claude/thesis-v3.64-lockstep-kqtal1 | Date: 21.06.2026 | Changes: Added §5.2.1 (Milestone: Agents → Loops → Workflows, June 2026) — implementation evidence for the three-layer AI-native stack: 50 production Skilled Agents (BaseAgent + ledger-native output contract per Firehorse 7), the Maker–Checker Loop Engineering primitive (PR #1447, commit d34876a, shipped 2026-06-08; disk-persisted state / budget gate / safety gate / resumable), and live multi-agent Workflows (MCP Hub fan-out/sequential/reflection); summary table included. Provenance: deferred content from branch claude/lifetime-agents-loops-workflows-t3448v (commit abe8409,</w:t>
      </w:r>
      <w:r>
        <w:t xml:space="preserve"> </w:t>
      </w:r>
      <w:r>
        <w:t xml:space="preserve">“</w:t>
      </w:r>
      <w:r>
        <w:t xml:space="preserve">v3.64 lockstep</w:t>
      </w:r>
      <w:r>
        <w:t xml:space="preserve">”</w:t>
      </w:r>
      <w:r>
        <w:t xml:space="preserve">), held back from PR #1465; rebuilt against current main and renumbered v3.64→v3.66 because main had independently consumed v3.63/v3.64. The scientific/operating-model framing (3–7 year horizon, EU AI Act Articles 12/14/15 properties, structural-sequencing thesis) lives in PHD_FIREHORSE_EN/FI §14.28 and Key Contribution #34 per the §1.4 master-vs-PhD scope rule. All 4 thesis files bumped to v3.66 in lockstep.</w:t>
      </w:r>
    </w:p>
    <w:p>
      <w:pPr>
        <w:numPr>
          <w:ilvl w:val="0"/>
          <w:numId w:val="1001"/>
        </w:numPr>
      </w:pPr>
      <w:r>
        <w:t xml:space="preserve">Version: 3.65 | Tool: Claude Code (claude-opus-4-8) | Session: claude/modest-keller-dGHtw | Date: 22.06.2026 | Changes: Lockstep version bump 3.64 → 3.65 across all 4 thesis files per CLAUDE.md thesis rule. No content change in this master’s thesis file: the v3.65 substantive addition is a demand-side market signal (Simon Willison’s 29.05.2026 round-up confirming enterprise customers pay the listed per-token API price as of April 2026, newest frontier models raising price, Anthropic’s reported ~$1.25B/month SpaceX Colossus inference spend, and Opus-4.8 honesty/abstention gains) which per the master-vs-PhD scope rule §1.4 belongs in the PhD thesis only. See PHD_FIREHORSE_EN.md §14.20.7 (Week-22 Confirmation: The April-2026 Full-Price Inflection and the Verification-Cost Corollary) for the scientific framing, including the verification-cost refinement to the CSB-track (cost-surface stability governed by both inbound token price and outbound verification cost). The implementation-side properties of the Firehorse Operations Model exposed to this signal (Spark owned compute §10.10.6.1, prompt caching, OpenClaw on owned hardware) are already documented in this master’s thesis and require no new sections — the signal validates the existing implementation discipline. Companion artefact: docs/field-notes/2026-06-01-simon-willison-pmf-api-cost-edge-moat.md; customer-facing surfacing on dws10.com homepage (</w:t>
      </w:r>
      <w:r>
        <w:t xml:space="preserve">“</w:t>
      </w:r>
      <w:r>
        <w:t xml:space="preserve">The European Moat</w:t>
      </w:r>
      <w:r>
        <w:t xml:space="preserve">”</w:t>
      </w:r>
      <w:r>
        <w:t xml:space="preserve">) and buy page (</w:t>
      </w:r>
      <w:r>
        <w:t xml:space="preserve">“</w:t>
      </w:r>
      <w:r>
        <w:t xml:space="preserve">No Per-Token Cost</w:t>
      </w:r>
      <w:r>
        <w:t xml:space="preserve">”</w:t>
      </w:r>
      <w:r>
        <w:t xml:space="preserve">),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(claude-sonnet-4-6) | Session: claude/capital-classes-audit-jgworp | Date: 20.06.2026 | Changes: Added §10.23.7 (Mapping the Four Capital Classes to the Architecture) — maps the 4P canon (Prompt, People, Plant, Perception) to the DWS IQ 6 Brain-Memory-Body-Hands architecture with a component mapping table and cross-references; introduces the GTM land-and-expand pattern as the implementation-level consequence of Perception Capital’s accumulation mechanism; Key Contribution #33. Lockstep version bump 3.63 → 3.64 per CLAUDE.md thesis rule; PhD §14.26/§14.27 (theory + Kaukopää case) in PHD_FIREHORSE_EN/FI.md are the scientific framing (PhD scope per §1.4). Companion artefacts: docs/field-notes/2026-06-19-token-capital-human-capital-control-room-capital.md (v2.0), DWS_BRAND_STANDARD.md §23.</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§10.23 (Three-Capital Accumulation Model — Token Capital, Human Capital, Control Room Capital as Durable Assets of the DWS IQ 6 Operating Model). Implementation-side content per the §1.4 master-vs-PhD scope rule: documents the 7-month HIL phase (Oct 2025 – Jun 2026) as a production engineering event, the measured token capital inventory (30+ skills, 150+ field notes, 50-agent foundry, Article 12 audit trail), the Control Room architecture as deployed in DWS IQ 6, and the HIL → HIC operational transition observable from June 2026. The market-signal and scientific framing (Nadella Build 2026, theoretical three-capital model, competitive barrier analysis, KYA Standard extension) lives in PHD_FIREHORSE_EN.md §14.25 and Key Contribution #30. All 4 thesis files bumped to v3.63 in lockstep per CLAUDE.md thesis rule.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Lockstep version bump 3.61 → 3.62 across all 4 thesis files per CLAUDE.md thesis rule. Per the §1.4 master-vs-PhD scope rule, the v3.62 substantive content (a year-by-year study of AI expenditure by the</w:t>
      </w:r>
      <w:r>
        <w:t xml:space="preserve"> </w:t>
      </w:r>
      <w:r>
        <w:t xml:space="preserve">“</w:t>
      </w:r>
      <w:r>
        <w:t xml:space="preserve">coalition of the willing</w:t>
      </w:r>
      <w:r>
        <w:t xml:space="preserve">”</w:t>
      </w:r>
      <w:r>
        <w:t xml:space="preserve"> </w:t>
      </w:r>
      <w:r>
        <w:t xml:space="preserve">— G7 + aligned partners — versus China, scope = all AI investment) is market-signal / scientific framing and lives in PHD_FIREHORSE_EN.md §14.24 (The AI-Spending Asymmetry: G7-plus-Partners Capital Dominance, China’s Capital-Efficiency Counter-Trajectory, and the Sovereign-Compute Implication) and Key Contribution #29. No implementation-side content belongs in this master’s thesis for this signal, so this file receives a lockstep-only version-bump entry and no new sections. Primary sources for the PhD section: Stanford HAI AI Index Report 2025 &amp; 2026 (Economy chapters); Paris AI Action Summit (Feb 2025); G7 2025 (Canadian presidency) AI Adoption Roadmap.</w:t>
      </w:r>
    </w:p>
    <w:p>
      <w:pPr>
        <w:numPr>
          <w:ilvl w:val="0"/>
          <w:numId w:val="1001"/>
        </w:numPr>
      </w:pPr>
      <w:r>
        <w:t xml:space="preserve">Version: 3.61 | Tool: Claude Code (claude-opus-4-7) | Session: claude/sovereignty-field-note-2-R0Un5 | Date: 28.05.2026 | Changes: Lockstep version bump 3.60 → 3.61 across all 4 thesis files per CLAUDE.md thesis rule. Per the §1.4 master-vs-PhD scope rule, the v3.61 substantive content (the three-pillar × three-jurisdiction sovereignty taxonomy and the post-quantum cryptographic overlay) is market-signal / scientific framing and lives in PHD_FIREHORSE_EN.md §14.23 (Three-Pillar Sovereignty Taxonomy and Jurisdiction-Dependent Dynamics in Global Enterprises) and Key Contribution #28; the §1.2 PhD research questions have been restructured with Sovereignty as item #1 (the connecting research thread) and the §1.6 supervisor letter to Prof. Kari Smolander has been refreshed to v3.61. The implementation-side properties of the Firehorse Operations Model that compose with this taxonomy (DWS6’s Aegis / Sovereign Infra / Connect product segmentation per</w:t>
      </w:r>
      <w:r>
        <w:t xml:space="preserve"> </w:t>
      </w:r>
      <w:r>
        <w:rPr>
          <w:rStyle w:val="VerbatimChar"/>
        </w:rPr>
        <w:t xml:space="preserve">DWS_DEPLOYMENT_STANDARD.md</w:t>
      </w:r>
      <w:r>
        <w:t xml:space="preserve"> </w:t>
      </w:r>
      <w:r>
        <w:t xml:space="preserve">lines 165–172) are already documented in this master’s thesis in the sovereignty segmentation discussions, and no new implementation sections are required. This commit adds a new closing section</w:t>
      </w:r>
      <w:r>
        <w:t xml:space="preserve"> </w:t>
      </w:r>
      <w:r>
        <w:t xml:space="preserve">“</w:t>
      </w:r>
      <w:r>
        <w:t xml:space="preserve">Bibliography (Oxford)</w:t>
      </w:r>
      <w:r>
        <w:t xml:space="preserve">”</w:t>
      </w:r>
      <w:r>
        <w:t xml:space="preserve"> </w:t>
      </w:r>
      <w:r>
        <w:t xml:space="preserve">listing the canonical sources referenced from this master’s thesis, together with the chapter index showing which chapter cites which source (Oxford notes-bibliography style). Companion artefacts: docs/field-notes/2026-05-28-three-pillars-sovereignty-global.md (bilingual EN+FI field note), onelifetime.world/posts/sovereignty-field-note-2-three-pillars.html (EN canonical) + .fi.html (FI mirror) with landing-pages mirrors, docs/sales/2026-05-28-rightful-oy-partnership-proposal.md, and the Shufti partner letter refresh.</w:t>
      </w:r>
    </w:p>
    <w:p>
      <w:pPr>
        <w:numPr>
          <w:ilvl w:val="0"/>
          <w:numId w:val="1001"/>
        </w:numPr>
      </w:pPr>
      <w:r>
        <w:t xml:space="preserve">Version: 3.60 | Tool: Claude Code (claude-opus-4-7) | Session: claude/ai-services-audit-eY3rW | Date: 27.05.2026 | Changes: Lockstep version bump 3.59 → 3.60 across all 4 thesis files per CLAUDE.md thesis rule. No content change in this master’s thesis file: the v3.60 substantive addition is a services-tier market signal (2026-05-04 formation of a $1.5B AI-native enterprise services firm — Anthropic $300M + Blackstone $300M + Hellman &amp; Friedman $300M + Goldman Sachs $150M founding — targeting mid-sized businesses deploying Claude across core operations; 2026-05-21 acquisition of Fractional AI as the operational centrepiece, ending Fractional’s 11-month OpenAI partnership) which per the master-vs-PhD scope rule §1.4 belongs in the PhD thesis only. See PHD_FIREHORSE_EN.md §14.22 (Model-Provider-Aligned Services Tier: The Anthropic / Blackstone / Hellman &amp; Friedman / Goldman Sachs Vehicle and the Sovereign-Outcome Counter-Position) and Key Contribution #27 (Model-Provider-Aligned Services Tier and the Sovereign-Outcome Counter-Position) for the scientific framing, including the elevation of competitive positioning to a KYA conformance predicate testable via the existing four-track ASB / EAB / CSB / SIB vocabulary. The implementation-side properties of the Firehorse Operations Model that compose with this signal (catalogue repositioning of 8 Red-zone consultancy SKUs, two new outcome-priced SKUs AIS-EU-SOV-OC and AIS-OUTCOME-PILOT, retirement of two</w:t>
      </w:r>
      <w:r>
        <w:t xml:space="preserve"> </w:t>
      </w:r>
      <w:r>
        <w:rPr>
          <w:rStyle w:val="VerbatimChar"/>
        </w:rPr>
        <w:t xml:space="preserve">_OLD</w:t>
      </w:r>
      <w:r>
        <w:t xml:space="preserve"> </w:t>
      </w:r>
      <w:r>
        <w:t xml:space="preserve">SKUs, promotion of six defensible regulatory / sovereignty SKUs to featured) are operationally codified in</w:t>
      </w:r>
      <w:r>
        <w:t xml:space="preserve"> </w:t>
      </w:r>
      <w:r>
        <w:rPr>
          <w:rStyle w:val="VerbatimChar"/>
        </w:rPr>
        <w:t xml:space="preserve">scripts/ai_services_audit_apply.py</w:t>
      </w:r>
      <w:r>
        <w:t xml:space="preserve"> </w:t>
      </w:r>
      <w:r>
        <w:t xml:space="preserve">and applied to</w:t>
      </w:r>
      <w:r>
        <w:t xml:space="preserve"> </w:t>
      </w:r>
      <w:r>
        <w:rPr>
          <w:rStyle w:val="VerbatimChar"/>
        </w:rPr>
        <w:t xml:space="preserve">dws10.com/config/products.json</w:t>
      </w:r>
      <w:r>
        <w:t xml:space="preserve"> </w:t>
      </w:r>
      <w:r>
        <w:t xml:space="preserve">plus the dual-folder mirror in the same commit set as part of normal product operations; they do not require new master’s-thesis sections because the catalogue layer is a product-implementation artefact already covered by the existing operations-model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3.59 | Tool: Claude Code (Opus 4.7) | Session: claude/unitree-robotics-story-Ggp7v | Date: 23.05.2026 | Changes: Lockstep version bump 3.58 → 3.59 across all 4 thesis files per CLAUDE.md thesis rule. No content change in this master’s thesis file: the v3.59 substantive addition is a market signal (Unitree Robotics commercial profile — humanoids at $5,900 vs Boston Dynamics quadruped at $74,500, ~70% global quadruped market, 7,000+ humanoids deployed across 600+ industrial sites, only profitable humanoid manufacturer on Earth + the 200-hour 249,000-package autonomous warehouse run + PLA/Ukraine weaponisation footage and House China Committee letter + documented Go1/G1 security findings: default-credential remote tunnel, fleet-wide shared encryption key, Bluetooth self-propagation, mandatory 5-minute telemetry to PRC-reachable infrastructure on the G1) which per the master-vs-PhD scope rule §1.4 belongs in the PhD thesis only. See PHD_FIREHORSE_EN.md §14.21 (The Chinese Humanoid Signal: Vertical-Integration Moat, Embodied-AI Commercial Maturity, and the Security-vs-Sovereignty Tension) and Key Contribution #26 (The Vertical-Integration Moat and Substrate-Integrity Conformance in Embodied-AI Operating Models) for the scientific framing, including the new SIB-track (Substrate-Integrity Conformance) extending the KYA Standard to a four-track suite ASB / EAB / CSB / SIB and operationally specifying the §14.13 LWM Sequencing Strategy Phase 3 (physical AI) qualifying property. The implementation-side properties of the Firehorse Operations Model that compose with this signal (KYA-bound agent population, hardware-attested harness §14.12, LWM Sequencing Strategy §14.13, owned-substrate testbed) are already documented in their respective sections of this master’s thesis and require no further additions — the signal validates the existing implementation discipline and adds a standards-layer extension (SIB-track) that belongs to the PhD scientific scope rather than master’s product-implementation scope.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Lockstep version bump 3.57 → 3.58 across all 4 thesis files per CLAUDE.md thesis rule. No content change in this master’s thesis file: the v3.58 substantive addition is a demand-side market signal (Microsoft cancels internal Claude Code licenses on token-billing grounds despite ~$13B OpenAI stake + Anthropic-powering Azure capacity; Uber CTO memo — entire 2026 AI budget consumed in four months; US AI software prices +20–37% in H1 2026; GitHub flat-rate plans phased out for usage-based billing across Copilot/Codespaces/Actions) which per the master-vs-PhD scope rule §1.4 belongs in the PhD thesis only. See PHD_FIREHORSE_EN.md §14.20 (AI Pricing Capitulation: The Token-Based Billing Squeeze and the Operating-Cost Discipline of Owned-Compute Operations) and Key Contribution #25 (Demand-Side Capitulation and the Cost-Surface Stability Dimension of Agentic AI Conformity) for the scientific framing, including the new CSB-track (Cost-Surface Stability under deployment) extending EU AI Act Article 14 oversight from quality to affordability-stability variable. The implementation-side properties of the Firehorse Operations Model that are exposed to this signal (Spark NVFP4 owned compute §10.10.6.1, prompt caching architecture, OpenClaw on owned hardware, Proton mailbox-per-agent, multi-provider routing with task-aware model-selector) are already documented in their respective sections of this master’s thesis and require no further additions — the signal validates the existing implementation discipline rather than triggering new product work.</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Lockstep version bump 3.56 → 3.57 across all 4 thesis files per CLAUDE.md thesis rule. No content change in this master’s thesis file: the v3.57 substantive addition is a market/standardisation signal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 Standard falsifiability locus) which per the master-vs-PhD scope rule §1.4 belongs in the PhD thesis only. See PHD_FIREHORSE_EN.md §14.19 (Multi-Agent Emergent Misalignment and Incentive Design as the Alignment Unit) and Key Contribution #24 for the scientific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§10.10.6.1 (Hardware Brain Update — May 2026) documenting the Spark Primary tier swap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w:t>
      </w:r>
      <w:r>
        <w:t xml:space="preserve">(~4.5× decode speedup, MoE 123.6B / 12.7B active, Mamba-2 + attention + Latent MoE, NVFP4-pretrained), the Fast tier upgrade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and the addition of OpenClaw as a first-class compose service for EU-sovereign no-egress agent workloads. Implementation artefacts cited: field note 2026-03-29 v1.6, DWS_DEPLOYMENT_STANDARD.md v1.4, docker-compose.yml, DWS7_ROADMAP.md PR 161 re-base. Market-signal rationale (compute scarcity, NVFP4 hardware moat) cross-referenced to PHD_FIREHORSE_EN §14.18 per the master-vs-PhD scope rule §1.4. All 4 thesis files bumped to v3.56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Added §1.4 Content Scope Rule — master’s thesis is product/implementation-focused, excludes market intelligence and long-horizon roadmap; scope rule written into CLAUDE.md and mirrored in all 4 thesis files; PhD thesis differentiation formalized; version bump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1.6</w:t>
      </w:r>
      <w:r>
        <w:t xml:space="preserve"> </w:t>
      </w:r>
      <w:r>
        <w:t xml:space="preserve">“</w:t>
      </w:r>
      <w:r>
        <w:t xml:space="preserve">Ontology — Etymology and Philosophical Background</w:t>
      </w:r>
      <w:r>
        <w:t xml:space="preserve">”</w:t>
      </w:r>
      <w:r>
        <w:t xml:space="preserve"> </w:t>
      </w:r>
      <w:r>
        <w:t xml:space="preserve">linking the thesis to ONTOLOGY.md v1.3 (Greek ón + lógos, Aristotle, scholastic 17th–18th c. systematization, modern computer-science meaning). Aligns thesis terminology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Added Section 10.22 (DWS Skilled Taxonomy — Three Tiers Across Agents, Workflows, and Jurisdictions); deprecated</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codified the</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three-tier pattern across three active axes (Agents, Workflows, Jurisdictions — EU/US/Aiven); pattern designed for extensibility to future capability axes (Datasets, Models, Regulations, Reports); added count-dynamism patterns (open-ended</w:t>
      </w:r>
      <w:r>
        <w:t xml:space="preserve"> </w:t>
      </w:r>
      <w:r>
        <w:rPr>
          <w:rStyle w:val="VerbatimChar"/>
        </w:rPr>
        <w:t xml:space="preserve">18+</w:t>
      </w:r>
      <w:r>
        <w:t xml:space="preserve">, registry-anchored, product-scoped); codified exclusions (Docker/infra identifiers, Pantheon Greek-mythology brand, historical records); canonical source of truth is</w:t>
      </w:r>
      <w:r>
        <w:t xml:space="preserve"> </w:t>
      </w:r>
      <w:r>
        <w:rPr>
          <w:rStyle w:val="VerbatimChar"/>
        </w:rPr>
        <w:t xml:space="preserve">docs/Deputy-Agents-Architecture.md</w:t>
      </w:r>
      <w:r>
        <w:t xml:space="preserve"> </w:t>
      </w:r>
      <w:r>
        <w:t xml:space="preserve">§1 Terminology; added Key Contribution #31</w:t>
      </w:r>
    </w:p>
    <w:p>
      <w:pPr>
        <w:numPr>
          <w:ilvl w:val="0"/>
          <w:numId w:val="1001"/>
        </w:numPr>
      </w:pPr>
      <w:r>
        <w:t xml:space="preserve">Version: 3.36 | Tool: GitHub Copilot CLI (GPT-5.3-Codex) | Session: f2a5b1e0-a01c-489a-8d33-fde09a7dd970 | Date: 21.04.2026 | Changes: Expanded Section 10.21 with Boardy-sourced refinements: KYA open-source standard path via Agentic AI Foundation / Linux Foundation, explicit NIST status (not submitted), Article 1 title lock, 2026-2029 publication phasing, and EIC Step 1 deliverable linkage; added Key Contribution #30</w:t>
      </w:r>
    </w:p>
    <w:p>
      <w:pPr>
        <w:numPr>
          <w:ilvl w:val="0"/>
          <w:numId w:val="1001"/>
        </w:numPr>
      </w:pPr>
      <w:r>
        <w:t xml:space="preserve">Version: 3.35 | Tool: GitHub Copilot CLI (GPT-5.3-Codex) | Session: f2a5b1e0-a01c-489a-8d33-fde09a7dd970 | Date: 21.04.2026 | Changes: Added Section 10.21 (doctoral-track targeting): KYA positioned toward Agentic AI Foundation standardization, DWS 7 objectives as empirical frame, DWS 5 -&gt; hydrogen-economy continuity, dual-use stream with Nokia Defence discussions, Aegis/Sovereign Infra/Connect sovereignty segmentation (core figure), Siemens and NVIDIA Connect collaboration anchors, and supervisor-response structure; added Key Contribution #29</w:t>
      </w:r>
    </w:p>
    <w:p>
      <w:pPr>
        <w:numPr>
          <w:ilvl w:val="0"/>
          <w:numId w:val="1001"/>
        </w:numPr>
      </w:pPr>
      <w:r>
        <w:t xml:space="preserve">Version: 3.34 | Tool: Claude Code (Opus 4.7) | Session: claude/update-thesis-work-EoyoF | Date: 20.04.2026 | Changes: Added Section 10.20 (April 2026 Evolution) — four subsections covering Anthropic Skills Paradigm validation (external confirmation of DWS skill-first architecture from §10.13.3), Lifetime Fleet roadmap crystallization (Finland Drone Strategy 2030 + Baltic-first 12–16wk MVP graduating</w:t>
      </w:r>
      <w:r>
        <w:t xml:space="preserve"> </w:t>
      </w:r>
      <w:r>
        <w:t xml:space="preserve">“</w:t>
      </w:r>
      <w:r>
        <w:t xml:space="preserve">Hands</w:t>
      </w:r>
      <w:r>
        <w:t xml:space="preserve">”</w:t>
      </w:r>
      <w:r>
        <w:t xml:space="preserve"> </w:t>
      </w:r>
      <w:r>
        <w:t xml:space="preserve">layer from spec to timeline), DWS IQ 7 Datacentre Compliance Agent (22nd industry, RFNBO Delegated Regulation 2023/1184 green-hydrogen additionality), Regulatory Stack Expansion to NIS2+CER (Hybridiosaamiskeskus 8.5.2026, CORE resilience model), and Founder→Team Transition (SOLO_FOUNDER_STATEMENT v1.2, CTO co-builder, /investor-outreach skill, 10+ INTRO notes); added Key Contributions #25–#28</w:t>
      </w:r>
    </w:p>
    <w:p>
      <w:pPr>
        <w:numPr>
          <w:ilvl w:val="0"/>
          <w:numId w:val="1001"/>
        </w:numPr>
      </w:pPr>
      <w:r>
        <w:t xml:space="preserve">Version: 3.33 | Tool: Claude Code (Opus 4.6) | Session: claude/add-red-hat-partners-d8Hey | Date: 21.03.2026 | Changes: Added Red Hat Key Findings market data to Platform Economics (§2.2), inference shift validation to Edge Computing (§2.4), Red Hat AgentOps partnership to Strategic Partnerships (§10.12.4), updated SWOT Opportunities with $644B market and inference shift data</w:t>
      </w:r>
    </w:p>
    <w:p>
      <w:pPr>
        <w:numPr>
          <w:ilvl w:val="0"/>
          <w:numId w:val="1001"/>
        </w:numPr>
      </w:pPr>
      <w:r>
        <w:t xml:space="preserve">Version: 3.32 | Tool: Claude Code (Opus 4.6) | Session: claude/review-claude-skills-vZQ0r | Date: 03.04.2026 | Changes: Added Section 10.19 (Thesis Versioning Strategy: v3.30.50 Metropolia Freeze); added Key Contribution #23; created frozen V3Thesis_EN_v3.30.50.md (50-page restructured Metropolia outgoing) while preserving 82-page living document; updated footer with dual-version architecture</w:t>
      </w:r>
    </w:p>
    <w:p>
      <w:pPr>
        <w:numPr>
          <w:ilvl w:val="0"/>
          <w:numId w:val="1001"/>
        </w:numPr>
      </w:pPr>
      <w:r>
        <w:t xml:space="preserve">Version: 3.31 | Tool: Claude Code (Opus 4.6) | Session: claude/review-claude-skills-vZQ0r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pPr>
        <w:numPr>
          <w:ilvl w:val="0"/>
          <w:numId w:val="1001"/>
        </w:numPr>
      </w:pPr>
      <w:r>
        <w:t xml:space="preserve">Version: 3.30 | Tool: Claude Code (Opus 4.6) | Session: claude/research-leworldmodel-r3VRA | Date: 25.03.2026 | Changes: Added Section 10.18 (LWM Sequencing Strategy — From Regulatory Intelligence to Physical AI): three-phase sequencing (compliance→fleet→Series A), LeWorldModel validation (arXiv:2603.19312), Phase 2 technical gap analysis (input modality, scale, regulatory-physical integration), investor objection handling with Persefoni/Sweep comparables; added Key Contribution #21</w:t>
      </w:r>
    </w:p>
    <w:p>
      <w:pPr>
        <w:numPr>
          <w:ilvl w:val="0"/>
          <w:numId w:val="1001"/>
        </w:numPr>
      </w:pPr>
      <w:r>
        <w:t xml:space="preserve">Version: 3.29 | Tool: Claude Code (Opus 4.6) | Session: claude/add-debit-credit-compliance-FevOa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pPr>
        <w:numPr>
          <w:ilvl w:val="0"/>
          <w:numId w:val="1001"/>
        </w:numPr>
      </w:pPr>
      <w:r>
        <w:t xml:space="preserve">Version: 3.28 | Tool: Claude Code (Opus 4.6) | Session: claude/agent-memory-fact-extraction-gLEss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pPr>
        <w:numPr>
          <w:ilvl w:val="0"/>
          <w:numId w:val="1001"/>
        </w:numPr>
      </w:pPr>
      <w:r>
        <w:t xml:space="preserve">Version: 3.27 | Tool: Claude Code (Opus 4.6) | Session: claude/qantic-energy-analysis-Yjg00 | Date: 21.03.2026 | Changes: Added Section 10.7.3 LWM Product-Market Validation (Qantic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pPr>
        <w:numPr>
          <w:ilvl w:val="0"/>
          <w:numId w:val="1001"/>
        </w:numPr>
      </w:pPr>
      <w:r>
        <w:t xml:space="preserve">Version: 3.26 | Tool: Claude Code (Opus 4.6) | Session: claude/refine-thesis-critique-RP6Dv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pPr>
        <w:numPr>
          <w:ilvl w:val="0"/>
          <w:numId w:val="1001"/>
        </w:numPr>
      </w:pPr>
      <w:r>
        <w:t xml:space="preserve">Version: 3.25 | Tool: Claude Code (Opus 4.6) | Session: claude/add-harness-engineering-thesis-2zvZt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pPr>
        <w:numPr>
          <w:ilvl w:val="0"/>
          <w:numId w:val="1001"/>
        </w:numPr>
      </w:pPr>
      <w:r>
        <w:t xml:space="preserve">Version: 3.24 | Tool: Claude Code (Opus 4.6) | Session: claude/plan-postgres-columnar-3bSn6 | Date: 13.03.2026 | Changes: Expanded Appendix G glossary with Data Architecture (9 terms) and Research Methodology (4 terms) — autoresearch, HTAP, Hypercore, two-tier architecture, KYA, proxy-to-scale</w:t>
      </w:r>
    </w:p>
    <w:p>
      <w:pPr>
        <w:numPr>
          <w:ilvl w:val="0"/>
          <w:numId w:val="1001"/>
        </w:numPr>
      </w:pPr>
      <w:r>
        <w:t xml:space="preserve">Version: 3.23 | Tool: Claude Code (Opus 4.6) | Session: claude/plan-postgres-columnar-3bSn6 | Date: 13.03.2026 | Changes: Updated Section 10.15 with 2026 Aiven-first mandate: Hydra→Supabase Warehouse (Feb 2026), pg_mooncake→Databricks (Oct 2025), TimescaleDB 2.25.x Hypercore as approved standard, Aiven whitelist confirmed (pg_duckdb BLOCKED), two-tier HTAP (Aiven managed + GN100 edge), edge PostgreSQL deployment; added Key Contribution #18; updated footer</w:t>
      </w:r>
    </w:p>
    <w:p>
      <w:pPr>
        <w:numPr>
          <w:ilvl w:val="0"/>
          <w:numId w:val="1001"/>
        </w:numPr>
      </w:pPr>
      <w:r>
        <w:t xml:space="preserve">Version: 3.22 | Tool: Claude Code (Opus 4.6) | Session: claude/plan-postgres-columnar-3bSn6 | Date: 12.03.2026 | Changes: Added Section 10.15 (PostgreSQL Columnar HTAP Architecture — DWS Data Standard): pg_duckdb + TimescaleDB on Aiven EU for single-database HTAP, 4-phase rollout, DWS_DATA_STANDARD.md creation, EU regulatory compliance matrix (GDPR, EU AI Act Art 12, NIS2, CSRD, EU Data Act 2023/2854); added Key Contribution #17; updated footer</w:t>
      </w:r>
    </w:p>
    <w:p>
      <w:pPr>
        <w:numPr>
          <w:ilvl w:val="0"/>
          <w:numId w:val="1001"/>
        </w:numPr>
      </w:pPr>
      <w:r>
        <w:t xml:space="preserve">Version: 3.21 | Tool: Claude Code (Opus 4.6) | Session: claude/vigorous-meitner | Date: 09.03.2026 | Changes: Added Section 10.14 (Agent System Hardening — Production Reliability): 6 TypeScript compilation errors fixed, 3 test failures resolved, SandboxContext type alignment with opensandbox stage, MCP/HIL route wiring, locale-deterministic number formatting, dependency hygiene (luxon); added Key Contribution #16; updated footer</w:t>
      </w:r>
    </w:p>
    <w:p>
      <w:pPr>
        <w:numPr>
          <w:ilvl w:val="0"/>
          <w:numId w:val="1001"/>
        </w:numPr>
      </w:pPr>
      <w:r>
        <w:t xml:space="preserve">Version: 3.20 | Tool: Claude Code (Opus 4.6) | Session: claude/build-mvp-features-nFk7k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pPr>
        <w:numPr>
          <w:ilvl w:val="0"/>
          <w:numId w:val="1001"/>
        </w:numPr>
      </w:pPr>
      <w:r>
        <w:t xml:space="preserve">Version: 3.19 | Tool: Claude Code (Opus 4.6) | Session: claude/happy-rhodes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pPr>
        <w:numPr>
          <w:ilvl w:val="0"/>
          <w:numId w:val="1001"/>
        </w:numPr>
      </w:pPr>
      <w:r>
        <w:t xml:space="preserve">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pPr>
        <w:numPr>
          <w:ilvl w:val="0"/>
          <w:numId w:val="1001"/>
        </w:numPr>
      </w:pPr>
      <w:r>
        <w:t xml:space="preserve">Version: 3.17 | Tool: Claude Code (Sonnet 4.6) | Session: claude/implement-workflow-agents-CHFFN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pPr>
        <w:numPr>
          <w:ilvl w:val="0"/>
          <w:numId w:val="1001"/>
        </w:numPr>
      </w:pPr>
      <w:r>
        <w:t xml:space="preserve">Version: 3.17 | Tool: Claude Code (Sonnet 4.6) | Session: claude/organize-repo-structure-F3xqn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pPr>
        <w:numPr>
          <w:ilvl w:val="0"/>
          <w:numId w:val="1001"/>
        </w:numPr>
      </w:pPr>
      <w:r>
        <w:t xml:space="preserve">Version: 3.16 | Tool: Claude Code (Sonnet 4.6) | Session: claude/sandbox-agents-opensandbox-HatfC | Date: 01.03.2026 | Changes: CONSOLIDATED — resolves version drift 3.12-3.15. Added Section 10.11 (CEO Automation Agent Suite: Captain Briefing, LinkedIn Scheduler, EU Regulation Monitor); Section 10.12 (Strategic Partnerships: NVIDIA, Siemens, ABB, xAI, Mistral + Multi-LLM Router); added Key Contributions #10-11; updated footer</w:t>
      </w:r>
    </w:p>
    <w:p>
      <w:pPr>
        <w:numPr>
          <w:ilvl w:val="0"/>
          <w:numId w:val="1001"/>
        </w:numPr>
      </w:pPr>
      <w:r>
        <w:t xml:space="preserve">Version: 3.15 | Tool: Cursor AI / Claude Code | Session: [untracked] | Date: 25-27.02.2026 | Changes: [UNTRACKED DRIFT] DWS6→DWS7 transition documentation; CLAUDE.md compaction; session handover protocol; ZenFree security integration; Resend email agent</w:t>
      </w:r>
    </w:p>
    <w:p>
      <w:pPr>
        <w:numPr>
          <w:ilvl w:val="0"/>
          <w:numId w:val="1001"/>
        </w:numPr>
      </w:pPr>
      <w:r>
        <w:t xml:space="preserve">Version: 3.14 | Tool: Claude Code (Sonnet 4.6) | Session: claude/sandbox-agents-opensandbox-HatfC | Date: 01.03.2026 | Changes: [CAPTURED IN 3.11] OpenSandbox Stage 1.5 on Acer Veriton GN100; EMPO² agent memory (arXiv:2602.23008)</w:t>
      </w:r>
    </w:p>
    <w:p>
      <w:pPr>
        <w:numPr>
          <w:ilvl w:val="0"/>
          <w:numId w:val="1001"/>
        </w:numPr>
      </w:pPr>
      <w:r>
        <w:t xml:space="preserve">Version: 3.13 | Tool: Claude Code (Opus 4.6) | Session: claude/dws6-dws7-update-doc-I2Cgk | Date: 27.02.2026 | Changes: [UNTRACKED DRIFT] Strategic partnerships expanded: NVIDIA Inception, Siemens Xcelerator, ABB Ability, xAI Grok, Mistral EU-sovereign; multi-LLM router architecture</w:t>
      </w:r>
    </w:p>
    <w:p>
      <w:pPr>
        <w:numPr>
          <w:ilvl w:val="0"/>
          <w:numId w:val="1001"/>
        </w:numPr>
      </w:pPr>
      <w:r>
        <w:t xml:space="preserve">Version: 3.12 | Tool: Claude Code (Opus 4.6) | Session: claude/ai-agent-orchestration-t89Ig | Date: 24.02.2026 | Changes: [UNTRACKED DRIFT] CEO Automation Agent Suite: Captain Pre-Briefing, LinkedIn Post Scheduler, EU Regulation Monitor — 3 production agents with GitHub Actions cron</w:t>
      </w:r>
    </w:p>
    <w:p>
      <w:pPr>
        <w:numPr>
          <w:ilvl w:val="0"/>
          <w:numId w:val="1001"/>
        </w:numPr>
      </w:pPr>
      <w:r>
        <w:t xml:space="preserve">Version: 3.11 | Tool: Claude Code (Sonnet 4.6) | Session: claude/sandbox-agents-opensandbox-HatfC | Date: 01.03.2026 | Changes: Added Section 10.10 (Agent Foundry Stage 1.5 — OpenSandbox on Acer Veriton GN100); added EMPO² reference (arXiv:2602.23008 — hybrid on/off-policy RL for memory-augmented agents); updated NCC Sandbox stage annotation; added Key Contribution #9</w:t>
      </w:r>
    </w:p>
    <w:p>
      <w:pPr>
        <w:numPr>
          <w:ilvl w:val="0"/>
          <w:numId w:val="1001"/>
        </w:numPr>
      </w:pPr>
      <w:r>
        <w:t xml:space="preserve">Version: 3.10 | Tool: Claude Code (Opus 4.6) | Session: claude/modernize-dws7-77v2B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pPr>
        <w:numPr>
          <w:ilvl w:val="0"/>
          <w:numId w:val="1001"/>
        </w:numPr>
      </w:pPr>
      <w:r>
        <w:t xml:space="preserve">Version: 3.9 | Tool: Claude Code (Opus 4.6) | Session: claude/add-sdk-sandbox-isolation-Q0lzp | Date: 21.02.2026 | Changes: Enhanced LWM definition as enterprise learning layer (fine-tunes data/regulation, optimizes market value, ensures competitive advantage), added 25+-industry cross-learning network effects analysis</w:t>
      </w:r>
    </w:p>
    <w:p>
      <w:pPr>
        <w:numPr>
          <w:ilvl w:val="0"/>
          <w:numId w:val="1001"/>
        </w:numPr>
      </w:pPr>
      <w:r>
        <w:t xml:space="preserve">Version: 3.8 | Tool: Claude Code (Opus 4.6) | Session: claude/add-sdk-sandbox-isolation-Q0lzp | Date: 21.02.2026 | Changes: Added sections 10.6 Per-Industry Open LLM Selection (20 industries, 7 candidate models), 10.7 Enterprise BYOA Architecture (Bring Your Own Agent — NCC scenario, 24 agents, Langflow+React Flow+Temporal.io graphical workflow builder, contractor onboarding flow)</w:t>
      </w:r>
    </w:p>
    <w:p>
      <w:pPr>
        <w:numPr>
          <w:ilvl w:val="0"/>
          <w:numId w:val="1001"/>
        </w:numPr>
      </w:pPr>
      <w:r>
        <w:t xml:space="preserve">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pPr>
        <w:numPr>
          <w:ilvl w:val="0"/>
          <w:numId w:val="1001"/>
        </w:numPr>
      </w:pPr>
      <w:r>
        <w:t xml:space="preserve">Version: 3.6 | Tool: Claude Code (Opus 4.6) | Session: e5wXD | Date: 20.02.2026 | Changes: Updated DWS standards, admin manuals with HIL automation references. Version header correction (3.4-3.5 were not tracked)</w:t>
      </w:r>
    </w:p>
    <w:p>
      <w:pPr>
        <w:numPr>
          <w:ilvl w:val="0"/>
          <w:numId w:val="1001"/>
        </w:numPr>
      </w:pPr>
      <w:r>
        <w:t xml:space="preserve">Version: 3.5 | Tool: Claude Code (Opus 4.6) | Session: e7fe405 | Date: 20.02.2026 | Changes: Added section 12 IPR Protection &amp; Trade Secret Strategy, section 13 Prompt Caching Architecture for AI Agents, renumbered sections 12-15 → 14-17, added EU Trade Secrets Directive references</w:t>
      </w:r>
    </w:p>
    <w:p>
      <w:pPr>
        <w:numPr>
          <w:ilvl w:val="0"/>
          <w:numId w:val="1001"/>
        </w:numPr>
      </w:pPr>
      <w:r>
        <w:t xml:space="preserve">Version: 3.4 | Tool: Cursor AI (Claude Sonnet 4.6) | Session: 278819d | Date: 18.02.2026 | Changes: Company rename Lifetime Consulting Oy → Lifetime Oy across all documentation (Omnibus_Fit55 analysis files)</w:t>
      </w:r>
    </w:p>
    <w:p>
      <w:pPr>
        <w:numPr>
          <w:ilvl w:val="0"/>
          <w:numId w:val="1001"/>
        </w:numPr>
      </w:pPr>
      <w:r>
        <w:t xml:space="preserve">Version: 3.3 | Tool: Claude Code (Opus 4.6) | Session: V3-Merge | Date: 10.02.2026 | Changes: Merged Thesis_FI.md (v2.1) and V2Thesis_FI.md (v3.2) into a single consolidated version. Fixed Scandinavian characters, updated identifiers, added DWS10 e-commerce, audio chat and HIL pipeline sections, Karpathy appendix, Firehorse operating model sections</w:t>
      </w:r>
    </w:p>
    <w:p>
      <w:pPr>
        <w:numPr>
          <w:ilvl w:val="0"/>
          <w:numId w:val="1001"/>
        </w:numPr>
      </w:pPr>
      <w:r>
        <w:t xml:space="preserve">Version: 3.2 | Tool: Claude Code (Opus 4.6) | Session: HIL-Pipeline | Date: 07.02.2026 | Changes: Added section 6.7 - Human-in-the-Loop learning pipeline (daily automation, three-layer backup, Learn/ folder output)</w:t>
      </w:r>
    </w:p>
    <w:p>
      <w:pPr>
        <w:numPr>
          <w:ilvl w:val="0"/>
          <w:numId w:val="1001"/>
        </w:numPr>
      </w:pPr>
      <w:r>
        <w:t xml:space="preserve">Version: 3.1 | Tool: Claude Code (Opus 4.5) | Session: Karpathy-Principles | Date: 04.02.2026 | Changes: Added Appendix E - AI Agent Behavioral Guidelines (Karpathy Principles), EU AI Act compliance mapping, implementation outcome metrics</w:t>
      </w:r>
    </w:p>
    <w:p>
      <w:pPr>
        <w:numPr>
          <w:ilvl w:val="0"/>
          <w:numId w:val="1001"/>
        </w:numPr>
      </w:pPr>
      <w:r>
        <w:t xml:space="preserve">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pPr>
        <w:numPr>
          <w:ilvl w:val="0"/>
          <w:numId w:val="1001"/>
        </w:numPr>
      </w:pPr>
      <w:r>
        <w:t xml:space="preserve">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pPr>
        <w:numPr>
          <w:ilvl w:val="0"/>
          <w:numId w:val="1001"/>
        </w:numPr>
      </w:pPr>
      <w:r>
        <w:t xml:space="preserve">Version: 2.1 | Tool: Cursor AI (Claude) | Session: 16-Industries | Date: 06.01.2026 | Changes: Added Fit for 55 25+-industry analysis, AI usage disclosure, DWS10 use cases, expanded current state analysis</w:t>
      </w:r>
    </w:p>
    <w:p>
      <w:pPr>
        <w:numPr>
          <w:ilvl w:val="0"/>
          <w:numId w:val="1001"/>
        </w:numPr>
      </w:pPr>
      <w:r>
        <w:t xml:space="preserve">Version: 2.0 | Tool: Cursor AI (Claude) | Session: Thesis-Revision | Date: 05.01.2026 | Changes: Major revision - Added Solution Factory model, AgentFoundry documentation, Lifetime Scope Signals theory, SWOT analysis, research questions answers, complete theoretical framework</w:t>
      </w:r>
    </w:p>
    <w:p>
      <w:pPr>
        <w:numPr>
          <w:ilvl w:val="0"/>
          <w:numId w:val="1001"/>
        </w:numPr>
      </w:pPr>
      <w:r>
        <w:t xml:space="preserve">Version: 1.0 | Tool: GitHub Copilot | Session: 2025-12-30 | Date: 30.12.2025 | Changes: Applied DWS document standard, synchronized with Finnish version</w:t>
      </w:r>
    </w:p>
    <w:p>
      <w:pPr>
        <w:pStyle w:val="FirstParagraph"/>
      </w:pPr>
      <w:r>
        <w:t xml:space="preserve">Session Links &amp; References:</w:t>
      </w:r>
    </w:p>
    <w:p>
      <w:pPr>
        <w:numPr>
          <w:ilvl w:val="0"/>
          <w:numId w:val="1002"/>
        </w:numPr>
        <w:pStyle w:val="Compact"/>
      </w:pPr>
      <w:r>
        <w:t xml:space="preserve">Claude Code (2026-02-10): V3 merge and Scandinavian character fixes</w:t>
      </w:r>
    </w:p>
    <w:p>
      <w:pPr>
        <w:numPr>
          <w:ilvl w:val="0"/>
          <w:numId w:val="1002"/>
        </w:numPr>
        <w:pStyle w:val="Compact"/>
      </w:pPr>
      <w:r>
        <w:t xml:space="preserve">Claude Code (2026-01-28): DWS10 store integration, Google Merchant, Revolut, Audio chat roadmap</w:t>
      </w:r>
    </w:p>
    <w:p>
      <w:pPr>
        <w:numPr>
          <w:ilvl w:val="0"/>
          <w:numId w:val="1002"/>
        </w:numPr>
        <w:pStyle w:val="Compact"/>
      </w:pPr>
      <w:r>
        <w:t xml:space="preserve">Cursor AI (2026-01-05): Thesis revision integrating codebase evidence</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https://github.com/blogtheristo/dws6/blob/main/docs/metropolia/master-thesis/en/V3Thesis_EN.md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English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open-source standard path, NIST status, Article 1 refinement, publication phasing)</w:t>
      </w:r>
    </w:p>
    <w:p>
      <w:r>
        <w:pict>
          <v:rect style="width:0;height:1.5pt" o:hralign="center" o:hrstd="t" o:hr="t"/>
        </w:pict>
      </w:r>
    </w:p>
    <w:p>
      <w:pPr>
        <w:pStyle w:val="FirstParagraph"/>
      </w:pPr>
      <w:r>
        <w:rPr>
          <w:bCs/>
          <w:b/>
        </w:rPr>
        <w:t xml:space="preserve">Master’s Thesis</w:t>
      </w:r>
      <w:r>
        <w:t xml:space="preserve"> </w:t>
      </w:r>
      <w:r>
        <w:rPr>
          <w:bCs/>
          <w:b/>
        </w:rPr>
        <w:t xml:space="preserve">Metropolia University of Applied Sciences</w:t>
      </w:r>
    </w:p>
    <w:p>
      <w:pPr>
        <w:pStyle w:val="BodyText"/>
      </w:pPr>
      <w:r>
        <w:rPr>
          <w:bCs/>
          <w:b/>
        </w:rPr>
        <w:t xml:space="preserve">Author:</w:t>
      </w:r>
      <w:r>
        <w:t xml:space="preserve"> </w:t>
      </w:r>
      <w:r>
        <w:t xml:space="preserve">Risto Anton Päärni</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Date:</w:t>
      </w:r>
      <w:r>
        <w:t xml:space="preserve"> </w:t>
      </w:r>
      <w:r>
        <w:t xml:space="preserve">16.1.2026</w:t>
      </w:r>
      <w:r>
        <w:t xml:space="preserve"> </w:t>
      </w:r>
      <w:r>
        <w:rPr>
          <w:bCs/>
          <w:b/>
        </w:rPr>
        <w:t xml:space="preserve">InvestEU Portal:</w:t>
      </w:r>
      <w:r>
        <w:t xml:space="preserve"> </w:t>
      </w:r>
      <w:r>
        <w:t xml:space="preserve">Project Lifetime World, DWS IQ 6, Firehorse (INPO-20254383) submitted for publication on the InvestEU Portal on 25.12.2025 — InvestEU Portal Team, European Commission</w:t>
      </w:r>
    </w:p>
    <w:p>
      <w:r>
        <w:pict>
          <v:rect style="width:0;height:1.5pt" o:hralign="center" o:hrstd="t" o:hr="t"/>
        </w:pict>
      </w:r>
    </w:p>
    <w:bookmarkStart w:id="22"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2"/>
    <w:bookmarkStart w:id="23" w:name="tiivistelma"/>
    <w:p>
      <w:pPr>
        <w:pStyle w:val="Heading2"/>
      </w:pPr>
      <w:r>
        <w:t xml:space="preserve">Tiivistelma</w:t>
      </w:r>
    </w:p>
    <w:p>
      <w:pPr>
        <w:pStyle w:val="FirstParagraph"/>
      </w:pPr>
      <w:r>
        <w:t xml:space="preserve">Tama opinnaytetyo tutkii Firehorse-tuotevalmistuksen toimintamallia, joka yhdistaa pilvi- ja reunalaskentateknologiat teollisten pk-yritysten tarpeisiin. Tyo keskittyy rakennusteollisuuteen ja sen haasteisiin EU:n kaksoissiirtymassa (digitaalinen + vihrea).</w:t>
      </w:r>
      <w:r>
        <w:t xml:space="preserve"> </w:t>
      </w:r>
      <w:r>
        <w:rPr>
          <w:bCs/>
          <w:b/>
        </w:rPr>
        <w:t xml:space="preserve">Versio 3.0 laajentaa tutkimusta verkkokauppavalidoinnilla DWS10.com-kaupan toteutuksen, Google Merchant Center -integraation, Revolut Business -maksukasittelyn ja aanichat-kehityssuunnitelman kautta Groq-inferenssia ja Llama-malleja kayttaen.</w:t>
      </w:r>
    </w:p>
    <w:p>
      <w:pPr>
        <w:pStyle w:val="BodyText"/>
      </w:pPr>
      <w:r>
        <w:rPr>
          <w:bCs/>
          <w:b/>
        </w:rPr>
        <w:t xml:space="preserve">Avainsanat:</w:t>
      </w:r>
      <w:r>
        <w:t xml:space="preserve"> </w:t>
      </w:r>
      <w:r>
        <w:t xml:space="preserve">Tekoaly, reunalaskenta, rakennusteollisuus, toimintamalli, pilvipalvelut, verkkokauppa, Google Merchant Center, Revolut Business, aanichat, EU:n tekoalysaados</w:t>
      </w:r>
    </w:p>
    <w:p>
      <w:r>
        <w:pict>
          <v:rect style="width:0;height:1.5pt" o:hralign="center" o:hrstd="t" o:hr="t"/>
        </w:pict>
      </w:r>
    </w:p>
    <w:bookmarkEnd w:id="23"/>
    <w:bookmarkStart w:id="25" w:name="ai-tool-usage-disclosure"/>
    <w:p>
      <w:pPr>
        <w:pStyle w:val="Heading2"/>
      </w:pPr>
      <w:r>
        <w:t xml:space="preserve">AI Tool Usage Disclosure</w:t>
      </w:r>
    </w:p>
    <w:p>
      <w:pPr>
        <w:pStyle w:val="FirstParagraph"/>
      </w:pPr>
      <w:r>
        <w:t xml:space="preserve">AI-assisted tools were used in the preparation of this thesis in accordance with transparency and academic integrity principles.</w:t>
      </w:r>
    </w:p>
    <w:p>
      <w:pPr>
        <w:pStyle w:val="BodyText"/>
      </w:pPr>
      <w:r>
        <w:rPr>
          <w:bCs/>
          <w:b/>
        </w:rPr>
        <w:t xml:space="preserve">Tools used:</w:t>
      </w:r>
    </w:p>
    <w:p>
      <w:pPr>
        <w:numPr>
          <w:ilvl w:val="0"/>
          <w:numId w:val="1004"/>
        </w:numPr>
        <w:pStyle w:val="Compact"/>
      </w:pPr>
      <w:r>
        <w:rPr>
          <w:bCs/>
          <w:b/>
        </w:rPr>
        <w:t xml:space="preserve">Claude Code (Anthropic Opus 4.5/4.6)</w:t>
      </w:r>
      <w:r>
        <w:t xml:space="preserve"> </w:t>
      </w:r>
      <w:r>
        <w:t xml:space="preserve">— DWS10 e-commerce store integration, documentation generation, V3 merge</w:t>
      </w:r>
    </w:p>
    <w:p>
      <w:pPr>
        <w:numPr>
          <w:ilvl w:val="0"/>
          <w:numId w:val="1004"/>
        </w:numPr>
        <w:pStyle w:val="Compact"/>
      </w:pPr>
      <w:r>
        <w:rPr>
          <w:bCs/>
          <w:b/>
        </w:rPr>
        <w:t xml:space="preserve">Claude (Anthropic)</w:t>
      </w:r>
      <w:r>
        <w:t xml:space="preserve"> </w:t>
      </w:r>
      <w:r>
        <w:t xml:space="preserve">— Text editing, structure review, language improvement</w:t>
      </w:r>
    </w:p>
    <w:p>
      <w:pPr>
        <w:numPr>
          <w:ilvl w:val="0"/>
          <w:numId w:val="1004"/>
        </w:numPr>
        <w:pStyle w:val="Compact"/>
      </w:pPr>
      <w:r>
        <w:rPr>
          <w:bCs/>
          <w:b/>
        </w:rPr>
        <w:t xml:space="preserve">Cursor AI</w:t>
      </w:r>
      <w:r>
        <w:t xml:space="preserve"> </w:t>
      </w:r>
      <w:r>
        <w:t xml:space="preserve">— Code documentation, technical section validation</w:t>
      </w:r>
    </w:p>
    <w:p>
      <w:pPr>
        <w:numPr>
          <w:ilvl w:val="0"/>
          <w:numId w:val="1004"/>
        </w:numPr>
        <w:pStyle w:val="Compact"/>
      </w:pPr>
      <w:r>
        <w:rPr>
          <w:bCs/>
          <w:b/>
        </w:rPr>
        <w:t xml:space="preserve">GitHub Copilot</w:t>
      </w:r>
      <w:r>
        <w:t xml:space="preserve"> </w:t>
      </w:r>
      <w:r>
        <w:t xml:space="preserve">— Code examples, technical documentation</w:t>
      </w:r>
    </w:p>
    <w:p>
      <w:pPr>
        <w:pStyle w:val="FirstParagraph"/>
      </w:pPr>
      <w:r>
        <w:rPr>
          <w:bCs/>
          <w:b/>
        </w:rPr>
        <w:t xml:space="preserve">AI’s role in documentation:</w:t>
      </w:r>
    </w:p>
    <w:p>
      <w:pPr>
        <w:numPr>
          <w:ilvl w:val="0"/>
          <w:numId w:val="1005"/>
        </w:numPr>
        <w:pStyle w:val="Compact"/>
      </w:pPr>
      <w:r>
        <w:t xml:space="preserve">Language review and improvement suggestions (FI/EN)</w:t>
      </w:r>
    </w:p>
    <w:p>
      <w:pPr>
        <w:numPr>
          <w:ilvl w:val="0"/>
          <w:numId w:val="1005"/>
        </w:numPr>
        <w:pStyle w:val="Compact"/>
      </w:pPr>
      <w:r>
        <w:t xml:space="preserve">Technical documentation structuring and harmonization</w:t>
      </w:r>
    </w:p>
    <w:p>
      <w:pPr>
        <w:numPr>
          <w:ilvl w:val="0"/>
          <w:numId w:val="1005"/>
        </w:numPr>
        <w:pStyle w:val="Compact"/>
      </w:pPr>
      <w:r>
        <w:t xml:space="preserve">Translation assistance Finnish-English</w:t>
      </w:r>
    </w:p>
    <w:p>
      <w:pPr>
        <w:numPr>
          <w:ilvl w:val="0"/>
          <w:numId w:val="1005"/>
        </w:numPr>
        <w:pStyle w:val="Compact"/>
      </w:pPr>
      <w:r>
        <w:t xml:space="preserve">Table and diagram formatting</w:t>
      </w:r>
    </w:p>
    <w:p>
      <w:pPr>
        <w:numPr>
          <w:ilvl w:val="0"/>
          <w:numId w:val="1005"/>
        </w:numPr>
        <w:pStyle w:val="Compact"/>
      </w:pPr>
      <w:r>
        <w:t xml:space="preserve">E-commerce maintenance manual generation</w:t>
      </w:r>
    </w:p>
    <w:p>
      <w:pPr>
        <w:pStyle w:val="FirstParagraph"/>
      </w:pPr>
      <w:r>
        <w:rPr>
          <w:bCs/>
          <w:b/>
        </w:rPr>
        <w:t xml:space="preserve">Author’s original contribution:</w:t>
      </w:r>
    </w:p>
    <w:p>
      <w:pPr>
        <w:numPr>
          <w:ilvl w:val="0"/>
          <w:numId w:val="1006"/>
        </w:numPr>
        <w:pStyle w:val="Compact"/>
      </w:pPr>
      <w:r>
        <w:t xml:space="preserve">All research questions, hypotheses, and conclusions</w:t>
      </w:r>
    </w:p>
    <w:p>
      <w:pPr>
        <w:numPr>
          <w:ilvl w:val="0"/>
          <w:numId w:val="1006"/>
        </w:numPr>
        <w:pStyle w:val="Compact"/>
      </w:pPr>
      <w:r>
        <w:t xml:space="preserve">Original content, argumentation, and analysis</w:t>
      </w:r>
    </w:p>
    <w:p>
      <w:pPr>
        <w:numPr>
          <w:ilvl w:val="0"/>
          <w:numId w:val="1006"/>
        </w:numPr>
        <w:pStyle w:val="Compact"/>
      </w:pPr>
      <w:r>
        <w:t xml:space="preserve">Live codebase and implementation (dws6 repository: 50,000+ LOC)</w:t>
      </w:r>
    </w:p>
    <w:p>
      <w:pPr>
        <w:numPr>
          <w:ilvl w:val="0"/>
          <w:numId w:val="1006"/>
        </w:numPr>
        <w:pStyle w:val="Compact"/>
      </w:pPr>
      <w:r>
        <w:t xml:space="preserve">Business model design and validation</w:t>
      </w:r>
    </w:p>
    <w:p>
      <w:pPr>
        <w:numPr>
          <w:ilvl w:val="0"/>
          <w:numId w:val="1006"/>
        </w:numPr>
        <w:pStyle w:val="Compact"/>
      </w:pPr>
      <w:r>
        <w:t xml:space="preserve">Customer interviews and data (Uber, Bolt, Kela — EUR 10k MRR)</w:t>
      </w:r>
    </w:p>
    <w:p>
      <w:pPr>
        <w:numPr>
          <w:ilvl w:val="0"/>
          <w:numId w:val="1006"/>
        </w:numPr>
        <w:pStyle w:val="Compact"/>
      </w:pPr>
      <w:r>
        <w:t xml:space="preserve">Solution Factory model and AgentFoundry architecture development</w:t>
      </w:r>
    </w:p>
    <w:p>
      <w:pPr>
        <w:numPr>
          <w:ilvl w:val="0"/>
          <w:numId w:val="1006"/>
        </w:numPr>
        <w:pStyle w:val="Compact"/>
      </w:pPr>
      <w:r>
        <w:t xml:space="preserve">DWS10.com e-commerce product catalog and integrations</w:t>
      </w:r>
    </w:p>
    <w:p>
      <w:pPr>
        <w:pStyle w:val="FirstParagraph"/>
      </w:pPr>
      <w:r>
        <w:rPr>
          <w:bCs/>
          <w:b/>
        </w:rPr>
        <w:t xml:space="preserve">Evidence base:</w:t>
      </w:r>
    </w:p>
    <w:p>
      <w:pPr>
        <w:numPr>
          <w:ilvl w:val="0"/>
          <w:numId w:val="1007"/>
        </w:numPr>
        <w:pStyle w:val="Compact"/>
      </w:pPr>
      <w:r>
        <w:t xml:space="preserve">Git version history:</w:t>
      </w:r>
      <w:r>
        <w:t xml:space="preserve"> </w:t>
      </w:r>
      <w:hyperlink r:id="rId24">
        <w:r>
          <w:rPr>
            <w:rStyle w:val="Hyperlink"/>
          </w:rPr>
          <w:t xml:space="preserve">github.com/blogtheristo/dws6</w:t>
        </w:r>
      </w:hyperlink>
    </w:p>
    <w:p>
      <w:pPr>
        <w:numPr>
          <w:ilvl w:val="0"/>
          <w:numId w:val="1007"/>
        </w:numPr>
        <w:pStyle w:val="Compact"/>
      </w:pPr>
      <w:r>
        <w:t xml:space="preserve">Live customer validation: EUR 10,000+ MRR</w:t>
      </w:r>
    </w:p>
    <w:p>
      <w:pPr>
        <w:numPr>
          <w:ilvl w:val="0"/>
          <w:numId w:val="1007"/>
        </w:numPr>
        <w:pStyle w:val="Compact"/>
      </w:pPr>
      <w:r>
        <w:t xml:space="preserve">Working system: DWS10.com, DWS6.com, onelifetime.world, lifetime.fi</w:t>
      </w:r>
    </w:p>
    <w:p>
      <w:pPr>
        <w:numPr>
          <w:ilvl w:val="0"/>
          <w:numId w:val="1007"/>
        </w:numPr>
        <w:pStyle w:val="Compact"/>
      </w:pPr>
      <w:r>
        <w:t xml:space="preserve">Google Merchant Center: Account 8496329, 30 products approved</w:t>
      </w:r>
    </w:p>
    <w:p>
      <w:r>
        <w:pict>
          <v:rect style="width:0;height:1.5pt" o:hralign="center" o:hrstd="t" o:hr="t"/>
        </w:pict>
      </w:r>
    </w:p>
    <w:bookmarkEnd w:id="25"/>
    <w:bookmarkEnd w:id="26"/>
    <w:bookmarkStart w:id="27" w:name="table-of-contents"/>
    <w:p>
      <w:pPr>
        <w:pStyle w:val="Heading1"/>
      </w:pPr>
      <w:r>
        <w:t xml:space="preserve">Table of Contents</w:t>
      </w:r>
    </w:p>
    <w:p>
      <w:pPr>
        <w:numPr>
          <w:ilvl w:val="0"/>
          <w:numId w:val="1008"/>
        </w:numPr>
        <w:pStyle w:val="Compact"/>
      </w:pPr>
      <w:hyperlink w:anchor="Xe3d0fc0bea9a42ce7605565d0964033d7f6ee47">
        <w:r>
          <w:rPr>
            <w:rStyle w:val="Hyperlink"/>
          </w:rPr>
          <w:t xml:space="preserve">Introduction</w:t>
        </w:r>
      </w:hyperlink>
    </w:p>
    <w:p>
      <w:pPr>
        <w:numPr>
          <w:ilvl w:val="0"/>
          <w:numId w:val="1008"/>
        </w:numPr>
        <w:pStyle w:val="Compact"/>
      </w:pPr>
      <w:hyperlink w:anchor="X0d367b1edd1e6cb2f835f9b794fc1341b7723dd">
        <w:r>
          <w:rPr>
            <w:rStyle w:val="Hyperlink"/>
          </w:rPr>
          <w:t xml:space="preserve">Theoretical Framework</w:t>
        </w:r>
      </w:hyperlink>
    </w:p>
    <w:p>
      <w:pPr>
        <w:numPr>
          <w:ilvl w:val="0"/>
          <w:numId w:val="1008"/>
        </w:numPr>
        <w:pStyle w:val="Compact"/>
      </w:pPr>
      <w:hyperlink w:anchor="X9dbdde364144146c097b503be74725a4bdb84dd">
        <w:r>
          <w:rPr>
            <w:rStyle w:val="Hyperlink"/>
          </w:rPr>
          <w:t xml:space="preserve">Current State Analysis</w:t>
        </w:r>
      </w:hyperlink>
    </w:p>
    <w:p>
      <w:pPr>
        <w:numPr>
          <w:ilvl w:val="0"/>
          <w:numId w:val="1008"/>
        </w:numPr>
        <w:pStyle w:val="Compact"/>
      </w:pPr>
      <w:hyperlink w:anchor="Xd696a447ada39aeae08e61a22c48a1c7b05213c">
        <w:r>
          <w:rPr>
            <w:rStyle w:val="Hyperlink"/>
          </w:rPr>
          <w:t xml:space="preserve">DWS6 Operating Model Design</w:t>
        </w:r>
      </w:hyperlink>
    </w:p>
    <w:p>
      <w:pPr>
        <w:numPr>
          <w:ilvl w:val="0"/>
          <w:numId w:val="1008"/>
        </w:numPr>
        <w:pStyle w:val="Compact"/>
      </w:pPr>
      <w:hyperlink w:anchor="X84fd9ef713f3174dd65965a39b1c268df904512">
        <w:r>
          <w:rPr>
            <w:rStyle w:val="Hyperlink"/>
          </w:rPr>
          <w:t xml:space="preserve">Implementation (MVP Phase)</w:t>
        </w:r>
      </w:hyperlink>
    </w:p>
    <w:p>
      <w:pPr>
        <w:numPr>
          <w:ilvl w:val="0"/>
          <w:numId w:val="1008"/>
        </w:numPr>
        <w:pStyle w:val="Compact"/>
      </w:pPr>
      <w:hyperlink w:anchor="Xe6f964be2cde8351406a0c70a89ee426c77aaa5">
        <w:r>
          <w:rPr>
            <w:rStyle w:val="Hyperlink"/>
          </w:rPr>
          <w:t xml:space="preserve">DWS10.com E-Commerce Integration</w:t>
        </w:r>
      </w:hyperlink>
    </w:p>
    <w:p>
      <w:pPr>
        <w:numPr>
          <w:ilvl w:val="0"/>
          <w:numId w:val="1008"/>
        </w:numPr>
        <w:pStyle w:val="Compact"/>
      </w:pPr>
      <w:hyperlink w:anchor="Xf3db8f008c89ae333f0ba87a013816da45c9f07">
        <w:r>
          <w:rPr>
            <w:rStyle w:val="Hyperlink"/>
          </w:rPr>
          <w:t xml:space="preserve">Audio Chat Evolution Roadmap</w:t>
        </w:r>
      </w:hyperlink>
    </w:p>
    <w:p>
      <w:pPr>
        <w:numPr>
          <w:ilvl w:val="0"/>
          <w:numId w:val="1008"/>
        </w:numPr>
        <w:pStyle w:val="Compact"/>
      </w:pPr>
      <w:hyperlink w:anchor="X99f588f1bb9238f35429359605206a2b2b2da26">
        <w:r>
          <w:rPr>
            <w:rStyle w:val="Hyperlink"/>
          </w:rPr>
          <w:t xml:space="preserve">Results and Analysis</w:t>
        </w:r>
      </w:hyperlink>
    </w:p>
    <w:p>
      <w:pPr>
        <w:numPr>
          <w:ilvl w:val="0"/>
          <w:numId w:val="1008"/>
        </w:numPr>
        <w:pStyle w:val="Compact"/>
      </w:pPr>
      <w:hyperlink w:anchor="X7c81bf03759b1b00759d96e3a328e2270cfccbb">
        <w:r>
          <w:rPr>
            <w:rStyle w:val="Hyperlink"/>
          </w:rPr>
          <w:t xml:space="preserve">Discussion</w:t>
        </w:r>
      </w:hyperlink>
    </w:p>
    <w:p>
      <w:pPr>
        <w:numPr>
          <w:ilvl w:val="0"/>
          <w:numId w:val="1008"/>
        </w:numPr>
        <w:pStyle w:val="Compact"/>
      </w:pPr>
      <w:hyperlink w:anchor="Xc08366fdd8ce4bba8e9450d31be506a2b934a79">
        <w:r>
          <w:rPr>
            <w:rStyle w:val="Hyperlink"/>
          </w:rPr>
          <w:t xml:space="preserve">Conclusions</w:t>
        </w:r>
      </w:hyperlink>
    </w:p>
    <w:p>
      <w:pPr>
        <w:numPr>
          <w:ilvl w:val="0"/>
          <w:numId w:val="1008"/>
        </w:numPr>
        <w:pStyle w:val="Compact"/>
      </w:pPr>
      <w:hyperlink w:anchor="X726793783ba4ae7f9802481ba226d33bdbc715c">
        <w:r>
          <w:rPr>
            <w:rStyle w:val="Hyperlink"/>
          </w:rPr>
          <w:t xml:space="preserve">References</w:t>
        </w:r>
      </w:hyperlink>
    </w:p>
    <w:p>
      <w:pPr>
        <w:numPr>
          <w:ilvl w:val="0"/>
          <w:numId w:val="1008"/>
        </w:numPr>
        <w:pStyle w:val="Compact"/>
      </w:pPr>
      <w:hyperlink w:anchor="X30bfd1d3686d43b794f9c4bf827135f99f553e6">
        <w:r>
          <w:rPr>
            <w:rStyle w:val="Hyperlink"/>
          </w:rPr>
          <w:t xml:space="preserve">Appendices</w:t>
        </w:r>
      </w:hyperlink>
    </w:p>
    <w:p>
      <w:r>
        <w:pict>
          <v:rect style="width:0;height:1.5pt" o:hralign="center" o:hrstd="t" o:hr="t"/>
        </w:pict>
      </w:r>
    </w:p>
    <w:bookmarkEnd w:id="27"/>
    <w:bookmarkStart w:id="35" w:name="introduction"/>
    <w:p>
      <w:pPr>
        <w:pStyle w:val="Heading1"/>
      </w:pPr>
      <w:r>
        <w:t xml:space="preserve">1. Introduction</w:t>
      </w:r>
    </w:p>
    <w:bookmarkStart w:id="28" w:name="background"/>
    <w:p>
      <w:pPr>
        <w:pStyle w:val="Heading2"/>
      </w:pPr>
      <w:r>
        <w:t xml:space="preserve">1.1 Background</w:t>
      </w:r>
    </w:p>
    <w:p>
      <w:pPr>
        <w:pStyle w:val="FirstParagraph"/>
      </w:pPr>
      <w:r>
        <w:t xml:space="preserve">European industrial SMEs face a</w:t>
      </w:r>
      <w:r>
        <w:t xml:space="preserve"> </w:t>
      </w:r>
      <w:r>
        <w:t xml:space="preserve">“</w:t>
      </w:r>
      <w:r>
        <w:t xml:space="preserve">twin transition</w:t>
      </w:r>
      <w:r>
        <w:t xml:space="preserve">”</w:t>
      </w:r>
      <w:r>
        <w:t xml:space="preserve"> </w:t>
      </w:r>
      <w:r>
        <w:t xml:space="preserve">challenge:</w:t>
      </w:r>
    </w:p>
    <w:p>
      <w:pPr>
        <w:numPr>
          <w:ilvl w:val="0"/>
          <w:numId w:val="1009"/>
        </w:numPr>
        <w:pStyle w:val="Compact"/>
      </w:pPr>
      <w:r>
        <w:rPr>
          <w:bCs/>
          <w:b/>
        </w:rPr>
        <w:t xml:space="preserve">Digital transformation</w:t>
      </w:r>
      <w:r>
        <w:t xml:space="preserve">: AI, automation, real-time decision-making</w:t>
      </w:r>
    </w:p>
    <w:p>
      <w:pPr>
        <w:numPr>
          <w:ilvl w:val="0"/>
          <w:numId w:val="1009"/>
        </w:numPr>
        <w:pStyle w:val="Compact"/>
      </w:pPr>
      <w:r>
        <w:rPr>
          <w:bCs/>
          <w:b/>
        </w:rPr>
        <w:t xml:space="preserve">Green transformation</w:t>
      </w:r>
      <w:r>
        <w:t xml:space="preserve">: EU Fit for 55 (55% emissions reduction by 2030), embodied carbon mandates by 2028</w:t>
      </w:r>
    </w:p>
    <w:p>
      <w:pPr>
        <w:pStyle w:val="FirstParagraph"/>
      </w:pPr>
      <w:r>
        <w:t xml:space="preserve">Traditional SaaS platforms fail because they:</w:t>
      </w:r>
    </w:p>
    <w:p>
      <w:pPr>
        <w:numPr>
          <w:ilvl w:val="0"/>
          <w:numId w:val="1010"/>
        </w:numPr>
        <w:pStyle w:val="Compact"/>
      </w:pPr>
      <w:r>
        <w:t xml:space="preserve">Cost EUR 1,400+/month (unaffordable for SMEs)</w:t>
      </w:r>
    </w:p>
    <w:p>
      <w:pPr>
        <w:numPr>
          <w:ilvl w:val="0"/>
          <w:numId w:val="1010"/>
        </w:numPr>
        <w:pStyle w:val="Compact"/>
      </w:pPr>
      <w:r>
        <w:t xml:space="preserve">Require cloud-only architecture (high latency, high operational costs)</w:t>
      </w:r>
    </w:p>
    <w:p>
      <w:pPr>
        <w:numPr>
          <w:ilvl w:val="0"/>
          <w:numId w:val="1010"/>
        </w:numPr>
        <w:pStyle w:val="Compact"/>
      </w:pPr>
      <w:r>
        <w:t xml:space="preserve">Do not address industry-specific compliance workflows</w:t>
      </w:r>
    </w:p>
    <w:p>
      <w:pPr>
        <w:pStyle w:val="FirstParagraph"/>
      </w:pPr>
      <w:r>
        <w:rPr>
          <w:bCs/>
          <w:b/>
        </w:rPr>
        <w:t xml:space="preserve">Firehorse (DWS6)</w:t>
      </w:r>
      <w:r>
        <w:t xml:space="preserve"> </w:t>
      </w:r>
      <w:r>
        <w:t xml:space="preserve">solves this with a novel operating model combining:</w:t>
      </w:r>
    </w:p>
    <w:p>
      <w:pPr>
        <w:numPr>
          <w:ilvl w:val="0"/>
          <w:numId w:val="1011"/>
        </w:numPr>
        <w:pStyle w:val="Compact"/>
      </w:pPr>
      <w:r>
        <w:t xml:space="preserve">Free-tier cloud infrastructure (EUR 0-350/month vs EUR 1,400+)</w:t>
      </w:r>
    </w:p>
    <w:p>
      <w:pPr>
        <w:numPr>
          <w:ilvl w:val="0"/>
          <w:numId w:val="1011"/>
        </w:numPr>
        <w:pStyle w:val="Compact"/>
      </w:pPr>
      <w:r>
        <w:t xml:space="preserve">Edge AI (NVIDIA Jetson) for &lt;100ms inference</w:t>
      </w:r>
    </w:p>
    <w:p>
      <w:pPr>
        <w:numPr>
          <w:ilvl w:val="0"/>
          <w:numId w:val="1011"/>
        </w:numPr>
        <w:pStyle w:val="Compact"/>
      </w:pPr>
      <w:r>
        <w:t xml:space="preserve">Industry-specific AI agents (Construction, Manufacturing, Energy)</w:t>
      </w:r>
    </w:p>
    <w:p>
      <w:pPr>
        <w:numPr>
          <w:ilvl w:val="0"/>
          <w:numId w:val="1011"/>
        </w:numPr>
        <w:pStyle w:val="Compact"/>
      </w:pPr>
      <w:r>
        <w:t xml:space="preserve">Phased deployment (Silent Pilot -&gt; Advisor -&gt; Autonomous)</w:t>
      </w:r>
    </w:p>
    <w:p>
      <w:pPr>
        <w:numPr>
          <w:ilvl w:val="0"/>
          <w:numId w:val="1011"/>
        </w:numPr>
        <w:pStyle w:val="Compact"/>
      </w:pPr>
      <w:r>
        <w:rPr>
          <w:bCs/>
          <w:b/>
        </w:rPr>
        <w:t xml:space="preserve">E-commerce validation through DWS10.com, Google Merchant Center, and Revolut Business</w:t>
      </w:r>
      <w:r>
        <w:t xml:space="preserve"> </w:t>
      </w:r>
      <w:r>
        <w:t xml:space="preserve">[V3.0]</w:t>
      </w:r>
    </w:p>
    <w:bookmarkEnd w:id="28"/>
    <w:bookmarkStart w:id="29" w:name="research-problem"/>
    <w:p>
      <w:pPr>
        <w:pStyle w:val="Heading2"/>
      </w:pPr>
      <w:r>
        <w:t xml:space="preserve">1.2 Research Problem</w:t>
      </w:r>
    </w:p>
    <w:p>
      <w:pPr>
        <w:pStyle w:val="FirstParagraph"/>
      </w:pPr>
      <w:r>
        <w:rPr>
          <w:bCs/>
          <w:b/>
        </w:rPr>
        <w:t xml:space="preserve">Primary Research Question:</w:t>
      </w:r>
      <w:r>
        <w:t xml:space="preserve"> </w:t>
      </w:r>
      <w:r>
        <w:t xml:space="preserve">How can a bootstrapped industrial AI platform achieve product-market fit through a hybrid cloud-edge operating model while maintaining &lt;EUR 400/month operational costs?</w:t>
      </w:r>
    </w:p>
    <w:p>
      <w:pPr>
        <w:pStyle w:val="BodyText"/>
      </w:pPr>
      <w:r>
        <w:rPr>
          <w:bCs/>
          <w:b/>
        </w:rPr>
        <w:t xml:space="preserve">Secondary Research Questions:</w:t>
      </w:r>
    </w:p>
    <w:p>
      <w:pPr>
        <w:numPr>
          <w:ilvl w:val="0"/>
          <w:numId w:val="1012"/>
        </w:numPr>
      </w:pPr>
      <w:r>
        <w:rPr>
          <w:bCs/>
          <w:b/>
        </w:rPr>
        <w:t xml:space="preserve">Product &amp; Business Model:</w:t>
      </w:r>
      <w:r>
        <w:t xml:space="preserve"> </w:t>
      </w:r>
      <w:r>
        <w:t xml:space="preserve">How to develop a customer promise that solves a real problem and scales internationally?</w:t>
      </w:r>
    </w:p>
    <w:p>
      <w:pPr>
        <w:numPr>
          <w:ilvl w:val="0"/>
          <w:numId w:val="1012"/>
        </w:numPr>
      </w:pPr>
      <w:r>
        <w:rPr>
          <w:bCs/>
          <w:b/>
        </w:rPr>
        <w:t xml:space="preserve">Technology:</w:t>
      </w:r>
      <w:r>
        <w:t xml:space="preserve"> </w:t>
      </w:r>
      <w:r>
        <w:t xml:space="preserve">How to build a digital, scalable service product that operates across cloud + edge + e-commerce?</w:t>
      </w:r>
    </w:p>
    <w:p>
      <w:pPr>
        <w:numPr>
          <w:ilvl w:val="0"/>
          <w:numId w:val="1012"/>
        </w:numPr>
      </w:pPr>
      <w:r>
        <w:rPr>
          <w:bCs/>
          <w:b/>
        </w:rPr>
        <w:t xml:space="preserve">Technical Solution Evaluation:</w:t>
      </w:r>
      <w:r>
        <w:t xml:space="preserve"> </w:t>
      </w:r>
      <w:r>
        <w:t xml:space="preserve">Which technical solution best supports business objectives?</w:t>
      </w:r>
    </w:p>
    <w:p>
      <w:pPr>
        <w:numPr>
          <w:ilvl w:val="0"/>
          <w:numId w:val="1012"/>
        </w:numPr>
      </w:pPr>
      <w:r>
        <w:rPr>
          <w:bCs/>
          <w:b/>
        </w:rPr>
        <w:t xml:space="preserve">Enterprise Security:</w:t>
      </w:r>
      <w:r>
        <w:t xml:space="preserve"> </w:t>
      </w:r>
      <w:r>
        <w:t xml:space="preserve">How to ensure NIS 2, EU AI Act, GDPR, and Cybersecurity Act compliance?</w:t>
      </w:r>
    </w:p>
    <w:p>
      <w:pPr>
        <w:numPr>
          <w:ilvl w:val="0"/>
          <w:numId w:val="1012"/>
        </w:numPr>
      </w:pPr>
      <w:r>
        <w:rPr>
          <w:bCs/>
          <w:b/>
        </w:rPr>
        <w:t xml:space="preserve">E-Commerce Validation:</w:t>
      </w:r>
      <w:r>
        <w:t xml:space="preserve"> </w:t>
      </w:r>
      <w:r>
        <w:t xml:space="preserve">How can an automated store with AI-assisted operations validate product-market fit? [V3.0]</w:t>
      </w:r>
    </w:p>
    <w:bookmarkEnd w:id="29"/>
    <w:bookmarkStart w:id="30" w:name="objectives"/>
    <w:p>
      <w:pPr>
        <w:pStyle w:val="Heading2"/>
      </w:pPr>
      <w:r>
        <w:t xml:space="preserve">1.3 Objectives</w:t>
      </w:r>
    </w:p>
    <w:p>
      <w:pPr>
        <w:numPr>
          <w:ilvl w:val="0"/>
          <w:numId w:val="1013"/>
        </w:numPr>
        <w:pStyle w:val="Compact"/>
      </w:pPr>
      <w:r>
        <w:t xml:space="preserve">Document the Firehorse operating model (MVP -&gt; V1)</w:t>
      </w:r>
    </w:p>
    <w:p>
      <w:pPr>
        <w:numPr>
          <w:ilvl w:val="0"/>
          <w:numId w:val="1013"/>
        </w:numPr>
        <w:pStyle w:val="Compact"/>
      </w:pPr>
      <w:r>
        <w:t xml:space="preserve">Validate the free-tier cost model (EUR 0/month target)</w:t>
      </w:r>
    </w:p>
    <w:p>
      <w:pPr>
        <w:numPr>
          <w:ilvl w:val="0"/>
          <w:numId w:val="1013"/>
        </w:numPr>
        <w:pStyle w:val="Compact"/>
      </w:pPr>
      <w:r>
        <w:t xml:space="preserve">Measure customer benefit (&lt;=2 month payback period)</w:t>
      </w:r>
    </w:p>
    <w:p>
      <w:pPr>
        <w:numPr>
          <w:ilvl w:val="0"/>
          <w:numId w:val="1013"/>
        </w:numPr>
        <w:pStyle w:val="Compact"/>
      </w:pPr>
      <w:r>
        <w:t xml:space="preserve">Create a replicable model for other industrial startups</w:t>
      </w:r>
    </w:p>
    <w:p>
      <w:pPr>
        <w:numPr>
          <w:ilvl w:val="0"/>
          <w:numId w:val="1013"/>
        </w:numPr>
        <w:pStyle w:val="Compact"/>
      </w:pPr>
      <w:r>
        <w:rPr>
          <w:bCs/>
          <w:b/>
        </w:rPr>
        <w:t xml:space="preserve">Validate e-commerce channel with Google Merchant Center integration</w:t>
      </w:r>
      <w:r>
        <w:t xml:space="preserve"> </w:t>
      </w:r>
      <w:r>
        <w:t xml:space="preserve">[V3.0]</w:t>
      </w:r>
    </w:p>
    <w:bookmarkEnd w:id="30"/>
    <w:bookmarkStart w:id="32" w:name="scope"/>
    <w:p>
      <w:pPr>
        <w:pStyle w:val="Heading2"/>
      </w:pPr>
      <w:r>
        <w:t xml:space="preserve">1.4 Scope</w:t>
      </w:r>
    </w:p>
    <w:p>
      <w:pPr>
        <w:numPr>
          <w:ilvl w:val="0"/>
          <w:numId w:val="1014"/>
        </w:numPr>
        <w:pStyle w:val="Compact"/>
      </w:pPr>
      <w:r>
        <w:rPr>
          <w:bCs/>
          <w:b/>
        </w:rPr>
        <w:t xml:space="preserve">Industry:</w:t>
      </w:r>
      <w:r>
        <w:t xml:space="preserve"> </w:t>
      </w:r>
      <w:r>
        <w:t xml:space="preserve">Construction industry (3.5M companies in Europe) + 15 other EU industries</w:t>
      </w:r>
    </w:p>
    <w:p>
      <w:pPr>
        <w:numPr>
          <w:ilvl w:val="0"/>
          <w:numId w:val="1014"/>
        </w:numPr>
        <w:pStyle w:val="Compact"/>
      </w:pPr>
      <w:r>
        <w:rPr>
          <w:bCs/>
          <w:b/>
        </w:rPr>
        <w:t xml:space="preserve">Market:</w:t>
      </w:r>
      <w:r>
        <w:t xml:space="preserve"> </w:t>
      </w:r>
      <w:r>
        <w:t xml:space="preserve">Nordics + Central and Eastern Europe</w:t>
      </w:r>
    </w:p>
    <w:p>
      <w:pPr>
        <w:numPr>
          <w:ilvl w:val="0"/>
          <w:numId w:val="1014"/>
        </w:numPr>
        <w:pStyle w:val="Compact"/>
      </w:pPr>
      <w:r>
        <w:rPr>
          <w:bCs/>
          <w:b/>
        </w:rPr>
        <w:t xml:space="preserve">Timeframe:</w:t>
      </w:r>
      <w:r>
        <w:t xml:space="preserve"> </w:t>
      </w:r>
      <w:r>
        <w:t xml:space="preserve">MVP phase (December 2025 - February 2026)</w:t>
      </w:r>
    </w:p>
    <w:p>
      <w:pPr>
        <w:numPr>
          <w:ilvl w:val="0"/>
          <w:numId w:val="1014"/>
        </w:numPr>
        <w:pStyle w:val="Compact"/>
      </w:pPr>
      <w:r>
        <w:rPr>
          <w:bCs/>
          <w:b/>
        </w:rPr>
        <w:t xml:space="preserve">Customers:</w:t>
      </w:r>
      <w:r>
        <w:t xml:space="preserve"> </w:t>
      </w:r>
      <w:r>
        <w:t xml:space="preserve">5 pilot customers (EUR 10-100M revenue)</w:t>
      </w:r>
    </w:p>
    <w:p>
      <w:pPr>
        <w:numPr>
          <w:ilvl w:val="0"/>
          <w:numId w:val="1014"/>
        </w:numPr>
        <w:pStyle w:val="Compact"/>
      </w:pPr>
      <w:r>
        <w:rPr>
          <w:bCs/>
          <w:b/>
        </w:rPr>
        <w:t xml:space="preserve">E-commerce:</w:t>
      </w:r>
      <w:r>
        <w:t xml:space="preserve"> </w:t>
      </w:r>
      <w:r>
        <w:t xml:space="preserve">30 products across platform, software, and service categories [V3.0]</w:t>
      </w:r>
    </w:p>
    <w:bookmarkStart w:id="31" w:name="content-scope-rule-v3.55"/>
    <w:p>
      <w:pPr>
        <w:pStyle w:val="Heading3"/>
      </w:pPr>
      <w:r>
        <w:t xml:space="preserve">Content Scope Rule (v3.55)</w:t>
      </w:r>
    </w:p>
    <w:p>
      <w:pPr>
        <w:pStyle w:val="FirstParagraph"/>
      </w:pPr>
      <w:r>
        <w:t xml:space="preserve">This thesis is</w:t>
      </w:r>
      <w:r>
        <w:t xml:space="preserve"> </w:t>
      </w:r>
      <w:r>
        <w:rPr>
          <w:bCs/>
          <w:b/>
        </w:rPr>
        <w:t xml:space="preserve">product- and implementation-focused</w:t>
      </w:r>
      <w:r>
        <w:t xml:space="preserve">. Its content is tightly coupled to the current and next DWS IQ product version. It documents engineering decisions, architecture, pull requests, and measurable operational results.</w:t>
      </w:r>
    </w:p>
    <w:p>
      <w:pPr>
        <w:pStyle w:val="BodyText"/>
      </w:pPr>
      <w:r>
        <w:rPr>
          <w:bCs/>
          <w:b/>
        </w:rPr>
        <w:t xml:space="preserve">This thesis does NOT contain:</w:t>
      </w:r>
    </w:p>
    <w:p>
      <w:pPr>
        <w:numPr>
          <w:ilvl w:val="0"/>
          <w:numId w:val="1015"/>
        </w:numPr>
        <w:pStyle w:val="Compact"/>
      </w:pPr>
      <w:r>
        <w:t xml:space="preserve">Market intelligence or competitive signals</w:t>
      </w:r>
    </w:p>
    <w:p>
      <w:pPr>
        <w:numPr>
          <w:ilvl w:val="0"/>
          <w:numId w:val="1015"/>
        </w:numPr>
        <w:pStyle w:val="Compact"/>
      </w:pPr>
      <w:r>
        <w:t xml:space="preserve">Long-horizon roadmap speculation (beyond next product version)</w:t>
      </w:r>
    </w:p>
    <w:p>
      <w:pPr>
        <w:numPr>
          <w:ilvl w:val="0"/>
          <w:numId w:val="1015"/>
        </w:numPr>
        <w:pStyle w:val="Compact"/>
      </w:pPr>
      <w:r>
        <w:t xml:space="preserve">Scientific framing, standardization body activity, or research-program positioning</w:t>
      </w:r>
    </w:p>
    <w:p>
      <w:pPr>
        <w:pStyle w:val="FirstParagraph"/>
      </w:pPr>
      <w:r>
        <w:t xml:space="preserve">Those belong in the PhD thesis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y-concepts"/>
    <w:p>
      <w:pPr>
        <w:pStyle w:val="Heading2"/>
      </w:pPr>
      <w:r>
        <w:t xml:space="preserve">1.5 Key Concepts</w:t>
      </w:r>
    </w:p>
    <w:tbl>
      <w:tblPr>
        <w:tblStyle w:val="Table"/>
        <w:tblW w:type="pct" w:w="5000"/>
        <w:tblLook w:firstRow="1" w:lastRow="0" w:firstColumn="0" w:lastColumn="0" w:noHBand="0" w:noVBand="0" w:val="0020"/>
        <w:jc w:val="start"/>
      </w:tblPr>
      <w:tblGrid>
        <w:gridCol w:w="1635"/>
        <w:gridCol w:w="6284"/>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MVP</w:t>
            </w:r>
          </w:p>
        </w:tc>
        <w:tc>
          <w:tcPr/>
          <w:p>
            <w:pPr>
              <w:pStyle w:val="Compact"/>
              <w:jc w:val="left"/>
            </w:pPr>
            <w:r>
              <w:t xml:space="preserve">Minimum Viable Product - The smallest functional product</w:t>
            </w:r>
          </w:p>
        </w:tc>
      </w:tr>
      <w:tr>
        <w:tc>
          <w:tcPr/>
          <w:p>
            <w:pPr>
              <w:pStyle w:val="Compact"/>
              <w:jc w:val="left"/>
            </w:pPr>
            <w:r>
              <w:rPr>
                <w:bCs/>
                <w:b/>
              </w:rPr>
              <w:t xml:space="preserve">Edge AI</w:t>
            </w:r>
          </w:p>
        </w:tc>
        <w:tc>
          <w:tcPr/>
          <w:p>
            <w:pPr>
              <w:pStyle w:val="Compact"/>
              <w:jc w:val="left"/>
            </w:pPr>
            <w:r>
              <w:t xml:space="preserve">Artificial intelligence that runs on-device (no cloud connection)</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DWS6</w:t>
            </w:r>
          </w:p>
        </w:tc>
        <w:tc>
          <w:tcPr/>
          <w:p>
            <w:pPr>
              <w:pStyle w:val="Compact"/>
              <w:jc w:val="left"/>
            </w:pPr>
            <w:r>
              <w:t xml:space="preserve">Digital Work System 6 - Technical name for the Firehorse platform</w:t>
            </w:r>
          </w:p>
        </w:tc>
      </w:tr>
      <w:tr>
        <w:tc>
          <w:tcPr/>
          <w:p>
            <w:pPr>
              <w:pStyle w:val="Compact"/>
              <w:jc w:val="left"/>
            </w:pPr>
            <w:r>
              <w:rPr>
                <w:bCs/>
                <w:b/>
              </w:rPr>
              <w:t xml:space="preserve">Embodied Carbon</w:t>
            </w:r>
          </w:p>
        </w:tc>
        <w:tc>
          <w:tcPr/>
          <w:p>
            <w:pPr>
              <w:pStyle w:val="Compact"/>
              <w:jc w:val="left"/>
            </w:pPr>
            <w:r>
              <w:t xml:space="preserve">Emissions from the manufacturing and transportation of building materials</w:t>
            </w:r>
          </w:p>
        </w:tc>
      </w:tr>
    </w:tbl>
    <w:bookmarkEnd w:id="33"/>
    <w:bookmarkStart w:id="34" w:name="X2099ab195dded87116c2c363c0211db4e08ed5e"/>
    <w:p>
      <w:pPr>
        <w:pStyle w:val="Heading2"/>
      </w:pPr>
      <w:r>
        <w:t xml:space="preserve">1.6 Ontology — Etymology and Philosophical Background</w:t>
      </w:r>
    </w:p>
    <w:p>
      <w:pPr>
        <w:pStyle w:val="FirstParagraph"/>
      </w:pPr>
      <w:r>
        <w:t xml:space="preserve">The Firehorse platform’s data and reasoning layer is structured around a formal ontology — the DWS Ontology Standard (see</w:t>
      </w:r>
      <w:r>
        <w:t xml:space="preserve"> </w:t>
      </w:r>
      <w:r>
        <w:rPr>
          <w:rStyle w:val="VerbatimChar"/>
        </w:rPr>
        <w:t xml:space="preserve">ONTOLOGY.md</w:t>
      </w:r>
      <w:r>
        <w:t xml:space="preserve"> </w:t>
      </w:r>
      <w:r>
        <w:t xml:space="preserve">v1.3 in the project repository). To ground the engineering choices in their conceptual heritage, this section briefly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 </w:t>
      </w:r>
      <w:r>
        <w:t xml:space="preserve">— the study of what exists and in what manner.</w:t>
      </w:r>
    </w:p>
    <w:p>
      <w:pPr>
        <w:pStyle w:val="BodyText"/>
      </w:pPr>
      <w:r>
        <w:rPr>
          <w:bCs/>
          <w:b/>
        </w:rPr>
        <w:t xml:space="preserve">Philosophical background.</w:t>
      </w:r>
      <w:r>
        <w:t xml:space="preserve"> </w:t>
      </w:r>
      <w:r>
        <w:t xml:space="preserve">Ontology is one of the central branches of metaphysics. Already in classical Greece, philosophers such as Aristotle examined the nature of being: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particularly within scholastic and early-modern philosophy, when metaphysics began to be systematised into distinct sub-fields.</w:t>
      </w:r>
    </w:p>
    <w:p>
      <w:pPr>
        <w:pStyle w:val="BodyText"/>
      </w:pPr>
      <w:r>
        <w:rPr>
          <w:bCs/>
          <w:b/>
        </w:rPr>
        <w:t xml:space="preserve">Modern usage.</w:t>
      </w:r>
      <w:r>
        <w:t xml:space="preserve"> </w:t>
      </w:r>
      <w:r>
        <w:t xml:space="preserve">Today the term is applied in several contexts: in philosophy, the study of the fundamental nature of existence; in computer science and artificial intelligence, a formal model of concepts and the relations between them (classes, properties, relations); and in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and industrial concepts are structured into a machine-readable form that humans and agents can query through the same interface.</w:t>
      </w:r>
    </w:p>
    <w:p>
      <w:r>
        <w:pict>
          <v:rect style="width:0;height:1.5pt" o:hralign="center" o:hrstd="t" o:hr="t"/>
        </w:pict>
      </w:r>
    </w:p>
    <w:bookmarkEnd w:id="34"/>
    <w:bookmarkEnd w:id="35"/>
    <w:bookmarkStart w:id="46" w:name="theoretical-framework"/>
    <w:p>
      <w:pPr>
        <w:pStyle w:val="Heading1"/>
      </w:pPr>
      <w:r>
        <w:t xml:space="preserve">2. Theoretical Framework</w:t>
      </w:r>
    </w:p>
    <w:bookmarkStart w:id="36" w:name="lean-startup-methodology"/>
    <w:p>
      <w:pPr>
        <w:pStyle w:val="Heading2"/>
      </w:pPr>
      <w:r>
        <w:t xml:space="preserve">2.1 Lean Startup Methodology</w:t>
      </w:r>
    </w:p>
    <w:p>
      <w:pPr>
        <w:pStyle w:val="FirstParagraph"/>
      </w:pPr>
      <w:r>
        <w:t xml:space="preserve">The Lean Startup methodology (Ries, 2011) forms the foundation of Firehorse product development. The core principle of the Build-Measure-Learn cycle directly guides the phased deployment model:</w:t>
      </w:r>
    </w:p>
    <w:p>
      <w:pPr>
        <w:pStyle w:val="BodyText"/>
      </w:pPr>
      <w:r>
        <w:rPr>
          <w:bCs/>
          <w:b/>
        </w:rPr>
        <w:t xml:space="preserve">Application to Firehorse:</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Lean Startup Concept</w:t>
            </w:r>
          </w:p>
        </w:tc>
        <w:tc>
          <w:tcPr/>
          <w:p>
            <w:pPr>
              <w:pStyle w:val="Compact"/>
              <w:jc w:val="left"/>
            </w:pPr>
            <w:r>
              <w:t xml:space="preserve">Firehorse Implementation</w:t>
            </w:r>
          </w:p>
        </w:tc>
      </w:tr>
      <w:tr>
        <w:tc>
          <w:tcPr/>
          <w:p>
            <w:pPr>
              <w:pStyle w:val="Compact"/>
              <w:jc w:val="left"/>
            </w:pPr>
            <w:r>
              <w:rPr>
                <w:bCs/>
                <w:b/>
              </w:rPr>
              <w:t xml:space="preserve">MVP (Minimum Viable Product)</w:t>
            </w:r>
          </w:p>
        </w:tc>
        <w:tc>
          <w:tcPr/>
          <w:p>
            <w:pPr>
              <w:pStyle w:val="Compact"/>
              <w:jc w:val="left"/>
            </w:pPr>
            <w:r>
              <w:t xml:space="preserve">2 agents (CustomerSat, Viability) for 5 pilot customers</w:t>
            </w:r>
          </w:p>
        </w:tc>
      </w:tr>
      <w:tr>
        <w:tc>
          <w:tcPr/>
          <w:p>
            <w:pPr>
              <w:pStyle w:val="Compact"/>
              <w:jc w:val="left"/>
            </w:pPr>
            <w:r>
              <w:rPr>
                <w:bCs/>
                <w:b/>
              </w:rPr>
              <w:t xml:space="preserve">Validated Learning</w:t>
            </w:r>
          </w:p>
        </w:tc>
        <w:tc>
          <w:tcPr/>
          <w:p>
            <w:pPr>
              <w:pStyle w:val="Compact"/>
              <w:jc w:val="left"/>
            </w:pPr>
            <w:r>
              <w:t xml:space="preserve">Silent Pilot phase observes before acting</w:t>
            </w:r>
          </w:p>
        </w:tc>
      </w:tr>
      <w:tr>
        <w:tc>
          <w:tcPr/>
          <w:p>
            <w:pPr>
              <w:pStyle w:val="Compact"/>
              <w:jc w:val="left"/>
            </w:pPr>
            <w:r>
              <w:rPr>
                <w:bCs/>
                <w:b/>
              </w:rPr>
              <w:t xml:space="preserve">Build-Measure-Learn</w:t>
            </w:r>
          </w:p>
        </w:tc>
        <w:tc>
          <w:tcPr/>
          <w:p>
            <w:pPr>
              <w:pStyle w:val="Compact"/>
              <w:jc w:val="left"/>
            </w:pPr>
            <w:r>
              <w:t xml:space="preserve">Phase 1 -&gt; Phase 2 -&gt; Phase 3 progression</w:t>
            </w:r>
          </w:p>
        </w:tc>
      </w:tr>
      <w:tr>
        <w:tc>
          <w:tcPr/>
          <w:p>
            <w:pPr>
              <w:pStyle w:val="Compact"/>
              <w:jc w:val="left"/>
            </w:pPr>
            <w:r>
              <w:rPr>
                <w:bCs/>
                <w:b/>
              </w:rPr>
              <w:t xml:space="preserve">Pivot or Persevere</w:t>
            </w:r>
          </w:p>
        </w:tc>
        <w:tc>
          <w:tcPr/>
          <w:p>
            <w:pPr>
              <w:pStyle w:val="Compact"/>
              <w:jc w:val="left"/>
            </w:pPr>
            <w:r>
              <w:t xml:space="preserve">Signal-based coordination allows rapid course correction</w:t>
            </w:r>
          </w:p>
        </w:tc>
      </w:tr>
    </w:tbl>
    <w:p>
      <w:pPr>
        <w:pStyle w:val="BodyText"/>
      </w:pPr>
      <w:r>
        <w:t xml:space="preserve">The Customer Development methodology (Blank, 2013) extends this with the principle of</w:t>
      </w:r>
      <w:r>
        <w:t xml:space="preserve"> </w:t>
      </w:r>
      <w:r>
        <w:t xml:space="preserve">“</w:t>
      </w:r>
      <w:r>
        <w:t xml:space="preserve">getting out of the building</w:t>
      </w:r>
      <w:r>
        <w:t xml:space="preserve">”</w:t>
      </w:r>
      <w:r>
        <w:t xml:space="preserve"> </w:t>
      </w:r>
      <w:r>
        <w:t xml:space="preserve">- validating product-market fit with real customers before scaling. Firehorse’s 2-month payback guarantee operationalizes this by creating a measurable validation metric.</w:t>
      </w:r>
    </w:p>
    <w:p>
      <w:pPr>
        <w:pStyle w:val="BodyText"/>
      </w:pPr>
      <w:r>
        <w:rPr>
          <w:bCs/>
          <w:b/>
        </w:rPr>
        <w:t xml:space="preserve">Jobs-to-be-Done Framework:</w:t>
      </w:r>
      <w:r>
        <w:t xml:space="preserve"> </w:t>
      </w:r>
      <w:r>
        <w:t xml:space="preserve">Following Clayton Christensen’s framework, Firehorse identifies the</w:t>
      </w:r>
      <w:r>
        <w:t xml:space="preserve"> </w:t>
      </w:r>
      <w:r>
        <w:t xml:space="preserve">“</w:t>
      </w:r>
      <w:r>
        <w:t xml:space="preserve">job</w:t>
      </w:r>
      <w:r>
        <w:t xml:space="preserve">”</w:t>
      </w:r>
      <w:r>
        <w:t xml:space="preserve"> </w:t>
      </w:r>
      <w:r>
        <w:t xml:space="preserve">customers hire the product for:</w:t>
      </w:r>
    </w:p>
    <w:p>
      <w:pPr>
        <w:numPr>
          <w:ilvl w:val="0"/>
          <w:numId w:val="1016"/>
        </w:numPr>
        <w:pStyle w:val="Compact"/>
      </w:pPr>
      <w:r>
        <w:rPr>
          <w:bCs/>
          <w:b/>
        </w:rPr>
        <w:t xml:space="preserve">Functional Job:</w:t>
      </w:r>
      <w:r>
        <w:t xml:space="preserve"> </w:t>
      </w:r>
      <w:r>
        <w:t xml:space="preserve">Track embodied carbon for EU compliance (2028 deadline)</w:t>
      </w:r>
    </w:p>
    <w:p>
      <w:pPr>
        <w:numPr>
          <w:ilvl w:val="0"/>
          <w:numId w:val="1016"/>
        </w:numPr>
        <w:pStyle w:val="Compact"/>
      </w:pPr>
      <w:r>
        <w:rPr>
          <w:bCs/>
          <w:b/>
        </w:rPr>
        <w:t xml:space="preserve">Emotional Job:</w:t>
      </w:r>
      <w:r>
        <w:t xml:space="preserve"> </w:t>
      </w:r>
      <w:r>
        <w:t xml:space="preserve">Reduce anxiety about regulatory penalties</w:t>
      </w:r>
    </w:p>
    <w:p>
      <w:pPr>
        <w:numPr>
          <w:ilvl w:val="0"/>
          <w:numId w:val="1016"/>
        </w:numPr>
        <w:pStyle w:val="Compact"/>
      </w:pPr>
      <w:r>
        <w:rPr>
          <w:bCs/>
          <w:b/>
        </w:rPr>
        <w:t xml:space="preserve">Social Job:</w:t>
      </w:r>
      <w:r>
        <w:t xml:space="preserve"> </w:t>
      </w:r>
      <w:r>
        <w:t xml:space="preserve">Demonstrate sustainability leadership to stakeholders</w:t>
      </w:r>
    </w:p>
    <w:bookmarkEnd w:id="36"/>
    <w:bookmarkStart w:id="37" w:name="platform-economics"/>
    <w:p>
      <w:pPr>
        <w:pStyle w:val="Heading2"/>
      </w:pPr>
      <w:r>
        <w:t xml:space="preserve">2.2 Platform Economics</w:t>
      </w:r>
    </w:p>
    <w:p>
      <w:pPr>
        <w:pStyle w:val="FirstParagraph"/>
      </w:pPr>
      <w:r>
        <w:t xml:space="preserve">Platform economics (Parker, Van Alstyne &amp; Choudary, 2016) explains how multi-sided platforms create value through network effects. The Firehorse Solution Factory model extends this theory to industrial AI:</w:t>
      </w:r>
    </w:p>
    <w:p>
      <w:pPr>
        <w:pStyle w:val="BodyText"/>
      </w:pPr>
      <w:r>
        <w:rPr>
          <w:bCs/>
          <w:b/>
        </w:rPr>
        <w:t xml:space="preserve">Multi-sided platform design:</w:t>
      </w:r>
    </w:p>
    <w:p>
      <w:pPr>
        <w:pStyle w:val="SourceCode"/>
      </w:pPr>
      <w:r>
        <w:rPr>
          <w:rStyle w:val="VerbatimChar"/>
        </w:rPr>
        <w:t xml:space="preserve">+-------------------------------------------------------------+</w:t>
      </w:r>
      <w:r>
        <w:br/>
      </w:r>
      <w:r>
        <w:rPr>
          <w:rStyle w:val="VerbatimChar"/>
        </w:rPr>
        <w:t xml:space="preserve">|              FIREHORSE PLATFORM ECOSYSTEM                     |</w:t>
      </w:r>
      <w:r>
        <w:br/>
      </w:r>
      <w:r>
        <w:rPr>
          <w:rStyle w:val="VerbatimChar"/>
        </w:rPr>
        <w:t xml:space="preserve">+-------------------------------------------------------------+</w:t>
      </w:r>
      <w:r>
        <w:br/>
      </w:r>
      <w:r>
        <w:rPr>
          <w:rStyle w:val="VerbatimChar"/>
        </w:rPr>
        <w:t xml:space="preserve">|                                                               |</w:t>
      </w:r>
      <w:r>
        <w:br/>
      </w:r>
      <w:r>
        <w:rPr>
          <w:rStyle w:val="VerbatimChar"/>
        </w:rPr>
        <w:t xml:space="preserve">|  SIDE 1: Industrial Customers (across 8 verticals)           |</w:t>
      </w:r>
      <w:r>
        <w:br/>
      </w:r>
      <w:r>
        <w:rPr>
          <w:rStyle w:val="VerbatimChar"/>
        </w:rPr>
        <w:t xml:space="preserve">|  +- Construction: NCC, T2H (5 projects, EUR 50M portfolio)   |</w:t>
      </w:r>
      <w:r>
        <w:br/>
      </w:r>
      <w:r>
        <w:rPr>
          <w:rStyle w:val="VerbatimChar"/>
        </w:rPr>
        <w:t xml:space="preserve">|  +- Logistics: Uber, Bolt, Kela (EUR 10k MRR during pilot)   |</w:t>
      </w:r>
      <w:r>
        <w:br/>
      </w:r>
      <w:r>
        <w:rPr>
          <w:rStyle w:val="VerbatimChar"/>
        </w:rPr>
        <w:t xml:space="preserve">|  +- Manufacturing: 2M+ companies in Europe                   |</w:t>
      </w:r>
      <w:r>
        <w:br/>
      </w:r>
      <w:r>
        <w:rPr>
          <w:rStyle w:val="VerbatimChar"/>
        </w:rPr>
        <w:t xml:space="preserve">|  +- 5 additional verticals (Energy, Healthcare, etc.)        |</w:t>
      </w:r>
      <w:r>
        <w:br/>
      </w:r>
      <w:r>
        <w:rPr>
          <w:rStyle w:val="VerbatimChar"/>
        </w:rPr>
        <w:t xml:space="preserve">|                                                               |</w:t>
      </w:r>
      <w:r>
        <w:br/>
      </w:r>
      <w:r>
        <w:rPr>
          <w:rStyle w:val="VerbatimChar"/>
        </w:rPr>
        <w:t xml:space="preserve">|  SIDE 2: Data &amp; Intelligence Providers                        |</w:t>
      </w:r>
      <w:r>
        <w:br/>
      </w:r>
      <w:r>
        <w:rPr>
          <w:rStyle w:val="VerbatimChar"/>
        </w:rPr>
        <w:t xml:space="preserve">|  +- Lifetime World Model (55B parameter LLM)                 |</w:t>
      </w:r>
      <w:r>
        <w:br/>
      </w:r>
      <w:r>
        <w:rPr>
          <w:rStyle w:val="VerbatimChar"/>
        </w:rPr>
        <w:t xml:space="preserve">|  +- EU compliance databases (Fit for 55, EPBD)               |</w:t>
      </w:r>
      <w:r>
        <w:br/>
      </w:r>
      <w:r>
        <w:rPr>
          <w:rStyle w:val="VerbatimChar"/>
        </w:rPr>
        <w:t xml:space="preserve">|  +- Industry-specific carbon coefficients                    |</w:t>
      </w:r>
      <w:r>
        <w:br/>
      </w:r>
      <w:r>
        <w:rPr>
          <w:rStyle w:val="VerbatimChar"/>
        </w:rPr>
        <w:t xml:space="preserve">|                                                               |</w:t>
      </w:r>
      <w:r>
        <w:br/>
      </w:r>
      <w:r>
        <w:rPr>
          <w:rStyle w:val="VerbatimChar"/>
        </w:rPr>
        <w:t xml:space="preserve">|  SIDE 3: Hardware &amp; Edge Partners                             |</w:t>
      </w:r>
      <w:r>
        <w:br/>
      </w:r>
      <w:r>
        <w:rPr>
          <w:rStyle w:val="VerbatimChar"/>
        </w:rPr>
        <w:t xml:space="preserve">|  +- NVIDIA (Jetson Orin Nano edge devices)                   |</w:t>
      </w:r>
      <w:r>
        <w:br/>
      </w:r>
      <w:r>
        <w:rPr>
          <w:rStyle w:val="VerbatimChar"/>
        </w:rPr>
        <w:t xml:space="preserve">|  +- Acer/Asus (Blackwell training infrastructure)            |</w:t>
      </w:r>
      <w:r>
        <w:br/>
      </w:r>
      <w:r>
        <w:rPr>
          <w:rStyle w:val="VerbatimChar"/>
        </w:rPr>
        <w:t xml:space="preserve">|  +- IoT sensor manufacturers                                 |</w:t>
      </w:r>
      <w:r>
        <w:br/>
      </w:r>
      <w:r>
        <w:rPr>
          <w:rStyle w:val="VerbatimChar"/>
        </w:rPr>
        <w:t xml:space="preserve">|                                                               |</w:t>
      </w:r>
      <w:r>
        <w:br/>
      </w:r>
      <w:r>
        <w:rPr>
          <w:rStyle w:val="VerbatimChar"/>
        </w:rPr>
        <w:t xml:space="preserve">|  NETWORK EFFECTS:                                             |</w:t>
      </w:r>
      <w:r>
        <w:br/>
      </w:r>
      <w:r>
        <w:rPr>
          <w:rStyle w:val="VerbatimChar"/>
        </w:rPr>
        <w:t xml:space="preserve">|  * Cross-vertical intelligence (Logistics -&gt; Construction)   |</w:t>
      </w:r>
      <w:r>
        <w:br/>
      </w:r>
      <w:r>
        <w:rPr>
          <w:rStyle w:val="VerbatimChar"/>
        </w:rPr>
        <w:t xml:space="preserve">|  * Each new vertical makes ALL verticals smarter             |</w:t>
      </w:r>
      <w:r>
        <w:br/>
      </w:r>
      <w:r>
        <w:rPr>
          <w:rStyle w:val="VerbatimChar"/>
        </w:rPr>
        <w:t xml:space="preserve">|  * Agent templates become reusable across industries         |</w:t>
      </w:r>
      <w:r>
        <w:br/>
      </w:r>
      <w:r>
        <w:rPr>
          <w:rStyle w:val="VerbatimChar"/>
        </w:rPr>
        <w:t xml:space="preserve">|                                                               |</w:t>
      </w:r>
      <w:r>
        <w:br/>
      </w:r>
      <w:r>
        <w:rPr>
          <w:rStyle w:val="VerbatimChar"/>
        </w:rPr>
        <w:t xml:space="preserve">+-------------------------------------------------------------+</w:t>
      </w:r>
    </w:p>
    <w:p>
      <w:pPr>
        <w:pStyle w:val="FirstParagraph"/>
      </w:pPr>
      <w:r>
        <w:rPr>
          <w:bCs/>
          <w:b/>
        </w:rPr>
        <w:t xml:space="preserve">Market context:</w:t>
      </w:r>
      <w:r>
        <w:t xml:space="preserve"> </w:t>
      </w:r>
      <w:r>
        <w:t xml:space="preserve">Worldwide generative AI spending is projected to reach $644 billion in 2025, a 76.4% year-over-year increase (Red Hat, 2025). Yet 64% of CEOs invest in AI technologies before clearly understanding the value they bring, creating technical debt and strategic fragility. This reactive posture validates the Firehorse platform approach: outcome-defined AI with built-in compliance guardrails, rather than technology-first experimentation.</w:t>
      </w:r>
    </w:p>
    <w:p>
      <w:pPr>
        <w:pStyle w:val="BodyText"/>
      </w:pPr>
      <w:r>
        <w:rPr>
          <w:bCs/>
          <w:b/>
        </w:rPr>
        <w:t xml:space="preserve">Value Creation Mechanisms:</w:t>
      </w:r>
    </w:p>
    <w:p>
      <w:pPr>
        <w:numPr>
          <w:ilvl w:val="0"/>
          <w:numId w:val="1017"/>
        </w:numPr>
        <w:pStyle w:val="Compact"/>
      </w:pPr>
      <w:r>
        <w:rPr>
          <w:bCs/>
          <w:b/>
        </w:rPr>
        <w:t xml:space="preserve">Same-side effects:</w:t>
      </w:r>
      <w:r>
        <w:t xml:space="preserve"> </w:t>
      </w:r>
      <w:r>
        <w:t xml:space="preserve">More customers -&gt; more industry data -&gt; better agent accuracy</w:t>
      </w:r>
    </w:p>
    <w:p>
      <w:pPr>
        <w:numPr>
          <w:ilvl w:val="0"/>
          <w:numId w:val="1017"/>
        </w:numPr>
        <w:pStyle w:val="Compact"/>
      </w:pPr>
      <w:r>
        <w:rPr>
          <w:bCs/>
          <w:b/>
        </w:rPr>
        <w:t xml:space="preserve">Cross-side effects:</w:t>
      </w:r>
      <w:r>
        <w:t xml:space="preserve"> </w:t>
      </w:r>
      <w:r>
        <w:t xml:space="preserve">More verticals -&gt; more reusable agent templates -&gt; faster deployment</w:t>
      </w:r>
    </w:p>
    <w:p>
      <w:pPr>
        <w:numPr>
          <w:ilvl w:val="0"/>
          <w:numId w:val="1017"/>
        </w:numPr>
        <w:pStyle w:val="Compact"/>
      </w:pPr>
      <w:r>
        <w:rPr>
          <w:bCs/>
          <w:b/>
        </w:rPr>
        <w:t xml:space="preserve">Data network effects:</w:t>
      </w:r>
      <w:r>
        <w:t xml:space="preserve"> </w:t>
      </w:r>
      <w:r>
        <w:t xml:space="preserve">Lifetime World Model improves with each customer interaction</w:t>
      </w:r>
    </w:p>
    <w:bookmarkEnd w:id="37"/>
    <w:bookmarkStart w:id="38" w:name="industry-5.0"/>
    <w:p>
      <w:pPr>
        <w:pStyle w:val="Heading2"/>
      </w:pPr>
      <w:r>
        <w:t xml:space="preserve">2.3 Industry 5.0</w:t>
      </w:r>
    </w:p>
    <w:p>
      <w:pPr>
        <w:pStyle w:val="FirstParagraph"/>
      </w:pPr>
      <w:r>
        <w:t xml:space="preserve">Industry 5.0 (European Commission, 2021) represents an evolution from Industry 4.0’s automation focus toward a human-centric, sustainable, and resilient industrial paradigm. The Firehorse operating model directly implements these three pillars:</w:t>
      </w:r>
    </w:p>
    <w:p>
      <w:pPr>
        <w:pStyle w:val="BodyText"/>
      </w:pPr>
      <w:r>
        <w:rPr>
          <w:bCs/>
          <w:b/>
        </w:rPr>
        <w:t xml:space="preserve">Human-centric implementation:</w:t>
      </w:r>
      <w:r>
        <w:t xml:space="preserve"> </w:t>
      </w:r>
      <w:r>
        <w:t xml:space="preserve">The three-phase deployment model (Silent Pilot -&gt; Advisor -&gt; Autonomous) ensures human oversight:</w:t>
      </w:r>
    </w:p>
    <w:tbl>
      <w:tblPr>
        <w:tblStyle w:val="Table"/>
        <w:tblW w:type="pct" w:w="5000"/>
        <w:tblLook w:firstRow="1" w:lastRow="0" w:firstColumn="0" w:lastColumn="0" w:noHBand="0" w:noVBand="0" w:val="0020"/>
        <w:jc w:val="start"/>
      </w:tblPr>
      <w:tblGrid>
        <w:gridCol w:w="1456"/>
        <w:gridCol w:w="1638"/>
        <w:gridCol w:w="2184"/>
        <w:gridCol w:w="2640"/>
      </w:tblGrid>
      <w:tr>
        <w:trPr>
          <w:tblHeader w:val="true"/>
        </w:trPr>
        <w:tc>
          <w:tcPr/>
          <w:p>
            <w:pPr>
              <w:pStyle w:val="Compact"/>
              <w:jc w:val="left"/>
            </w:pPr>
            <w:r>
              <w:t xml:space="preserve">Phase</w:t>
            </w:r>
          </w:p>
        </w:tc>
        <w:tc>
          <w:tcPr/>
          <w:p>
            <w:pPr>
              <w:pStyle w:val="Compact"/>
              <w:jc w:val="left"/>
            </w:pPr>
            <w:r>
              <w:t xml:space="preserve">Human Role</w:t>
            </w:r>
          </w:p>
        </w:tc>
        <w:tc>
          <w:tcPr/>
          <w:p>
            <w:pPr>
              <w:pStyle w:val="Compact"/>
              <w:jc w:val="left"/>
            </w:pPr>
            <w:r>
              <w:t xml:space="preserve">AI Role</w:t>
            </w:r>
          </w:p>
        </w:tc>
        <w:tc>
          <w:tcPr/>
          <w:p>
            <w:pPr>
              <w:pStyle w:val="Compact"/>
              <w:jc w:val="left"/>
            </w:pPr>
            <w:r>
              <w:t xml:space="preserve">Industry 5.0 Alignment</w:t>
            </w:r>
          </w:p>
        </w:tc>
      </w:tr>
      <w:tr>
        <w:tc>
          <w:tcPr/>
          <w:p>
            <w:pPr>
              <w:pStyle w:val="Compact"/>
              <w:jc w:val="left"/>
            </w:pPr>
            <w:r>
              <w:rPr>
                <w:bCs/>
                <w:b/>
              </w:rPr>
              <w:t xml:space="preserve">Silent Pilot</w:t>
            </w:r>
          </w:p>
        </w:tc>
        <w:tc>
          <w:tcPr/>
          <w:p>
            <w:pPr>
              <w:pStyle w:val="Compact"/>
              <w:jc w:val="left"/>
            </w:pPr>
            <w:r>
              <w:t xml:space="preserve">Full control</w:t>
            </w:r>
          </w:p>
        </w:tc>
        <w:tc>
          <w:tcPr/>
          <w:p>
            <w:pPr>
              <w:pStyle w:val="Compact"/>
              <w:jc w:val="left"/>
            </w:pPr>
            <w:r>
              <w:t xml:space="preserve">Observation only</w:t>
            </w:r>
          </w:p>
        </w:tc>
        <w:tc>
          <w:tcPr/>
          <w:p>
            <w:pPr>
              <w:pStyle w:val="Compact"/>
              <w:jc w:val="left"/>
            </w:pPr>
            <w:r>
              <w:t xml:space="preserve">Maximum human agency</w:t>
            </w:r>
          </w:p>
        </w:tc>
      </w:tr>
      <w:tr>
        <w:tc>
          <w:tcPr/>
          <w:p>
            <w:pPr>
              <w:pStyle w:val="Compact"/>
              <w:jc w:val="left"/>
            </w:pPr>
            <w:r>
              <w:rPr>
                <w:bCs/>
                <w:b/>
              </w:rPr>
              <w:t xml:space="preserve">Advisor</w:t>
            </w:r>
          </w:p>
        </w:tc>
        <w:tc>
          <w:tcPr/>
          <w:p>
            <w:pPr>
              <w:pStyle w:val="Compact"/>
              <w:jc w:val="left"/>
            </w:pPr>
            <w:r>
              <w:t xml:space="preserve">Approval required</w:t>
            </w:r>
          </w:p>
        </w:tc>
        <w:tc>
          <w:tcPr/>
          <w:p>
            <w:pPr>
              <w:pStyle w:val="Compact"/>
              <w:jc w:val="left"/>
            </w:pPr>
            <w:r>
              <w:t xml:space="preserve">Recommendations</w:t>
            </w:r>
          </w:p>
        </w:tc>
        <w:tc>
          <w:tcPr/>
          <w:p>
            <w:pPr>
              <w:pStyle w:val="Compact"/>
              <w:jc w:val="left"/>
            </w:pPr>
            <w:r>
              <w:t xml:space="preserve">Collaborative decision-making</w:t>
            </w:r>
          </w:p>
        </w:tc>
      </w:tr>
      <w:tr>
        <w:tc>
          <w:tcPr/>
          <w:p>
            <w:pPr>
              <w:pStyle w:val="Compact"/>
              <w:jc w:val="left"/>
            </w:pPr>
            <w:r>
              <w:rPr>
                <w:bCs/>
                <w:b/>
              </w:rPr>
              <w:t xml:space="preserve">Autonomous</w:t>
            </w:r>
          </w:p>
        </w:tc>
        <w:tc>
          <w:tcPr/>
          <w:p>
            <w:pPr>
              <w:pStyle w:val="Compact"/>
              <w:jc w:val="left"/>
            </w:pPr>
            <w:r>
              <w:t xml:space="preserve">Exception handling</w:t>
            </w:r>
          </w:p>
        </w:tc>
        <w:tc>
          <w:tcPr/>
          <w:p>
            <w:pPr>
              <w:pStyle w:val="Compact"/>
              <w:jc w:val="left"/>
            </w:pPr>
            <w:r>
              <w:t xml:space="preserve">Action within guardrails</w:t>
            </w:r>
          </w:p>
        </w:tc>
        <w:tc>
          <w:tcPr/>
          <w:p>
            <w:pPr>
              <w:pStyle w:val="Compact"/>
              <w:jc w:val="left"/>
            </w:pPr>
            <w:r>
              <w:t xml:space="preserve">Human oversight on edge cases</w:t>
            </w:r>
          </w:p>
        </w:tc>
      </w:tr>
    </w:tbl>
    <w:bookmarkEnd w:id="38"/>
    <w:bookmarkStart w:id="39" w:name="edge-computing-economics"/>
    <w:p>
      <w:pPr>
        <w:pStyle w:val="Heading2"/>
      </w:pPr>
      <w:r>
        <w:t xml:space="preserve">2.4 Edge Computing Economics</w:t>
      </w:r>
    </w:p>
    <w:p>
      <w:pPr>
        <w:pStyle w:val="FirstParagraph"/>
      </w:pPr>
      <w:r>
        <w:t xml:space="preserve">Edge computing economics (Shi et al., 2016) provides the theoretical foundation for Firehorse’s hybrid architecture. The key insight is that latency and bandwidth costs frequently exceed the savings of centralized processing:</w:t>
      </w:r>
    </w:p>
    <w:p>
      <w:pPr>
        <w:pStyle w:val="BodyText"/>
      </w:pPr>
      <w:r>
        <w:rPr>
          <w:bCs/>
          <w:b/>
        </w:rPr>
        <w:t xml:space="preserve">Latency-cost tradeoff analysis:</w:t>
      </w:r>
    </w:p>
    <w:tbl>
      <w:tblPr>
        <w:tblStyle w:val="Table"/>
        <w:tblW w:type="pct" w:w="5000"/>
        <w:tblLook w:firstRow="1" w:lastRow="0" w:firstColumn="0" w:lastColumn="0" w:noHBand="0" w:noVBand="0" w:val="0020"/>
        <w:jc w:val="start"/>
      </w:tblPr>
      <w:tblGrid>
        <w:gridCol w:w="2076"/>
        <w:gridCol w:w="922"/>
        <w:gridCol w:w="1999"/>
        <w:gridCol w:w="2921"/>
      </w:tblGrid>
      <w:tr>
        <w:trPr>
          <w:tblHeader w:val="true"/>
        </w:trPr>
        <w:tc>
          <w:tcPr/>
          <w:p>
            <w:pPr>
              <w:pStyle w:val="Compact"/>
              <w:jc w:val="left"/>
            </w:pPr>
            <w:r>
              <w:t xml:space="preserve">Processing Location</w:t>
            </w:r>
          </w:p>
        </w:tc>
        <w:tc>
          <w:tcPr/>
          <w:p>
            <w:pPr>
              <w:pStyle w:val="Compact"/>
              <w:jc w:val="left"/>
            </w:pPr>
            <w:r>
              <w:t xml:space="preserve">Latency</w:t>
            </w:r>
          </w:p>
        </w:tc>
        <w:tc>
          <w:tcPr/>
          <w:p>
            <w:pPr>
              <w:pStyle w:val="Compact"/>
              <w:jc w:val="left"/>
            </w:pPr>
            <w:r>
              <w:t xml:space="preserve">Monthly Cost</w:t>
            </w:r>
          </w:p>
        </w:tc>
        <w:tc>
          <w:tcPr/>
          <w:p>
            <w:pPr>
              <w:pStyle w:val="Compact"/>
              <w:jc w:val="left"/>
            </w:pPr>
            <w:r>
              <w:t xml:space="preserve">Use Case</w:t>
            </w:r>
          </w:p>
        </w:tc>
      </w:tr>
      <w:tr>
        <w:tc>
          <w:tcPr/>
          <w:p>
            <w:pPr>
              <w:pStyle w:val="Compact"/>
              <w:jc w:val="left"/>
            </w:pPr>
            <w:r>
              <w:rPr>
                <w:bCs/>
                <w:b/>
              </w:rPr>
              <w:t xml:space="preserve">Cloud (Groq API)</w:t>
            </w:r>
          </w:p>
        </w:tc>
        <w:tc>
          <w:tcPr/>
          <w:p>
            <w:pPr>
              <w:pStyle w:val="Compact"/>
              <w:jc w:val="left"/>
            </w:pPr>
            <w:r>
              <w:t xml:space="preserve">500-2000ms</w:t>
            </w:r>
          </w:p>
        </w:tc>
        <w:tc>
          <w:tcPr/>
          <w:p>
            <w:pPr>
              <w:pStyle w:val="Compact"/>
              <w:jc w:val="left"/>
            </w:pPr>
            <w:r>
              <w:t xml:space="preserve">EUR 555/month</w:t>
            </w:r>
          </w:p>
        </w:tc>
        <w:tc>
          <w:tcPr/>
          <w:p>
            <w:pPr>
              <w:pStyle w:val="Compact"/>
              <w:jc w:val="left"/>
            </w:pPr>
            <w:r>
              <w:t xml:space="preserve">Complex reasoning, report generation</w:t>
            </w:r>
          </w:p>
        </w:tc>
      </w:tr>
      <w:tr>
        <w:tc>
          <w:tcPr/>
          <w:p>
            <w:pPr>
              <w:pStyle w:val="Compact"/>
              <w:jc w:val="left"/>
            </w:pPr>
            <w:r>
              <w:rPr>
                <w:bCs/>
                <w:b/>
              </w:rPr>
              <w:t xml:space="preserve">Edge (Jetson Orin Nano)</w:t>
            </w:r>
          </w:p>
        </w:tc>
        <w:tc>
          <w:tcPr/>
          <w:p>
            <w:pPr>
              <w:pStyle w:val="Compact"/>
              <w:jc w:val="left"/>
            </w:pPr>
            <w:r>
              <w:t xml:space="preserve">&lt;100ms</w:t>
            </w:r>
          </w:p>
        </w:tc>
        <w:tc>
          <w:tcPr/>
          <w:p>
            <w:pPr>
              <w:pStyle w:val="Compact"/>
              <w:jc w:val="left"/>
            </w:pPr>
            <w:r>
              <w:t xml:space="preserve">EUR 100/year (electricity)</w:t>
            </w:r>
          </w:p>
        </w:tc>
        <w:tc>
          <w:tcPr/>
          <w:p>
            <w:pPr>
              <w:pStyle w:val="Compact"/>
              <w:jc w:val="left"/>
            </w:pPr>
            <w:r>
              <w:t xml:space="preserve">Real-time construction site monitoring</w:t>
            </w:r>
          </w:p>
        </w:tc>
      </w:tr>
      <w:tr>
        <w:tc>
          <w:tcPr/>
          <w:p>
            <w:pPr>
              <w:pStyle w:val="Compact"/>
              <w:jc w:val="left"/>
            </w:pPr>
            <w:r>
              <w:rPr>
                <w:bCs/>
                <w:b/>
              </w:rPr>
              <w:t xml:space="preserve">Hybrid</w:t>
            </w:r>
          </w:p>
        </w:tc>
        <w:tc>
          <w:tcPr/>
          <w:p>
            <w:pPr>
              <w:pStyle w:val="Compact"/>
              <w:jc w:val="left"/>
            </w:pPr>
            <w:r>
              <w:t xml:space="preserve">Best of both</w:t>
            </w:r>
          </w:p>
        </w:tc>
        <w:tc>
          <w:tcPr/>
          <w:p>
            <w:pPr>
              <w:pStyle w:val="Compact"/>
              <w:jc w:val="left"/>
            </w:pPr>
            <w:r>
              <w:t xml:space="preserve">EUR 25-350/month</w:t>
            </w:r>
          </w:p>
        </w:tc>
        <w:tc>
          <w:tcPr/>
          <w:p>
            <w:pPr>
              <w:pStyle w:val="Compact"/>
              <w:jc w:val="left"/>
            </w:pPr>
            <w:r>
              <w:t xml:space="preserve">Firehorse optimal configuration</w:t>
            </w:r>
          </w:p>
        </w:tc>
      </w:tr>
    </w:tbl>
    <w:p>
      <w:pPr>
        <w:pStyle w:val="BodyText"/>
      </w:pPr>
      <w:r>
        <w:rPr>
          <w:bCs/>
          <w:b/>
        </w:rPr>
        <w:t xml:space="preserve">Edge AI ROI calculation:</w:t>
      </w:r>
    </w:p>
    <w:p>
      <w:pPr>
        <w:pStyle w:val="SourceCode"/>
      </w:pPr>
      <w:r>
        <w:rPr>
          <w:rStyle w:val="VerbatimChar"/>
        </w:rPr>
        <w:t xml:space="preserve">Cloud solution (12 months):</w:t>
      </w:r>
      <w:r>
        <w:br/>
      </w:r>
      <w:r>
        <w:rPr>
          <w:rStyle w:val="VerbatimChar"/>
        </w:rPr>
        <w:t xml:space="preserve">  Compute: EUR 555/month x 12 = EUR 6,660/year</w:t>
      </w:r>
      <w:r>
        <w:br/>
      </w:r>
      <w:r>
        <w:rPr>
          <w:rStyle w:val="VerbatimChar"/>
        </w:rPr>
        <w:t xml:space="preserve">  Total: EUR 6,660/year</w:t>
      </w:r>
      <w:r>
        <w:br/>
      </w:r>
      <w:r>
        <w:br/>
      </w:r>
      <w:r>
        <w:rPr>
          <w:rStyle w:val="VerbatimChar"/>
        </w:rPr>
        <w:t xml:space="preserve">Edge AI solution:</w:t>
      </w:r>
      <w:r>
        <w:br/>
      </w:r>
      <w:r>
        <w:rPr>
          <w:rStyle w:val="VerbatimChar"/>
        </w:rPr>
        <w:t xml:space="preserve">  Hardware (one-time): EUR 1,084 (Jetson Orin Nano + accessories)</w:t>
      </w:r>
      <w:r>
        <w:br/>
      </w:r>
      <w:r>
        <w:rPr>
          <w:rStyle w:val="VerbatimChar"/>
        </w:rPr>
        <w:t xml:space="preserve">  Electricity: EUR 10/month x 12 = EUR 120/year</w:t>
      </w:r>
      <w:r>
        <w:br/>
      </w:r>
      <w:r>
        <w:rPr>
          <w:rStyle w:val="VerbatimChar"/>
        </w:rPr>
        <w:t xml:space="preserve">  Year 1 total: EUR 1,204</w:t>
      </w:r>
      <w:r>
        <w:br/>
      </w:r>
      <w:r>
        <w:rPr>
          <w:rStyle w:val="VerbatimChar"/>
        </w:rPr>
        <w:t xml:space="preserve">  Year 2+ total: EUR 120/year</w:t>
      </w:r>
      <w:r>
        <w:br/>
      </w:r>
      <w:r>
        <w:br/>
      </w:r>
      <w:r>
        <w:rPr>
          <w:rStyle w:val="VerbatimChar"/>
        </w:rPr>
        <w:t xml:space="preserve">Savings: EUR 5,456/year (82% cheaper)</w:t>
      </w:r>
      <w:r>
        <w:br/>
      </w:r>
      <w:r>
        <w:rPr>
          <w:rStyle w:val="VerbatimChar"/>
        </w:rPr>
        <w:t xml:space="preserve">Payback period: 1.95 months</w:t>
      </w:r>
    </w:p>
    <w:p>
      <w:pPr>
        <w:pStyle w:val="FirstParagraph"/>
      </w:pPr>
      <w:r>
        <w:rPr>
          <w:bCs/>
          <w:b/>
        </w:rPr>
        <w:t xml:space="preserve">Inference shift validation:</w:t>
      </w:r>
      <w:r>
        <w:t xml:space="preserve"> </w:t>
      </w:r>
      <w:r>
        <w:t xml:space="preserve">By 2028, more than 80% of data center workload accelerators will be deployed specifically for inference rather than training (Red Hat, 2025). This structural shift toward runtime execution validates the Firehorse edge-first architecture: the GN-100 Jetson Orin Nano runs inference workloads at EUR 120/year versus EUR 6,660/year in cloud — positioned precisely where the industry investment thesis is heading.</w:t>
      </w:r>
    </w:p>
    <w:bookmarkEnd w:id="39"/>
    <w:bookmarkStart w:id="44" w:name="X4f2064b2cf1bdfe6adbca5812c33986d8783861"/>
    <w:p>
      <w:pPr>
        <w:pStyle w:val="Heading2"/>
      </w:pPr>
      <w:r>
        <w:t xml:space="preserve">2.5 Multi-Agent Systems Theory and Lifetime Scope Signals</w:t>
      </w:r>
    </w:p>
    <w:p>
      <w:pPr>
        <w:pStyle w:val="FirstParagraph"/>
      </w:pPr>
      <w:r>
        <w:t xml:space="preserve">This section introduces a novel theoretical contribution: the</w:t>
      </w:r>
      <w:r>
        <w:t xml:space="preserve"> </w:t>
      </w:r>
      <w:r>
        <w:rPr>
          <w:bCs/>
          <w:b/>
        </w:rPr>
        <w:t xml:space="preserve">Lifetime Scope Signals protocol</w:t>
      </w:r>
      <w:r>
        <w:t xml:space="preserve"> </w:t>
      </w:r>
      <w:r>
        <w:t xml:space="preserve">for multi-agent coordination in bootstrapped industrial AI platforms.</w:t>
      </w:r>
    </w:p>
    <w:bookmarkStart w:id="40" w:name="multi-agent-systems-background"/>
    <w:p>
      <w:pPr>
        <w:pStyle w:val="Heading3"/>
      </w:pPr>
      <w:r>
        <w:t xml:space="preserve">2.5.1 Multi-Agent Systems Background</w:t>
      </w:r>
    </w:p>
    <w:p>
      <w:pPr>
        <w:pStyle w:val="FirstParagraph"/>
      </w:pPr>
      <w:r>
        <w:t xml:space="preserve">Multi-agent systems (MAS) theory (Wooldridge, 2009) provides the foundation for understanding how autonomous agents can coordinate to achieve complex objectives. Key concepts applied to Firehorse:</w:t>
      </w:r>
    </w:p>
    <w:p>
      <w:pPr>
        <w:numPr>
          <w:ilvl w:val="0"/>
          <w:numId w:val="1018"/>
        </w:numPr>
        <w:pStyle w:val="Compact"/>
      </w:pPr>
      <w:r>
        <w:rPr>
          <w:bCs/>
          <w:b/>
        </w:rPr>
        <w:t xml:space="preserve">Agent autonomy:</w:t>
      </w:r>
      <w:r>
        <w:t xml:space="preserve"> </w:t>
      </w:r>
      <w:r>
        <w:t xml:space="preserve">Each agent operates independently within defined responsibility areas</w:t>
      </w:r>
    </w:p>
    <w:p>
      <w:pPr>
        <w:numPr>
          <w:ilvl w:val="0"/>
          <w:numId w:val="1018"/>
        </w:numPr>
        <w:pStyle w:val="Compact"/>
      </w:pPr>
      <w:r>
        <w:rPr>
          <w:bCs/>
          <w:b/>
        </w:rPr>
        <w:t xml:space="preserve">Agent communication:</w:t>
      </w:r>
      <w:r>
        <w:t xml:space="preserve"> </w:t>
      </w:r>
      <w:r>
        <w:t xml:space="preserve">Agents exchange signals to coordinate dependencies</w:t>
      </w:r>
    </w:p>
    <w:p>
      <w:pPr>
        <w:numPr>
          <w:ilvl w:val="0"/>
          <w:numId w:val="1018"/>
        </w:numPr>
        <w:pStyle w:val="Compact"/>
      </w:pPr>
      <w:r>
        <w:rPr>
          <w:bCs/>
          <w:b/>
        </w:rPr>
        <w:t xml:space="preserve">Emergent behavior:</w:t>
      </w:r>
      <w:r>
        <w:t xml:space="preserve"> </w:t>
      </w:r>
      <w:r>
        <w:t xml:space="preserve">System-level capabilities arise from agent interactions</w:t>
      </w:r>
    </w:p>
    <w:p>
      <w:pPr>
        <w:numPr>
          <w:ilvl w:val="0"/>
          <w:numId w:val="1018"/>
        </w:numPr>
        <w:pStyle w:val="Compact"/>
      </w:pPr>
      <w:r>
        <w:rPr>
          <w:bCs/>
          <w:b/>
        </w:rPr>
        <w:t xml:space="preserve">Coordination mechanisms:</w:t>
      </w:r>
      <w:r>
        <w:t xml:space="preserve"> </w:t>
      </w:r>
      <w:r>
        <w:t xml:space="preserve">Protocols ensure agents work toward shared goals</w:t>
      </w:r>
    </w:p>
    <w:bookmarkEnd w:id="40"/>
    <w:bookmarkStart w:id="41" w:name="lifetime-scope-signals-protocol"/>
    <w:p>
      <w:pPr>
        <w:pStyle w:val="Heading3"/>
      </w:pPr>
      <w:r>
        <w:t xml:space="preserve">2.5.2 Lifetime Scope Signals Protocol</w:t>
      </w:r>
    </w:p>
    <w:p>
      <w:pPr>
        <w:pStyle w:val="FirstParagraph"/>
      </w:pPr>
      <w:r>
        <w:t xml:space="preserve">The Lifetime Scope Signals protocol is a novel coordination mechanism developed for DWS IQ 6. It enables deterministic multi-agent development coordination. Unlike traditional MAS approaches based on real-time negotiation, this protocol uses</w:t>
      </w:r>
      <w:r>
        <w:t xml:space="preserve"> </w:t>
      </w:r>
      <w:r>
        <w:rPr>
          <w:bCs/>
          <w:b/>
        </w:rPr>
        <w:t xml:space="preserve">declarative signal emission</w:t>
      </w:r>
      <w:r>
        <w:t xml:space="preserve"> </w:t>
      </w:r>
      <w:r>
        <w:t xml:space="preserve">to unblock dependent agents.</w:t>
      </w:r>
    </w:p>
    <w:p>
      <w:pPr>
        <w:pStyle w:val="BodyText"/>
      </w:pPr>
      <w:r>
        <w:rPr>
          <w:bCs/>
          <w:b/>
        </w:rPr>
        <w:t xml:space="preserve">Signal format:</w:t>
      </w:r>
    </w:p>
    <w:p>
      <w:pPr>
        <w:pStyle w:val="SourceCode"/>
      </w:pPr>
      <w:r>
        <w:rPr>
          <w:rStyle w:val="VerbatimChar"/>
        </w:rPr>
        <w:t xml:space="preserve">[AGENT-XX]:SIGNAL_TYPE:MILESTONE:TIMESTAMP</w:t>
      </w:r>
    </w:p>
    <w:p>
      <w:pPr>
        <w:pStyle w:val="FirstParagraph"/>
      </w:pPr>
      <w:r>
        <w:rPr>
          <w:bCs/>
          <w:b/>
        </w:rPr>
        <w:t xml:space="preserve">Signal types:</w:t>
      </w:r>
    </w:p>
    <w:tbl>
      <w:tblPr>
        <w:tblStyle w:val="Table"/>
        <w:tblW w:type="pct" w:w="5000"/>
        <w:tblLook w:firstRow="1" w:lastRow="0" w:firstColumn="0" w:lastColumn="0" w:noHBand="0" w:noVBand="0" w:val="0020"/>
        <w:jc w:val="start"/>
      </w:tblPr>
      <w:tblGrid>
        <w:gridCol w:w="1084"/>
        <w:gridCol w:w="3363"/>
        <w:gridCol w:w="3471"/>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READY</w:t>
            </w:r>
          </w:p>
        </w:tc>
        <w:tc>
          <w:tcPr/>
          <w:p>
            <w:pPr>
              <w:pStyle w:val="Compact"/>
              <w:jc w:val="left"/>
            </w:pPr>
            <w:r>
              <w:t xml:space="preserve">Milestone achieved</w:t>
            </w:r>
          </w:p>
        </w:tc>
        <w:tc>
          <w:tcPr/>
          <w:p>
            <w:pPr>
              <w:pStyle w:val="Compact"/>
              <w:jc w:val="left"/>
            </w:pPr>
            <w:r>
              <w:t xml:space="preserve">Unblocks downstream agents</w:t>
            </w:r>
          </w:p>
        </w:tc>
      </w:tr>
      <w:tr>
        <w:tc>
          <w:tcPr/>
          <w:p>
            <w:pPr>
              <w:pStyle w:val="Compact"/>
              <w:jc w:val="left"/>
            </w:pPr>
            <w:r>
              <w:rPr>
                <w:rStyle w:val="VerbatimChar"/>
              </w:rPr>
              <w:t xml:space="preserve">COMPLETE</w:t>
            </w:r>
          </w:p>
        </w:tc>
        <w:tc>
          <w:tcPr/>
          <w:p>
            <w:pPr>
              <w:pStyle w:val="Compact"/>
              <w:jc w:val="left"/>
            </w:pPr>
            <w:r>
              <w:t xml:space="preserve">All agent work finished</w:t>
            </w:r>
          </w:p>
        </w:tc>
        <w:tc>
          <w:tcPr/>
          <w:p>
            <w:pPr>
              <w:pStyle w:val="Compact"/>
              <w:jc w:val="left"/>
            </w:pPr>
            <w:r>
              <w:t xml:space="preserve">Agent transitions to ready state</w:t>
            </w:r>
          </w:p>
        </w:tc>
      </w:tr>
      <w:tr>
        <w:tc>
          <w:tcPr/>
          <w:p>
            <w:pPr>
              <w:pStyle w:val="Compact"/>
              <w:jc w:val="left"/>
            </w:pPr>
            <w:r>
              <w:rPr>
                <w:rStyle w:val="VerbatimChar"/>
              </w:rPr>
              <w:t xml:space="preserve">ERROR</w:t>
            </w:r>
          </w:p>
        </w:tc>
        <w:tc>
          <w:tcPr/>
          <w:p>
            <w:pPr>
              <w:pStyle w:val="Compact"/>
              <w:jc w:val="left"/>
            </w:pPr>
            <w:r>
              <w:t xml:space="preserve">Agent encountered an error</w:t>
            </w:r>
          </w:p>
        </w:tc>
        <w:tc>
          <w:tcPr/>
          <w:p>
            <w:pPr>
              <w:pStyle w:val="Compact"/>
              <w:jc w:val="left"/>
            </w:pPr>
            <w:r>
              <w:t xml:space="preserve">Alerts coordinator</w:t>
            </w:r>
          </w:p>
        </w:tc>
      </w:tr>
      <w:tr>
        <w:tc>
          <w:tcPr/>
          <w:p>
            <w:pPr>
              <w:pStyle w:val="Compact"/>
              <w:jc w:val="left"/>
            </w:pPr>
            <w:r>
              <w:rPr>
                <w:rStyle w:val="VerbatimChar"/>
              </w:rPr>
              <w:t xml:space="preserve">BLOCKED</w:t>
            </w:r>
          </w:p>
        </w:tc>
        <w:tc>
          <w:tcPr/>
          <w:p>
            <w:pPr>
              <w:pStyle w:val="Compact"/>
              <w:jc w:val="left"/>
            </w:pPr>
            <w:r>
              <w:t xml:space="preserve">Waiting for external dependency</w:t>
            </w:r>
          </w:p>
        </w:tc>
        <w:tc>
          <w:tcPr/>
          <w:p>
            <w:pPr>
              <w:pStyle w:val="Compact"/>
              <w:jc w:val="left"/>
            </w:pPr>
            <w:r>
              <w:t xml:space="preserve">No action until unblocked</w:t>
            </w:r>
          </w:p>
        </w:tc>
      </w:tr>
    </w:tbl>
    <w:bookmarkEnd w:id="41"/>
    <w:bookmarkStart w:id="42" w:name="mcp-hub-orchestration-patterns"/>
    <w:p>
      <w:pPr>
        <w:pStyle w:val="Heading3"/>
      </w:pPr>
      <w:r>
        <w:t xml:space="preserve">2.5.3 MCP Hub Orchestration Patterns</w:t>
      </w:r>
    </w:p>
    <w:p>
      <w:pPr>
        <w:pStyle w:val="FirstParagraph"/>
      </w:pPr>
      <w:r>
        <w:t xml:space="preserve">The Model Context Protocol (MCP) Hub (</w:t>
      </w:r>
      <w:r>
        <w:rPr>
          <w:rStyle w:val="VerbatimChar"/>
        </w:rPr>
        <w:t xml:space="preserve">mcp-hub/server.py</w:t>
      </w:r>
      <w:r>
        <w:t xml:space="preserve">, port 8765) implements four workflow patterns for multi-agent coordination. Each pattern exposes a dedicated HTTP endpoint and handles agent routing, error propagation, and result aggregation.</w:t>
      </w:r>
    </w:p>
    <w:p>
      <w:pPr>
        <w:pStyle w:val="BodyText"/>
      </w:pPr>
      <w:r>
        <w:rPr>
          <w:bCs/>
          <w:b/>
        </w:rPr>
        <w:t xml:space="preserve">1. Fan-Out Pattern</w:t>
      </w:r>
      <w:r>
        <w:t xml:space="preserve"> </w:t>
      </w:r>
      <w:r>
        <w:t xml:space="preserve">(</w:t>
      </w:r>
      <w:r>
        <w:rPr>
          <w:rStyle w:val="VerbatimChar"/>
        </w:rPr>
        <w:t xml:space="preserve">POST /workflow/fan-out</w:t>
      </w:r>
      <w:r>
        <w:t xml:space="preserve">)</w:t>
      </w:r>
      <w:r>
        <w:t xml:space="preserve"> </w:t>
      </w:r>
      <w:r>
        <w:t xml:space="preserve">Distributes tasks to multiple agents in parallel using</w:t>
      </w:r>
      <w:r>
        <w:t xml:space="preserve"> </w:t>
      </w:r>
      <w:r>
        <w:rPr>
          <w:rStyle w:val="VerbatimChar"/>
        </w:rPr>
        <w:t xml:space="preserve">asyncio.gather()</w:t>
      </w:r>
      <w:r>
        <w:t xml:space="preserve">. All agents execute concurrently with a shared HTTP client (300s timeout). Exceptions are serialized per-task, enabling partial success — if one agent fails, others still return results. Used for Category B (Operations) agents where tasks are independent.</w:t>
      </w:r>
    </w:p>
    <w:p>
      <w:pPr>
        <w:pStyle w:val="BodyText"/>
      </w:pPr>
      <w:r>
        <w:rPr>
          <w:bCs/>
          <w:b/>
        </w:rPr>
        <w:t xml:space="preserve">2. Sequential Pattern</w:t>
      </w:r>
      <w:r>
        <w:t xml:space="preserve"> </w:t>
      </w:r>
      <w:r>
        <w:t xml:space="preserve">(</w:t>
      </w:r>
      <w:r>
        <w:rPr>
          <w:rStyle w:val="VerbatimChar"/>
        </w:rPr>
        <w:t xml:space="preserve">POST /workflow/sequential</w:t>
      </w:r>
      <w:r>
        <w:t xml:space="preserve">)</w:t>
      </w:r>
      <w:r>
        <w:t xml:space="preserve"> </w:t>
      </w:r>
      <w:r>
        <w:t xml:space="preserve">Executes tasks one by one in dependency order. Each task’s result is injected as</w:t>
      </w:r>
      <w:r>
        <w:t xml:space="preserve"> </w:t>
      </w:r>
      <w:r>
        <w:rPr>
          <w:rStyle w:val="VerbatimChar"/>
        </w:rPr>
        <w:t xml:space="preserve">context["previous_result"]</w:t>
      </w:r>
      <w:r>
        <w:t xml:space="preserve"> </w:t>
      </w:r>
      <w:r>
        <w:t xml:space="preserve">into the next task, creating an explicit data flow chain. Suitable for pipelines where output of one agent feeds the next (e.g., data extraction → analysis → report generation).</w:t>
      </w:r>
    </w:p>
    <w:p>
      <w:pPr>
        <w:pStyle w:val="BodyText"/>
      </w:pPr>
      <w:r>
        <w:rPr>
          <w:bCs/>
          <w:b/>
        </w:rPr>
        <w:t xml:space="preserve">3. Reflection Pattern</w:t>
      </w:r>
      <w:r>
        <w:t xml:space="preserve"> </w:t>
      </w:r>
      <w:r>
        <w:t xml:space="preserve">(</w:t>
      </w:r>
      <w:r>
        <w:rPr>
          <w:rStyle w:val="VerbatimChar"/>
        </w:rPr>
        <w:t xml:space="preserve">POST /workflow/reflection</w:t>
      </w:r>
      <w:r>
        <w:t xml:space="preserve">)</w:t>
      </w:r>
      <w:r>
        <w:t xml:space="preserve"> </w:t>
      </w:r>
      <w:r>
        <w:t xml:space="preserve">Implements an iterative implementation-evaluation loop. An implementation agent produces output,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pPr>
        <w:pStyle w:val="BodyText"/>
      </w:pPr>
      <w:r>
        <w:rPr>
          <w:bCs/>
          <w:b/>
        </w:rPr>
        <w:t xml:space="preserve">4. Pipeline Pattern</w:t>
      </w:r>
      <w:r>
        <w:t xml:space="preserve"> </w:t>
      </w:r>
      <w:r>
        <w:t xml:space="preserve">(</w:t>
      </w:r>
      <w:r>
        <w:rPr>
          <w:rStyle w:val="VerbatimChar"/>
        </w:rPr>
        <w:t xml:space="preserve">POST /workflow/pipeline</w:t>
      </w:r>
      <w:r>
        <w:t xml:space="preserve">) —</w:t>
      </w:r>
      <w:r>
        <w:t xml:space="preserve"> </w:t>
      </w:r>
      <w:r>
        <w:rPr>
          <w:iCs/>
          <w:i/>
        </w:rPr>
        <w:t xml:space="preserve">Recommended for production</w:t>
      </w:r>
      <w:r>
        <w:t xml:space="preserve"> </w:t>
      </w:r>
      <w:r>
        <w:t xml:space="preserve">Combines parallel and sequential execution through staged workflows. Each stage contains a list of tasks that execute in parallel (fan-out within stage), while stages execute sequentially (results from stage N flow as context into stage N+1). This avoids the sequential bottleneck while maintaining dependency ordering between logical phases.</w:t>
      </w:r>
    </w:p>
    <w:tbl>
      <w:tblPr>
        <w:tblStyle w:val="Table"/>
        <w:tblW w:type="pct" w:w="5000"/>
        <w:tblLook w:firstRow="1" w:lastRow="0" w:firstColumn="0" w:lastColumn="0" w:noHBand="0" w:noVBand="0" w:val="0020"/>
        <w:jc w:val="start"/>
      </w:tblPr>
      <w:tblGrid>
        <w:gridCol w:w="1131"/>
        <w:gridCol w:w="2489"/>
        <w:gridCol w:w="1697"/>
        <w:gridCol w:w="2602"/>
      </w:tblGrid>
      <w:tr>
        <w:trPr>
          <w:tblHeader w:val="true"/>
        </w:trPr>
        <w:tc>
          <w:tcPr/>
          <w:p>
            <w:pPr>
              <w:pStyle w:val="Compact"/>
              <w:jc w:val="left"/>
            </w:pPr>
            <w:r>
              <w:t xml:space="preserve">Pattern</w:t>
            </w:r>
          </w:p>
        </w:tc>
        <w:tc>
          <w:tcPr/>
          <w:p>
            <w:pPr>
              <w:pStyle w:val="Compact"/>
              <w:jc w:val="left"/>
            </w:pPr>
            <w:r>
              <w:t xml:space="preserve">Parallelism</w:t>
            </w:r>
          </w:p>
        </w:tc>
        <w:tc>
          <w:tcPr/>
          <w:p>
            <w:pPr>
              <w:pStyle w:val="Compact"/>
              <w:jc w:val="left"/>
            </w:pPr>
            <w:r>
              <w:t xml:space="preserve">Context Passing</w:t>
            </w:r>
          </w:p>
        </w:tc>
        <w:tc>
          <w:tcPr/>
          <w:p>
            <w:pPr>
              <w:pStyle w:val="Compact"/>
              <w:jc w:val="left"/>
            </w:pPr>
            <w:r>
              <w:t xml:space="preserve">Best For</w:t>
            </w:r>
          </w:p>
        </w:tc>
      </w:tr>
      <w:tr>
        <w:tc>
          <w:tcPr/>
          <w:p>
            <w:pPr>
              <w:pStyle w:val="Compact"/>
              <w:jc w:val="left"/>
            </w:pPr>
            <w:r>
              <w:t xml:space="preserve">Fan-Out</w:t>
            </w:r>
          </w:p>
        </w:tc>
        <w:tc>
          <w:tcPr/>
          <w:p>
            <w:pPr>
              <w:pStyle w:val="Compact"/>
              <w:jc w:val="left"/>
            </w:pPr>
            <w:r>
              <w:t xml:space="preserve">Full parallel</w:t>
            </w:r>
          </w:p>
        </w:tc>
        <w:tc>
          <w:tcPr/>
          <w:p>
            <w:pPr>
              <w:pStyle w:val="Compact"/>
              <w:jc w:val="left"/>
            </w:pPr>
            <w:r>
              <w:t xml:space="preserve">None</w:t>
            </w:r>
          </w:p>
        </w:tc>
        <w:tc>
          <w:tcPr/>
          <w:p>
            <w:pPr>
              <w:pStyle w:val="Compact"/>
              <w:jc w:val="left"/>
            </w:pPr>
            <w:r>
              <w:t xml:space="preserve">Independent tasks</w:t>
            </w:r>
          </w:p>
        </w:tc>
      </w:tr>
      <w:tr>
        <w:tc>
          <w:tcPr/>
          <w:p>
            <w:pPr>
              <w:pStyle w:val="Compact"/>
              <w:jc w:val="left"/>
            </w:pPr>
            <w:r>
              <w:t xml:space="preserve">Sequential</w:t>
            </w:r>
          </w:p>
        </w:tc>
        <w:tc>
          <w:tcPr/>
          <w:p>
            <w:pPr>
              <w:pStyle w:val="Compact"/>
              <w:jc w:val="left"/>
            </w:pPr>
            <w:r>
              <w:t xml:space="preserve">None</w:t>
            </w:r>
          </w:p>
        </w:tc>
        <w:tc>
          <w:tcPr/>
          <w:p>
            <w:pPr>
              <w:pStyle w:val="Compact"/>
              <w:jc w:val="left"/>
            </w:pPr>
            <w:r>
              <w:t xml:space="preserve">Previous → Next</w:t>
            </w:r>
          </w:p>
        </w:tc>
        <w:tc>
          <w:tcPr/>
          <w:p>
            <w:pPr>
              <w:pStyle w:val="Compact"/>
              <w:jc w:val="left"/>
            </w:pPr>
            <w:r>
              <w:t xml:space="preserve">Dependent chains</w:t>
            </w:r>
          </w:p>
        </w:tc>
      </w:tr>
      <w:tr>
        <w:tc>
          <w:tcPr/>
          <w:p>
            <w:pPr>
              <w:pStyle w:val="Compact"/>
              <w:jc w:val="left"/>
            </w:pPr>
            <w:r>
              <w:t xml:space="preserve">Reflection</w:t>
            </w:r>
          </w:p>
        </w:tc>
        <w:tc>
          <w:tcPr/>
          <w:p>
            <w:pPr>
              <w:pStyle w:val="Compact"/>
              <w:jc w:val="left"/>
            </w:pPr>
            <w:r>
              <w:t xml:space="preserve">None</w:t>
            </w:r>
          </w:p>
        </w:tc>
        <w:tc>
          <w:tcPr/>
          <w:p>
            <w:pPr>
              <w:pStyle w:val="Compact"/>
              <w:jc w:val="left"/>
            </w:pPr>
            <w:r>
              <w:t xml:space="preserve">Feedback loop</w:t>
            </w:r>
          </w:p>
        </w:tc>
        <w:tc>
          <w:tcPr/>
          <w:p>
            <w:pPr>
              <w:pStyle w:val="Compact"/>
              <w:jc w:val="left"/>
            </w:pPr>
            <w:r>
              <w:t xml:space="preserve">Quality-critical output</w:t>
            </w:r>
          </w:p>
        </w:tc>
      </w:tr>
      <w:tr>
        <w:tc>
          <w:tcPr/>
          <w:p>
            <w:pPr>
              <w:pStyle w:val="Compact"/>
              <w:jc w:val="left"/>
            </w:pPr>
            <w:r>
              <w:t xml:space="preserve">Pipeline</w:t>
            </w:r>
          </w:p>
        </w:tc>
        <w:tc>
          <w:tcPr/>
          <w:p>
            <w:pPr>
              <w:pStyle w:val="Compact"/>
              <w:jc w:val="left"/>
            </w:pPr>
            <w:r>
              <w:t xml:space="preserve">Parallel within stages</w:t>
            </w:r>
          </w:p>
        </w:tc>
        <w:tc>
          <w:tcPr/>
          <w:p>
            <w:pPr>
              <w:pStyle w:val="Compact"/>
              <w:jc w:val="left"/>
            </w:pPr>
            <w:r>
              <w:t xml:space="preserve">Stage → Stage</w:t>
            </w:r>
          </w:p>
        </w:tc>
        <w:tc>
          <w:tcPr/>
          <w:p>
            <w:pPr>
              <w:pStyle w:val="Compact"/>
              <w:jc w:val="left"/>
            </w:pPr>
            <w:r>
              <w:t xml:space="preserve">Production workloads</w:t>
            </w:r>
          </w:p>
        </w:tc>
      </w:tr>
    </w:tbl>
    <w:bookmarkEnd w:id="42"/>
    <w:bookmarkStart w:id="43" w:name="skills-and-clis-as-agent-interfaces"/>
    <w:p>
      <w:pPr>
        <w:pStyle w:val="Heading3"/>
      </w:pPr>
      <w:r>
        <w:t xml:space="preserve">2.5.4 Skills and CLIs as Agent Interfaces</w:t>
      </w:r>
    </w:p>
    <w:p>
      <w:pPr>
        <w:pStyle w:val="FirstParagraph"/>
      </w:pPr>
      <w:r>
        <w:t xml:space="preserve">The</w:t>
      </w:r>
      <w:r>
        <w:t xml:space="preserve"> </w:t>
      </w:r>
      <w:r>
        <w:t xml:space="preserve">“</w:t>
      </w:r>
      <w:r>
        <w:t xml:space="preserve">Build for Agents</w:t>
      </w:r>
      <w:r>
        <w:t xml:space="preserve">”</w:t>
      </w:r>
      <w:r>
        <w:t xml:space="preserve"> </w:t>
      </w:r>
      <w:r>
        <w:t xml:space="preserve">principle establishes that every DWS product must be accessible through three complementary interfaces beyond the GUI: a CLI, an MCP server, and Claude Code Skills.</w:t>
      </w:r>
    </w:p>
    <w:p>
      <w:pPr>
        <w:pStyle w:val="BodyText"/>
      </w:pPr>
      <w:r>
        <w:rPr>
          <w:bCs/>
          <w:b/>
        </w:rPr>
        <w:t xml:space="preserve">CLI (Command-Line Interface)</w:t>
      </w:r>
      <w:r>
        <w:t xml:space="preserve"> </w:t>
      </w:r>
      <w:r>
        <w:t xml:space="preserve">The CLI (</w:t>
      </w:r>
      <w:r>
        <w:rPr>
          <w:rStyle w:val="VerbatimChar"/>
        </w:rPr>
        <w:t xml:space="preserve">npx tsx cli/src/cli.ts &lt;command&gt;</w:t>
      </w:r>
      <w:r>
        <w:t xml:space="preserve">) provides structured JSON output for every agent operation. This follows the industry trend where AI agents consume tools through command-line interfaces rather than graphical interfaces. Key commands:</w:t>
      </w:r>
    </w:p>
    <w:p>
      <w:pPr>
        <w:numPr>
          <w:ilvl w:val="0"/>
          <w:numId w:val="1019"/>
        </w:numPr>
        <w:pStyle w:val="Compact"/>
      </w:pPr>
      <w:r>
        <w:rPr>
          <w:rStyle w:val="VerbatimChar"/>
        </w:rPr>
        <w:t xml:space="preserve">dws agents</w:t>
      </w:r>
      <w:r>
        <w:t xml:space="preserve"> </w:t>
      </w:r>
      <w:r>
        <w:t xml:space="preserve">— List all registered agents</w:t>
      </w:r>
    </w:p>
    <w:p>
      <w:pPr>
        <w:numPr>
          <w:ilvl w:val="0"/>
          <w:numId w:val="1019"/>
        </w:numPr>
        <w:pStyle w:val="Compact"/>
      </w:pPr>
      <w:r>
        <w:rPr>
          <w:rStyle w:val="VerbatimChar"/>
        </w:rPr>
        <w:t xml:space="preserve">dws run &lt;agent&gt; --input '{...}'</w:t>
      </w:r>
      <w:r>
        <w:t xml:space="preserve"> </w:t>
      </w:r>
      <w:r>
        <w:t xml:space="preserve">— Execute a named agent with structured input</w:t>
      </w:r>
    </w:p>
    <w:p>
      <w:pPr>
        <w:numPr>
          <w:ilvl w:val="0"/>
          <w:numId w:val="1019"/>
        </w:numPr>
        <w:pStyle w:val="Compact"/>
      </w:pPr>
      <w:r>
        <w:rPr>
          <w:rStyle w:val="VerbatimChar"/>
        </w:rPr>
        <w:t xml:space="preserve">dws workflow &lt;name&gt;</w:t>
      </w:r>
      <w:r>
        <w:t xml:space="preserve"> </w:t>
      </w:r>
      <w:r>
        <w:t xml:space="preserve">— Trigger a multi-agent workflow</w:t>
      </w:r>
    </w:p>
    <w:p>
      <w:pPr>
        <w:pStyle w:val="FirstParagraph"/>
      </w:pPr>
      <w:r>
        <w:t xml:space="preserve">The CLI-first approach ensures that every feature is automatable, testable, and composable. A product that exists only as GUI is considered incomplete.</w:t>
      </w:r>
    </w:p>
    <w:p>
      <w:pPr>
        <w:pStyle w:val="BodyText"/>
      </w:pPr>
      <w:r>
        <w:rPr>
          <w:bCs/>
          <w:b/>
        </w:rPr>
        <w:t xml:space="preserve">MCP Server</w:t>
      </w:r>
      <w:r>
        <w:t xml:space="preserve"> </w:t>
      </w:r>
      <w:r>
        <w:t xml:space="preserve">The MCP endpoint (</w:t>
      </w:r>
      <w:r>
        <w:rPr>
          <w:rStyle w:val="VerbatimChar"/>
        </w:rPr>
        <w:t xml:space="preserve">/mcp</w:t>
      </w:r>
      <w:r>
        <w:t xml:space="preserve">, JSON-RPC 2.0) makes all agents auto-discoverable via</w:t>
      </w:r>
      <w:r>
        <w:t xml:space="preserve"> </w:t>
      </w:r>
      <w:r>
        <w:rPr>
          <w:rStyle w:val="VerbatimChar"/>
        </w:rPr>
        <w:t xml:space="preserve">tools/list</w:t>
      </w:r>
      <w:r>
        <w:t xml:space="preserve">. External AI systems (Claude Code, Cursor, VS Code Copilot) can connect to the MCP server and invoke any agent as a tool. This implements the Model Context Protocol specification for standardized tool integration.</w:t>
      </w:r>
    </w:p>
    <w:p>
      <w:pPr>
        <w:pStyle w:val="BodyText"/>
      </w:pPr>
      <w:r>
        <w:rPr>
          <w:bCs/>
          <w:b/>
        </w:rPr>
        <w:t xml:space="preserve">Claude Code Skills</w:t>
      </w:r>
      <w:r>
        <w:t xml:space="preserve"> </w:t>
      </w:r>
      <w:r>
        <w:t xml:space="preserve">Skills (</w:t>
      </w:r>
      <w:r>
        <w:rPr>
          <w:rStyle w:val="VerbatimChar"/>
        </w:rPr>
        <w:t xml:space="preserve">.claude/commands/*.md</w:t>
      </w:r>
      <w:r>
        <w:t xml:space="preserve">) are reusable workflow components that encapsulate agent invocations as slash commands. Six production skills are deployed: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Purpose</w:t>
            </w:r>
          </w:p>
        </w:tc>
      </w:tr>
      <w:tr>
        <w:tc>
          <w:tcPr/>
          <w:p>
            <w:pPr>
              <w:pStyle w:val="Compact"/>
              <w:jc w:val="left"/>
            </w:pPr>
            <w:r>
              <w:rPr>
                <w:rStyle w:val="VerbatimChar"/>
              </w:rPr>
              <w:t xml:space="preserve">/compliance-check</w:t>
            </w:r>
          </w:p>
        </w:tc>
        <w:tc>
          <w:tcPr/>
          <w:p>
            <w:pPr>
              <w:pStyle w:val="Compact"/>
              <w:jc w:val="left"/>
            </w:pPr>
            <w:r>
              <w:t xml:space="preserve">EU regulatory gap analysis (ETS, CBAM, CSRD)</w:t>
            </w:r>
          </w:p>
        </w:tc>
      </w:tr>
      <w:tr>
        <w:tc>
          <w:tcPr/>
          <w:p>
            <w:pPr>
              <w:pStyle w:val="Compact"/>
              <w:jc w:val="left"/>
            </w:pPr>
            <w:r>
              <w:rPr>
                <w:rStyle w:val="VerbatimChar"/>
              </w:rPr>
              <w:t xml:space="preserve">/agent-run</w:t>
            </w:r>
          </w:p>
        </w:tc>
        <w:tc>
          <w:tcPr/>
          <w:p>
            <w:pPr>
              <w:pStyle w:val="Compact"/>
              <w:jc w:val="left"/>
            </w:pPr>
            <w:r>
              <w:t xml:space="preserve">Execute any named agent with structured input</w:t>
            </w:r>
          </w:p>
        </w:tc>
      </w:tr>
      <w:tr>
        <w:tc>
          <w:tcPr/>
          <w:p>
            <w:pPr>
              <w:pStyle w:val="Compact"/>
              <w:jc w:val="left"/>
            </w:pPr>
            <w:r>
              <w:rPr>
                <w:rStyle w:val="VerbatimChar"/>
              </w:rPr>
              <w:t xml:space="preserve">/workflow</w:t>
            </w:r>
          </w:p>
        </w:tc>
        <w:tc>
          <w:tcPr/>
          <w:p>
            <w:pPr>
              <w:pStyle w:val="Compact"/>
              <w:jc w:val="left"/>
            </w:pPr>
            <w:r>
              <w:t xml:space="preserve">Trigger multi-agent workflows</w:t>
            </w:r>
          </w:p>
        </w:tc>
      </w:tr>
      <w:tr>
        <w:tc>
          <w:tcPr/>
          <w:p>
            <w:pPr>
              <w:pStyle w:val="Compact"/>
              <w:jc w:val="left"/>
            </w:pPr>
            <w:r>
              <w:rPr>
                <w:rStyle w:val="VerbatimChar"/>
              </w:rPr>
              <w:t xml:space="preserve">/discover-agents</w:t>
            </w:r>
          </w:p>
        </w:tc>
        <w:tc>
          <w:tcPr/>
          <w:p>
            <w:pPr>
              <w:pStyle w:val="Compact"/>
              <w:jc w:val="left"/>
            </w:pPr>
            <w:r>
              <w:t xml:space="preserve">Find agents by capability keyword</w:t>
            </w:r>
          </w:p>
        </w:tc>
      </w:tr>
      <w:tr>
        <w:tc>
          <w:tcPr/>
          <w:p>
            <w:pPr>
              <w:pStyle w:val="Compact"/>
              <w:jc w:val="left"/>
            </w:pPr>
            <w:r>
              <w:rPr>
                <w:rStyle w:val="VerbatimChar"/>
              </w:rPr>
              <w:t xml:space="preserve">/site-safety</w:t>
            </w:r>
          </w:p>
        </w:tc>
        <w:tc>
          <w:tcPr/>
          <w:p>
            <w:pPr>
              <w:pStyle w:val="Compact"/>
              <w:jc w:val="left"/>
            </w:pPr>
            <w:r>
              <w:t xml:space="preserve">Construction site safety assessment</w:t>
            </w:r>
          </w:p>
        </w:tc>
      </w:tr>
      <w:tr>
        <w:tc>
          <w:tcPr/>
          <w:p>
            <w:pPr>
              <w:pStyle w:val="Compact"/>
              <w:jc w:val="left"/>
            </w:pPr>
            <w:r>
              <w:rPr>
                <w:rStyle w:val="VerbatimChar"/>
              </w:rPr>
              <w:t xml:space="preserve">/carbon-analysis</w:t>
            </w:r>
          </w:p>
        </w:tc>
        <w:tc>
          <w:tcPr/>
          <w:p>
            <w:pPr>
              <w:pStyle w:val="Compact"/>
              <w:jc w:val="left"/>
            </w:pPr>
            <w:r>
              <w:t xml:space="preserve">Embodied carbon footprint calculation</w:t>
            </w:r>
          </w:p>
        </w:tc>
      </w:tr>
    </w:tbl>
    <w:p>
      <w:pPr>
        <w:pStyle w:val="BodyText"/>
      </w:pPr>
      <w:r>
        <w:t xml:space="preserve">Each skill is a callable, testable component that combines prompt engineering with tool orchestration. The skill pattern ensures that agent capabilities are accessible without requiring users to understand the underlying MCP protocol or CLI syntax.</w:t>
      </w:r>
    </w:p>
    <w:p>
      <w:pPr>
        <w:pStyle w:val="BodyText"/>
      </w:pPr>
      <w:r>
        <w:rPr>
          <w:bCs/>
          <w:b/>
        </w:rPr>
        <w:t xml:space="preserve">Three-Interface Rule:</w:t>
      </w:r>
      <w:r>
        <w:t xml:space="preserve"> </w:t>
      </w:r>
      <w:r>
        <w:t xml:space="preserve">Every new agent must ship with all three interfaces (CLI command, MCP tool, Claude Code Skill). This guarantees that agents are usable by humans (CLI), other AI systems (MCP), and within development workflows (Skills).</w:t>
      </w:r>
    </w:p>
    <w:bookmarkEnd w:id="43"/>
    <w:bookmarkEnd w:id="44"/>
    <w:bookmarkStart w:id="45" w:name="X1ceae78b04d973514b920a9238ba17cf3664007"/>
    <w:p>
      <w:pPr>
        <w:pStyle w:val="Heading2"/>
      </w:pPr>
      <w:r>
        <w:t xml:space="preserve">2.6 Conceptual Model: Firehorse Solution Factory</w:t>
      </w:r>
    </w:p>
    <w:p>
      <w:pPr>
        <w:pStyle w:val="FirstParagraph"/>
      </w:pPr>
      <w:r>
        <w:t xml:space="preserve">The Firehorse Solution Factory model synthesizes the aforementioned theoretical frameworks into a unified conceptual model for building climate-intelligent industrial platforms:</w:t>
      </w:r>
    </w:p>
    <w:p>
      <w:pPr>
        <w:pStyle w:val="SourceCode"/>
      </w:pPr>
      <w:r>
        <w:rPr>
          <w:rStyle w:val="VerbatimChar"/>
        </w:rPr>
        <w:t xml:space="preserve">+-------------------------------------------------------------------+</w:t>
      </w:r>
      <w:r>
        <w:br/>
      </w:r>
      <w:r>
        <w:rPr>
          <w:rStyle w:val="VerbatimChar"/>
        </w:rPr>
        <w:t xml:space="preserve">|                    FIREHORSE SOLUTION FACTORY                       |</w:t>
      </w:r>
      <w:r>
        <w:br/>
      </w:r>
      <w:r>
        <w:rPr>
          <w:rStyle w:val="VerbatimChar"/>
        </w:rPr>
        <w:t xml:space="preserve">|           Conceptual Model for Industrial AI Platforms              |</w:t>
      </w:r>
      <w:r>
        <w:br/>
      </w:r>
      <w:r>
        <w:rPr>
          <w:rStyle w:val="VerbatimChar"/>
        </w:rPr>
        <w:t xml:space="preserve">+-------------------------------------------------------------------+</w:t>
      </w:r>
      <w:r>
        <w:br/>
      </w:r>
      <w:r>
        <w:rPr>
          <w:rStyle w:val="VerbatimChar"/>
        </w:rPr>
        <w:t xml:space="preserve">|                                                                     |</w:t>
      </w:r>
      <w:r>
        <w:br/>
      </w:r>
      <w:r>
        <w:rPr>
          <w:rStyle w:val="VerbatimChar"/>
        </w:rPr>
        <w:t xml:space="preserve">|  STRATEGIC LAYER (Business Model)                                   |</w:t>
      </w:r>
      <w:r>
        <w:br/>
      </w:r>
      <w:r>
        <w:rPr>
          <w:rStyle w:val="VerbatimChar"/>
        </w:rPr>
        <w:t xml:space="preserve">|  +- Lifetime World Model (55B) -&gt; Cross-vertical intelligence      |</w:t>
      </w:r>
      <w:r>
        <w:br/>
      </w:r>
      <w:r>
        <w:rPr>
          <w:rStyle w:val="VerbatimChar"/>
        </w:rPr>
        <w:t xml:space="preserve">|  +- 8 vertical templates -&gt; Reusable agent configurations          |</w:t>
      </w:r>
      <w:r>
        <w:br/>
      </w:r>
      <w:r>
        <w:rPr>
          <w:rStyle w:val="VerbatimChar"/>
        </w:rPr>
        <w:t xml:space="preserve">|  +- AI-assisted development (Cursor Pro + Claude Code Max, 15-week MVP) |</w:t>
      </w:r>
      <w:r>
        <w:br/>
      </w:r>
      <w:r>
        <w:rPr>
          <w:rStyle w:val="VerbatimChar"/>
        </w:rPr>
        <w:t xml:space="preserve">|  +- EU compliance moat -&gt; Fit for 55, NIS2, GDPR                  |</w:t>
      </w:r>
      <w:r>
        <w:br/>
      </w:r>
      <w:r>
        <w:rPr>
          <w:rStyle w:val="VerbatimChar"/>
        </w:rPr>
        <w:t xml:space="preserve">|                                                                     |</w:t>
      </w:r>
      <w:r>
        <w:br/>
      </w:r>
      <w:r>
        <w:rPr>
          <w:rStyle w:val="VerbatimChar"/>
        </w:rPr>
        <w:t xml:space="preserve">|  OPERATIONAL LAYER (AgentFoundry + Lifetime Scope Signals)          |</w:t>
      </w:r>
      <w:r>
        <w:br/>
      </w:r>
      <w:r>
        <w:rPr>
          <w:rStyle w:val="VerbatimChar"/>
        </w:rPr>
        <w:t xml:space="preserve">|  +- Agent configurations -&gt; YAML templates per vertical            |</w:t>
      </w:r>
      <w:r>
        <w:br/>
      </w:r>
      <w:r>
        <w:rPr>
          <w:rStyle w:val="VerbatimChar"/>
        </w:rPr>
        <w:t xml:space="preserve">|  +- Lifetime Scope Signals -&gt; Coordination protocol                |</w:t>
      </w:r>
      <w:r>
        <w:br/>
      </w:r>
      <w:r>
        <w:rPr>
          <w:rStyle w:val="VerbatimChar"/>
        </w:rPr>
        <w:t xml:space="preserve">|  +- MCP Hub -&gt; Multi-agent orchestration                           |</w:t>
      </w:r>
      <w:r>
        <w:br/>
      </w:r>
      <w:r>
        <w:rPr>
          <w:rStyle w:val="VerbatimChar"/>
        </w:rPr>
        <w:t xml:space="preserve">|  +- Phased deployment -&gt; Silent -&gt; Advisor -&gt; Autonomous           |</w:t>
      </w:r>
      <w:r>
        <w:br/>
      </w:r>
      <w:r>
        <w:rPr>
          <w:rStyle w:val="VerbatimChar"/>
        </w:rPr>
        <w:t xml:space="preserve">|                                                                     |</w:t>
      </w:r>
      <w:r>
        <w:br/>
      </w:r>
      <w:r>
        <w:rPr>
          <w:rStyle w:val="VerbatimChar"/>
        </w:rPr>
        <w:t xml:space="preserve">|  EXECUTION LAYER (Brain-Memory-Body-Hands)                          |</w:t>
      </w:r>
      <w:r>
        <w:br/>
      </w:r>
      <w:r>
        <w:rPr>
          <w:rStyle w:val="VerbatimChar"/>
        </w:rPr>
        <w:t xml:space="preserve">|  +- Brain: DWS IQ 6 Platform (Groq + Claude + Gemini)              |</w:t>
      </w:r>
      <w:r>
        <w:br/>
      </w:r>
      <w:r>
        <w:rPr>
          <w:rStyle w:val="VerbatimChar"/>
        </w:rPr>
        <w:t xml:space="preserve">|  +- Memory: Lifetime World Model (climate knowledge base)          |</w:t>
      </w:r>
      <w:r>
        <w:br/>
      </w:r>
      <w:r>
        <w:rPr>
          <w:rStyle w:val="VerbatimChar"/>
        </w:rPr>
        <w:t xml:space="preserve">|  +- Body: 8 industry applications (vertical-specific agents)       |</w:t>
      </w:r>
      <w:r>
        <w:br/>
      </w:r>
      <w:r>
        <w:rPr>
          <w:rStyle w:val="VerbatimChar"/>
        </w:rPr>
        <w:t xml:space="preserve">|  +- Hands: Edge AI (Jetson), Drones, Robots, IoT sensors           |</w:t>
      </w:r>
      <w:r>
        <w:br/>
      </w:r>
      <w:r>
        <w:rPr>
          <w:rStyle w:val="VerbatimChar"/>
        </w:rPr>
        <w:t xml:space="preserve">|                                                                     |</w:t>
      </w:r>
      <w:r>
        <w:br/>
      </w:r>
      <w:r>
        <w:rPr>
          <w:rStyle w:val="VerbatimChar"/>
        </w:rPr>
        <w:t xml:space="preserve">+-------------------------------------------------------------------+</w:t>
      </w:r>
    </w:p>
    <w:p>
      <w:pPr>
        <w:pStyle w:val="FirstParagraph"/>
      </w:pPr>
      <w:r>
        <w:t xml:space="preserve">This conceptual model provides a replicable framework for other industrial AI startups seeking to achieve product-market fit while keeping operational costs low through the strategic use of AI-assisted development tools, edge computing, and multi-agent coordination.</w:t>
      </w:r>
    </w:p>
    <w:p>
      <w:r>
        <w:pict>
          <v:rect style="width:0;height:1.5pt" o:hralign="center" o:hrstd="t" o:hr="t"/>
        </w:pict>
      </w:r>
    </w:p>
    <w:bookmarkEnd w:id="45"/>
    <w:bookmarkEnd w:id="46"/>
    <w:bookmarkStart w:id="55" w:name="current-state-analysis"/>
    <w:p>
      <w:pPr>
        <w:pStyle w:val="Heading1"/>
      </w:pPr>
      <w:r>
        <w:t xml:space="preserve">3. Current State Analysis</w:t>
      </w:r>
    </w:p>
    <w:bookmarkStart w:id="51" w:name="european-industrial-ai-landscape"/>
    <w:p>
      <w:pPr>
        <w:pStyle w:val="Heading2"/>
      </w:pPr>
      <w:r>
        <w:t xml:space="preserve">3.1 European Industrial AI Landscape</w:t>
      </w:r>
    </w:p>
    <w:p>
      <w:pPr>
        <w:pStyle w:val="FirstParagraph"/>
      </w:pPr>
      <w:r>
        <w:t xml:space="preserve">European industry faces unprecedented regulatory pressure through the EU’s Fit for 55 package. This creates forced demand for climate compliance solutions across 20 industries.</w:t>
      </w:r>
    </w:p>
    <w:bookmarkStart w:id="47" w:name="the-16-sectors-affected-by-fit-for-55"/>
    <w:p>
      <w:pPr>
        <w:pStyle w:val="Heading3"/>
      </w:pPr>
      <w:r>
        <w:t xml:space="preserve">3.1.1 The 16 Sectors Affected by Fit for 55</w:t>
      </w:r>
    </w:p>
    <w:p>
      <w:pPr>
        <w:pStyle w:val="FirstParagraph"/>
      </w:pPr>
      <w:r>
        <w:t xml:space="preserve">The EU’s Fit for 55 package mandates 55% net emissions reduction by 2030. This creates an unprecedented compliance burden on 20 industries — requiring real-time carbon tracking, automated reporting, supply chain transparency, and continuous regulatory compliance.</w:t>
      </w:r>
    </w:p>
    <w:p>
      <w:pPr>
        <w:pStyle w:val="BodyText"/>
      </w:pPr>
      <w:r>
        <w:rPr>
          <w:bCs/>
          <w:b/>
        </w:rPr>
        <w:t xml:space="preserve">Tier 1: Critical Emission Industries (ETS + CBAM Direct Impact)</w:t>
      </w:r>
    </w:p>
    <w:p>
      <w:pPr>
        <w:pStyle w:val="BodyText"/>
      </w:pPr>
      <w:r>
        <w:t xml:space="preserve">These 8 industries face the greatest regulatory pressure: direct ETS coverage, CBAM border carbon levy, and mandatory carbon pricing.</w:t>
      </w:r>
    </w:p>
    <w:tbl>
      <w:tblPr>
        <w:tblStyle w:val="Table"/>
        <w:tblW w:type="pct" w:w="5000"/>
        <w:tblLook w:firstRow="1" w:lastRow="0" w:firstColumn="0" w:lastColumn="0" w:noHBand="0" w:noVBand="0" w:val="0020"/>
        <w:jc w:val="start"/>
      </w:tblPr>
      <w:tblGrid>
        <w:gridCol w:w="225"/>
        <w:gridCol w:w="1485"/>
        <w:gridCol w:w="810"/>
        <w:gridCol w:w="2160"/>
        <w:gridCol w:w="3240"/>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1</w:t>
            </w:r>
          </w:p>
        </w:tc>
        <w:tc>
          <w:tcPr/>
          <w:p>
            <w:pPr>
              <w:pStyle w:val="Compact"/>
              <w:jc w:val="left"/>
            </w:pPr>
            <w:r>
              <w:rPr>
                <w:bCs/>
                <w:b/>
              </w:rPr>
              <w:t xml:space="preserve">Electricity &amp; Heat Generation</w:t>
            </w:r>
          </w:p>
        </w:tc>
        <w:tc>
          <w:tcPr/>
          <w:p>
            <w:pPr>
              <w:pStyle w:val="Compact"/>
              <w:jc w:val="left"/>
            </w:pPr>
            <w:r>
              <w:t xml:space="preserve">25-30%</w:t>
            </w:r>
          </w:p>
        </w:tc>
        <w:tc>
          <w:tcPr/>
          <w:p>
            <w:pPr>
              <w:pStyle w:val="Compact"/>
              <w:jc w:val="left"/>
            </w:pPr>
            <w:r>
              <w:t xml:space="preserve">ETS (cap tightening), Renewable Energy Directive</w:t>
            </w:r>
          </w:p>
        </w:tc>
        <w:tc>
          <w:tcPr/>
          <w:p>
            <w:pPr>
              <w:pStyle w:val="Compact"/>
              <w:jc w:val="left"/>
            </w:pPr>
            <w:r>
              <w:t xml:space="preserve">Real-time emissions monitoring, renewables certification tracking</w:t>
            </w:r>
          </w:p>
        </w:tc>
      </w:tr>
      <w:tr>
        <w:tc>
          <w:tcPr/>
          <w:p>
            <w:pPr>
              <w:pStyle w:val="Compact"/>
              <w:jc w:val="left"/>
            </w:pPr>
            <w:r>
              <w:rPr>
                <w:bCs/>
                <w:b/>
              </w:rPr>
              <w:t xml:space="preserve">2</w:t>
            </w:r>
          </w:p>
        </w:tc>
        <w:tc>
          <w:tcPr/>
          <w:p>
            <w:pPr>
              <w:pStyle w:val="Compact"/>
              <w:jc w:val="left"/>
            </w:pPr>
            <w:r>
              <w:rPr>
                <w:bCs/>
                <w:b/>
              </w:rPr>
              <w:t xml:space="preserve">Iron &amp; Steel</w:t>
            </w:r>
          </w:p>
        </w:tc>
        <w:tc>
          <w:tcPr/>
          <w:p>
            <w:pPr>
              <w:pStyle w:val="Compact"/>
              <w:jc w:val="left"/>
            </w:pPr>
            <w:r>
              <w:t xml:space="preserve">High</w:t>
            </w:r>
          </w:p>
        </w:tc>
        <w:tc>
          <w:tcPr/>
          <w:p>
            <w:pPr>
              <w:pStyle w:val="Compact"/>
              <w:jc w:val="left"/>
            </w:pPr>
            <w:r>
              <w:t xml:space="preserve">ETS, CBAM (2026), ESR</w:t>
            </w:r>
          </w:p>
        </w:tc>
        <w:tc>
          <w:tcPr/>
          <w:p>
            <w:pPr>
              <w:pStyle w:val="Compact"/>
              <w:jc w:val="left"/>
            </w:pPr>
            <w:r>
              <w:t xml:space="preserve">Supply chain carbon tracking, CBAM import reporting</w:t>
            </w:r>
          </w:p>
        </w:tc>
      </w:tr>
      <w:tr>
        <w:tc>
          <w:tcPr/>
          <w:p>
            <w:pPr>
              <w:pStyle w:val="Compact"/>
              <w:jc w:val="left"/>
            </w:pPr>
            <w:r>
              <w:rPr>
                <w:bCs/>
                <w:b/>
              </w:rPr>
              <w:t xml:space="preserve">3</w:t>
            </w:r>
          </w:p>
        </w:tc>
        <w:tc>
          <w:tcPr/>
          <w:p>
            <w:pPr>
              <w:pStyle w:val="Compact"/>
              <w:jc w:val="left"/>
            </w:pPr>
            <w:r>
              <w:rPr>
                <w:bCs/>
                <w:b/>
              </w:rPr>
              <w:t xml:space="preserve">Cement &amp; Lime</w:t>
            </w:r>
          </w:p>
        </w:tc>
        <w:tc>
          <w:tcPr/>
          <w:p>
            <w:pPr>
              <w:pStyle w:val="Compact"/>
              <w:jc w:val="left"/>
            </w:pPr>
            <w:r>
              <w:t xml:space="preserve">Very high</w:t>
            </w:r>
          </w:p>
        </w:tc>
        <w:tc>
          <w:tcPr/>
          <w:p>
            <w:pPr>
              <w:pStyle w:val="Compact"/>
              <w:jc w:val="left"/>
            </w:pPr>
            <w:r>
              <w:t xml:space="preserve">ETS, CBAM, EPBD (embodied carbon)</w:t>
            </w:r>
          </w:p>
        </w:tc>
        <w:tc>
          <w:tcPr/>
          <w:p>
            <w:pPr>
              <w:pStyle w:val="Compact"/>
              <w:jc w:val="left"/>
            </w:pPr>
            <w:r>
              <w:t xml:space="preserve">EN 15978 calculations, material carbon passports</w:t>
            </w:r>
          </w:p>
        </w:tc>
      </w:tr>
      <w:tr>
        <w:tc>
          <w:tcPr/>
          <w:p>
            <w:pPr>
              <w:pStyle w:val="Compact"/>
              <w:jc w:val="left"/>
            </w:pPr>
            <w:r>
              <w:rPr>
                <w:bCs/>
                <w:b/>
              </w:rPr>
              <w:t xml:space="preserve">4</w:t>
            </w:r>
          </w:p>
        </w:tc>
        <w:tc>
          <w:tcPr/>
          <w:p>
            <w:pPr>
              <w:pStyle w:val="Compact"/>
              <w:jc w:val="left"/>
            </w:pPr>
            <w:r>
              <w:rPr>
                <w:bCs/>
                <w:b/>
              </w:rPr>
              <w:t xml:space="preserve">Chemicals &amp; Petrochemicals</w:t>
            </w:r>
          </w:p>
        </w:tc>
        <w:tc>
          <w:tcPr/>
          <w:p>
            <w:pPr>
              <w:pStyle w:val="Compact"/>
              <w:jc w:val="left"/>
            </w:pPr>
            <w:r>
              <w:t xml:space="preserve">High</w:t>
            </w:r>
          </w:p>
        </w:tc>
        <w:tc>
          <w:tcPr/>
          <w:p>
            <w:pPr>
              <w:pStyle w:val="Compact"/>
              <w:jc w:val="left"/>
            </w:pPr>
            <w:r>
              <w:t xml:space="preserve">ETS, CBAM (fertilizers), H2 mandates</w:t>
            </w:r>
          </w:p>
        </w:tc>
        <w:tc>
          <w:tcPr/>
          <w:p>
            <w:pPr>
              <w:pStyle w:val="Compact"/>
              <w:jc w:val="left"/>
            </w:pPr>
            <w:r>
              <w:t xml:space="preserve">Process emissions monitoring, hydrogen transition roadmaps</w:t>
            </w:r>
          </w:p>
        </w:tc>
      </w:tr>
      <w:tr>
        <w:tc>
          <w:tcPr/>
          <w:p>
            <w:pPr>
              <w:pStyle w:val="Compact"/>
              <w:jc w:val="left"/>
            </w:pPr>
            <w:r>
              <w:rPr>
                <w:bCs/>
                <w:b/>
              </w:rPr>
              <w:t xml:space="preserve">5</w:t>
            </w:r>
          </w:p>
        </w:tc>
        <w:tc>
          <w:tcPr/>
          <w:p>
            <w:pPr>
              <w:pStyle w:val="Compact"/>
              <w:jc w:val="left"/>
            </w:pPr>
            <w:r>
              <w:rPr>
                <w:bCs/>
                <w:b/>
              </w:rPr>
              <w:t xml:space="preserve">Aviation</w:t>
            </w:r>
          </w:p>
        </w:tc>
        <w:tc>
          <w:tcPr/>
          <w:p>
            <w:pPr>
              <w:pStyle w:val="Compact"/>
              <w:jc w:val="left"/>
            </w:pPr>
            <w:r>
              <w:t xml:space="preserve">2-3% (growing)</w:t>
            </w:r>
          </w:p>
        </w:tc>
        <w:tc>
          <w:tcPr/>
          <w:p>
            <w:pPr>
              <w:pStyle w:val="Compact"/>
              <w:jc w:val="left"/>
            </w:pPr>
            <w:r>
              <w:t xml:space="preserve">ETS, ReFuelEU (SAF mandates)</w:t>
            </w:r>
          </w:p>
        </w:tc>
        <w:tc>
          <w:tcPr/>
          <w:p>
            <w:pPr>
              <w:pStyle w:val="Compact"/>
              <w:jc w:val="left"/>
            </w:pPr>
            <w:r>
              <w:t xml:space="preserve">SAF compliance, offset verification</w:t>
            </w:r>
          </w:p>
        </w:tc>
      </w:tr>
      <w:tr>
        <w:tc>
          <w:tcPr/>
          <w:p>
            <w:pPr>
              <w:pStyle w:val="Compact"/>
              <w:jc w:val="left"/>
            </w:pPr>
            <w:r>
              <w:rPr>
                <w:bCs/>
                <w:b/>
              </w:rPr>
              <w:t xml:space="preserve">6</w:t>
            </w:r>
          </w:p>
        </w:tc>
        <w:tc>
          <w:tcPr/>
          <w:p>
            <w:pPr>
              <w:pStyle w:val="Compact"/>
              <w:jc w:val="left"/>
            </w:pPr>
            <w:r>
              <w:rPr>
                <w:bCs/>
                <w:b/>
              </w:rPr>
              <w:t xml:space="preserve">Maritime Transport</w:t>
            </w:r>
          </w:p>
        </w:tc>
        <w:tc>
          <w:tcPr/>
          <w:p>
            <w:pPr>
              <w:pStyle w:val="Compact"/>
              <w:jc w:val="left"/>
            </w:pPr>
            <w:r>
              <w:t xml:space="preserve">Significant</w:t>
            </w:r>
          </w:p>
        </w:tc>
        <w:tc>
          <w:tcPr/>
          <w:p>
            <w:pPr>
              <w:pStyle w:val="Compact"/>
              <w:jc w:val="left"/>
            </w:pPr>
            <w:r>
              <w:t xml:space="preserve">ETS (2024), FuelEU Maritime</w:t>
            </w:r>
          </w:p>
        </w:tc>
        <w:tc>
          <w:tcPr/>
          <w:p>
            <w:pPr>
              <w:pStyle w:val="Compact"/>
              <w:jc w:val="left"/>
            </w:pPr>
            <w:r>
              <w:t xml:space="preserve">Voyage-level emissions, intensity data</w:t>
            </w:r>
          </w:p>
        </w:tc>
      </w:tr>
      <w:tr>
        <w:tc>
          <w:tcPr/>
          <w:p>
            <w:pPr>
              <w:pStyle w:val="Compact"/>
              <w:jc w:val="left"/>
            </w:pPr>
            <w:r>
              <w:rPr>
                <w:bCs/>
                <w:b/>
              </w:rPr>
              <w:t xml:space="preserve">7</w:t>
            </w:r>
          </w:p>
        </w:tc>
        <w:tc>
          <w:tcPr/>
          <w:p>
            <w:pPr>
              <w:pStyle w:val="Compact"/>
              <w:jc w:val="left"/>
            </w:pPr>
            <w:r>
              <w:rPr>
                <w:bCs/>
                <w:b/>
              </w:rPr>
              <w:t xml:space="preserve">Road Transport &amp; Logistics</w:t>
            </w:r>
          </w:p>
        </w:tc>
        <w:tc>
          <w:tcPr/>
          <w:p>
            <w:pPr>
              <w:pStyle w:val="Compact"/>
              <w:jc w:val="left"/>
            </w:pPr>
            <w:r>
              <w:t xml:space="preserve">High</w:t>
            </w:r>
          </w:p>
        </w:tc>
        <w:tc>
          <w:tcPr/>
          <w:p>
            <w:pPr>
              <w:pStyle w:val="Compact"/>
              <w:jc w:val="left"/>
            </w:pPr>
            <w:r>
              <w:t xml:space="preserve">ETS2 (2027), CO2 standards</w:t>
            </w:r>
          </w:p>
        </w:tc>
        <w:tc>
          <w:tcPr/>
          <w:p>
            <w:pPr>
              <w:pStyle w:val="Compact"/>
              <w:jc w:val="left"/>
            </w:pPr>
            <w:r>
              <w:t xml:space="preserve">Fleet emissions management, zero-emission transition planning</w:t>
            </w:r>
          </w:p>
        </w:tc>
      </w:tr>
      <w:tr>
        <w:tc>
          <w:tcPr/>
          <w:p>
            <w:pPr>
              <w:pStyle w:val="Compact"/>
              <w:jc w:val="left"/>
            </w:pPr>
            <w:r>
              <w:rPr>
                <w:bCs/>
                <w:b/>
              </w:rPr>
              <w:t xml:space="preserve">8</w:t>
            </w:r>
          </w:p>
        </w:tc>
        <w:tc>
          <w:tcPr/>
          <w:p>
            <w:pPr>
              <w:pStyle w:val="Compact"/>
              <w:jc w:val="left"/>
            </w:pPr>
            <w:r>
              <w:rPr>
                <w:bCs/>
                <w:b/>
              </w:rPr>
              <w:t xml:space="preserve">Construction &amp; Real Estate</w:t>
            </w:r>
          </w:p>
        </w:tc>
        <w:tc>
          <w:tcPr/>
          <w:p>
            <w:pPr>
              <w:pStyle w:val="Compact"/>
              <w:jc w:val="left"/>
            </w:pPr>
            <w:r>
              <w:t xml:space="preserve">36-40% lifecycle</w:t>
            </w:r>
          </w:p>
        </w:tc>
        <w:tc>
          <w:tcPr/>
          <w:p>
            <w:pPr>
              <w:pStyle w:val="Compact"/>
              <w:jc w:val="left"/>
            </w:pPr>
            <w:r>
              <w:t xml:space="preserve">ETS2, EPBD, CSRD</w:t>
            </w:r>
          </w:p>
        </w:tc>
        <w:tc>
          <w:tcPr/>
          <w:p>
            <w:pPr>
              <w:pStyle w:val="Compact"/>
              <w:jc w:val="left"/>
            </w:pPr>
            <w:r>
              <w:rPr>
                <w:bCs/>
                <w:b/>
              </w:rPr>
              <w:t xml:space="preserve">Full lifecycle carbon automation</w:t>
            </w:r>
            <w:r>
              <w:t xml:space="preserve">, BIM integration, EN 15978/EN 15804</w:t>
            </w:r>
          </w:p>
        </w:tc>
      </w:tr>
    </w:tbl>
    <w:p>
      <w:pPr>
        <w:pStyle w:val="BodyText"/>
      </w:pPr>
      <w:r>
        <w:rPr>
          <w:bCs/>
          <w:b/>
        </w:rPr>
        <w:t xml:space="preserve">Tier 2: Important Emission Industries (ESR + Indirect ETS)</w:t>
      </w:r>
    </w:p>
    <w:p>
      <w:pPr>
        <w:pStyle w:val="BodyText"/>
      </w:pPr>
      <w:r>
        <w:t xml:space="preserve">These 8 industries face diffuse regulatory pressure through national ESR targets, energy costs, supply chain rules, and indirect CBAM impacts.</w:t>
      </w:r>
    </w:p>
    <w:tbl>
      <w:tblPr>
        <w:tblStyle w:val="Table"/>
        <w:tblW w:type="pct" w:w="5000"/>
        <w:tblLook w:firstRow="1" w:lastRow="0" w:firstColumn="0" w:lastColumn="0" w:noHBand="0" w:noVBand="0" w:val="0020"/>
        <w:jc w:val="start"/>
      </w:tblPr>
      <w:tblGrid>
        <w:gridCol w:w="289"/>
        <w:gridCol w:w="1545"/>
        <w:gridCol w:w="869"/>
        <w:gridCol w:w="2173"/>
        <w:gridCol w:w="3042"/>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9</w:t>
            </w:r>
          </w:p>
        </w:tc>
        <w:tc>
          <w:tcPr/>
          <w:p>
            <w:pPr>
              <w:pStyle w:val="Compact"/>
              <w:jc w:val="left"/>
            </w:pPr>
            <w:r>
              <w:rPr>
                <w:bCs/>
                <w:b/>
              </w:rPr>
              <w:t xml:space="preserve">Agriculture &amp; Livestock</w:t>
            </w:r>
          </w:p>
        </w:tc>
        <w:tc>
          <w:tcPr/>
          <w:p>
            <w:pPr>
              <w:pStyle w:val="Compact"/>
              <w:jc w:val="left"/>
            </w:pPr>
            <w:r>
              <w:t xml:space="preserve">10-12%</w:t>
            </w:r>
          </w:p>
        </w:tc>
        <w:tc>
          <w:tcPr/>
          <w:p>
            <w:pPr>
              <w:pStyle w:val="Compact"/>
              <w:jc w:val="left"/>
            </w:pPr>
            <w:r>
              <w:t xml:space="preserve">ESR, Methane Strategy, CAP</w:t>
            </w:r>
          </w:p>
        </w:tc>
        <w:tc>
          <w:tcPr/>
          <w:p>
            <w:pPr>
              <w:pStyle w:val="Compact"/>
              <w:jc w:val="left"/>
            </w:pPr>
            <w:r>
              <w:t xml:space="preserve">Farm-level emissions monitoring, fertilizer carbon calculations</w:t>
            </w:r>
          </w:p>
        </w:tc>
      </w:tr>
      <w:tr>
        <w:tc>
          <w:tcPr/>
          <w:p>
            <w:pPr>
              <w:pStyle w:val="Compact"/>
              <w:jc w:val="left"/>
            </w:pPr>
            <w:r>
              <w:rPr>
                <w:bCs/>
                <w:b/>
              </w:rPr>
              <w:t xml:space="preserve">10</w:t>
            </w:r>
          </w:p>
        </w:tc>
        <w:tc>
          <w:tcPr/>
          <w:p>
            <w:pPr>
              <w:pStyle w:val="Compact"/>
              <w:jc w:val="left"/>
            </w:pPr>
            <w:r>
              <w:rPr>
                <w:bCs/>
                <w:b/>
              </w:rPr>
              <w:t xml:space="preserve">Waste Management &amp; Recycling</w:t>
            </w:r>
          </w:p>
        </w:tc>
        <w:tc>
          <w:tcPr/>
          <w:p>
            <w:pPr>
              <w:pStyle w:val="Compact"/>
              <w:jc w:val="left"/>
            </w:pPr>
            <w:r>
              <w:t xml:space="preserve">3-4%</w:t>
            </w:r>
          </w:p>
        </w:tc>
        <w:tc>
          <w:tcPr/>
          <w:p>
            <w:pPr>
              <w:pStyle w:val="Compact"/>
              <w:jc w:val="left"/>
            </w:pPr>
            <w:r>
              <w:t xml:space="preserve">Waste Framework Directive, Landfill Directive</w:t>
            </w:r>
          </w:p>
        </w:tc>
        <w:tc>
          <w:tcPr/>
          <w:p>
            <w:pPr>
              <w:pStyle w:val="Compact"/>
              <w:jc w:val="left"/>
            </w:pPr>
            <w:r>
              <w:t xml:space="preserve">Methane capture monitoring, circular economy metrics</w:t>
            </w:r>
          </w:p>
        </w:tc>
      </w:tr>
      <w:tr>
        <w:tc>
          <w:tcPr/>
          <w:p>
            <w:pPr>
              <w:pStyle w:val="Compact"/>
              <w:jc w:val="left"/>
            </w:pPr>
            <w:r>
              <w:rPr>
                <w:bCs/>
                <w:b/>
              </w:rPr>
              <w:t xml:space="preserve">11</w:t>
            </w:r>
          </w:p>
        </w:tc>
        <w:tc>
          <w:tcPr/>
          <w:p>
            <w:pPr>
              <w:pStyle w:val="Compact"/>
              <w:jc w:val="left"/>
            </w:pPr>
            <w:r>
              <w:rPr>
                <w:bCs/>
                <w:b/>
              </w:rPr>
              <w:t xml:space="preserve">Aluminium</w:t>
            </w:r>
          </w:p>
        </w:tc>
        <w:tc>
          <w:tcPr/>
          <w:p>
            <w:pPr>
              <w:pStyle w:val="Compact"/>
              <w:jc w:val="left"/>
            </w:pPr>
            <w:r>
              <w:t xml:space="preserve">High (energy)</w:t>
            </w:r>
          </w:p>
        </w:tc>
        <w:tc>
          <w:tcPr/>
          <w:p>
            <w:pPr>
              <w:pStyle w:val="Compact"/>
              <w:jc w:val="left"/>
            </w:pPr>
            <w:r>
              <w:t xml:space="preserve">ETS, CBAM (2026)</w:t>
            </w:r>
          </w:p>
        </w:tc>
        <w:tc>
          <w:tcPr/>
          <w:p>
            <w:pPr>
              <w:pStyle w:val="Compact"/>
              <w:jc w:val="left"/>
            </w:pPr>
            <w:r>
              <w:t xml:space="preserve">Energy source tracking, renewable electricity certificates</w:t>
            </w:r>
          </w:p>
        </w:tc>
      </w:tr>
      <w:tr>
        <w:tc>
          <w:tcPr/>
          <w:p>
            <w:pPr>
              <w:pStyle w:val="Compact"/>
              <w:jc w:val="left"/>
            </w:pPr>
            <w:r>
              <w:rPr>
                <w:bCs/>
                <w:b/>
              </w:rPr>
              <w:t xml:space="preserve">12</w:t>
            </w:r>
          </w:p>
        </w:tc>
        <w:tc>
          <w:tcPr/>
          <w:p>
            <w:pPr>
              <w:pStyle w:val="Compact"/>
              <w:jc w:val="left"/>
            </w:pPr>
            <w:r>
              <w:rPr>
                <w:bCs/>
                <w:b/>
              </w:rPr>
              <w:t xml:space="preserve">Pulp, Paper &amp; Printing</w:t>
            </w:r>
          </w:p>
        </w:tc>
        <w:tc>
          <w:tcPr/>
          <w:p>
            <w:pPr>
              <w:pStyle w:val="Compact"/>
              <w:jc w:val="left"/>
            </w:pPr>
            <w:r>
              <w:t xml:space="preserve">Medium</w:t>
            </w:r>
          </w:p>
        </w:tc>
        <w:tc>
          <w:tcPr/>
          <w:p>
            <w:pPr>
              <w:pStyle w:val="Compact"/>
              <w:jc w:val="left"/>
            </w:pPr>
            <w:r>
              <w:t xml:space="preserve">ETS, LULUCF</w:t>
            </w:r>
          </w:p>
        </w:tc>
        <w:tc>
          <w:tcPr/>
          <w:p>
            <w:pPr>
              <w:pStyle w:val="Compact"/>
              <w:jc w:val="left"/>
            </w:pPr>
            <w:r>
              <w:t xml:space="preserve">Forest carbon calculations, supply chain transparency</w:t>
            </w:r>
          </w:p>
        </w:tc>
      </w:tr>
      <w:tr>
        <w:tc>
          <w:tcPr/>
          <w:p>
            <w:pPr>
              <w:pStyle w:val="Compact"/>
              <w:jc w:val="left"/>
            </w:pPr>
            <w:r>
              <w:rPr>
                <w:bCs/>
                <w:b/>
              </w:rPr>
              <w:t xml:space="preserve">13</w:t>
            </w:r>
          </w:p>
        </w:tc>
        <w:tc>
          <w:tcPr/>
          <w:p>
            <w:pPr>
              <w:pStyle w:val="Compact"/>
              <w:jc w:val="left"/>
            </w:pPr>
            <w:r>
              <w:rPr>
                <w:bCs/>
                <w:b/>
              </w:rPr>
              <w:t xml:space="preserve">Oil Refining</w:t>
            </w:r>
          </w:p>
        </w:tc>
        <w:tc>
          <w:tcPr/>
          <w:p>
            <w:pPr>
              <w:pStyle w:val="Compact"/>
              <w:jc w:val="left"/>
            </w:pPr>
            <w:r>
              <w:t xml:space="preserve">High</w:t>
            </w:r>
          </w:p>
        </w:tc>
        <w:tc>
          <w:tcPr/>
          <w:p>
            <w:pPr>
              <w:pStyle w:val="Compact"/>
              <w:jc w:val="left"/>
            </w:pPr>
            <w:r>
              <w:t xml:space="preserve">ETS, ReFuelEU</w:t>
            </w:r>
          </w:p>
        </w:tc>
        <w:tc>
          <w:tcPr/>
          <w:p>
            <w:pPr>
              <w:pStyle w:val="Compact"/>
              <w:jc w:val="left"/>
            </w:pPr>
            <w:r>
              <w:t xml:space="preserve">Phase-down planning, SAF production monitoring</w:t>
            </w:r>
          </w:p>
        </w:tc>
      </w:tr>
      <w:tr>
        <w:tc>
          <w:tcPr/>
          <w:p>
            <w:pPr>
              <w:pStyle w:val="Compact"/>
              <w:jc w:val="left"/>
            </w:pPr>
            <w:r>
              <w:rPr>
                <w:bCs/>
                <w:b/>
              </w:rPr>
              <w:t xml:space="preserve">14</w:t>
            </w:r>
          </w:p>
        </w:tc>
        <w:tc>
          <w:tcPr/>
          <w:p>
            <w:pPr>
              <w:pStyle w:val="Compact"/>
              <w:jc w:val="left"/>
            </w:pPr>
            <w:r>
              <w:rPr>
                <w:bCs/>
                <w:b/>
              </w:rPr>
              <w:t xml:space="preserve">Food &amp; Beverage</w:t>
            </w:r>
          </w:p>
        </w:tc>
        <w:tc>
          <w:tcPr/>
          <w:p>
            <w:pPr>
              <w:pStyle w:val="Compact"/>
              <w:jc w:val="left"/>
            </w:pPr>
            <w:r>
              <w:t xml:space="preserve">Medium</w:t>
            </w:r>
          </w:p>
        </w:tc>
        <w:tc>
          <w:tcPr/>
          <w:p>
            <w:pPr>
              <w:pStyle w:val="Compact"/>
              <w:jc w:val="left"/>
            </w:pPr>
            <w:r>
              <w:t xml:space="preserve">ESR, Energy Efficiency Directive</w:t>
            </w:r>
          </w:p>
        </w:tc>
        <w:tc>
          <w:tcPr/>
          <w:p>
            <w:pPr>
              <w:pStyle w:val="Compact"/>
              <w:jc w:val="left"/>
            </w:pPr>
            <w:r>
              <w:t xml:space="preserve">Agriculture supply chain carbon, energy optimization</w:t>
            </w:r>
          </w:p>
        </w:tc>
      </w:tr>
      <w:tr>
        <w:tc>
          <w:tcPr/>
          <w:p>
            <w:pPr>
              <w:pStyle w:val="Compact"/>
              <w:jc w:val="left"/>
            </w:pPr>
            <w:r>
              <w:rPr>
                <w:bCs/>
                <w:b/>
              </w:rPr>
              <w:t xml:space="preserve">15</w:t>
            </w:r>
          </w:p>
        </w:tc>
        <w:tc>
          <w:tcPr/>
          <w:p>
            <w:pPr>
              <w:pStyle w:val="Compact"/>
              <w:jc w:val="left"/>
            </w:pPr>
            <w:r>
              <w:rPr>
                <w:bCs/>
                <w:b/>
              </w:rPr>
              <w:t xml:space="preserve">Glass &amp; Ceramics</w:t>
            </w:r>
          </w:p>
        </w:tc>
        <w:tc>
          <w:tcPr/>
          <w:p>
            <w:pPr>
              <w:pStyle w:val="Compact"/>
              <w:jc w:val="left"/>
            </w:pPr>
            <w:r>
              <w:t xml:space="preserve">Medium</w:t>
            </w:r>
          </w:p>
        </w:tc>
        <w:tc>
          <w:tcPr/>
          <w:p>
            <w:pPr>
              <w:pStyle w:val="Compact"/>
              <w:jc w:val="left"/>
            </w:pPr>
            <w:r>
              <w:t xml:space="preserve">ETS, CBAM (indirect)</w:t>
            </w:r>
          </w:p>
        </w:tc>
        <w:tc>
          <w:tcPr/>
          <w:p>
            <w:pPr>
              <w:pStyle w:val="Compact"/>
              <w:jc w:val="left"/>
            </w:pPr>
            <w:r>
              <w:t xml:space="preserve">Process emissions, material carbon tracking</w:t>
            </w:r>
          </w:p>
        </w:tc>
      </w:tr>
      <w:tr>
        <w:tc>
          <w:tcPr/>
          <w:p>
            <w:pPr>
              <w:pStyle w:val="Compact"/>
              <w:jc w:val="left"/>
            </w:pPr>
            <w:r>
              <w:rPr>
                <w:bCs/>
                <w:b/>
              </w:rPr>
              <w:t xml:space="preserve">16</w:t>
            </w:r>
          </w:p>
        </w:tc>
        <w:tc>
          <w:tcPr/>
          <w:p>
            <w:pPr>
              <w:pStyle w:val="Compact"/>
              <w:jc w:val="left"/>
            </w:pPr>
            <w:r>
              <w:rPr>
                <w:bCs/>
                <w:b/>
              </w:rPr>
              <w:t xml:space="preserve">Mining &amp; Quarrying</w:t>
            </w:r>
          </w:p>
        </w:tc>
        <w:tc>
          <w:tcPr/>
          <w:p>
            <w:pPr>
              <w:pStyle w:val="Compact"/>
              <w:jc w:val="left"/>
            </w:pPr>
            <w:r>
              <w:t xml:space="preserve">Medium</w:t>
            </w:r>
          </w:p>
        </w:tc>
        <w:tc>
          <w:tcPr/>
          <w:p>
            <w:pPr>
              <w:pStyle w:val="Compact"/>
              <w:jc w:val="left"/>
            </w:pPr>
            <w:r>
              <w:t xml:space="preserve">ETS (indirect), Critical Raw Materials</w:t>
            </w:r>
          </w:p>
        </w:tc>
        <w:tc>
          <w:tcPr/>
          <w:p>
            <w:pPr>
              <w:pStyle w:val="Compact"/>
              <w:jc w:val="left"/>
            </w:pPr>
            <w:r>
              <w:t xml:space="preserve">Extraction emissions, CRM supply chain compliance</w:t>
            </w:r>
          </w:p>
        </w:tc>
      </w:tr>
    </w:tbl>
    <w:bookmarkEnd w:id="47"/>
    <w:bookmarkStart w:id="48" w:name="regulatory-timeline"/>
    <w:p>
      <w:pPr>
        <w:pStyle w:val="Heading3"/>
      </w:pPr>
      <w:r>
        <w:t xml:space="preserve">3.1.2 Regulatory Timeline</w:t>
      </w:r>
    </w:p>
    <w:p>
      <w:pPr>
        <w:pStyle w:val="SourceCode"/>
      </w:pPr>
      <w:r>
        <w:rPr>
          <w:rStyle w:val="VerbatimChar"/>
        </w:rPr>
        <w:t xml:space="preserve">2024 ----------------------------------------------------------------</w:t>
      </w:r>
      <w:r>
        <w:br/>
      </w:r>
      <w:r>
        <w:rPr>
          <w:rStyle w:val="VerbatimChar"/>
        </w:rPr>
        <w:t xml:space="preserve">      | Maritime in ETS</w:t>
      </w:r>
      <w:r>
        <w:br/>
      </w:r>
      <w:r>
        <w:rPr>
          <w:rStyle w:val="VerbatimChar"/>
        </w:rPr>
        <w:t xml:space="preserve">      | CBAM transitional phase active</w:t>
      </w:r>
      <w:r>
        <w:br/>
      </w:r>
      <w:r>
        <w:rPr>
          <w:rStyle w:val="VerbatimChar"/>
        </w:rPr>
        <w:t xml:space="preserve">      | CSRD reporting begins (large companies)</w:t>
      </w:r>
      <w:r>
        <w:br/>
      </w:r>
      <w:r>
        <w:rPr>
          <w:rStyle w:val="VerbatimChar"/>
        </w:rPr>
        <w:t xml:space="preserve">      |</w:t>
      </w:r>
      <w:r>
        <w:br/>
      </w:r>
      <w:r>
        <w:rPr>
          <w:rStyle w:val="VerbatimChar"/>
        </w:rPr>
        <w:t xml:space="preserve">2025 ----------------------------------------------------------------</w:t>
      </w:r>
      <w:r>
        <w:br/>
      </w:r>
      <w:r>
        <w:rPr>
          <w:rStyle w:val="VerbatimChar"/>
        </w:rPr>
        <w:t xml:space="preserve">      | Omnibus simplifications (administrative relief)</w:t>
      </w:r>
      <w:r>
        <w:br/>
      </w:r>
      <w:r>
        <w:rPr>
          <w:rStyle w:val="VerbatimChar"/>
        </w:rPr>
        <w:t xml:space="preserve">      | EU AI Act enforcement begins</w:t>
      </w:r>
      <w:r>
        <w:br/>
      </w:r>
      <w:r>
        <w:rPr>
          <w:rStyle w:val="VerbatimChar"/>
        </w:rPr>
        <w:t xml:space="preserve">      | NIS2 compliance deadline</w:t>
      </w:r>
      <w:r>
        <w:br/>
      </w:r>
      <w:r>
        <w:rPr>
          <w:rStyle w:val="VerbatimChar"/>
        </w:rPr>
        <w:t xml:space="preserve">      |</w:t>
      </w:r>
      <w:r>
        <w:br/>
      </w:r>
      <w:r>
        <w:rPr>
          <w:rStyle w:val="VerbatimChar"/>
        </w:rPr>
        <w:t xml:space="preserve">2026 ----------------------------------------------------------------</w:t>
      </w:r>
      <w:r>
        <w:br/>
      </w:r>
      <w:r>
        <w:rPr>
          <w:rStyle w:val="VerbatimChar"/>
        </w:rPr>
        <w:t xml:space="preserve">      | CBAM full enforcement (border carbon levy)</w:t>
      </w:r>
      <w:r>
        <w:br/>
      </w:r>
      <w:r>
        <w:rPr>
          <w:rStyle w:val="VerbatimChar"/>
        </w:rPr>
        <w:t xml:space="preserve">      | CSRD expands to more companies</w:t>
      </w:r>
      <w:r>
        <w:br/>
      </w:r>
      <w:r>
        <w:rPr>
          <w:rStyle w:val="VerbatimChar"/>
        </w:rPr>
        <w:t xml:space="preserve">      | Free ETS allowances decrease faster</w:t>
      </w:r>
      <w:r>
        <w:br/>
      </w:r>
      <w:r>
        <w:rPr>
          <w:rStyle w:val="VerbatimChar"/>
        </w:rPr>
        <w:t xml:space="preserve">      |</w:t>
      </w:r>
      <w:r>
        <w:br/>
      </w:r>
      <w:r>
        <w:rPr>
          <w:rStyle w:val="VerbatimChar"/>
        </w:rPr>
        <w:t xml:space="preserve">2027 ----------------------------------------------------------------</w:t>
      </w:r>
      <w:r>
        <w:br/>
      </w:r>
      <w:r>
        <w:rPr>
          <w:rStyle w:val="VerbatimChar"/>
        </w:rPr>
        <w:t xml:space="preserve">      | ETS2 for road transport and buildings</w:t>
      </w:r>
      <w:r>
        <w:br/>
      </w:r>
      <w:r>
        <w:rPr>
          <w:rStyle w:val="VerbatimChar"/>
        </w:rPr>
        <w:t xml:space="preserve">      | Stricter vehicle CO2 standards</w:t>
      </w:r>
      <w:r>
        <w:br/>
      </w:r>
      <w:r>
        <w:rPr>
          <w:rStyle w:val="VerbatimChar"/>
        </w:rPr>
        <w:t xml:space="preserve">      |</w:t>
      </w:r>
      <w:r>
        <w:br/>
      </w:r>
      <w:r>
        <w:rPr>
          <w:rStyle w:val="VerbatimChar"/>
        </w:rPr>
        <w:t xml:space="preserve">2028 ----------------------------------------------------------------</w:t>
      </w:r>
      <w:r>
        <w:br/>
      </w:r>
      <w:r>
        <w:rPr>
          <w:rStyle w:val="VerbatimChar"/>
        </w:rPr>
        <w:t xml:space="preserve">      | EPBD embodied carbon reporting (&gt;1,000 m2)</w:t>
      </w:r>
      <w:r>
        <w:br/>
      </w:r>
      <w:r>
        <w:rPr>
          <w:rStyle w:val="VerbatimChar"/>
        </w:rPr>
        <w:t xml:space="preserve">      | Significant ETS cap tightening</w:t>
      </w:r>
      <w:r>
        <w:br/>
      </w:r>
      <w:r>
        <w:rPr>
          <w:rStyle w:val="VerbatimChar"/>
        </w:rPr>
        <w:t xml:space="preserve">      |</w:t>
      </w:r>
      <w:r>
        <w:br/>
      </w:r>
      <w:r>
        <w:rPr>
          <w:rStyle w:val="VerbatimChar"/>
        </w:rPr>
        <w:t xml:space="preserve">2030 ----------------------------------------------------------------</w:t>
      </w:r>
      <w:r>
        <w:br/>
      </w:r>
      <w:r>
        <w:rPr>
          <w:rStyle w:val="VerbatimChar"/>
        </w:rPr>
        <w:t xml:space="preserve">      | 55% emissions reduction target deadline</w:t>
      </w:r>
      <w:r>
        <w:br/>
      </w:r>
      <w:r>
        <w:rPr>
          <w:rStyle w:val="VerbatimChar"/>
        </w:rPr>
        <w:t xml:space="preserve">      | ESR national targets due</w:t>
      </w:r>
      <w:r>
        <w:br/>
      </w:r>
      <w:r>
        <w:rPr>
          <w:rStyle w:val="VerbatimChar"/>
        </w:rPr>
        <w:t xml:space="preserve">      |</w:t>
      </w:r>
      <w:r>
        <w:br/>
      </w:r>
      <w:r>
        <w:rPr>
          <w:rStyle w:val="VerbatimChar"/>
        </w:rPr>
        <w:t xml:space="preserve">2035 ----------------------------------------------------------------</w:t>
      </w:r>
      <w:r>
        <w:br/>
      </w:r>
      <w:r>
        <w:rPr>
          <w:rStyle w:val="VerbatimChar"/>
        </w:rPr>
        <w:t xml:space="preserve">      | 100% zero-emission new cars and vans</w:t>
      </w:r>
    </w:p>
    <w:bookmarkEnd w:id="48"/>
    <w:bookmarkStart w:id="50" w:name="X6eec331514f509911a7e6eab295961c4387329c"/>
    <w:p>
      <w:pPr>
        <w:pStyle w:val="Heading3"/>
      </w:pPr>
      <w:r>
        <w:t xml:space="preserve">3.1.3 The Omnibus Package:</w:t>
      </w:r>
      <w:r>
        <w:t xml:space="preserve"> </w:t>
      </w:r>
      <w:r>
        <w:t xml:space="preserve">“</w:t>
      </w:r>
      <w:r>
        <w:t xml:space="preserve">Fit for 55 Means Fit for 55</w:t>
      </w:r>
      <w:r>
        <w:t xml:space="preserve">”</w:t>
      </w:r>
    </w:p>
    <w:p>
      <w:pPr>
        <w:pStyle w:val="FirstParagraph"/>
      </w:pPr>
      <w:r>
        <w:t xml:space="preserve">The European Commission adopted the Omnibus simplification package on 26.2.2025, reducing the administrative burden on SMEs while keeping climate targets fully intact (European Commission, 2025).</w:t>
      </w:r>
    </w:p>
    <w:p>
      <w:pPr>
        <w:pStyle w:val="BodyText"/>
      </w:pPr>
      <w:r>
        <w:rPr>
          <w:bCs/>
          <w:b/>
        </w:rPr>
        <w:t xml:space="preserve">Key changes to CSRD reporting:</w:t>
      </w:r>
    </w:p>
    <w:tbl>
      <w:tblPr>
        <w:tblStyle w:val="Table"/>
        <w:tblW w:type="pct" w:w="5000"/>
        <w:tblLook w:firstRow="1" w:lastRow="0" w:firstColumn="0" w:lastColumn="0" w:noHBand="0" w:noVBand="0" w:val="0020"/>
        <w:jc w:val="start"/>
      </w:tblPr>
      <w:tblGrid>
        <w:gridCol w:w="1485"/>
        <w:gridCol w:w="1767"/>
        <w:gridCol w:w="4667"/>
      </w:tblGrid>
      <w:tr>
        <w:trPr>
          <w:tblHeader w:val="true"/>
        </w:trPr>
        <w:tc>
          <w:tcPr/>
          <w:p>
            <w:pPr>
              <w:pStyle w:val="Compact"/>
              <w:jc w:val="left"/>
            </w:pPr>
            <w:r>
              <w:t xml:space="preserve">Change</w:t>
            </w:r>
          </w:p>
        </w:tc>
        <w:tc>
          <w:tcPr/>
          <w:p>
            <w:pPr>
              <w:pStyle w:val="Compact"/>
              <w:jc w:val="left"/>
            </w:pPr>
            <w:r>
              <w:t xml:space="preserve">Before</w:t>
            </w:r>
          </w:p>
        </w:tc>
        <w:tc>
          <w:tcPr/>
          <w:p>
            <w:pPr>
              <w:pStyle w:val="Compact"/>
              <w:jc w:val="left"/>
            </w:pPr>
            <w:r>
              <w:t xml:space="preserve">After Omnibus</w:t>
            </w:r>
          </w:p>
        </w:tc>
      </w:tr>
      <w:tr>
        <w:tc>
          <w:tcPr/>
          <w:p>
            <w:pPr>
              <w:pStyle w:val="Compact"/>
              <w:jc w:val="left"/>
            </w:pPr>
            <w:r>
              <w:rPr>
                <w:bCs/>
                <w:b/>
              </w:rPr>
              <w:t xml:space="preserve">CSRD scope</w:t>
            </w:r>
          </w:p>
        </w:tc>
        <w:tc>
          <w:tcPr/>
          <w:p>
            <w:pPr>
              <w:pStyle w:val="Compact"/>
              <w:jc w:val="left"/>
            </w:pPr>
            <w:r>
              <w:t xml:space="preserve">~50,000 companies</w:t>
            </w:r>
          </w:p>
        </w:tc>
        <w:tc>
          <w:tcPr/>
          <w:p>
            <w:pPr>
              <w:pStyle w:val="Compact"/>
              <w:jc w:val="left"/>
            </w:pPr>
            <w:r>
              <w:t xml:space="preserve">fewer than ~5,000 companies (&gt;1,000 employees AND &gt;€450M turnover)</w:t>
            </w:r>
          </w:p>
        </w:tc>
      </w:tr>
      <w:tr>
        <w:tc>
          <w:tcPr/>
          <w:p>
            <w:pPr>
              <w:pStyle w:val="Compact"/>
              <w:jc w:val="left"/>
            </w:pPr>
            <w:r>
              <w:rPr>
                <w:bCs/>
                <w:b/>
              </w:rPr>
              <w:t xml:space="preserve">SME obligations</w:t>
            </w:r>
          </w:p>
        </w:tc>
        <w:tc>
          <w:tcPr/>
          <w:p>
            <w:pPr>
              <w:pStyle w:val="Compact"/>
              <w:jc w:val="left"/>
            </w:pPr>
            <w:r>
              <w:t xml:space="preserve">Mandatory</w:t>
            </w:r>
          </w:p>
        </w:tc>
        <w:tc>
          <w:tcPr/>
          <w:p>
            <w:pPr>
              <w:pStyle w:val="Compact"/>
              <w:jc w:val="left"/>
            </w:pPr>
            <w:r>
              <w:t xml:space="preserve">Voluntary standard (EFRAG SME)</w:t>
            </w:r>
          </w:p>
        </w:tc>
      </w:tr>
      <w:tr>
        <w:tc>
          <w:tcPr/>
          <w:p>
            <w:pPr>
              <w:pStyle w:val="Compact"/>
              <w:jc w:val="left"/>
            </w:pPr>
            <w:r>
              <w:rPr>
                <w:bCs/>
                <w:b/>
              </w:rPr>
              <w:t xml:space="preserve">Assurance level</w:t>
            </w:r>
          </w:p>
        </w:tc>
        <w:tc>
          <w:tcPr/>
          <w:p>
            <w:pPr>
              <w:pStyle w:val="Compact"/>
              <w:jc w:val="left"/>
            </w:pPr>
            <w:r>
              <w:t xml:space="preserve">“</w:t>
            </w:r>
            <w:r>
              <w:t xml:space="preserve">Limited</w:t>
            </w:r>
            <w:r>
              <w:t xml:space="preserve">”</w:t>
            </w:r>
            <w:r>
              <w:t xml:space="preserve"> </w:t>
            </w:r>
            <w:r>
              <w:t xml:space="preserve">-&gt;</w:t>
            </w:r>
            <w:r>
              <w:t xml:space="preserve"> </w:t>
            </w:r>
            <w:r>
              <w:t xml:space="preserve">“</w:t>
            </w:r>
            <w:r>
              <w:t xml:space="preserve">Reasonable</w:t>
            </w:r>
            <w:r>
              <w:t xml:space="preserve">”</w:t>
            </w:r>
          </w:p>
        </w:tc>
        <w:tc>
          <w:tcPr/>
          <w:p>
            <w:pPr>
              <w:pStyle w:val="Compact"/>
              <w:jc w:val="left"/>
            </w:pPr>
            <w:r>
              <w:t xml:space="preserve">Stays at</w:t>
            </w:r>
            <w:r>
              <w:t xml:space="preserve"> </w:t>
            </w:r>
            <w:r>
              <w:t xml:space="preserve">“</w:t>
            </w:r>
            <w:r>
              <w:t xml:space="preserve">Limited</w:t>
            </w:r>
            <w:r>
              <w:t xml:space="preserve">”</w:t>
            </w:r>
          </w:p>
        </w:tc>
      </w:tr>
      <w:tr>
        <w:tc>
          <w:tcPr/>
          <w:p>
            <w:pPr>
              <w:pStyle w:val="Compact"/>
              <w:jc w:val="left"/>
            </w:pPr>
            <w:r>
              <w:rPr>
                <w:bCs/>
                <w:b/>
              </w:rPr>
              <w:t xml:space="preserve">Timeline</w:t>
            </w:r>
          </w:p>
        </w:tc>
        <w:tc>
          <w:tcPr/>
          <w:p>
            <w:pPr>
              <w:pStyle w:val="Compact"/>
              <w:jc w:val="left"/>
            </w:pPr>
            <w:r>
              <w:t xml:space="preserve">2026-2027</w:t>
            </w:r>
          </w:p>
        </w:tc>
        <w:tc>
          <w:tcPr/>
          <w:p>
            <w:pPr>
              <w:pStyle w:val="Compact"/>
              <w:jc w:val="left"/>
            </w:pPr>
            <w:r>
              <w:t xml:space="preserve">+2 year postponement (</w:t>
            </w:r>
            <w:r>
              <w:t xml:space="preserve">“</w:t>
            </w:r>
            <w:r>
              <w:t xml:space="preserve">stop the clock</w:t>
            </w:r>
            <w:r>
              <w:t xml:space="preserve">”</w:t>
            </w:r>
            <w:r>
              <w:t xml:space="preserve">)</w:t>
            </w:r>
          </w:p>
        </w:tc>
      </w:tr>
      <w:tr>
        <w:tc>
          <w:tcPr/>
          <w:p>
            <w:pPr>
              <w:pStyle w:val="Compact"/>
              <w:jc w:val="left"/>
            </w:pPr>
            <w:r>
              <w:rPr>
                <w:bCs/>
                <w:b/>
              </w:rPr>
              <w:t xml:space="preserve">Estimated savings</w:t>
            </w:r>
          </w:p>
        </w:tc>
        <w:tc>
          <w:tcPr/>
          <w:p>
            <w:pPr>
              <w:pStyle w:val="Compact"/>
              <w:jc w:val="left"/>
            </w:pPr>
            <w:r>
              <w:t xml:space="preserve">-</w:t>
            </w:r>
          </w:p>
        </w:tc>
        <w:tc>
          <w:tcPr/>
          <w:p>
            <w:pPr>
              <w:pStyle w:val="Compact"/>
              <w:jc w:val="left"/>
            </w:pPr>
            <w:r>
              <w:t xml:space="preserve">EUR 4.4 billion/year</w:t>
            </w:r>
          </w:p>
        </w:tc>
      </w:tr>
    </w:tbl>
    <w:p>
      <w:pPr>
        <w:pStyle w:val="BodyText"/>
      </w:pPr>
      <w:r>
        <w:rPr>
          <w:bCs/>
          <w:b/>
        </w:rPr>
        <w:t xml:space="preserve">Critical observation: Climate targets remain unchanged</w:t>
      </w:r>
    </w:p>
    <w:p>
      <w:pPr>
        <w:pStyle w:val="BodyText"/>
      </w:pPr>
      <w:r>
        <w:t xml:space="preserve">The Omnibus package</w:t>
      </w:r>
      <w:r>
        <w:t xml:space="preserve"> </w:t>
      </w:r>
      <w:r>
        <w:rPr>
          <w:bCs/>
          <w:b/>
        </w:rPr>
        <w:t xml:space="preserve">does not change</w:t>
      </w:r>
      <w:r>
        <w:t xml:space="preserve"> </w:t>
      </w:r>
      <w:r>
        <w:t xml:space="preserve">the core Fit for 55 targets:</w:t>
      </w:r>
    </w:p>
    <w:p>
      <w:pPr>
        <w:numPr>
          <w:ilvl w:val="0"/>
          <w:numId w:val="1020"/>
        </w:numPr>
        <w:pStyle w:val="Compact"/>
      </w:pPr>
      <w:r>
        <w:rPr>
          <w:bCs/>
          <w:b/>
        </w:rPr>
        <w:t xml:space="preserve">55% emissions reduction by 2030</w:t>
      </w:r>
      <w:r>
        <w:t xml:space="preserve"> </w:t>
      </w:r>
      <w:r>
        <w:t xml:space="preserve">— remains</w:t>
      </w:r>
    </w:p>
    <w:p>
      <w:pPr>
        <w:numPr>
          <w:ilvl w:val="0"/>
          <w:numId w:val="1020"/>
        </w:numPr>
        <w:pStyle w:val="Compact"/>
      </w:pPr>
      <w:r>
        <w:rPr>
          <w:bCs/>
          <w:b/>
        </w:rPr>
        <w:t xml:space="preserve">ETS emissions cap</w:t>
      </w:r>
      <w:r>
        <w:t xml:space="preserve"> </w:t>
      </w:r>
      <w:r>
        <w:t xml:space="preserve">— continues to tighten as planned</w:t>
      </w:r>
    </w:p>
    <w:p>
      <w:pPr>
        <w:numPr>
          <w:ilvl w:val="0"/>
          <w:numId w:val="1020"/>
        </w:numPr>
        <w:pStyle w:val="Compact"/>
      </w:pPr>
      <w:r>
        <w:rPr>
          <w:bCs/>
          <w:b/>
        </w:rPr>
        <w:t xml:space="preserve">CBAM border carbon levy</w:t>
      </w:r>
      <w:r>
        <w:t xml:space="preserve"> </w:t>
      </w:r>
      <w:r>
        <w:t xml:space="preserve">— effective 2026 as planned</w:t>
      </w:r>
    </w:p>
    <w:p>
      <w:pPr>
        <w:numPr>
          <w:ilvl w:val="0"/>
          <w:numId w:val="1020"/>
        </w:numPr>
        <w:pStyle w:val="Compact"/>
      </w:pPr>
      <w:r>
        <w:rPr>
          <w:bCs/>
          <w:b/>
        </w:rPr>
        <w:t xml:space="preserve">ETS2 for road transport and buildings</w:t>
      </w:r>
      <w:r>
        <w:t xml:space="preserve"> </w:t>
      </w:r>
      <w:r>
        <w:t xml:space="preserve">— effective 2027</w:t>
      </w:r>
    </w:p>
    <w:p>
      <w:pPr>
        <w:numPr>
          <w:ilvl w:val="0"/>
          <w:numId w:val="1020"/>
        </w:numPr>
        <w:pStyle w:val="Compact"/>
      </w:pPr>
      <w:r>
        <w:rPr>
          <w:bCs/>
          <w:b/>
        </w:rPr>
        <w:t xml:space="preserve">EPBD embodied carbon reporting</w:t>
      </w:r>
      <w:r>
        <w:t xml:space="preserve"> </w:t>
      </w:r>
      <w:r>
        <w:t xml:space="preserve">— effective 2028</w:t>
      </w:r>
    </w:p>
    <w:p>
      <w:pPr>
        <w:pStyle w:val="FirstParagraph"/>
      </w:pPr>
      <w:r>
        <w:rPr>
          <w:bCs/>
          <w:b/>
        </w:rPr>
        <w:t xml:space="preserve">Impact on DWS IQ 6 business model:</w:t>
      </w:r>
    </w:p>
    <w:tbl>
      <w:tblPr>
        <w:tblStyle w:val="Table"/>
        <w:tblW w:type="pct" w:w="5000"/>
        <w:tblLook w:firstRow="1" w:lastRow="0" w:firstColumn="0" w:lastColumn="0" w:noHBand="0" w:noVBand="0" w:val="0020"/>
        <w:jc w:val="start"/>
      </w:tblPr>
      <w:tblGrid>
        <w:gridCol w:w="2960"/>
        <w:gridCol w:w="1702"/>
        <w:gridCol w:w="3256"/>
      </w:tblGrid>
      <w:tr>
        <w:trPr>
          <w:tblHeader w:val="true"/>
        </w:trPr>
        <w:tc>
          <w:tcPr/>
          <w:p>
            <w:pPr>
              <w:pStyle w:val="Compact"/>
              <w:jc w:val="left"/>
            </w:pPr>
            <w:r>
              <w:t xml:space="preserve">Segment</w:t>
            </w:r>
          </w:p>
        </w:tc>
        <w:tc>
          <w:tcPr/>
          <w:p>
            <w:pPr>
              <w:pStyle w:val="Compact"/>
              <w:jc w:val="left"/>
            </w:pPr>
            <w:r>
              <w:t xml:space="preserve">Omnibus Impact</w:t>
            </w:r>
          </w:p>
        </w:tc>
        <w:tc>
          <w:tcPr/>
          <w:p>
            <w:pPr>
              <w:pStyle w:val="Compact"/>
              <w:jc w:val="left"/>
            </w:pPr>
            <w:r>
              <w:t xml:space="preserve">DWS IQ 6 Opportunity</w:t>
            </w:r>
          </w:p>
        </w:tc>
      </w:tr>
      <w:tr>
        <w:tc>
          <w:tcPr/>
          <w:p>
            <w:pPr>
              <w:pStyle w:val="Compact"/>
              <w:jc w:val="left"/>
            </w:pPr>
            <w:r>
              <w:rPr>
                <w:bCs/>
                <w:b/>
              </w:rPr>
              <w:t xml:space="preserve">Large enterprises (&gt;1,000 employees)</w:t>
            </w:r>
          </w:p>
        </w:tc>
        <w:tc>
          <w:tcPr/>
          <w:p>
            <w:pPr>
              <w:pStyle w:val="Compact"/>
              <w:jc w:val="left"/>
            </w:pPr>
            <w:r>
              <w:t xml:space="preserve">CSRD obligation remains</w:t>
            </w:r>
          </w:p>
        </w:tc>
        <w:tc>
          <w:tcPr/>
          <w:p>
            <w:pPr>
              <w:pStyle w:val="Compact"/>
              <w:jc w:val="left"/>
            </w:pPr>
            <w:r>
              <w:t xml:space="preserve">Premium solution</w:t>
            </w:r>
          </w:p>
        </w:tc>
      </w:tr>
      <w:tr>
        <w:tc>
          <w:tcPr/>
          <w:p>
            <w:pPr>
              <w:pStyle w:val="Compact"/>
              <w:jc w:val="left"/>
            </w:pPr>
            <w:r>
              <w:rPr>
                <w:bCs/>
                <w:b/>
              </w:rPr>
              <w:t xml:space="preserve">Mid-size (250-999 employees)</w:t>
            </w:r>
          </w:p>
        </w:tc>
        <w:tc>
          <w:tcPr/>
          <w:p>
            <w:pPr>
              <w:pStyle w:val="Compact"/>
              <w:jc w:val="left"/>
            </w:pPr>
            <w:r>
              <w:t xml:space="preserve">Voluntary reporting</w:t>
            </w:r>
          </w:p>
        </w:tc>
        <w:tc>
          <w:tcPr/>
          <w:p>
            <w:pPr>
              <w:pStyle w:val="Compact"/>
              <w:jc w:val="left"/>
            </w:pPr>
            <w:r>
              <w:t xml:space="preserve">Affordable as competitive advantage</w:t>
            </w:r>
          </w:p>
        </w:tc>
      </w:tr>
      <w:tr>
        <w:tc>
          <w:tcPr/>
          <w:p>
            <w:pPr>
              <w:pStyle w:val="Compact"/>
              <w:jc w:val="left"/>
            </w:pPr>
            <w:r>
              <w:rPr>
                <w:bCs/>
                <w:b/>
              </w:rPr>
              <w:t xml:space="preserve">SMEs (&lt;250 employees)</w:t>
            </w:r>
          </w:p>
        </w:tc>
        <w:tc>
          <w:tcPr/>
          <w:p>
            <w:pPr>
              <w:pStyle w:val="Compact"/>
              <w:jc w:val="left"/>
            </w:pPr>
            <w:r>
              <w:t xml:space="preserve">No reporting obligation</w:t>
            </w:r>
          </w:p>
        </w:tc>
        <w:tc>
          <w:tcPr/>
          <w:p>
            <w:pPr>
              <w:pStyle w:val="Compact"/>
              <w:jc w:val="left"/>
            </w:pPr>
            <w:r>
              <w:t xml:space="preserve">Supply chain pressure from large enterprises</w:t>
            </w:r>
          </w:p>
        </w:tc>
      </w:tr>
    </w:tbl>
    <w:p>
      <w:pPr>
        <w:pStyle w:val="BodyText"/>
      </w:pPr>
      <w:r>
        <w:rPr>
          <w:bCs/>
          <w:b/>
        </w:rPr>
        <w:t xml:space="preserve">Conclusion:</w:t>
      </w:r>
      <w:r>
        <w:t xml:space="preserve"> </w:t>
      </w:r>
      <w:r>
        <w:t xml:space="preserve">The Omnibus package makes the Firehorse model even more competitive:</w:t>
      </w:r>
    </w:p>
    <w:p>
      <w:pPr>
        <w:numPr>
          <w:ilvl w:val="0"/>
          <w:numId w:val="1021"/>
        </w:numPr>
        <w:pStyle w:val="Compact"/>
      </w:pPr>
      <w:r>
        <w:rPr>
          <w:bCs/>
          <w:b/>
        </w:rPr>
        <w:t xml:space="preserve">Large enterprises</w:t>
      </w:r>
      <w:r>
        <w:t xml:space="preserve"> </w:t>
      </w:r>
      <w:r>
        <w:t xml:space="preserve">still need automated reporting</w:t>
      </w:r>
    </w:p>
    <w:p>
      <w:pPr>
        <w:numPr>
          <w:ilvl w:val="0"/>
          <w:numId w:val="1021"/>
        </w:numPr>
        <w:pStyle w:val="Compact"/>
      </w:pPr>
      <w:r>
        <w:rPr>
          <w:bCs/>
          <w:b/>
        </w:rPr>
        <w:t xml:space="preserve">SMEs</w:t>
      </w:r>
      <w:r>
        <w:t xml:space="preserve"> </w:t>
      </w:r>
      <w:r>
        <w:t xml:space="preserve">face supply chain pressures from CSRD-reporting companies</w:t>
      </w:r>
    </w:p>
    <w:p>
      <w:pPr>
        <w:numPr>
          <w:ilvl w:val="0"/>
          <w:numId w:val="1021"/>
        </w:numPr>
        <w:pStyle w:val="Compact"/>
      </w:pPr>
      <w:r>
        <w:rPr>
          <w:bCs/>
          <w:b/>
        </w:rPr>
        <w:t xml:space="preserve">Voluntary EFRAG SME standard</w:t>
      </w:r>
      <w:r>
        <w:t xml:space="preserve"> </w:t>
      </w:r>
      <w:r>
        <w:t xml:space="preserve">creates demand for affordable solutions</w:t>
      </w:r>
    </w:p>
    <w:p>
      <w:pPr>
        <w:numPr>
          <w:ilvl w:val="0"/>
          <w:numId w:val="1021"/>
        </w:numPr>
        <w:pStyle w:val="Compact"/>
      </w:pPr>
      <w:r>
        <w:rPr>
          <w:bCs/>
          <w:b/>
        </w:rPr>
        <w:t xml:space="preserve">EUR 0-350/month pricing</w:t>
      </w:r>
      <w:r>
        <w:t xml:space="preserve"> </w:t>
      </w:r>
      <w:r>
        <w:t xml:space="preserve">is competitive in the voluntary reporting market</w:t>
      </w:r>
    </w:p>
    <w:p>
      <w:pPr>
        <w:pStyle w:val="FirstParagraph"/>
      </w:pPr>
      <w:r>
        <w:rPr>
          <w:bCs/>
          <w:b/>
        </w:rPr>
        <w:t xml:space="preserve">Source: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competitor-analysis"/>
    <w:p>
      <w:pPr>
        <w:pStyle w:val="Heading2"/>
      </w:pPr>
      <w:r>
        <w:t xml:space="preserve">3.2 Competitor Analysis</w:t>
      </w:r>
    </w:p>
    <w:tbl>
      <w:tblPr>
        <w:tblStyle w:val="Table"/>
        <w:tblW w:type="pct" w:w="5000"/>
        <w:tblLook w:firstRow="1" w:lastRow="0" w:firstColumn="0" w:lastColumn="0" w:noHBand="0" w:noVBand="0" w:val="0020"/>
        <w:jc w:val="start"/>
      </w:tblPr>
      <w:tblGrid>
        <w:gridCol w:w="2337"/>
        <w:gridCol w:w="1168"/>
        <w:gridCol w:w="1817"/>
        <w:gridCol w:w="1298"/>
        <w:gridCol w:w="1298"/>
      </w:tblGrid>
      <w:tr>
        <w:trPr>
          <w:tblHeader w:val="true"/>
        </w:trPr>
        <w:tc>
          <w:tcPr/>
          <w:p>
            <w:pPr>
              <w:pStyle w:val="Compact"/>
              <w:jc w:val="left"/>
            </w:pPr>
            <w:r>
              <w:t xml:space="preserve">Capability</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Monthly cost</w:t>
            </w:r>
          </w:p>
        </w:tc>
        <w:tc>
          <w:tcPr/>
          <w:p>
            <w:pPr>
              <w:pStyle w:val="Compact"/>
              <w:jc w:val="left"/>
            </w:pPr>
            <w:r>
              <w:t xml:space="preserve">EUR 0-350</w:t>
            </w:r>
          </w:p>
        </w:tc>
        <w:tc>
          <w:tcPr/>
          <w:p>
            <w:pPr>
              <w:pStyle w:val="Compact"/>
              <w:jc w:val="left"/>
            </w:pPr>
            <w:r>
              <w:t xml:space="preserve">EUR 1,400+</w:t>
            </w:r>
          </w:p>
        </w:tc>
        <w:tc>
          <w:tcPr/>
          <w:p>
            <w:pPr>
              <w:pStyle w:val="Compact"/>
              <w:jc w:val="left"/>
            </w:pPr>
            <w:r>
              <w:t xml:space="preserve">EUR 4,000+</w:t>
            </w:r>
          </w:p>
        </w:tc>
        <w:tc>
          <w:tcPr/>
          <w:p>
            <w:pPr>
              <w:pStyle w:val="Compact"/>
              <w:jc w:val="left"/>
            </w:pPr>
            <w:r>
              <w:t xml:space="preserve">EUR 2,000+</w:t>
            </w:r>
          </w:p>
        </w:tc>
      </w:tr>
      <w:tr>
        <w:tc>
          <w:tcPr/>
          <w:p>
            <w:pPr>
              <w:pStyle w:val="Compact"/>
              <w:jc w:val="left"/>
            </w:pPr>
            <w:r>
              <w:rPr>
                <w:bCs/>
                <w:b/>
              </w:rPr>
              <w:t xml:space="preserve">Edge AI</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25+ verticals</w:t>
            </w:r>
          </w:p>
        </w:tc>
        <w:tc>
          <w:tcPr/>
          <w:p>
            <w:pPr>
              <w:pStyle w:val="Compact"/>
              <w:jc w:val="left"/>
            </w:pPr>
            <w:r>
              <w:t xml:space="preserve">Planned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EU compliant</w:t>
            </w:r>
          </w:p>
        </w:tc>
        <w:tc>
          <w:tcPr/>
          <w:p>
            <w:pPr>
              <w:pStyle w:val="Compact"/>
              <w:jc w:val="left"/>
            </w:pPr>
            <w:r>
              <w:t xml:space="preserve">Native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r>
      <w:tr>
        <w:tc>
          <w:tcPr/>
          <w:p>
            <w:pPr>
              <w:pStyle w:val="Compact"/>
              <w:jc w:val="left"/>
            </w:pPr>
            <w:r>
              <w:rPr>
                <w:bCs/>
                <w:b/>
              </w:rPr>
              <w:t xml:space="preserve">&lt;100ms latency</w:t>
            </w:r>
          </w:p>
        </w:tc>
        <w:tc>
          <w:tcPr/>
          <w:p>
            <w:pPr>
              <w:pStyle w:val="Compact"/>
              <w:jc w:val="left"/>
            </w:pPr>
            <w:r>
              <w:t xml:space="preserve">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rPr>
                <w:bCs/>
                <w:b/>
              </w:rPr>
              <w:t xml:space="preserve">SME accessible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52"/>
    <w:bookmarkStart w:id="53" w:name="customer-segments"/>
    <w:p>
      <w:pPr>
        <w:pStyle w:val="Heading2"/>
      </w:pPr>
      <w:r>
        <w:t xml:space="preserve">3.3 Customer Segments</w:t>
      </w:r>
    </w:p>
    <w:p>
      <w:pPr>
        <w:pStyle w:val="FirstParagraph"/>
      </w:pPr>
      <w:r>
        <w:rPr>
          <w:bCs/>
          <w:b/>
        </w:rPr>
        <w:t xml:space="preserve">DWS10.com (Firehorse platform) target customers across 20 industries:</w:t>
      </w:r>
    </w:p>
    <w:p>
      <w:pPr>
        <w:pStyle w:val="BodyText"/>
      </w:pPr>
      <w:r>
        <w:rPr>
          <w:bCs/>
          <w:b/>
        </w:rPr>
        <w:t xml:space="preserve">Tier 1 - Critical Industries (Immediate sales focus):</w:t>
      </w:r>
    </w:p>
    <w:p>
      <w:pPr>
        <w:numPr>
          <w:ilvl w:val="0"/>
          <w:numId w:val="1022"/>
        </w:numPr>
        <w:pStyle w:val="Compact"/>
      </w:pPr>
      <w:r>
        <w:rPr>
          <w:bCs/>
          <w:b/>
        </w:rPr>
        <w:t xml:space="preserve">Construction:</w:t>
      </w:r>
      <w:r>
        <w:t xml:space="preserve"> </w:t>
      </w:r>
      <w:r>
        <w:t xml:space="preserve">NCC, Skanska, T2H, Vinci, Strabag (36-40% of EU emissions)</w:t>
      </w:r>
    </w:p>
    <w:p>
      <w:pPr>
        <w:numPr>
          <w:ilvl w:val="0"/>
          <w:numId w:val="1022"/>
        </w:numPr>
        <w:pStyle w:val="Compact"/>
      </w:pPr>
      <w:r>
        <w:rPr>
          <w:bCs/>
          <w:b/>
        </w:rPr>
        <w:t xml:space="preserve">Logistics:</w:t>
      </w:r>
      <w:r>
        <w:t xml:space="preserve"> </w:t>
      </w:r>
      <w:r>
        <w:t xml:space="preserve">DB Schenker, DHL, and Nordic freight operators. (Uber, Bolt, Kela and Taksi Helsinki are</w:t>
      </w:r>
      <w:r>
        <w:t xml:space="preserve"> </w:t>
      </w:r>
      <w:r>
        <w:rPr>
          <w:bCs/>
          <w:b/>
        </w:rPr>
        <w:t xml:space="preserve">dispatch operators</w:t>
      </w:r>
      <w:r>
        <w:t xml:space="preserve"> </w:t>
      </w:r>
      <w:r>
        <w:t xml:space="preserve">of Lifetime Oy’s licensed transport operation in the role defined by Traficom — commercial counterparties, not software customers, and not part of this target list. See</w:t>
      </w:r>
      <w:r>
        <w:t xml:space="preserve"> </w:t>
      </w:r>
      <w:r>
        <w:rPr>
          <w:rStyle w:val="VerbatimChar"/>
        </w:rPr>
        <w:t xml:space="preserve">docs/TRACTION_CANONICAL.md</w:t>
      </w:r>
      <w:r>
        <w:t xml:space="preserve">.)</w:t>
      </w:r>
    </w:p>
    <w:p>
      <w:pPr>
        <w:numPr>
          <w:ilvl w:val="0"/>
          <w:numId w:val="1022"/>
        </w:numPr>
        <w:pStyle w:val="Compact"/>
      </w:pPr>
      <w:r>
        <w:rPr>
          <w:bCs/>
          <w:b/>
        </w:rPr>
        <w:t xml:space="preserve">Manufacturing:</w:t>
      </w:r>
      <w:r>
        <w:t xml:space="preserve"> </w:t>
      </w:r>
      <w:r>
        <w:t xml:space="preserve">Kone, Wartsila, ABB, Valmet (ETS + CBAM)</w:t>
      </w:r>
    </w:p>
    <w:p>
      <w:pPr>
        <w:numPr>
          <w:ilvl w:val="0"/>
          <w:numId w:val="1022"/>
        </w:numPr>
        <w:pStyle w:val="Compact"/>
      </w:pPr>
      <w:r>
        <w:rPr>
          <w:bCs/>
          <w:b/>
        </w:rPr>
        <w:t xml:space="preserve">Energy:</w:t>
      </w:r>
      <w:r>
        <w:t xml:space="preserve"> </w:t>
      </w:r>
      <w:r>
        <w:t xml:space="preserve">Fortum, Helen, Vattenfall (25-30% of emissions)</w:t>
      </w:r>
    </w:p>
    <w:p>
      <w:pPr>
        <w:pStyle w:val="FirstParagraph"/>
      </w:pPr>
      <w:r>
        <w:rPr>
          <w:bCs/>
          <w:b/>
        </w:rPr>
        <w:t xml:space="preserve">Tier 2 - Important Industries (V1.1+ expansions):</w:t>
      </w:r>
    </w:p>
    <w:p>
      <w:pPr>
        <w:numPr>
          <w:ilvl w:val="0"/>
          <w:numId w:val="1023"/>
        </w:numPr>
        <w:pStyle w:val="Compact"/>
      </w:pPr>
      <w:r>
        <w:rPr>
          <w:bCs/>
          <w:b/>
        </w:rPr>
        <w:t xml:space="preserve">Agriculture:</w:t>
      </w:r>
      <w:r>
        <w:t xml:space="preserve"> </w:t>
      </w:r>
      <w:r>
        <w:t xml:space="preserve">Valio, Arla, agricultural cooperatives</w:t>
      </w:r>
    </w:p>
    <w:p>
      <w:pPr>
        <w:numPr>
          <w:ilvl w:val="0"/>
          <w:numId w:val="1023"/>
        </w:numPr>
        <w:pStyle w:val="Compact"/>
      </w:pPr>
      <w:r>
        <w:rPr>
          <w:bCs/>
          <w:b/>
        </w:rPr>
        <w:t xml:space="preserve">Healthcare:</w:t>
      </w:r>
      <w:r>
        <w:t xml:space="preserve"> </w:t>
      </w:r>
      <w:r>
        <w:t xml:space="preserve">Kela (live), HUS, private hospital chains</w:t>
      </w:r>
    </w:p>
    <w:p>
      <w:pPr>
        <w:numPr>
          <w:ilvl w:val="0"/>
          <w:numId w:val="1023"/>
        </w:numPr>
        <w:pStyle w:val="Compact"/>
      </w:pPr>
      <w:r>
        <w:rPr>
          <w:bCs/>
          <w:b/>
        </w:rPr>
        <w:t xml:space="preserve">Real Estate:</w:t>
      </w:r>
      <w:r>
        <w:t xml:space="preserve"> </w:t>
      </w:r>
      <w:r>
        <w:t xml:space="preserve">Kojamo, Sato, real estate investors</w:t>
      </w:r>
    </w:p>
    <w:p>
      <w:pPr>
        <w:numPr>
          <w:ilvl w:val="0"/>
          <w:numId w:val="1023"/>
        </w:numPr>
        <w:pStyle w:val="Compact"/>
      </w:pPr>
      <w:r>
        <w:rPr>
          <w:bCs/>
          <w:b/>
        </w:rPr>
        <w:t xml:space="preserve">Public Sector:</w:t>
      </w:r>
      <w:r>
        <w:t xml:space="preserve"> </w:t>
      </w:r>
      <w:r>
        <w:t xml:space="preserve">Municipalities, central government, defense</w:t>
      </w:r>
    </w:p>
    <w:bookmarkEnd w:id="53"/>
    <w:bookmarkStart w:id="54" w:name="regulatory-drivers"/>
    <w:p>
      <w:pPr>
        <w:pStyle w:val="Heading2"/>
      </w:pPr>
      <w:r>
        <w:t xml:space="preserve">3.4 Regulatory Drivers</w:t>
      </w:r>
    </w:p>
    <w:tbl>
      <w:tblPr>
        <w:tblStyle w:val="Table"/>
        <w:tblW w:type="pct" w:w="5000"/>
        <w:tblLook w:firstRow="1" w:lastRow="0" w:firstColumn="0" w:lastColumn="0" w:noHBand="0" w:noVBand="0" w:val="0020"/>
        <w:jc w:val="start"/>
      </w:tblPr>
      <w:tblGrid>
        <w:gridCol w:w="913"/>
        <w:gridCol w:w="1726"/>
        <w:gridCol w:w="3858"/>
        <w:gridCol w:w="1421"/>
      </w:tblGrid>
      <w:tr>
        <w:trPr>
          <w:tblHeader w:val="true"/>
        </w:trPr>
        <w:tc>
          <w:tcPr/>
          <w:p>
            <w:pPr>
              <w:pStyle w:val="Compact"/>
              <w:jc w:val="left"/>
            </w:pPr>
            <w:r>
              <w:t xml:space="preserve">Year</w:t>
            </w:r>
          </w:p>
        </w:tc>
        <w:tc>
          <w:tcPr/>
          <w:p>
            <w:pPr>
              <w:pStyle w:val="Compact"/>
              <w:jc w:val="left"/>
            </w:pPr>
            <w:r>
              <w:t xml:space="preserve">Driver</w:t>
            </w:r>
          </w:p>
        </w:tc>
        <w:tc>
          <w:tcPr/>
          <w:p>
            <w:pPr>
              <w:pStyle w:val="Compact"/>
              <w:jc w:val="left"/>
            </w:pPr>
            <w:r>
              <w:t xml:space="preserve">Affected Verticals</w:t>
            </w:r>
          </w:p>
        </w:tc>
        <w:tc>
          <w:tcPr/>
          <w:p>
            <w:pPr>
              <w:pStyle w:val="Compact"/>
              <w:jc w:val="left"/>
            </w:pPr>
            <w:r>
              <w:t xml:space="preserve">Market Size</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All large companies</w:t>
            </w:r>
          </w:p>
        </w:tc>
        <w:tc>
          <w:tcPr/>
          <w:p>
            <w:pPr>
              <w:pStyle w:val="Compact"/>
              <w:jc w:val="left"/>
            </w:pPr>
            <w:r>
              <w:t xml:space="preserve">EUR 2 billion</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Logistics, Construction</w:t>
            </w:r>
          </w:p>
        </w:tc>
        <w:tc>
          <w:tcPr/>
          <w:p>
            <w:pPr>
              <w:pStyle w:val="Compact"/>
              <w:jc w:val="left"/>
            </w:pPr>
            <w:r>
              <w:t xml:space="preserve">EUR 5 billion</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Real Estate, Construction</w:t>
            </w:r>
          </w:p>
        </w:tc>
        <w:tc>
          <w:tcPr/>
          <w:p>
            <w:pPr>
              <w:pStyle w:val="Compact"/>
              <w:jc w:val="left"/>
            </w:pPr>
            <w:r>
              <w:t xml:space="preserve">EUR 8 billion</w:t>
            </w:r>
          </w:p>
        </w:tc>
      </w:tr>
      <w:tr>
        <w:tc>
          <w:tcPr/>
          <w:p>
            <w:pPr>
              <w:pStyle w:val="Compact"/>
              <w:jc w:val="left"/>
            </w:pPr>
            <w:r>
              <w:t xml:space="preserve">2030-2035</w:t>
            </w:r>
          </w:p>
        </w:tc>
        <w:tc>
          <w:tcPr/>
          <w:p>
            <w:pPr>
              <w:pStyle w:val="Compact"/>
              <w:jc w:val="left"/>
            </w:pPr>
            <w:r>
              <w:rPr>
                <w:bCs/>
                <w:b/>
              </w:rPr>
              <w:t xml:space="preserve">ETS expansion</w:t>
            </w:r>
          </w:p>
        </w:tc>
        <w:tc>
          <w:tcPr/>
          <w:p>
            <w:pPr>
              <w:pStyle w:val="Compact"/>
              <w:jc w:val="left"/>
            </w:pPr>
            <w:r>
              <w:t xml:space="preserve">Healthcare, Manufacturing, Agriculture</w:t>
            </w:r>
          </w:p>
        </w:tc>
        <w:tc>
          <w:tcPr/>
          <w:p>
            <w:pPr>
              <w:pStyle w:val="Compact"/>
              <w:jc w:val="left"/>
            </w:pPr>
            <w:r>
              <w:t xml:space="preserve">EUR 10 billion</w:t>
            </w:r>
          </w:p>
        </w:tc>
      </w:tr>
    </w:tbl>
    <w:p>
      <w:pPr>
        <w:pStyle w:val="BodyText"/>
      </w:pPr>
      <w:r>
        <w:rPr>
          <w:bCs/>
          <w:b/>
        </w:rPr>
        <w:t xml:space="preserve">Total Addressable Market (TAM):</w:t>
      </w:r>
    </w:p>
    <w:p>
      <w:pPr>
        <w:numPr>
          <w:ilvl w:val="0"/>
          <w:numId w:val="1024"/>
        </w:numPr>
        <w:pStyle w:val="Compact"/>
      </w:pPr>
      <w:r>
        <w:t xml:space="preserve">Nordics: EUR 2.68 billion (10 years)</w:t>
      </w:r>
    </w:p>
    <w:p>
      <w:pPr>
        <w:numPr>
          <w:ilvl w:val="0"/>
          <w:numId w:val="1024"/>
        </w:numPr>
        <w:pStyle w:val="Compact"/>
      </w:pPr>
      <w:r>
        <w:t xml:space="preserve">EU: EUR 15-20 billion (10 years)</w:t>
      </w:r>
    </w:p>
    <w:p>
      <w:r>
        <w:pict>
          <v:rect style="width:0;height:1.5pt" o:hralign="center" o:hrstd="t" o:hr="t"/>
        </w:pict>
      </w:r>
    </w:p>
    <w:bookmarkEnd w:id="54"/>
    <w:bookmarkEnd w:id="55"/>
    <w:bookmarkStart w:id="79" w:name="dws6-operating-model-design"/>
    <w:p>
      <w:pPr>
        <w:pStyle w:val="Heading1"/>
      </w:pPr>
      <w:r>
        <w:t xml:space="preserve">4. DWS6 Operating Model Design</w:t>
      </w:r>
    </w:p>
    <w:p>
      <w:pPr>
        <w:pStyle w:val="FirstParagraph"/>
      </w:pPr>
      <w:r>
        <w:t xml:space="preserve">The DWS6 operating model is built on three distinct layers: Strategic, Operational, and Execution. This chapter documents each layer with evidence from live implementation.</w:t>
      </w:r>
    </w:p>
    <w:bookmarkStart w:id="59" w:name="strategic-layer-solution-factory-model"/>
    <w:p>
      <w:pPr>
        <w:pStyle w:val="Heading2"/>
      </w:pPr>
      <w:r>
        <w:t xml:space="preserve">4.1 Strategic Layer: Solution Factory Model</w:t>
      </w:r>
    </w:p>
    <w:p>
      <w:pPr>
        <w:pStyle w:val="FirstParagraph"/>
      </w:pPr>
      <w:r>
        <w:t xml:space="preserve">The Solution Factory model transforms DWS6 from a single product into a replicable platform for producing climate-intelligent industrial applications across multiple verticals.</w:t>
      </w:r>
    </w:p>
    <w:bookmarkStart w:id="56" w:name="solution-factory-architecture"/>
    <w:p>
      <w:pPr>
        <w:pStyle w:val="Heading3"/>
      </w:pPr>
      <w:r>
        <w:t xml:space="preserve">4.1.1 Solution Factory Architecture</w:t>
      </w:r>
    </w:p>
    <w:p>
      <w:pPr>
        <w:pStyle w:val="SourceCode"/>
      </w:pPr>
      <w:r>
        <w:rPr>
          <w:rStyle w:val="VerbatimChar"/>
        </w:rPr>
        <w:t xml:space="preserve">+-------------------------------------------------------------------+</w:t>
      </w:r>
      <w:r>
        <w:br/>
      </w:r>
      <w:r>
        <w:rPr>
          <w:rStyle w:val="VerbatimChar"/>
        </w:rPr>
        <w:t xml:space="preserve">|                    SOLUTION FACTORY ARCHITECTURE                    |</w:t>
      </w:r>
      <w:r>
        <w:br/>
      </w:r>
      <w:r>
        <w:rPr>
          <w:rStyle w:val="VerbatimChar"/>
        </w:rPr>
        <w:t xml:space="preserve">+-------------------------------------------------------------------+</w:t>
      </w:r>
      <w:r>
        <w:br/>
      </w:r>
      <w:r>
        <w:rPr>
          <w:rStyle w:val="VerbatimChar"/>
        </w:rPr>
        <w:t xml:space="preserve">|                                                                     |</w:t>
      </w:r>
      <w:r>
        <w:br/>
      </w:r>
      <w:r>
        <w:rPr>
          <w:rStyle w:val="VerbatimChar"/>
        </w:rPr>
        <w:t xml:space="preserve">|  INPUT: Customer problem + Industry vertical                        |</w:t>
      </w:r>
      <w:r>
        <w:br/>
      </w:r>
      <w:r>
        <w:rPr>
          <w:rStyle w:val="VerbatimChar"/>
        </w:rPr>
        <w:t xml:space="preserve">|         |                                                           |</w:t>
      </w:r>
      <w:r>
        <w:br/>
      </w:r>
      <w:r>
        <w:rPr>
          <w:rStyle w:val="VerbatimChar"/>
        </w:rPr>
        <w:t xml:space="preserve">|  PROCESS: AgentFoundry configuration + Signal coordination          |</w:t>
      </w:r>
      <w:r>
        <w:br/>
      </w:r>
      <w:r>
        <w:rPr>
          <w:rStyle w:val="VerbatimChar"/>
        </w:rPr>
        <w:t xml:space="preserve">|         |                                                           |</w:t>
      </w:r>
      <w:r>
        <w:br/>
      </w:r>
      <w:r>
        <w:rPr>
          <w:rStyle w:val="VerbatimChar"/>
        </w:rPr>
        <w:t xml:space="preserve">|  OUTPUT: Climate-intelligent industrial platform                    |</w:t>
      </w:r>
      <w:r>
        <w:br/>
      </w:r>
      <w:r>
        <w:rPr>
          <w:rStyle w:val="VerbatimChar"/>
        </w:rPr>
        <w:t xml:space="preserve">|                                                                     |</w:t>
      </w:r>
      <w:r>
        <w:br/>
      </w:r>
      <w:r>
        <w:rPr>
          <w:rStyle w:val="VerbatimChar"/>
        </w:rPr>
        <w:t xml:space="preserve">|  +-----------------+  +-----------------+  +-----------------+      |</w:t>
      </w:r>
      <w:r>
        <w:br/>
      </w:r>
      <w:r>
        <w:rPr>
          <w:rStyle w:val="VerbatimChar"/>
        </w:rPr>
        <w:t xml:space="preserve">|  |   VERTICAL 1    |  |   VERTICAL 2    |  |   VERTICAL N    |      |</w:t>
      </w:r>
      <w:r>
        <w:br/>
      </w:r>
      <w:r>
        <w:rPr>
          <w:rStyle w:val="VerbatimChar"/>
        </w:rPr>
        <w:t xml:space="preserve">|  |   Construction  |  |   Logistics     |  |   [Template]    |      |</w:t>
      </w:r>
      <w:r>
        <w:br/>
      </w:r>
      <w:r>
        <w:rPr>
          <w:rStyle w:val="VerbatimChar"/>
        </w:rPr>
        <w:t xml:space="preserve">|  +-----------------+  +-----------------+  +-----------------+      |</w:t>
      </w:r>
      <w:r>
        <w:br/>
      </w:r>
      <w:r>
        <w:rPr>
          <w:rStyle w:val="VerbatimChar"/>
        </w:rPr>
        <w:t xml:space="preserve">|  | * SiteSense     |  | * FleetOptimize |  | * Agent A       |      |</w:t>
      </w:r>
      <w:r>
        <w:br/>
      </w:r>
      <w:r>
        <w:rPr>
          <w:rStyle w:val="VerbatimChar"/>
        </w:rPr>
        <w:t xml:space="preserve">|  | * MaterialOracle|  | * RouteGenius   |  | * Agent B       |      |</w:t>
      </w:r>
      <w:r>
        <w:br/>
      </w:r>
      <w:r>
        <w:rPr>
          <w:rStyle w:val="VerbatimChar"/>
        </w:rPr>
        <w:t xml:space="preserve">|  | * ScheduleGenius|  | * CarbonTracker |  | * Agent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SHARED COMPONENTS:                                |</w:t>
      </w:r>
      <w:r>
        <w:br/>
      </w:r>
      <w:r>
        <w:rPr>
          <w:rStyle w:val="VerbatimChar"/>
        </w:rPr>
        <w:t xml:space="preserve">|           * Lifetime World Model (55B parameters)                   |</w:t>
      </w:r>
      <w:r>
        <w:br/>
      </w:r>
      <w:r>
        <w:rPr>
          <w:rStyle w:val="VerbatimChar"/>
        </w:rPr>
        <w:t xml:space="preserve">|           * MCP Hub orchestration                                   |</w:t>
      </w:r>
      <w:r>
        <w:br/>
      </w:r>
      <w:r>
        <w:rPr>
          <w:rStyle w:val="VerbatimChar"/>
        </w:rPr>
        <w:t xml:space="preserve">|           * Supabase + pgvector (data layer)                        |</w:t>
      </w:r>
      <w:r>
        <w:br/>
      </w:r>
      <w:r>
        <w:rPr>
          <w:rStyle w:val="VerbatimChar"/>
        </w:rPr>
        <w:t xml:space="preserve">|           * EU compliance engine                                    |</w:t>
      </w:r>
      <w:r>
        <w:br/>
      </w:r>
      <w:r>
        <w:rPr>
          <w:rStyle w:val="VerbatimChar"/>
        </w:rPr>
        <w:t xml:space="preserve">|                                                                     |</w:t>
      </w:r>
      <w:r>
        <w:br/>
      </w:r>
      <w:r>
        <w:rPr>
          <w:rStyle w:val="VerbatimChar"/>
        </w:rPr>
        <w:t xml:space="preserve">+-------------------------------------------------------------------+</w:t>
      </w:r>
    </w:p>
    <w:bookmarkEnd w:id="56"/>
    <w:bookmarkStart w:id="57" w:name="strategic-innovations"/>
    <w:p>
      <w:pPr>
        <w:pStyle w:val="Heading3"/>
      </w:pPr>
      <w:r>
        <w:t xml:space="preserve">4.1.2 Strategic Innovations</w:t>
      </w:r>
    </w:p>
    <w:p>
      <w:pPr>
        <w:pStyle w:val="FirstParagraph"/>
      </w:pPr>
      <w:r>
        <w:rPr>
          <w:bCs/>
          <w:b/>
        </w:rPr>
        <w:t xml:space="preserve">1. EU Compliance as Competitive Advantage</w:t>
      </w:r>
    </w:p>
    <w:p>
      <w:pPr>
        <w:numPr>
          <w:ilvl w:val="0"/>
          <w:numId w:val="1025"/>
        </w:numPr>
        <w:pStyle w:val="Compact"/>
      </w:pPr>
      <w:r>
        <w:t xml:space="preserve">Data residency: europe-north1 (Finland/Sweden)</w:t>
      </w:r>
    </w:p>
    <w:p>
      <w:pPr>
        <w:numPr>
          <w:ilvl w:val="0"/>
          <w:numId w:val="1025"/>
        </w:numPr>
        <w:pStyle w:val="Compact"/>
      </w:pPr>
      <w:r>
        <w:t xml:space="preserve">EU AI Act: Low-risk classification with human oversight</w:t>
      </w:r>
    </w:p>
    <w:p>
      <w:pPr>
        <w:numPr>
          <w:ilvl w:val="0"/>
          <w:numId w:val="1025"/>
        </w:numPr>
        <w:pStyle w:val="Compact"/>
      </w:pPr>
      <w:r>
        <w:t xml:space="preserve">NIS2: Security by design for critical infrastructure customers</w:t>
      </w:r>
    </w:p>
    <w:p>
      <w:pPr>
        <w:numPr>
          <w:ilvl w:val="0"/>
          <w:numId w:val="1025"/>
        </w:numPr>
        <w:pStyle w:val="Compact"/>
      </w:pPr>
      <w:r>
        <w:t xml:space="preserve">Fit for 55: Native carbon tracking for 2028 deadline</w:t>
      </w:r>
    </w:p>
    <w:p>
      <w:pPr>
        <w:pStyle w:val="FirstParagraph"/>
      </w:pPr>
      <w:r>
        <w:rPr>
          <w:bCs/>
          <w:b/>
        </w:rPr>
        <w:t xml:space="preserve">2. Network Effects Across Verticals</w:t>
      </w:r>
    </w:p>
    <w:p>
      <w:pPr>
        <w:numPr>
          <w:ilvl w:val="0"/>
          <w:numId w:val="1026"/>
        </w:numPr>
        <w:pStyle w:val="Compact"/>
      </w:pPr>
      <w:r>
        <w:t xml:space="preserve">Logistics route optimization data -&gt; Construction delivery scheduling</w:t>
      </w:r>
    </w:p>
    <w:p>
      <w:pPr>
        <w:numPr>
          <w:ilvl w:val="0"/>
          <w:numId w:val="1026"/>
        </w:numPr>
        <w:pStyle w:val="Compact"/>
      </w:pPr>
      <w:r>
        <w:t xml:space="preserve">Manufacturing quality data -&gt; Real estate maintenance prediction</w:t>
      </w:r>
    </w:p>
    <w:p>
      <w:pPr>
        <w:numPr>
          <w:ilvl w:val="0"/>
          <w:numId w:val="1026"/>
        </w:numPr>
        <w:pStyle w:val="Compact"/>
      </w:pPr>
      <w:r>
        <w:t xml:space="preserve">Energy consumption patterns -&gt; All verticals benefit</w:t>
      </w:r>
    </w:p>
    <w:bookmarkEnd w:id="57"/>
    <w:bookmarkStart w:id="58" w:name="customer-promise"/>
    <w:p>
      <w:pPr>
        <w:pStyle w:val="Heading3"/>
      </w:pPr>
      <w:r>
        <w:t xml:space="preserve">4.1.3 Customer Promise</w:t>
      </w:r>
    </w:p>
    <w:p>
      <w:pPr>
        <w:pStyle w:val="FirstParagraph"/>
      </w:pPr>
      <w:r>
        <w:rPr>
          <w:bCs/>
          <w:b/>
        </w:rPr>
        <w:t xml:space="preserve">Promise:</w:t>
      </w:r>
      <w:r>
        <w:t xml:space="preserve"> </w:t>
      </w:r>
      <w:r>
        <w:t xml:space="preserve">2-month payback period or money back</w:t>
      </w:r>
    </w:p>
    <w:p>
      <w:pPr>
        <w:pStyle w:val="BodyText"/>
      </w:pPr>
      <w:r>
        <w:rPr>
          <w:bCs/>
          <w:b/>
        </w:rPr>
        <w:t xml:space="preserve">Value proposition:</w:t>
      </w:r>
    </w:p>
    <w:p>
      <w:pPr>
        <w:numPr>
          <w:ilvl w:val="0"/>
          <w:numId w:val="1027"/>
        </w:numPr>
        <w:pStyle w:val="Compact"/>
      </w:pPr>
      <w:r>
        <w:t xml:space="preserve">Real-time emissions tracking (EU mandate 2028)</w:t>
      </w:r>
    </w:p>
    <w:p>
      <w:pPr>
        <w:numPr>
          <w:ilvl w:val="0"/>
          <w:numId w:val="1027"/>
        </w:numPr>
        <w:pStyle w:val="Compact"/>
      </w:pPr>
      <w:r>
        <w:t xml:space="preserve">Viability analysis (project profitability)</w:t>
      </w:r>
    </w:p>
    <w:p>
      <w:pPr>
        <w:numPr>
          <w:ilvl w:val="0"/>
          <w:numId w:val="1027"/>
        </w:numPr>
        <w:pStyle w:val="Compact"/>
      </w:pPr>
      <w:r>
        <w:t xml:space="preserve">Automated reports (saves 10h/week)</w:t>
      </w:r>
    </w:p>
    <w:p>
      <w:pPr>
        <w:pStyle w:val="FirstParagraph"/>
      </w:pPr>
      <w:r>
        <w:rPr>
          <w:bCs/>
          <w:b/>
        </w:rPr>
        <w:t xml:space="preserve">Validation:</w:t>
      </w:r>
      <w:r>
        <w:t xml:space="preserve"> </w:t>
      </w:r>
      <w:r>
        <w:t xml:space="preserve">EUR 10k MRR from Uber, Bolt, and Kela during pilot proves customer willingness to pay.</w:t>
      </w:r>
    </w:p>
    <w:bookmarkEnd w:id="58"/>
    <w:bookmarkEnd w:id="59"/>
    <w:bookmarkStart w:id="63" w:name="Xeae5d3dd19793e8e6f3ba2bed4eba21b9d1ea74"/>
    <w:p>
      <w:pPr>
        <w:pStyle w:val="Heading2"/>
      </w:pPr>
      <w:r>
        <w:t xml:space="preserve">4.2 Operational Layer: AgentFoundry and Lifetime Scope Signals</w:t>
      </w:r>
    </w:p>
    <w:p>
      <w:pPr>
        <w:pStyle w:val="FirstParagraph"/>
      </w:pPr>
      <w:r>
        <w:t xml:space="preserve">The operational layer documents the actual implementation mechanisms that enable the Solution Factory to function.</w:t>
      </w:r>
    </w:p>
    <w:bookmarkStart w:id="60" w:name="agentfoundry-architecture"/>
    <w:p>
      <w:pPr>
        <w:pStyle w:val="Heading3"/>
      </w:pPr>
      <w:r>
        <w:t xml:space="preserve">4.2.1 AgentFoundry Architecture</w:t>
      </w:r>
    </w:p>
    <w:p>
      <w:pPr>
        <w:pStyle w:val="FirstParagraph"/>
      </w:pPr>
      <w:r>
        <w:t xml:space="preserve">AgentFoundry is a multi-model, multi-tenant framework for deploying AI agents across industrial verticals.</w:t>
      </w:r>
    </w:p>
    <w:bookmarkEnd w:id="60"/>
    <w:bookmarkStart w:id="61" w:name="lifetime-scope-signals-protocol-1"/>
    <w:p>
      <w:pPr>
        <w:pStyle w:val="Heading3"/>
      </w:pPr>
      <w:r>
        <w:t xml:space="preserve">4.2.2 Lifetime Scope Signals Protocol</w:t>
      </w:r>
    </w:p>
    <w:p>
      <w:pPr>
        <w:pStyle w:val="FirstParagraph"/>
      </w:pPr>
      <w:r>
        <w:rPr>
          <w:bCs/>
          <w:b/>
        </w:rPr>
        <w:t xml:space="preserve">V1.0 Agent Fleet (10 agents):</w:t>
      </w:r>
    </w:p>
    <w:tbl>
      <w:tblPr>
        <w:tblStyle w:val="Table"/>
        <w:tblW w:type="pct" w:w="5000"/>
        <w:tblLook w:firstRow="1" w:lastRow="0" w:firstColumn="0" w:lastColumn="0" w:noHBand="0" w:noVBand="0" w:val="0020"/>
        <w:jc w:val="start"/>
      </w:tblPr>
      <w:tblGrid>
        <w:gridCol w:w="974"/>
        <w:gridCol w:w="2193"/>
        <w:gridCol w:w="609"/>
        <w:gridCol w:w="974"/>
        <w:gridCol w:w="3168"/>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Signals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api-docs</w:t>
            </w:r>
          </w:p>
        </w:tc>
      </w:tr>
    </w:tbl>
    <w:bookmarkEnd w:id="61"/>
    <w:bookmarkStart w:id="62" w:name="three-phase-deployment-model"/>
    <w:p>
      <w:pPr>
        <w:pStyle w:val="Heading3"/>
      </w:pPr>
      <w:r>
        <w:t xml:space="preserve">4.2.3 Three-Phase Deployment Model</w:t>
      </w:r>
    </w:p>
    <w:p>
      <w:pPr>
        <w:pStyle w:val="FirstParagraph"/>
      </w:pPr>
      <w:r>
        <w:rPr>
          <w:bCs/>
          <w:b/>
        </w:rPr>
        <w:t xml:space="preserve">Phase 1: Silent Pilot (30 days)</w:t>
      </w:r>
    </w:p>
    <w:p>
      <w:pPr>
        <w:numPr>
          <w:ilvl w:val="0"/>
          <w:numId w:val="1028"/>
        </w:numPr>
        <w:pStyle w:val="Compact"/>
      </w:pPr>
      <w:r>
        <w:t xml:space="preserve">Agent observes and records all operations</w:t>
      </w:r>
    </w:p>
    <w:p>
      <w:pPr>
        <w:numPr>
          <w:ilvl w:val="0"/>
          <w:numId w:val="1028"/>
        </w:numPr>
        <w:pStyle w:val="Compact"/>
      </w:pPr>
      <w:r>
        <w:t xml:space="preserve">No actions on customer systems</w:t>
      </w:r>
    </w:p>
    <w:p>
      <w:pPr>
        <w:numPr>
          <w:ilvl w:val="0"/>
          <w:numId w:val="1028"/>
        </w:numPr>
        <w:pStyle w:val="Compact"/>
      </w:pPr>
      <w:r>
        <w:t xml:space="preserve">Builds baseline understanding of operations</w:t>
      </w:r>
    </w:p>
    <w:p>
      <w:pPr>
        <w:pStyle w:val="FirstParagraph"/>
      </w:pPr>
      <w:r>
        <w:rPr>
          <w:bCs/>
          <w:b/>
        </w:rPr>
        <w:t xml:space="preserve">Phase 2: Advisor (60 days)</w:t>
      </w:r>
    </w:p>
    <w:p>
      <w:pPr>
        <w:numPr>
          <w:ilvl w:val="0"/>
          <w:numId w:val="1029"/>
        </w:numPr>
        <w:pStyle w:val="Compact"/>
      </w:pPr>
      <w:r>
        <w:t xml:space="preserve">Agent recommends actions</w:t>
      </w:r>
    </w:p>
    <w:p>
      <w:pPr>
        <w:numPr>
          <w:ilvl w:val="0"/>
          <w:numId w:val="1029"/>
        </w:numPr>
        <w:pStyle w:val="Compact"/>
      </w:pPr>
      <w:r>
        <w:t xml:space="preserve">All recommendations require human approval</w:t>
      </w:r>
    </w:p>
    <w:p>
      <w:pPr>
        <w:numPr>
          <w:ilvl w:val="0"/>
          <w:numId w:val="1029"/>
        </w:numPr>
        <w:pStyle w:val="Compact"/>
      </w:pPr>
      <w:r>
        <w:t xml:space="preserve">Builds trust through accurate predictions</w:t>
      </w:r>
    </w:p>
    <w:p>
      <w:pPr>
        <w:pStyle w:val="FirstParagraph"/>
      </w:pPr>
      <w:r>
        <w:rPr>
          <w:bCs/>
          <w:b/>
        </w:rPr>
        <w:t xml:space="preserve">Phase 3: Autonomous</w:t>
      </w:r>
    </w:p>
    <w:p>
      <w:pPr>
        <w:numPr>
          <w:ilvl w:val="0"/>
          <w:numId w:val="1030"/>
        </w:numPr>
        <w:pStyle w:val="Compact"/>
      </w:pPr>
      <w:r>
        <w:t xml:space="preserve">Agent executes within defined guardrails</w:t>
      </w:r>
    </w:p>
    <w:p>
      <w:pPr>
        <w:numPr>
          <w:ilvl w:val="0"/>
          <w:numId w:val="1030"/>
        </w:numPr>
        <w:pStyle w:val="Compact"/>
      </w:pPr>
      <w:r>
        <w:t xml:space="preserve">Human oversight for exceptions</w:t>
      </w:r>
    </w:p>
    <w:p>
      <w:pPr>
        <w:numPr>
          <w:ilvl w:val="0"/>
          <w:numId w:val="1030"/>
        </w:numPr>
        <w:pStyle w:val="Compact"/>
      </w:pPr>
      <w:r>
        <w:t xml:space="preserve">Continuous monitoring and adjustment</w:t>
      </w:r>
    </w:p>
    <w:bookmarkEnd w:id="62"/>
    <w:bookmarkEnd w:id="63"/>
    <w:bookmarkStart w:id="66" w:name="X5b48c8bce01f9a2094484e395de2044fba3db76"/>
    <w:p>
      <w:pPr>
        <w:pStyle w:val="Heading2"/>
      </w:pPr>
      <w:r>
        <w:t xml:space="preserve">4.3 Execution Layer: Brain-Memory-Body-Hands Architecture</w:t>
      </w:r>
    </w:p>
    <w:bookmarkStart w:id="64" w:name="hybrid-cloud-edge-architecture"/>
    <w:p>
      <w:pPr>
        <w:pStyle w:val="Heading3"/>
      </w:pPr>
      <w:r>
        <w:t xml:space="preserve">4.3.1 Hybrid Cloud-Edge Architecture</w:t>
      </w:r>
    </w:p>
    <w:p>
      <w:pPr>
        <w:pStyle w:val="SourceCode"/>
      </w:pPr>
      <w:r>
        <w:rPr>
          <w:rStyle w:val="VerbatimChar"/>
        </w:rPr>
        <w:t xml:space="preserve">+-------------------------------------------------+</w:t>
      </w:r>
      <w:r>
        <w:br/>
      </w:r>
      <w:r>
        <w:rPr>
          <w:rStyle w:val="VerbatimChar"/>
        </w:rPr>
        <w:t xml:space="preserve">|  DWS6 HYBRID ARCHITECTURE                        |</w:t>
      </w:r>
      <w:r>
        <w:br/>
      </w:r>
      <w:r>
        <w:rPr>
          <w:rStyle w:val="VerbatimChar"/>
        </w:rPr>
        <w:t xml:space="preserve">+-------------------------------------------------+</w:t>
      </w:r>
      <w:r>
        <w:br/>
      </w:r>
      <w:r>
        <w:rPr>
          <w:rStyle w:val="VerbatimChar"/>
        </w:rPr>
        <w:t xml:space="preserve">|                                                   |</w:t>
      </w:r>
      <w:r>
        <w:br/>
      </w:r>
      <w:r>
        <w:rPr>
          <w:rStyle w:val="VerbatimChar"/>
        </w:rPr>
        <w:t xml:space="preserve">|  CLOUD LAYER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 orchestration (LlamaStack)              |</w:t>
      </w:r>
      <w:r>
        <w:br/>
      </w:r>
      <w:r>
        <w:rPr>
          <w:rStyle w:val="VerbatimChar"/>
        </w:rPr>
        <w:t xml:space="preserve">|                                                   |</w:t>
      </w:r>
      <w:r>
        <w:br/>
      </w:r>
      <w:r>
        <w:rPr>
          <w:rStyle w:val="VerbatimChar"/>
        </w:rPr>
        <w:t xml:space="preserve">|  EDGE LAYER (NVIDIA Jetson Orin Nano)             |</w:t>
      </w:r>
      <w:r>
        <w:br/>
      </w:r>
      <w:r>
        <w:rPr>
          <w:rStyle w:val="VerbatimChar"/>
        </w:rPr>
        <w:t xml:space="preserve">|  +- SiteSense agent (construction site monitoring)|</w:t>
      </w:r>
      <w:r>
        <w:br/>
      </w:r>
      <w:r>
        <w:rPr>
          <w:rStyle w:val="VerbatimChar"/>
        </w:rPr>
        <w:t xml:space="preserve">|  +- Offline operation (no network required)       |</w:t>
      </w:r>
      <w:r>
        <w:br/>
      </w:r>
      <w:r>
        <w:rPr>
          <w:rStyle w:val="VerbatimChar"/>
        </w:rPr>
        <w:t xml:space="preserve">|  +- &lt;100ms latency (25x faster than cloud)        |</w:t>
      </w:r>
      <w:r>
        <w:br/>
      </w:r>
      <w:r>
        <w:rPr>
          <w:rStyle w:val="VerbatimChar"/>
        </w:rPr>
        <w:t xml:space="preserve">|                                                   |</w:t>
      </w:r>
      <w:r>
        <w:br/>
      </w:r>
      <w:r>
        <w:rPr>
          <w:rStyle w:val="VerbatimChar"/>
        </w:rPr>
        <w:t xml:space="preserve">|  CLIENT LAYER (Chromebook PWA)                    |</w:t>
      </w:r>
      <w:r>
        <w:br/>
      </w:r>
      <w:r>
        <w:rPr>
          <w:rStyle w:val="VerbatimChar"/>
        </w:rPr>
        <w:t xml:space="preserve">|  +- Progressive Web App                           |</w:t>
      </w:r>
      <w:r>
        <w:br/>
      </w:r>
      <w:r>
        <w:rPr>
          <w:rStyle w:val="VerbatimChar"/>
        </w:rPr>
        <w:t xml:space="preserve">|  +- Offline-first design                          |</w:t>
      </w:r>
      <w:r>
        <w:br/>
      </w:r>
      <w:r>
        <w:rPr>
          <w:rStyle w:val="VerbatimChar"/>
        </w:rPr>
        <w:t xml:space="preserve">|  +- EU data residency (GDPR-compliant)            |</w:t>
      </w:r>
      <w:r>
        <w:br/>
      </w:r>
      <w:r>
        <w:rPr>
          <w:rStyle w:val="VerbatimChar"/>
        </w:rPr>
        <w:t xml:space="preserve">|                                                   |</w:t>
      </w:r>
      <w:r>
        <w:br/>
      </w:r>
      <w:r>
        <w:rPr>
          <w:rStyle w:val="VerbatimChar"/>
        </w:rPr>
        <w:t xml:space="preserve">+-------------------------------------------------+</w:t>
      </w:r>
    </w:p>
    <w:bookmarkEnd w:id="64"/>
    <w:bookmarkStart w:id="65" w:name="X4823c57ba6ead05995c82df037de3b31ce45912"/>
    <w:p>
      <w:pPr>
        <w:pStyle w:val="Heading3"/>
      </w:pPr>
      <w:r>
        <w:t xml:space="preserve">4.3.2 MCP Hub Multi-Agent Orchestration Platform</w:t>
      </w:r>
    </w:p>
    <w:p>
      <w:pPr>
        <w:pStyle w:val="FirstParagraph"/>
      </w:pPr>
      <w:r>
        <w:rPr>
          <w:bCs/>
          <w:b/>
        </w:rPr>
        <w:t xml:space="preserve">Vision:</w:t>
      </w:r>
      <w:r>
        <w:t xml:space="preserve"> </w:t>
      </w:r>
      <w:r>
        <w:t xml:space="preserve">Control plane that coordinates Cursor, Claude, Gemini, and DWS IQ agents with construction planning tools and Lifetime Firehorse products.</w:t>
      </w:r>
    </w:p>
    <w:p>
      <w:pPr>
        <w:pStyle w:val="BodyText"/>
      </w:pPr>
      <w:r>
        <w:rPr>
          <w:bCs/>
          <w:b/>
        </w:rPr>
        <w:t xml:space="preserve">Business impact:</w:t>
      </w:r>
    </w:p>
    <w:p>
      <w:pPr>
        <w:numPr>
          <w:ilvl w:val="0"/>
          <w:numId w:val="1031"/>
        </w:numPr>
        <w:pStyle w:val="Compact"/>
      </w:pPr>
      <w:r>
        <w:t xml:space="preserve">+62% development velocity</w:t>
      </w:r>
    </w:p>
    <w:p>
      <w:pPr>
        <w:numPr>
          <w:ilvl w:val="0"/>
          <w:numId w:val="1031"/>
        </w:numPr>
        <w:pStyle w:val="Compact"/>
      </w:pPr>
      <w:r>
        <w:t xml:space="preserve">-73% bug reduction</w:t>
      </w:r>
    </w:p>
    <w:p>
      <w:pPr>
        <w:numPr>
          <w:ilvl w:val="0"/>
          <w:numId w:val="1031"/>
        </w:numPr>
        <w:pStyle w:val="Compact"/>
      </w:pPr>
      <w:r>
        <w:t xml:space="preserve">EUR 23,640/year savings</w:t>
      </w:r>
    </w:p>
    <w:p>
      <w:pPr>
        <w:numPr>
          <w:ilvl w:val="0"/>
          <w:numId w:val="1031"/>
        </w:numPr>
        <w:pStyle w:val="Compact"/>
      </w:pPr>
      <w:r>
        <w:t xml:space="preserve">17.2 months runway on EUR 150K SAFE (vs 6.7 months without MCP)</w:t>
      </w:r>
    </w:p>
    <w:bookmarkEnd w:id="65"/>
    <w:bookmarkEnd w:id="66"/>
    <w:bookmarkStart w:id="67" w:name="cost-model"/>
    <w:p>
      <w:pPr>
        <w:pStyle w:val="Heading2"/>
      </w:pPr>
      <w:r>
        <w:t xml:space="preserve">4.4 Cost Model</w:t>
      </w:r>
    </w:p>
    <w:tbl>
      <w:tblPr>
        <w:tblStyle w:val="Table"/>
        <w:tblW w:type="pct" w:w="5000"/>
        <w:tblLook w:firstRow="1" w:lastRow="0" w:firstColumn="0" w:lastColumn="0" w:noHBand="0" w:noVBand="0" w:val="0020"/>
        <w:jc w:val="start"/>
      </w:tblPr>
      <w:tblGrid>
        <w:gridCol w:w="950"/>
        <w:gridCol w:w="1689"/>
        <w:gridCol w:w="5280"/>
      </w:tblGrid>
      <w:tr>
        <w:trPr>
          <w:tblHeader w:val="true"/>
        </w:trPr>
        <w:tc>
          <w:tcPr/>
          <w:p>
            <w:pPr>
              <w:pStyle w:val="Compact"/>
              <w:jc w:val="left"/>
            </w:pPr>
            <w:r>
              <w:t xml:space="preserve">Phase</w:t>
            </w:r>
          </w:p>
        </w:tc>
        <w:tc>
          <w:tcPr/>
          <w:p>
            <w:pPr>
              <w:pStyle w:val="Compact"/>
              <w:jc w:val="left"/>
            </w:pPr>
            <w:r>
              <w:t xml:space="preserve">Cost</w:t>
            </w:r>
          </w:p>
        </w:tc>
        <w:tc>
          <w:tcPr/>
          <w:p>
            <w:pPr>
              <w:pStyle w:val="Compact"/>
              <w:jc w:val="left"/>
            </w:pPr>
            <w:r>
              <w:t xml:space="preserve">Technology</w:t>
            </w:r>
          </w:p>
        </w:tc>
      </w:tr>
      <w:tr>
        <w:tc>
          <w:tcPr/>
          <w:p>
            <w:pPr>
              <w:pStyle w:val="Compact"/>
              <w:jc w:val="left"/>
            </w:pPr>
            <w:r>
              <w:rPr>
                <w:bCs/>
                <w:b/>
              </w:rPr>
              <w:t xml:space="preserve">MVP</w:t>
            </w:r>
          </w:p>
        </w:tc>
        <w:tc>
          <w:tcPr/>
          <w:p>
            <w:pPr>
              <w:pStyle w:val="Compact"/>
              <w:jc w:val="left"/>
            </w:pPr>
            <w:r>
              <w:t xml:space="preserve">EUR 0/month</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EUR 50-150/month</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EUR 350/month</w:t>
            </w:r>
          </w:p>
        </w:tc>
        <w:tc>
          <w:tcPr/>
          <w:p>
            <w:pPr>
              <w:pStyle w:val="Compact"/>
              <w:jc w:val="left"/>
            </w:pPr>
            <w:r>
              <w:t xml:space="preserve">Groq + Supabase + Monitoring</w:t>
            </w:r>
          </w:p>
        </w:tc>
      </w:tr>
    </w:tbl>
    <w:bookmarkEnd w:id="67"/>
    <w:bookmarkStart w:id="68" w:name="go-to-market-strategy"/>
    <w:p>
      <w:pPr>
        <w:pStyle w:val="Heading2"/>
      </w:pPr>
      <w:r>
        <w:t xml:space="preserve">4.5 Go-to-Market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Customers</w:t>
            </w:r>
          </w:p>
        </w:tc>
        <w:tc>
          <w:tcPr/>
          <w:p>
            <w:pPr>
              <w:pStyle w:val="Compact"/>
              <w:jc w:val="left"/>
            </w:pPr>
            <w:r>
              <w:t xml:space="preserve">Agents</w:t>
            </w:r>
          </w:p>
        </w:tc>
      </w:tr>
      <w:tr>
        <w:tc>
          <w:tcPr/>
          <w:p>
            <w:pPr>
              <w:pStyle w:val="Compact"/>
              <w:jc w:val="left"/>
            </w:pPr>
            <w:r>
              <w:rPr>
                <w:bCs/>
                <w:b/>
              </w:rPr>
              <w:t xml:space="preserve">MVP</w:t>
            </w:r>
          </w:p>
        </w:tc>
        <w:tc>
          <w:tcPr/>
          <w:p>
            <w:pPr>
              <w:pStyle w:val="Compact"/>
              <w:jc w:val="left"/>
            </w:pPr>
            <w:r>
              <w:t xml:space="preserve">December 2025</w:t>
            </w:r>
          </w:p>
        </w:tc>
        <w:tc>
          <w:tcPr/>
          <w:p>
            <w:pPr>
              <w:pStyle w:val="Compact"/>
              <w:jc w:val="left"/>
            </w:pPr>
            <w:r>
              <w:t xml:space="preserve">5 construction customers (FREE)</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February 2026</w:t>
            </w:r>
          </w:p>
        </w:tc>
        <w:tc>
          <w:tcPr/>
          <w:p>
            <w:pPr>
              <w:pStyle w:val="Compact"/>
              <w:jc w:val="left"/>
            </w:pPr>
            <w:r>
              <w:t xml:space="preserve">20-50 customers, 3 industries</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November 2026</w:t>
            </w:r>
          </w:p>
        </w:tc>
        <w:tc>
          <w:tcPr/>
          <w:p>
            <w:pPr>
              <w:pStyle w:val="Compact"/>
              <w:jc w:val="left"/>
            </w:pPr>
            <w:r>
              <w:t xml:space="preserve">100+ customers, 8 industries</w:t>
            </w:r>
          </w:p>
        </w:tc>
        <w:tc>
          <w:tcPr/>
          <w:p>
            <w:pPr>
              <w:pStyle w:val="Compact"/>
              <w:jc w:val="left"/>
            </w:pPr>
            <w:r>
              <w:t xml:space="preserve">33</w:t>
            </w:r>
          </w:p>
        </w:tc>
      </w:tr>
    </w:tbl>
    <w:bookmarkEnd w:id="68"/>
    <w:bookmarkStart w:id="69" w:name="X3cac810e09d32809b4a97fb76b61e422eede506"/>
    <w:p>
      <w:pPr>
        <w:pStyle w:val="Heading2"/>
      </w:pPr>
      <w:r>
        <w:t xml:space="preserve">4.6 Firehorse Omnichannel: Marketing Targeting Optimization</w:t>
      </w:r>
    </w:p>
    <w:p>
      <w:pPr>
        <w:pStyle w:val="FirstParagraph"/>
      </w:pPr>
      <w:r>
        <w:rPr>
          <w:bCs/>
          <w:b/>
        </w:rPr>
        <w:t xml:space="preserve">Problem:</w:t>
      </w:r>
      <w:r>
        <w:t xml:space="preserve"> </w:t>
      </w:r>
      <w:r>
        <w:t xml:space="preserve">SMEs struggle to allocate limited marketing budgets effectively.</w:t>
      </w:r>
    </w:p>
    <w:p>
      <w:pPr>
        <w:pStyle w:val="BodyText"/>
      </w:pPr>
      <w:r>
        <w:rPr>
          <w:bCs/>
          <w:b/>
        </w:rPr>
        <w:t xml:space="preserve">Solution:</w:t>
      </w:r>
      <w:r>
        <w:t xml:space="preserve"> </w:t>
      </w:r>
      <w:r>
        <w:t xml:space="preserve">Firehorse Omnichannel leverages AI-powered market intelligence for channel selection optimization.</w:t>
      </w:r>
    </w:p>
    <w:p>
      <w:pPr>
        <w:pStyle w:val="BodyText"/>
      </w:pPr>
      <w:r>
        <w:rPr>
          <w:bCs/>
          <w:b/>
        </w:rPr>
        <w:t xml:space="preserve">Result:</w:t>
      </w:r>
      <w:r>
        <w:t xml:space="preserve"> </w:t>
      </w:r>
      <w:r>
        <w:t xml:space="preserve">“</w:t>
      </w:r>
      <w:r>
        <w:t xml:space="preserve">Right time, right amount</w:t>
      </w:r>
      <w:r>
        <w:t xml:space="preserve">”</w:t>
      </w:r>
      <w:r>
        <w:t xml:space="preserve"> </w:t>
      </w:r>
      <w:r>
        <w:t xml:space="preserve">funding strategy that maximizes ROI.</w:t>
      </w:r>
    </w:p>
    <w:bookmarkEnd w:id="69"/>
    <w:bookmarkStart w:id="74" w:name="regulatory-compliance-legal-moat"/>
    <w:p>
      <w:pPr>
        <w:pStyle w:val="Heading2"/>
      </w:pPr>
      <w:r>
        <w:t xml:space="preserve">4.7 Regulatory Compliance: Legal Moat</w:t>
      </w:r>
    </w:p>
    <w:bookmarkStart w:id="70" w:name="gdpr-sovereignty"/>
    <w:p>
      <w:pPr>
        <w:pStyle w:val="Heading3"/>
      </w:pPr>
      <w:r>
        <w:t xml:space="preserve">4.7.1 GDPR &amp; Sovereignty</w:t>
      </w:r>
    </w:p>
    <w:p>
      <w:pPr>
        <w:pStyle w:val="FirstParagraph"/>
      </w:pPr>
      <w:r>
        <w:t xml:space="preserve">Implementing Private Cloud architecture ensures EU data residency and sovereignty.</w:t>
      </w:r>
    </w:p>
    <w:bookmarkEnd w:id="70"/>
    <w:bookmarkStart w:id="71" w:name="nis2-directive"/>
    <w:p>
      <w:pPr>
        <w:pStyle w:val="Heading3"/>
      </w:pPr>
      <w:r>
        <w:t xml:space="preserve">4.7.2 NIS2 Directive</w:t>
      </w:r>
    </w:p>
    <w:p>
      <w:pPr>
        <w:pStyle w:val="FirstParagraph"/>
      </w:pPr>
      <w:r>
        <w:t xml:space="preserve">Alignment with cybersecurity requirements for critical operators.</w:t>
      </w:r>
    </w:p>
    <w:bookmarkEnd w:id="71"/>
    <w:bookmarkStart w:id="72" w:name="eu-ai-act"/>
    <w:p>
      <w:pPr>
        <w:pStyle w:val="Heading3"/>
      </w:pPr>
      <w:r>
        <w:t xml:space="preserve">4.7.3 EU AI Act</w:t>
      </w:r>
    </w:p>
    <w:p>
      <w:pPr>
        <w:pStyle w:val="FirstParagraph"/>
      </w:pPr>
      <w:r>
        <w:t xml:space="preserve">Implementing transparency protocols (Article 50) for AI agents and ensuring human oversight.</w:t>
      </w:r>
    </w:p>
    <w:bookmarkEnd w:id="72"/>
    <w:bookmarkStart w:id="73" w:name="digital-services-act-dsa"/>
    <w:p>
      <w:pPr>
        <w:pStyle w:val="Heading3"/>
      </w:pPr>
      <w:r>
        <w:t xml:space="preserve">4.7.4 Digital Services Act (DSA)</w:t>
      </w:r>
    </w:p>
    <w:p>
      <w:pPr>
        <w:pStyle w:val="FirstParagraph"/>
      </w:pPr>
      <w:r>
        <w:t xml:space="preserve">Establishing community rules and moderation for the</w:t>
      </w:r>
      <w:r>
        <w:t xml:space="preserve"> </w:t>
      </w:r>
      <w:r>
        <w:t xml:space="preserve">“</w:t>
      </w:r>
      <w:r>
        <w:t xml:space="preserve">Lifetime World</w:t>
      </w:r>
      <w:r>
        <w:t xml:space="preserve">”</w:t>
      </w:r>
      <w:r>
        <w:t xml:space="preserve"> </w:t>
      </w:r>
      <w:r>
        <w:t xml:space="preserve">platform.</w:t>
      </w:r>
    </w:p>
    <w:bookmarkEnd w:id="73"/>
    <w:bookmarkEnd w:id="74"/>
    <w:bookmarkStart w:id="78" w:name="X01cb7168d56cab119d0f2cc9d88ad0d4a03712c"/>
    <w:p>
      <w:pPr>
        <w:pStyle w:val="Heading2"/>
      </w:pPr>
      <w:r>
        <w:t xml:space="preserve">4.8 dws6.com: Production Environment and Web Presence</w:t>
      </w:r>
    </w:p>
    <w:bookmarkStart w:id="75" w:name="overview"/>
    <w:p>
      <w:pPr>
        <w:pStyle w:val="Heading3"/>
      </w:pPr>
      <w:r>
        <w:t xml:space="preserve">4.8.1 Overview</w:t>
      </w:r>
    </w:p>
    <w:p>
      <w:pPr>
        <w:pStyle w:val="FirstParagraph"/>
      </w:pPr>
      <w:r>
        <w:rPr>
          <w:bCs/>
          <w:b/>
        </w:rPr>
        <w:t xml:space="preserve">dws6.com</w:t>
      </w:r>
      <w:r>
        <w:t xml:space="preserve"> </w:t>
      </w:r>
      <w:r>
        <w:t xml:space="preserve">is the DWS6 platform’s production environment, providing centralized access to all Firehorse services.</w:t>
      </w:r>
    </w:p>
    <w:bookmarkEnd w:id="75"/>
    <w:bookmarkStart w:id="76" w:name="technical-implementation"/>
    <w:p>
      <w:pPr>
        <w:pStyle w:val="Heading3"/>
      </w:pPr>
      <w:r>
        <w:t xml:space="preserve">4.8.2 Technical Implementation</w:t>
      </w:r>
    </w:p>
    <w:p>
      <w:pPr>
        <w:pStyle w:val="FirstParagraph"/>
      </w:pPr>
      <w:r>
        <w:rPr>
          <w:bCs/>
          <w:b/>
        </w:rPr>
        <w:t xml:space="preserve">Platform:</w:t>
      </w:r>
      <w:r>
        <w:t xml:space="preserve"> </w:t>
      </w:r>
      <w:r>
        <w:t xml:space="preserve">Cloudflare Pages — Global CDN, automatic SSL/TLS, DDoS protection, edge caching.</w:t>
      </w:r>
    </w:p>
    <w:bookmarkEnd w:id="76"/>
    <w:bookmarkStart w:id="77" w:name="performance"/>
    <w:p>
      <w:pPr>
        <w:pStyle w:val="Heading3"/>
      </w:pPr>
      <w:r>
        <w:t xml:space="preserve">4.8.3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rPr>
                <w:bCs/>
                <w:b/>
              </w:rPr>
              <w:t xml:space="preserve">Page load time</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Uptime</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 grade</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Total cost</w:t>
            </w:r>
          </w:p>
        </w:tc>
        <w:tc>
          <w:tcPr/>
          <w:p>
            <w:pPr>
              <w:pStyle w:val="Compact"/>
              <w:jc w:val="left"/>
            </w:pPr>
            <w:r>
              <w:t xml:space="preserve">EUR 0/month</w:t>
            </w:r>
          </w:p>
        </w:tc>
        <w:tc>
          <w:tcPr/>
          <w:p>
            <w:pPr>
              <w:pStyle w:val="Compact"/>
              <w:jc w:val="left"/>
            </w:pPr>
            <w:r>
              <w:t xml:space="preserve">EUR 0/month</w:t>
            </w:r>
          </w:p>
        </w:tc>
      </w:tr>
    </w:tbl>
    <w:p>
      <w:r>
        <w:pict>
          <v:rect style="width:0;height:1.5pt" o:hralign="center" o:hrstd="t" o:hr="t"/>
        </w:pict>
      </w:r>
    </w:p>
    <w:bookmarkEnd w:id="77"/>
    <w:bookmarkEnd w:id="78"/>
    <w:bookmarkEnd w:id="79"/>
    <w:bookmarkStart w:id="87" w:name="implementation-mvp-phase"/>
    <w:p>
      <w:pPr>
        <w:pStyle w:val="Heading1"/>
      </w:pPr>
      <w:r>
        <w:t xml:space="preserve">5. Implementation (MVP Phase)</w:t>
      </w:r>
    </w:p>
    <w:p>
      <w:pPr>
        <w:pStyle w:val="FirstParagraph"/>
      </w:pPr>
      <w:r>
        <w:t xml:space="preserve">This chapter documents the Firehorse operating model implementation during the MVP phase (December 2025 - February 2026).</w:t>
      </w:r>
    </w:p>
    <w:bookmarkStart w:id="82" w:name="infrastructure-deployment"/>
    <w:p>
      <w:pPr>
        <w:pStyle w:val="Heading2"/>
      </w:pPr>
      <w:r>
        <w:t xml:space="preserve">5.1 Infrastructure Deployment</w:t>
      </w:r>
    </w:p>
    <w:bookmarkStart w:id="80" w:name="cloud-infrastructure"/>
    <w:p>
      <w:pPr>
        <w:pStyle w:val="Heading3"/>
      </w:pPr>
      <w:r>
        <w:t xml:space="preserve">5.1.1 Cloud Infrastructure</w:t>
      </w:r>
    </w:p>
    <w:p>
      <w:pPr>
        <w:pStyle w:val="FirstParagraph"/>
      </w:pPr>
      <w:r>
        <w:rPr>
          <w:bCs/>
          <w:b/>
        </w:rPr>
        <w:t xml:space="preserve">Google Cloud Run (europe-north1):</w:t>
      </w:r>
    </w:p>
    <w:p>
      <w:pPr>
        <w:numPr>
          <w:ilvl w:val="0"/>
          <w:numId w:val="1032"/>
        </w:numPr>
        <w:pStyle w:val="Compact"/>
      </w:pPr>
      <w:r>
        <w:t xml:space="preserve">MCP Hub deployed on port 8765</w:t>
      </w:r>
    </w:p>
    <w:p>
      <w:pPr>
        <w:numPr>
          <w:ilvl w:val="0"/>
          <w:numId w:val="1032"/>
        </w:numPr>
        <w:pStyle w:val="Compact"/>
      </w:pPr>
      <w:r>
        <w:t xml:space="preserve">Supabase MCP Server on port 8766</w:t>
      </w:r>
    </w:p>
    <w:p>
      <w:pPr>
        <w:numPr>
          <w:ilvl w:val="0"/>
          <w:numId w:val="1032"/>
        </w:numPr>
        <w:pStyle w:val="Compact"/>
      </w:pPr>
      <w:r>
        <w:t xml:space="preserve">FastAPI-based Groq API Router</w:t>
      </w:r>
    </w:p>
    <w:p>
      <w:pPr>
        <w:numPr>
          <w:ilvl w:val="0"/>
          <w:numId w:val="1032"/>
        </w:numPr>
        <w:pStyle w:val="Compact"/>
      </w:pPr>
      <w:r>
        <w:t xml:space="preserve">Automatic scaling and GDPR-compliant data residency</w:t>
      </w:r>
    </w:p>
    <w:bookmarkEnd w:id="80"/>
    <w:bookmarkStart w:id="81" w:name="database-architecture"/>
    <w:p>
      <w:pPr>
        <w:pStyle w:val="Heading3"/>
      </w:pPr>
      <w:r>
        <w:t xml:space="preserve">5.1.2 Database Architecture</w:t>
      </w:r>
    </w:p>
    <w:p>
      <w:pPr>
        <w:pStyle w:val="FirstParagraph"/>
      </w:pPr>
      <w:r>
        <w:rPr>
          <w:bCs/>
          <w:b/>
        </w:rPr>
        <w:t xml:space="preserve">Supabase PostgreSQL + pgvector:</w:t>
      </w:r>
    </w:p>
    <w:p>
      <w:pPr>
        <w:numPr>
          <w:ilvl w:val="0"/>
          <w:numId w:val="1033"/>
        </w:numPr>
        <w:pStyle w:val="Compact"/>
      </w:pPr>
      <w:r>
        <w:t xml:space="preserve">Users and Organizations tables with RLS policies</w:t>
      </w:r>
    </w:p>
    <w:p>
      <w:pPr>
        <w:numPr>
          <w:ilvl w:val="0"/>
          <w:numId w:val="1033"/>
        </w:numPr>
        <w:pStyle w:val="Compact"/>
      </w:pPr>
      <w:r>
        <w:t xml:space="preserve">Agent memory and conversation storage</w:t>
      </w:r>
    </w:p>
    <w:p>
      <w:pPr>
        <w:numPr>
          <w:ilvl w:val="0"/>
          <w:numId w:val="1033"/>
        </w:numPr>
        <w:pStyle w:val="Compact"/>
      </w:pPr>
      <w:r>
        <w:t xml:space="preserve">Vector embeddings for semantic search</w:t>
      </w:r>
    </w:p>
    <w:bookmarkEnd w:id="81"/>
    <w:bookmarkEnd w:id="82"/>
    <w:bookmarkStart w:id="84" w:name="agent-development"/>
    <w:p>
      <w:pPr>
        <w:pStyle w:val="Heading2"/>
      </w:pPr>
      <w:r>
        <w:t xml:space="preserve">5.2 Agent Development</w:t>
      </w:r>
    </w:p>
    <w:p>
      <w:pPr>
        <w:pStyle w:val="FirstParagraph"/>
      </w:pPr>
      <w:r>
        <w:t xml:space="preserve">The 10-agent development fleet is coordinated using the Lifetime Scope Signals protocol:</w:t>
      </w:r>
    </w:p>
    <w:p>
      <w:pPr>
        <w:pStyle w:val="BodyText"/>
      </w:pPr>
      <w:r>
        <w:rPr>
          <w:bCs/>
          <w:b/>
        </w:rPr>
        <w:t xml:space="preserve">Phase 1 (Foundation):</w:t>
      </w:r>
      <w:r>
        <w:t xml:space="preserve"> </w:t>
      </w:r>
      <w:r>
        <w:t xml:space="preserve">Agent-01: DWS IQ Login, Agent-07: Supabase Database, Agent-10: Documentation</w:t>
      </w:r>
    </w:p>
    <w:p>
      <w:pPr>
        <w:pStyle w:val="BodyText"/>
      </w:pPr>
      <w:r>
        <w:rPr>
          <w:bCs/>
          <w:b/>
        </w:rPr>
        <w:t xml:space="preserve">Phase 2 (Core Backend):</w:t>
      </w:r>
      <w:r>
        <w:t xml:space="preserve"> </w:t>
      </w:r>
      <w:r>
        <w:t xml:space="preserve">Agent-02: Firehorse Apps, Agent-04: AI Agents, Agent-09: Email System</w:t>
      </w:r>
    </w:p>
    <w:p>
      <w:pPr>
        <w:pStyle w:val="BodyText"/>
      </w:pPr>
      <w:r>
        <w:rPr>
          <w:bCs/>
          <w:b/>
        </w:rPr>
        <w:t xml:space="preserve">Phase 3 (Frontend):</w:t>
      </w:r>
      <w:r>
        <w:t xml:space="preserve"> </w:t>
      </w:r>
      <w:r>
        <w:t xml:space="preserve">Agent-03: Customer Dashboard, Agent-05: Mobile Dashboard</w:t>
      </w:r>
    </w:p>
    <w:bookmarkStart w:id="83" w:name="Xe34103d6f6338e81c4afe341430761bb75afe61"/>
    <w:p>
      <w:pPr>
        <w:pStyle w:val="Heading3"/>
      </w:pPr>
      <w:r>
        <w:t xml:space="preserve">5.2.1 Milestone: Agents → Loops → Workflows (June 2026)</w:t>
      </w:r>
    </w:p>
    <w:p>
      <w:pPr>
        <w:pStyle w:val="FirstParagraph"/>
      </w:pPr>
      <w:r>
        <w:t xml:space="preserve">By 2026-06-20, the initial 10-agent development fleet has scaled to a 50-agent production system, completing all three layers of the AI-native stack:</w:t>
      </w:r>
    </w:p>
    <w:p>
      <w:pPr>
        <w:pStyle w:val="BodyText"/>
      </w:pPr>
      <w:r>
        <w:rPr>
          <w:bCs/>
          <w:b/>
        </w:rPr>
        <w:t xml:space="preserve">Layer 1 — Agents (Foundation).</w:t>
      </w:r>
      <w:r>
        <w:t xml:space="preserve"> </w:t>
      </w:r>
      <w:r>
        <w:t xml:space="preserve">All 50 production Skilled Agents registered in</w:t>
      </w:r>
      <w:r>
        <w:t xml:space="preserve"> </w:t>
      </w:r>
      <w:r>
        <w:rPr>
          <w:rStyle w:val="VerbatimChar"/>
        </w:rPr>
        <w:t xml:space="preserve">src/agents/index.ts</w:t>
      </w:r>
      <w:r>
        <w:t xml:space="preserve"> </w:t>
      </w:r>
      <w:r>
        <w:t xml:space="preserve">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The three-tier agent taxonomy (§14.17 of the companion PhD thesis) structures the fleet: six orchestrators (Atlas, Athena, Hephaestus, Iris, Hermes, Apollo) coordinate 20 Industrial Specialist Agents — one per EU-regulated industry vertical — plus horizontal expansion agents covering compliance, quality assurance, SEO, research, and intelligence gathering.</w:t>
      </w:r>
    </w:p>
    <w:p>
      <w:pPr>
        <w:pStyle w:val="BodyText"/>
      </w:pPr>
      <w:r>
        <w:rPr>
          <w:bCs/>
          <w:b/>
        </w:rPr>
        <w:t xml:space="preserve">Layer 2 — Loops (Maker–Checker cycle).</w:t>
      </w:r>
      <w:r>
        <w:t xml:space="preserve"> </w:t>
      </w:r>
      <w:r>
        <w:t xml:space="preserve">Loop Engineering shipped 2026-06-08 (PR #1447, commit d34876a). The Maker–Checker cycle in</w:t>
      </w:r>
      <w:r>
        <w:t xml:space="preserve"> </w:t>
      </w:r>
      <w:r>
        <w:rPr>
          <w:rStyle w:val="VerbatimChar"/>
        </w:rPr>
        <w:t xml:space="preserve">src/agents/loop-engineering/</w:t>
      </w:r>
      <w:r>
        <w:t xml:space="preserve"> </w:t>
      </w:r>
      <w:r>
        <w:t xml:space="preserve">introduces self-correction as a first-class runtime primitive: a Maker agent proposes a compliance outcome; a Checker agent validates it against the same ledger-native output contract; the loop continues until the outcome passes or the budget gate terminates it. The implementation includes disk-persisted state (crash-tolerant across multi-hour document lifecycles), a configurable budget gate, a safety gate, and full resumability. This satisfies EU AI Act Article 12 (audit logging), Article 14 (human oversight via mandatory stop conditions), and Article 15 (robustness via persistence and resumability) at the primitive level.</w:t>
      </w:r>
    </w:p>
    <w:p>
      <w:pPr>
        <w:pStyle w:val="BodyText"/>
      </w:pPr>
      <w:r>
        <w:rPr>
          <w:bCs/>
          <w:b/>
        </w:rPr>
        <w:t xml:space="preserve">Layer 3 — Workflows (Multi-agent orchestration).</w:t>
      </w:r>
      <w:r>
        <w:t xml:space="preserve"> </w:t>
      </w:r>
      <w:r>
        <w:t xml:space="preserve">Multi-agent orchestration via the</w:t>
      </w:r>
      <w:r>
        <w:t xml:space="preserve"> </w:t>
      </w:r>
      <w:r>
        <w:rPr>
          <w:rStyle w:val="VerbatimChar"/>
        </w:rPr>
        <w:t xml:space="preserve">/workflow</w:t>
      </w:r>
      <w:r>
        <w:t xml:space="preserve"> </w:t>
      </w:r>
      <w:r>
        <w:t xml:space="preserve">skill and</w:t>
      </w:r>
      <w:r>
        <w:t xml:space="preserve"> </w:t>
      </w:r>
      <w:r>
        <w:rPr>
          <w:rStyle w:val="VerbatimChar"/>
        </w:rPr>
        <w:t xml:space="preserve">src/agents/workflow/</w:t>
      </w:r>
      <w:r>
        <w:t xml:space="preserve"> </w:t>
      </w:r>
      <w:r>
        <w:t xml:space="preserve">orchestrators is live. The MCP Hub supports three composition patterns: fan-out (parallel agents resolving independent sub-tasks simultaneously), sequential (ordered chain where each agent receives the prior agent’s ledger-native output), and reflection (output fed back for revision). All three patterns are in production use for CSRD, CBAM, and EU AI Act compliance assessments.</w:t>
      </w:r>
    </w:p>
    <w:tbl>
      <w:tblPr>
        <w:tblStyle w:val="Table"/>
        <w:tblW w:type="pct" w:w="5000"/>
        <w:tblLook w:firstRow="1" w:lastRow="0" w:firstColumn="0" w:lastColumn="0" w:noHBand="0" w:noVBand="0" w:val="0020"/>
        <w:jc w:val="start"/>
      </w:tblPr>
      <w:tblGrid>
        <w:gridCol w:w="792"/>
        <w:gridCol w:w="5720"/>
        <w:gridCol w:w="528"/>
        <w:gridCol w:w="8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Shipped</w:t>
            </w:r>
          </w:p>
        </w:tc>
      </w:tr>
      <w:tr>
        <w:tc>
          <w:tcPr/>
          <w:p>
            <w:pPr>
              <w:pStyle w:val="Compact"/>
              <w:jc w:val="left"/>
            </w:pPr>
            <w:r>
              <w:t xml:space="preserve">Agents</w:t>
            </w:r>
          </w:p>
        </w:tc>
        <w:tc>
          <w:tcPr/>
          <w:p>
            <w:pPr>
              <w:pStyle w:val="Compact"/>
              <w:jc w:val="left"/>
            </w:pPr>
            <w:r>
              <w:t xml:space="preserve">50 production Skilled Agents (BaseAgent + ledger-native contract)</w:t>
            </w:r>
          </w:p>
        </w:tc>
        <w:tc>
          <w:tcPr/>
          <w:p>
            <w:pPr>
              <w:pStyle w:val="Compact"/>
              <w:jc w:val="left"/>
            </w:pPr>
            <w:r>
              <w:t xml:space="preserve">Live</w:t>
            </w:r>
          </w:p>
        </w:tc>
        <w:tc>
          <w:tcPr/>
          <w:p>
            <w:pPr>
              <w:pStyle w:val="Compact"/>
              <w:jc w:val="left"/>
            </w:pPr>
            <w:r>
              <w:t xml:space="preserve">2026-06-20</w:t>
            </w:r>
          </w:p>
        </w:tc>
      </w:tr>
      <w:tr>
        <w:tc>
          <w:tcPr/>
          <w:p>
            <w:pPr>
              <w:pStyle w:val="Compact"/>
              <w:jc w:val="left"/>
            </w:pPr>
            <w:r>
              <w:t xml:space="preserve">Loops</w:t>
            </w:r>
          </w:p>
        </w:tc>
        <w:tc>
          <w:tcPr/>
          <w:p>
            <w:pPr>
              <w:pStyle w:val="Compact"/>
              <w:jc w:val="left"/>
            </w:pPr>
            <w:r>
              <w:t xml:space="preserve">Maker–Checker cycle (PR #1447)</w:t>
            </w:r>
          </w:p>
        </w:tc>
        <w:tc>
          <w:tcPr/>
          <w:p>
            <w:pPr>
              <w:pStyle w:val="Compact"/>
              <w:jc w:val="left"/>
            </w:pPr>
            <w:r>
              <w:t xml:space="preserve">Live</w:t>
            </w:r>
          </w:p>
        </w:tc>
        <w:tc>
          <w:tcPr/>
          <w:p>
            <w:pPr>
              <w:pStyle w:val="Compact"/>
              <w:jc w:val="left"/>
            </w:pPr>
            <w:r>
              <w:t xml:space="preserve">2026-06-08</w:t>
            </w:r>
          </w:p>
        </w:tc>
      </w:tr>
      <w:tr>
        <w:tc>
          <w:tcPr/>
          <w:p>
            <w:pPr>
              <w:pStyle w:val="Compact"/>
              <w:jc w:val="left"/>
            </w:pPr>
            <w:r>
              <w:t xml:space="preserve">Workflows</w:t>
            </w:r>
          </w:p>
        </w:tc>
        <w:tc>
          <w:tcPr/>
          <w:p>
            <w:pPr>
              <w:pStyle w:val="Compact"/>
              <w:jc w:val="left"/>
            </w:pPr>
            <w:r>
              <w:t xml:space="preserve">MCP Hub fan-out/sequential/reflection</w:t>
            </w:r>
          </w:p>
        </w:tc>
        <w:tc>
          <w:tcPr/>
          <w:p>
            <w:pPr>
              <w:pStyle w:val="Compact"/>
              <w:jc w:val="left"/>
            </w:pPr>
            <w:r>
              <w:t xml:space="preserve">Live</w:t>
            </w:r>
          </w:p>
        </w:tc>
        <w:tc>
          <w:tcPr/>
          <w:p>
            <w:pPr>
              <w:pStyle w:val="Compact"/>
              <w:jc w:val="left"/>
            </w:pPr>
            <w:r>
              <w:t xml:space="preserve">2026-06-20</w:t>
            </w:r>
          </w:p>
        </w:tc>
      </w:tr>
    </w:tbl>
    <w:bookmarkEnd w:id="83"/>
    <w:bookmarkEnd w:id="84"/>
    <w:bookmarkStart w:id="85" w:name="customer-onboarding"/>
    <w:p>
      <w:pPr>
        <w:pStyle w:val="Heading2"/>
      </w:pPr>
      <w:r>
        <w:t xml:space="preserve">5.3 Customer Onboarding</w:t>
      </w:r>
    </w:p>
    <w:p>
      <w:pPr>
        <w:pStyle w:val="FirstParagraph"/>
      </w:pPr>
      <w:r>
        <w:rPr>
          <w:bCs/>
          <w:b/>
        </w:rPr>
        <w:t xml:space="preserve">Pilot customers (Validated):</w:t>
      </w:r>
    </w:p>
    <w:p>
      <w:pPr>
        <w:numPr>
          <w:ilvl w:val="0"/>
          <w:numId w:val="1034"/>
        </w:numPr>
        <w:pStyle w:val="Compact"/>
      </w:pPr>
      <w:r>
        <w:rPr>
          <w:bCs/>
          <w:b/>
        </w:rPr>
        <w:t xml:space="preserve">Logistics:</w:t>
      </w:r>
      <w:r>
        <w:t xml:space="preserve"> </w:t>
      </w:r>
      <w:r>
        <w:t xml:space="preserve">Uber Taxi Helsinki, Bolt (Europe), Kela</w:t>
      </w:r>
    </w:p>
    <w:p>
      <w:pPr>
        <w:numPr>
          <w:ilvl w:val="0"/>
          <w:numId w:val="1034"/>
        </w:numPr>
        <w:pStyle w:val="Compact"/>
      </w:pPr>
      <w:r>
        <w:rPr>
          <w:bCs/>
          <w:b/>
        </w:rPr>
        <w:t xml:space="preserve">Construction:</w:t>
      </w:r>
      <w:r>
        <w:t xml:space="preserve"> </w:t>
      </w:r>
      <w:r>
        <w:t xml:space="preserve">NCC, T2H (5 projects, EUR 50M portfolio)</w:t>
      </w:r>
    </w:p>
    <w:p>
      <w:pPr>
        <w:numPr>
          <w:ilvl w:val="0"/>
          <w:numId w:val="1034"/>
        </w:numPr>
        <w:pStyle w:val="Compact"/>
      </w:pPr>
      <w:r>
        <w:rPr>
          <w:bCs/>
          <w:b/>
        </w:rPr>
        <w:t xml:space="preserve">Revenue during pilot:</w:t>
      </w:r>
      <w:r>
        <w:t xml:space="preserve"> </w:t>
      </w:r>
      <w:r>
        <w:t xml:space="preserve">EUR 10k MRR</w:t>
      </w:r>
    </w:p>
    <w:bookmarkEnd w:id="85"/>
    <w:bookmarkStart w:id="86" w:name="implementation-results"/>
    <w:p>
      <w:pPr>
        <w:pStyle w:val="Heading2"/>
      </w:pPr>
      <w:r>
        <w:t xml:space="preserve">5.4 Implementation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Development velocity</w:t>
            </w:r>
          </w:p>
        </w:tc>
        <w:tc>
          <w:tcPr/>
          <w:p>
            <w:pPr>
              <w:pStyle w:val="Compact"/>
              <w:jc w:val="left"/>
            </w:pPr>
            <w:r>
              <w:t xml:space="preserve">+50%</w:t>
            </w:r>
          </w:p>
        </w:tc>
        <w:tc>
          <w:tcPr/>
          <w:p>
            <w:pPr>
              <w:pStyle w:val="Compact"/>
              <w:jc w:val="left"/>
            </w:pPr>
            <w:r>
              <w:t xml:space="preserve">+62% (with MCP Hub)</w:t>
            </w:r>
          </w:p>
        </w:tc>
      </w:tr>
      <w:tr>
        <w:tc>
          <w:tcPr/>
          <w:p>
            <w:pPr>
              <w:pStyle w:val="Compact"/>
              <w:jc w:val="left"/>
            </w:pPr>
            <w:r>
              <w:t xml:space="preserve">Bug reduction</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Time to first customer</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Agent deployment time</w:t>
            </w:r>
          </w:p>
        </w:tc>
        <w:tc>
          <w:tcPr/>
          <w:p>
            <w:pPr>
              <w:pStyle w:val="Compact"/>
              <w:jc w:val="left"/>
            </w:pPr>
            <w:r>
              <w:t xml:space="preserve">7 days</w:t>
            </w:r>
          </w:p>
        </w:tc>
        <w:tc>
          <w:tcPr/>
          <w:p>
            <w:pPr>
              <w:pStyle w:val="Compact"/>
              <w:jc w:val="left"/>
            </w:pPr>
            <w:r>
              <w:t xml:space="preserve">3 days (with templates)</w:t>
            </w:r>
          </w:p>
        </w:tc>
      </w:tr>
    </w:tbl>
    <w:p>
      <w:r>
        <w:pict>
          <v:rect style="width:0;height:1.5pt" o:hralign="center" o:hrstd="t" o:hr="t"/>
        </w:pict>
      </w:r>
    </w:p>
    <w:bookmarkEnd w:id="86"/>
    <w:bookmarkEnd w:id="87"/>
    <w:bookmarkStart w:id="102" w:name="dws10.com-e-commerce-integration"/>
    <w:p>
      <w:pPr>
        <w:pStyle w:val="Heading1"/>
      </w:pPr>
      <w:r>
        <w:t xml:space="preserve">6. DWS10.com E-Commerce Integration</w:t>
      </w:r>
    </w:p>
    <w:bookmarkStart w:id="88" w:name="store-architecture"/>
    <w:p>
      <w:pPr>
        <w:pStyle w:val="Heading2"/>
      </w:pPr>
      <w:r>
        <w:t xml:space="preserve">6.1 Store Architecture</w:t>
      </w:r>
    </w:p>
    <w:p>
      <w:pPr>
        <w:pStyle w:val="FirstParagraph"/>
      </w:pPr>
      <w:r>
        <w:t xml:space="preserve">The DWS10.com store validates the Firehorse operating model through direct sales:</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Centralized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docs/                   # Documentation</w:t>
      </w:r>
    </w:p>
    <w:bookmarkEnd w:id="88"/>
    <w:bookmarkStart w:id="89" w:name="product-catalog"/>
    <w:p>
      <w:pPr>
        <w:pStyle w:val="Heading2"/>
      </w:pPr>
      <w:r>
        <w:t xml:space="preserve">6.2 Product Catalog</w:t>
      </w:r>
    </w:p>
    <w:tbl>
      <w:tblPr>
        <w:tblStyle w:val="Table"/>
        <w:tblW w:type="pct" w:w="5000"/>
        <w:tblLook w:firstRow="1" w:lastRow="0" w:firstColumn="0" w:lastColumn="0" w:noHBand="0" w:noVBand="0" w:val="0020"/>
        <w:jc w:val="start"/>
      </w:tblPr>
      <w:tblGrid>
        <w:gridCol w:w="2168"/>
        <w:gridCol w:w="754"/>
        <w:gridCol w:w="1602"/>
        <w:gridCol w:w="3394"/>
      </w:tblGrid>
      <w:tr>
        <w:trPr>
          <w:tblHeader w:val="true"/>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Price Range</w:t>
            </w:r>
          </w:p>
        </w:tc>
        <w:tc>
          <w:tcPr/>
          <w:p>
            <w:pPr>
              <w:pStyle w:val="Compact"/>
              <w:jc w:val="left"/>
            </w:pPr>
            <w:r>
              <w:t xml:space="preserve">Examples</w:t>
            </w:r>
          </w:p>
        </w:tc>
      </w:tr>
      <w:tr>
        <w:tc>
          <w:tcPr/>
          <w:p>
            <w:pPr>
              <w:pStyle w:val="Compact"/>
              <w:jc w:val="left"/>
            </w:pPr>
            <w:r>
              <w:t xml:space="preserve">Platform Software</w:t>
            </w:r>
          </w:p>
        </w:tc>
        <w:tc>
          <w:tcPr/>
          <w:p>
            <w:pPr>
              <w:pStyle w:val="Compact"/>
              <w:jc w:val="left"/>
            </w:pPr>
            <w:r>
              <w:t xml:space="preserve">2</w:t>
            </w:r>
          </w:p>
        </w:tc>
        <w:tc>
          <w:tcPr/>
          <w:p>
            <w:pPr>
              <w:pStyle w:val="Compact"/>
              <w:jc w:val="left"/>
            </w:pPr>
            <w:r>
              <w:t xml:space="preserve">EUR 4,999 - 6,995</w:t>
            </w:r>
          </w:p>
        </w:tc>
        <w:tc>
          <w:tcPr/>
          <w:p>
            <w:pPr>
              <w:pStyle w:val="Compact"/>
              <w:jc w:val="left"/>
            </w:pPr>
            <w:r>
              <w:t xml:space="preserve">DWS IQ v5, v6</w:t>
            </w:r>
          </w:p>
        </w:tc>
      </w:tr>
      <w:tr>
        <w:tc>
          <w:tcPr/>
          <w:p>
            <w:pPr>
              <w:pStyle w:val="Compact"/>
              <w:jc w:val="left"/>
            </w:pPr>
            <w:r>
              <w:t xml:space="preserve">Firehorse Product Suite</w:t>
            </w:r>
          </w:p>
        </w:tc>
        <w:tc>
          <w:tcPr/>
          <w:p>
            <w:pPr>
              <w:pStyle w:val="Compact"/>
              <w:jc w:val="left"/>
            </w:pPr>
            <w:r>
              <w:t xml:space="preserve">6</w:t>
            </w:r>
          </w:p>
        </w:tc>
        <w:tc>
          <w:tcPr/>
          <w:p>
            <w:pPr>
              <w:pStyle w:val="Compact"/>
              <w:jc w:val="left"/>
            </w:pPr>
            <w:r>
              <w:t xml:space="preserve">EUR 499 - 4,950</w:t>
            </w:r>
          </w:p>
        </w:tc>
        <w:tc>
          <w:tcPr/>
          <w:p>
            <w:pPr>
              <w:pStyle w:val="Compact"/>
              <w:jc w:val="left"/>
            </w:pPr>
            <w:r>
              <w:t xml:space="preserve">Automation, Report, CMS, Omnichannel</w:t>
            </w:r>
          </w:p>
        </w:tc>
      </w:tr>
      <w:tr>
        <w:tc>
          <w:tcPr/>
          <w:p>
            <w:pPr>
              <w:pStyle w:val="Compact"/>
              <w:jc w:val="left"/>
            </w:pPr>
            <w:r>
              <w:t xml:space="preserve">Consulting Services</w:t>
            </w:r>
          </w:p>
        </w:tc>
        <w:tc>
          <w:tcPr/>
          <w:p>
            <w:pPr>
              <w:pStyle w:val="Compact"/>
              <w:jc w:val="left"/>
            </w:pPr>
            <w:r>
              <w:t xml:space="preserve">12</w:t>
            </w:r>
          </w:p>
        </w:tc>
        <w:tc>
          <w:tcPr/>
          <w:p>
            <w:pPr>
              <w:pStyle w:val="Compact"/>
              <w:jc w:val="left"/>
            </w:pPr>
            <w:r>
              <w:t xml:space="preserve">EUR 98 - 6,250</w:t>
            </w:r>
          </w:p>
        </w:tc>
        <w:tc>
          <w:tcPr/>
          <w:p>
            <w:pPr>
              <w:pStyle w:val="Compact"/>
              <w:jc w:val="left"/>
            </w:pPr>
            <w:r>
              <w:t xml:space="preserve">Hourly, monthly, workshop pricing</w:t>
            </w:r>
          </w:p>
        </w:tc>
      </w:tr>
      <w:tr>
        <w:tc>
          <w:tcPr/>
          <w:p>
            <w:pPr>
              <w:pStyle w:val="Compact"/>
              <w:jc w:val="left"/>
            </w:pPr>
            <w:r>
              <w:t xml:space="preserve">Training &amp; Coaching</w:t>
            </w:r>
          </w:p>
        </w:tc>
        <w:tc>
          <w:tcPr/>
          <w:p>
            <w:pPr>
              <w:pStyle w:val="Compact"/>
              <w:jc w:val="left"/>
            </w:pPr>
            <w:r>
              <w:t xml:space="preserve">4</w:t>
            </w:r>
          </w:p>
        </w:tc>
        <w:tc>
          <w:tcPr/>
          <w:p>
            <w:pPr>
              <w:pStyle w:val="Compact"/>
              <w:jc w:val="left"/>
            </w:pPr>
            <w:r>
              <w:t xml:space="preserve">EUR 499 - 6,250</w:t>
            </w:r>
          </w:p>
        </w:tc>
        <w:tc>
          <w:tcPr/>
          <w:p>
            <w:pPr>
              <w:pStyle w:val="Compact"/>
              <w:jc w:val="left"/>
            </w:pPr>
            <w:r>
              <w:t xml:space="preserve">AI Training, Coach, Mentor</w:t>
            </w:r>
          </w:p>
        </w:tc>
      </w:tr>
      <w:tr>
        <w:tc>
          <w:tcPr/>
          <w:p>
            <w:pPr>
              <w:pStyle w:val="Compact"/>
              <w:jc w:val="left"/>
            </w:pPr>
            <w:r>
              <w:t xml:space="preserve">Digital Products</w:t>
            </w:r>
          </w:p>
        </w:tc>
        <w:tc>
          <w:tcPr/>
          <w:p>
            <w:pPr>
              <w:pStyle w:val="Compact"/>
              <w:jc w:val="left"/>
            </w:pPr>
            <w:r>
              <w:t xml:space="preserve">6</w:t>
            </w:r>
          </w:p>
        </w:tc>
        <w:tc>
          <w:tcPr/>
          <w:p>
            <w:pPr>
              <w:pStyle w:val="Compact"/>
              <w:jc w:val="left"/>
            </w:pPr>
            <w:r>
              <w:t xml:space="preserve">EUR 0.99 - 799</w:t>
            </w:r>
          </w:p>
        </w:tc>
        <w:tc>
          <w:tcPr/>
          <w:p>
            <w:pPr>
              <w:pStyle w:val="Compact"/>
              <w:jc w:val="left"/>
            </w:pPr>
            <w:r>
              <w:t xml:space="preserve">Glossaries, websites</w:t>
            </w:r>
          </w:p>
        </w:tc>
      </w:tr>
    </w:tbl>
    <w:p>
      <w:pPr>
        <w:pStyle w:val="BodyText"/>
      </w:pPr>
      <w:r>
        <w:rPr>
          <w:bCs/>
          <w:b/>
        </w:rPr>
        <w:t xml:space="preserve">Total:</w:t>
      </w:r>
      <w:r>
        <w:t xml:space="preserve"> </w:t>
      </w:r>
      <w:r>
        <w:t xml:space="preserve">30 products with full Google Merchant compliance</w:t>
      </w:r>
    </w:p>
    <w:bookmarkEnd w:id="89"/>
    <w:bookmarkStart w:id="92" w:name="google-merchant-center-integration"/>
    <w:p>
      <w:pPr>
        <w:pStyle w:val="Heading2"/>
      </w:pPr>
      <w:r>
        <w:t xml:space="preserve">6.3 Google Merchant Center Integration</w:t>
      </w:r>
    </w:p>
    <w:bookmarkStart w:id="90" w:name="account-configuration"/>
    <w:p>
      <w:pPr>
        <w:pStyle w:val="Heading3"/>
      </w:pPr>
      <w:r>
        <w:t xml:space="preserve">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bl>
    <w:bookmarkEnd w:id="90"/>
    <w:bookmarkStart w:id="91" w:name="historical-issues-resolved"/>
    <w:p>
      <w:pPr>
        <w:pStyle w:val="Heading3"/>
      </w:pPr>
      <w:r>
        <w:t xml:space="preserve">Historical Issues Resolved</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Harmonized IDs in products.json</w:t>
            </w:r>
          </w:p>
        </w:tc>
      </w:tr>
      <w:tr>
        <w:tc>
          <w:tcPr/>
          <w:p>
            <w:pPr>
              <w:pStyle w:val="Compact"/>
              <w:jc w:val="left"/>
            </w:pPr>
            <w:r>
              <w:t xml:space="preserve">identifier_exists error</w:t>
            </w:r>
          </w:p>
        </w:tc>
        <w:tc>
          <w:tcPr/>
          <w:p>
            <w:pPr>
              <w:pStyle w:val="Compact"/>
              <w:jc w:val="left"/>
            </w:pPr>
            <w:r>
              <w:t xml:space="preserve">Set to false when MPN+brand present</w:t>
            </w:r>
          </w:p>
        </w:tc>
        <w:tc>
          <w:tcPr/>
          <w:p>
            <w:pPr>
              <w:pStyle w:val="Compact"/>
              <w:jc w:val="left"/>
            </w:pPr>
            <w:r>
              <w:t xml:space="preserve">Removed field entirely</w:t>
            </w:r>
          </w:p>
        </w:tc>
      </w:tr>
      <w:tr>
        <w:tc>
          <w:tcPr/>
          <w:p>
            <w:pPr>
              <w:pStyle w:val="Compact"/>
              <w:jc w:val="left"/>
            </w:pPr>
            <w:r>
              <w:t xml:space="preserve">Missing checkout links</w:t>
            </w:r>
          </w:p>
        </w:tc>
        <w:tc>
          <w:tcPr/>
          <w:p>
            <w:pPr>
              <w:pStyle w:val="Compact"/>
              <w:jc w:val="left"/>
            </w:pPr>
            <w:r>
              <w:t xml:space="preserve">Payment URL not configured</w:t>
            </w:r>
          </w:p>
        </w:tc>
        <w:tc>
          <w:tcPr/>
          <w:p>
            <w:pPr>
              <w:pStyle w:val="Compact"/>
              <w:jc w:val="left"/>
            </w:pPr>
            <w:r>
              <w:t xml:space="preserve">Added Revolut links</w:t>
            </w:r>
          </w:p>
        </w:tc>
      </w:tr>
    </w:tbl>
    <w:bookmarkEnd w:id="91"/>
    <w:bookmarkEnd w:id="92"/>
    <w:bookmarkStart w:id="94" w:name="revolut-business-payment-integration"/>
    <w:p>
      <w:pPr>
        <w:pStyle w:val="Heading2"/>
      </w:pPr>
      <w:r>
        <w:t xml:space="preserve">6.4 Revolut Business Payment Integration</w:t>
      </w:r>
    </w:p>
    <w:bookmarkStart w:id="93" w:name="why-revolut-business"/>
    <w:p>
      <w:pPr>
        <w:pStyle w:val="Heading3"/>
      </w:pPr>
      <w:r>
        <w:t xml:space="preserve">Why Revolut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availability</w:t>
            </w:r>
          </w:p>
        </w:tc>
      </w:tr>
      <w:tr>
        <w:tc>
          <w:tcPr/>
          <w:p>
            <w:pPr>
              <w:pStyle w:val="Compact"/>
              <w:jc w:val="left"/>
            </w:pPr>
            <w:r>
              <w:t xml:space="preserve">Multi-currency support</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EUR 0.20 per transaction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93"/>
    <w:bookmarkEnd w:id="94"/>
    <w:bookmarkStart w:id="96" w:name="X73f56bd13c2b3815341f372bf18ac6e57a06f3f"/>
    <w:p>
      <w:pPr>
        <w:pStyle w:val="Heading2"/>
      </w:pPr>
      <w:r>
        <w:t xml:space="preserve">6.5 Firehorse Operating Model for Store Management</w:t>
      </w:r>
    </w:p>
    <w:p>
      <w:pPr>
        <w:pStyle w:val="FirstParagraph"/>
      </w:pPr>
      <w:r>
        <w:t xml:space="preserve">The store is managed using the Firehorse operating model with Claude Code:</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--&gt; |  Claude Code | --&gt;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Artifacts   |     |   Outcomes   |       |</w:t>
      </w:r>
      <w:r>
        <w:br/>
      </w:r>
      <w:r>
        <w:rPr>
          <w:rStyle w:val="VerbatimChar"/>
        </w:rPr>
        <w:t xml:space="preserve">|                   | (Code, Docs) |     | (Deployments)|       |</w:t>
      </w:r>
      <w:r>
        <w:br/>
      </w:r>
      <w:r>
        <w:rPr>
          <w:rStyle w:val="VerbatimChar"/>
        </w:rPr>
        <w:t xml:space="preserve">|                   +--------------+     +--------------+       |</w:t>
      </w:r>
      <w:r>
        <w:br/>
      </w:r>
      <w:r>
        <w:rPr>
          <w:rStyle w:val="VerbatimChar"/>
        </w:rPr>
        <w:t xml:space="preserve">|                                                               |</w:t>
      </w:r>
      <w:r>
        <w:br/>
      </w:r>
      <w:r>
        <w:rPr>
          <w:rStyle w:val="VerbatimChar"/>
        </w:rPr>
        <w:t xml:space="preserve">+-------------------------------------------------------------+</w:t>
      </w:r>
    </w:p>
    <w:bookmarkStart w:id="95" w:name="operational-efficiency-improvements"/>
    <w:p>
      <w:pPr>
        <w:pStyle w:val="Heading3"/>
      </w:pPr>
      <w:r>
        <w:t xml:space="preserve">Operational Efficiency Improvements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bl>
    <w:bookmarkEnd w:id="95"/>
    <w:bookmarkEnd w:id="96"/>
    <w:bookmarkStart w:id="97" w:name="weekly-maintenance-routine"/>
    <w:p>
      <w:pPr>
        <w:pStyle w:val="Heading2"/>
      </w:pPr>
      <w:r>
        <w:t xml:space="preserve">6.6 Weekly Maintenance Routine</w:t>
      </w:r>
    </w:p>
    <w:tbl>
      <w:tblPr>
        <w:tblStyle w:val="Table"/>
        <w:tblW w:type="pct" w:w="5000"/>
        <w:tblLook w:firstRow="1" w:lastRow="0" w:firstColumn="0" w:lastColumn="0" w:noHBand="0" w:noVBand="0" w:val="0020"/>
        <w:jc w:val="start"/>
      </w:tblPr>
      <w:tblGrid>
        <w:gridCol w:w="1131"/>
        <w:gridCol w:w="5782"/>
        <w:gridCol w:w="1005"/>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Feed health check, Google Merchant diagnostics</w:t>
            </w:r>
          </w:p>
        </w:tc>
        <w:tc>
          <w:tcPr/>
          <w:p>
            <w:pPr>
              <w:pStyle w:val="Compact"/>
              <w:jc w:val="left"/>
            </w:pPr>
            <w:r>
              <w:t xml:space="preserve">15 min</w:t>
            </w:r>
          </w:p>
        </w:tc>
      </w:tr>
      <w:tr>
        <w:tc>
          <w:tcPr/>
          <w:p>
            <w:pPr>
              <w:pStyle w:val="Compact"/>
              <w:jc w:val="left"/>
            </w:pPr>
            <w:r>
              <w:t xml:space="preserve">Wednesday</w:t>
            </w:r>
          </w:p>
        </w:tc>
        <w:tc>
          <w:tcPr/>
          <w:p>
            <w:pPr>
              <w:pStyle w:val="Compact"/>
              <w:jc w:val="left"/>
            </w:pPr>
            <w:r>
              <w:t xml:space="preserve">Performance review, CTR analysis</w:t>
            </w:r>
          </w:p>
        </w:tc>
        <w:tc>
          <w:tcPr/>
          <w:p>
            <w:pPr>
              <w:pStyle w:val="Compact"/>
              <w:jc w:val="left"/>
            </w:pPr>
            <w:r>
              <w:t xml:space="preserve">30 min</w:t>
            </w:r>
          </w:p>
        </w:tc>
      </w:tr>
      <w:tr>
        <w:tc>
          <w:tcPr/>
          <w:p>
            <w:pPr>
              <w:pStyle w:val="Compact"/>
              <w:jc w:val="left"/>
            </w:pPr>
            <w:r>
              <w:t xml:space="preserve">Friday</w:t>
            </w:r>
          </w:p>
        </w:tc>
        <w:tc>
          <w:tcPr/>
          <w:p>
            <w:pPr>
              <w:pStyle w:val="Compact"/>
              <w:jc w:val="left"/>
            </w:pPr>
            <w:r>
              <w:t xml:space="preserve">Optimization, feed upload, Git commit</w:t>
            </w:r>
          </w:p>
        </w:tc>
        <w:tc>
          <w:tcPr/>
          <w:p>
            <w:pPr>
              <w:pStyle w:val="Compact"/>
              <w:jc w:val="left"/>
            </w:pPr>
            <w:r>
              <w:t xml:space="preserve">45 min</w:t>
            </w:r>
          </w:p>
        </w:tc>
      </w:tr>
    </w:tbl>
    <w:bookmarkEnd w:id="97"/>
    <w:bookmarkStart w:id="101" w:name="human-in-the-loop-learning-pipeline-hil"/>
    <w:p>
      <w:pPr>
        <w:pStyle w:val="Heading2"/>
      </w:pPr>
      <w:r>
        <w:t xml:space="preserve">6.7 Human-in-the-Loop Learning Pipeline (HIL)</w:t>
      </w:r>
    </w:p>
    <w:p>
      <w:pPr>
        <w:pStyle w:val="FirstParagraph"/>
      </w:pPr>
      <w:r>
        <w:t xml:space="preserve">The DWS6 platform’s daily operations are managed through an automated Human-in-the-Loop (HIL) learning pipeline, creating a continuous feedback loop between the developer, AI agents, and the codebase.</w:t>
      </w:r>
    </w:p>
    <w:bookmarkStart w:id="98" w:name="pipeline-architecture"/>
    <w:p>
      <w:pPr>
        <w:pStyle w:val="Heading3"/>
      </w:pPr>
      <w:r>
        <w:t xml:space="preserve">Pipeline Architecture</w:t>
      </w:r>
    </w:p>
    <w:p>
      <w:pPr>
        <w:pStyle w:val="SourceCode"/>
      </w:pPr>
      <w:r>
        <w:rPr>
          <w:rStyle w:val="VerbatimChar"/>
        </w:rPr>
        <w:t xml:space="preserve">GitHub (source of truth)</w:t>
      </w:r>
      <w:r>
        <w:br/>
      </w:r>
      <w:r>
        <w:rPr>
          <w:rStyle w:val="VerbatimChar"/>
        </w:rPr>
        <w:t xml:space="preserve">    | git pull (daily, automated via Startup-DailySync.bat)</w:t>
      </w:r>
      <w:r>
        <w:br/>
      </w:r>
      <w:r>
        <w:rPr>
          <w:rStyle w:val="VerbatimChar"/>
        </w:rPr>
        <w:t xml:space="preserve">Local repository (Windows)</w:t>
      </w:r>
      <w:r>
        <w:br/>
      </w:r>
      <w:r>
        <w:rPr>
          <w:rStyle w:val="VerbatimChar"/>
        </w:rPr>
        <w:t xml:space="preserve">    | Sync-ToProton.ps1</w:t>
      </w:r>
      <w:r>
        <w:br/>
      </w:r>
      <w:r>
        <w:rPr>
          <w:rStyle w:val="VerbatimChar"/>
        </w:rPr>
        <w:t xml:space="preserve">Proton Drive (encrypted local backup)</w:t>
      </w:r>
      <w:r>
        <w:br/>
      </w:r>
      <w:r>
        <w:rPr>
          <w:rStyle w:val="VerbatimChar"/>
        </w:rPr>
        <w:t xml:space="preserve">    | Generate-PDFs.ps1 -&gt; styled HTML -&gt; Learn/ folder</w:t>
      </w:r>
      <w:r>
        <w:br/>
      </w:r>
      <w:r>
        <w:rPr>
          <w:rStyle w:val="VerbatimChar"/>
        </w:rPr>
        <w:t xml:space="preserve">    | Sync-ToSupabase.ps1</w:t>
      </w:r>
      <w:r>
        <w:br/>
      </w:r>
      <w:r>
        <w:rPr>
          <w:rStyle w:val="VerbatimChar"/>
        </w:rPr>
        <w:t xml:space="preserve">Supabase Storage (EU cloud backup)</w:t>
      </w:r>
      <w:r>
        <w:br/>
      </w:r>
      <w:r>
        <w:rPr>
          <w:rStyle w:val="VerbatimChar"/>
        </w:rPr>
        <w:t xml:space="preserve">    |</w:t>
      </w:r>
      <w:r>
        <w:br/>
      </w:r>
      <w:r>
        <w:rPr>
          <w:rStyle w:val="VerbatimChar"/>
        </w:rPr>
        <w:t xml:space="preserve">Edge browser (morning review of Learn/ folder content)</w:t>
      </w:r>
      <w:r>
        <w:br/>
      </w:r>
      <w:r>
        <w:rPr>
          <w:rStyle w:val="VerbatimChar"/>
        </w:rPr>
        <w:t xml:space="preserve">    | human reads, learns, decides what needs work</w:t>
      </w:r>
      <w:r>
        <w:br/>
      </w:r>
      <w:r>
        <w:rPr>
          <w:rStyle w:val="VerbatimChar"/>
        </w:rPr>
        <w:t xml:space="preserve">Claude Code session (next action)</w:t>
      </w:r>
      <w:r>
        <w:br/>
      </w:r>
      <w:r>
        <w:rPr>
          <w:rStyle w:val="VerbatimChar"/>
        </w:rPr>
        <w:t xml:space="preserve">    | git push</w:t>
      </w:r>
      <w:r>
        <w:br/>
      </w:r>
      <w:r>
        <w:rPr>
          <w:rStyle w:val="VerbatimChar"/>
        </w:rPr>
        <w:t xml:space="preserve">GitHub -&gt; cycle repeats</w:t>
      </w:r>
    </w:p>
    <w:bookmarkEnd w:id="98"/>
    <w:bookmarkStart w:id="99" w:name="pipeline-components"/>
    <w:p>
      <w:pPr>
        <w:pStyle w:val="Heading3"/>
      </w:pPr>
      <w:r>
        <w:t xml:space="preserve">Pipeline Components</w:t>
      </w:r>
    </w:p>
    <w:tbl>
      <w:tblPr>
        <w:tblStyle w:val="Table"/>
        <w:tblW w:type="pct" w:w="5000"/>
        <w:tblLook w:firstRow="1" w:lastRow="0" w:firstColumn="0" w:lastColumn="0" w:noHBand="0" w:noVBand="0" w:val="0020"/>
        <w:jc w:val="start"/>
      </w:tblPr>
      <w:tblGrid>
        <w:gridCol w:w="360"/>
        <w:gridCol w:w="1890"/>
        <w:gridCol w:w="4050"/>
        <w:gridCol w:w="1620"/>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Function</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Fetch latest changes from GitHub</w:t>
            </w:r>
          </w:p>
        </w:tc>
        <w:tc>
          <w:tcPr/>
          <w:p>
            <w:pPr>
              <w:pStyle w:val="Compact"/>
              <w:jc w:val="left"/>
            </w:pPr>
            <w:r>
              <w:t xml:space="preserve">Updated local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Copy business files to Proton Drive</w:t>
            </w:r>
          </w:p>
        </w:tc>
        <w:tc>
          <w:tcPr/>
          <w:p>
            <w:pPr>
              <w:pStyle w:val="Compact"/>
              <w:jc w:val="left"/>
            </w:pPr>
            <w:r>
              <w:t xml:space="preserve">Encrypted backup</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Convert 19 markdown files to styled HTML</w:t>
            </w:r>
          </w:p>
        </w:tc>
        <w:tc>
          <w:tcPr/>
          <w:p>
            <w:pPr>
              <w:pStyle w:val="Compact"/>
              <w:jc w:val="left"/>
            </w:pPr>
            <w:r>
              <w:rPr>
                <w:rStyle w:val="VerbatimChar"/>
              </w:rPr>
              <w:t xml:space="preserve">Learn/</w:t>
            </w:r>
            <w:r>
              <w:t xml:space="preserve"> </w:t>
            </w:r>
            <w:r>
              <w:t xml:space="preserve">folder</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Upload code and documents to Supabase Storage</w:t>
            </w:r>
          </w:p>
        </w:tc>
        <w:tc>
          <w:tcPr/>
          <w:p>
            <w:pPr>
              <w:pStyle w:val="Compact"/>
              <w:jc w:val="left"/>
            </w:pPr>
            <w:r>
              <w:t xml:space="preserve">EU cloud backup</w:t>
            </w:r>
          </w:p>
        </w:tc>
      </w:tr>
      <w:tr>
        <w:tc>
          <w:tcPr/>
          <w:p>
            <w:pPr>
              <w:pStyle w:val="Compact"/>
              <w:jc w:val="left"/>
            </w:pPr>
            <w:r>
              <w:t xml:space="preserve">5</w:t>
            </w:r>
          </w:p>
        </w:tc>
        <w:tc>
          <w:tcPr/>
          <w:p>
            <w:pPr>
              <w:pStyle w:val="Compact"/>
              <w:jc w:val="left"/>
            </w:pPr>
            <w:r>
              <w:t xml:space="preserve">Edge browser</w:t>
            </w:r>
          </w:p>
        </w:tc>
        <w:tc>
          <w:tcPr/>
          <w:p>
            <w:pPr>
              <w:pStyle w:val="Compact"/>
              <w:jc w:val="left"/>
            </w:pPr>
            <w:r>
              <w:t xml:space="preserve">Automatically open updated files for review</w:t>
            </w:r>
          </w:p>
        </w:tc>
        <w:tc>
          <w:tcPr/>
          <w:p>
            <w:pPr>
              <w:pStyle w:val="Compact"/>
              <w:jc w:val="left"/>
            </w:pPr>
            <w:r>
              <w:t xml:space="preserve">Human knowledge</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AI-assisted development session</w:t>
            </w:r>
          </w:p>
        </w:tc>
        <w:tc>
          <w:tcPr/>
          <w:p>
            <w:pPr>
              <w:pStyle w:val="Compact"/>
              <w:jc w:val="left"/>
            </w:pPr>
            <w:r>
              <w:t xml:space="preserve">Code changes</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Push changes to GitHub</w:t>
            </w:r>
          </w:p>
        </w:tc>
        <w:tc>
          <w:tcPr/>
          <w:p>
            <w:pPr>
              <w:pStyle w:val="Compact"/>
              <w:jc w:val="left"/>
            </w:pPr>
            <w:r>
              <w:t xml:space="preserve">Cycle completes</w:t>
            </w:r>
          </w:p>
        </w:tc>
      </w:tr>
    </w:tbl>
    <w:bookmarkEnd w:id="99"/>
    <w:bookmarkStart w:id="100" w:name="why-this-pipeline-matters"/>
    <w:p>
      <w:pPr>
        <w:pStyle w:val="Heading3"/>
      </w:pPr>
      <w:r>
        <w:t xml:space="preserve">Why This Pipeline Matters</w:t>
      </w:r>
    </w:p>
    <w:p>
      <w:pPr>
        <w:pStyle w:val="FirstParagraph"/>
      </w:pPr>
      <w:r>
        <w:t xml:space="preserve">The HIL pipeline solves three critical problems:</w:t>
      </w:r>
    </w:p>
    <w:p>
      <w:pPr>
        <w:numPr>
          <w:ilvl w:val="0"/>
          <w:numId w:val="1035"/>
        </w:numPr>
        <w:pStyle w:val="Compact"/>
      </w:pPr>
      <w:r>
        <w:rPr>
          <w:bCs/>
          <w:b/>
        </w:rPr>
        <w:t xml:space="preserve">Knowledge gatekeeper</w:t>
      </w:r>
      <w:r>
        <w:t xml:space="preserve">: Every morning, the human reviews the latest state of all business documents. Nothing drifts unnoticed.</w:t>
      </w:r>
    </w:p>
    <w:p>
      <w:pPr>
        <w:numPr>
          <w:ilvl w:val="0"/>
          <w:numId w:val="1035"/>
        </w:numPr>
        <w:pStyle w:val="Compact"/>
      </w:pPr>
      <w:r>
        <w:rPr>
          <w:bCs/>
          <w:b/>
        </w:rPr>
        <w:t xml:space="preserve">Three-layer backup</w:t>
      </w:r>
      <w:r>
        <w:t xml:space="preserve">: Every change exists in GitHub (version control), Proton Drive (encrypted local), and Supabase (EU cloud). No single point of failure.</w:t>
      </w:r>
    </w:p>
    <w:p>
      <w:pPr>
        <w:numPr>
          <w:ilvl w:val="0"/>
          <w:numId w:val="1035"/>
        </w:numPr>
        <w:pStyle w:val="Compact"/>
      </w:pPr>
      <w:r>
        <w:rPr>
          <w:bCs/>
          <w:b/>
        </w:rPr>
        <w:t xml:space="preserve">Continuous learning loop</w:t>
      </w:r>
      <w:r>
        <w:t xml:space="preserve">: Human reads -&gt; identifies gaps -&gt; uses Claude Code to fix -&gt; pushes changes -&gt; next morning sees the update. The feedback loop closes daily.</w:t>
      </w:r>
    </w:p>
    <w:p>
      <w:r>
        <w:pict>
          <v:rect style="width:0;height:1.5pt" o:hralign="center" o:hrstd="t" o:hr="t"/>
        </w:pict>
      </w:r>
    </w:p>
    <w:bookmarkEnd w:id="100"/>
    <w:bookmarkEnd w:id="101"/>
    <w:bookmarkEnd w:id="102"/>
    <w:bookmarkStart w:id="112" w:name="audio-chat-evolution-roadmap"/>
    <w:p>
      <w:pPr>
        <w:pStyle w:val="Heading1"/>
      </w:pPr>
      <w:r>
        <w:t xml:space="preserve">7. Audio Chat Evolution Roadmap</w:t>
      </w:r>
    </w:p>
    <w:bookmarkStart w:id="103" w:name="vision"/>
    <w:p>
      <w:pPr>
        <w:pStyle w:val="Heading2"/>
      </w:pPr>
      <w:r>
        <w:t xml:space="preserve">7.1 Vision</w:t>
      </w:r>
    </w:p>
    <w:p>
      <w:pPr>
        <w:pStyle w:val="FirstParagraph"/>
      </w:pPr>
      <w:r>
        <w:t xml:space="preserve">Transform customer interactions from text-based to voice-based with intelligent product recommendations using industry-specific carbon footprint calculators and EU regulatory awareness.</w:t>
      </w:r>
    </w:p>
    <w:bookmarkEnd w:id="103"/>
    <w:bookmarkStart w:id="104" w:name="technical-stack"/>
    <w:p>
      <w:pPr>
        <w:pStyle w:val="Heading2"/>
      </w:pPr>
      <w:r>
        <w:t xml:space="preserve">7.2 Technical Stack</w:t>
      </w:r>
    </w:p>
    <w:tbl>
      <w:tblPr>
        <w:tblStyle w:val="Table"/>
        <w:tblW w:type="pct" w:w="5000"/>
        <w:tblLook w:firstRow="1" w:lastRow="0" w:firstColumn="0" w:lastColumn="0" w:noHBand="0" w:noVBand="0" w:val="0020"/>
        <w:jc w:val="start"/>
      </w:tblPr>
      <w:tblGrid>
        <w:gridCol w:w="1440"/>
        <w:gridCol w:w="3291"/>
        <w:gridCol w:w="318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Speech-to-Text</w:t>
            </w:r>
          </w:p>
        </w:tc>
        <w:tc>
          <w:tcPr/>
          <w:p>
            <w:pPr>
              <w:pStyle w:val="Compact"/>
              <w:jc w:val="left"/>
            </w:pPr>
            <w:r>
              <w:t xml:space="preserve">Whisper API</w:t>
            </w:r>
          </w:p>
        </w:tc>
        <w:tc>
          <w:tcPr/>
          <w:p>
            <w:pPr>
              <w:pStyle w:val="Compact"/>
              <w:jc w:val="left"/>
            </w:pPr>
            <w:r>
              <w:t xml:space="preserve">High accuracy, multilingual</w:t>
            </w:r>
          </w:p>
        </w:tc>
      </w:tr>
      <w:tr>
        <w:tc>
          <w:tcPr/>
          <w:p>
            <w:pPr>
              <w:pStyle w:val="Compact"/>
              <w:jc w:val="left"/>
            </w:pPr>
            <w:r>
              <w:t xml:space="preserve">Text-to-Speech</w:t>
            </w:r>
          </w:p>
        </w:tc>
        <w:tc>
          <w:tcPr/>
          <w:p>
            <w:pPr>
              <w:pStyle w:val="Compact"/>
              <w:jc w:val="left"/>
            </w:pPr>
            <w:r>
              <w:t xml:space="preserve">ElevenLabs</w:t>
            </w:r>
          </w:p>
        </w:tc>
        <w:tc>
          <w:tcPr/>
          <w:p>
            <w:pPr>
              <w:pStyle w:val="Compact"/>
              <w:jc w:val="left"/>
            </w:pPr>
            <w:r>
              <w:t xml:space="preserve">Natural voice output</w:t>
            </w:r>
          </w:p>
        </w:tc>
      </w:tr>
      <w:tr>
        <w:tc>
          <w:tcPr/>
          <w:p>
            <w:pPr>
              <w:pStyle w:val="Compact"/>
              <w:jc w:val="left"/>
            </w:pPr>
            <w:r>
              <w:t xml:space="preserve">LLM</w:t>
            </w:r>
          </w:p>
        </w:tc>
        <w:tc>
          <w:tcPr/>
          <w:p>
            <w:pPr>
              <w:pStyle w:val="Compact"/>
              <w:jc w:val="left"/>
            </w:pPr>
            <w:r>
              <w:t xml:space="preserve">Groq inference with Llama models</w:t>
            </w:r>
          </w:p>
        </w:tc>
        <w:tc>
          <w:tcPr/>
          <w:p>
            <w:pPr>
              <w:pStyle w:val="Compact"/>
              <w:jc w:val="left"/>
            </w:pPr>
            <w:r>
              <w:t xml:space="preserve">Cost-effective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 performance, EU compliance</w:t>
            </w:r>
          </w:p>
        </w:tc>
      </w:tr>
    </w:tbl>
    <w:bookmarkEnd w:id="104"/>
    <w:bookmarkStart w:id="105" w:name="phase-1-foundation-q1-2026"/>
    <w:p>
      <w:pPr>
        <w:pStyle w:val="Heading2"/>
      </w:pPr>
      <w:r>
        <w:t xml:space="preserve">7.3 Phase 1: Foundation (Q1 2026)</w:t>
      </w:r>
    </w:p>
    <w:p>
      <w:pPr>
        <w:pStyle w:val="FirstParagraph"/>
      </w:pPr>
      <w:r>
        <w:rPr>
          <w:bCs/>
          <w:b/>
        </w:rPr>
        <w:t xml:space="preserve">Goal:</w:t>
      </w:r>
      <w:r>
        <w:t xml:space="preserve"> </w:t>
      </w:r>
      <w:r>
        <w:t xml:space="preserve">Basic audio chat with product catalog awareness</w:t>
      </w:r>
    </w:p>
    <w:p>
      <w:pPr>
        <w:pStyle w:val="BodyText"/>
      </w:pPr>
      <w:r>
        <w:rPr>
          <w:bCs/>
          <w:b/>
        </w:rPr>
        <w:t xml:space="preserve">Features:</w:t>
      </w:r>
    </w:p>
    <w:p>
      <w:pPr>
        <w:numPr>
          <w:ilvl w:val="0"/>
          <w:numId w:val="1036"/>
        </w:numPr>
        <w:pStyle w:val="Compact"/>
      </w:pPr>
      <w:r>
        <w:t xml:space="preserve">Voice input/output (Finnish, English, Swedish)</w:t>
      </w:r>
    </w:p>
    <w:p>
      <w:pPr>
        <w:numPr>
          <w:ilvl w:val="0"/>
          <w:numId w:val="1036"/>
        </w:numPr>
        <w:pStyle w:val="Compact"/>
      </w:pPr>
      <w:r>
        <w:t xml:space="preserve">Product catalog search</w:t>
      </w:r>
    </w:p>
    <w:p>
      <w:pPr>
        <w:numPr>
          <w:ilvl w:val="0"/>
          <w:numId w:val="1036"/>
        </w:numPr>
        <w:pStyle w:val="Compact"/>
      </w:pPr>
      <w:r>
        <w:t xml:space="preserve">Basic Q&amp;A about services</w:t>
      </w:r>
    </w:p>
    <w:p>
      <w:pPr>
        <w:numPr>
          <w:ilvl w:val="0"/>
          <w:numId w:val="1036"/>
        </w:numPr>
        <w:pStyle w:val="Compact"/>
      </w:pPr>
      <w:r>
        <w:t xml:space="preserve">Handoff to human support</w:t>
      </w:r>
    </w:p>
    <w:p>
      <w:pPr>
        <w:numPr>
          <w:ilvl w:val="0"/>
          <w:numId w:val="1036"/>
        </w:numPr>
        <w:pStyle w:val="Compact"/>
      </w:pPr>
      <w:r>
        <w:t xml:space="preserve">EU AI Act transparency disclosure</w:t>
      </w:r>
    </w:p>
    <w:bookmarkEnd w:id="105"/>
    <w:bookmarkStart w:id="107" w:name="Xbe2cab1491363c4999c52194565d929d7046e08"/>
    <w:p>
      <w:pPr>
        <w:pStyle w:val="Heading2"/>
      </w:pPr>
      <w:r>
        <w:t xml:space="preserve">7.4 Phase 2: Carbon Footprint Calculator Integration (Q2 2026)</w:t>
      </w:r>
    </w:p>
    <w:p>
      <w:pPr>
        <w:pStyle w:val="FirstParagraph"/>
      </w:pPr>
      <w:r>
        <w:rPr>
          <w:bCs/>
          <w:b/>
        </w:rPr>
        <w:t xml:space="preserve">Goal:</w:t>
      </w:r>
      <w:r>
        <w:t xml:space="preserve"> </w:t>
      </w:r>
      <w:r>
        <w:t xml:space="preserve">Industry-specific carbon footprint calculations with product recommendations</w:t>
      </w:r>
    </w:p>
    <w:bookmarkStart w:id="106" w:name="industry-carbon-profiles-16-eu-sectors"/>
    <w:p>
      <w:pPr>
        <w:pStyle w:val="Heading3"/>
      </w:pPr>
      <w:r>
        <w:t xml:space="preserve">Industry Carbon Profiles (16 EU Sectors)</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Industry</w:t>
            </w:r>
          </w:p>
        </w:tc>
        <w:tc>
          <w:tcPr/>
          <w:p>
            <w:pPr>
              <w:pStyle w:val="Compact"/>
              <w:jc w:val="left"/>
            </w:pPr>
            <w:r>
              <w:t xml:space="preserve">Primary Emissions</w:t>
            </w:r>
          </w:p>
        </w:tc>
        <w:tc>
          <w:tcPr/>
          <w:p>
            <w:pPr>
              <w:pStyle w:val="Compact"/>
              <w:jc w:val="left"/>
            </w:pPr>
            <w:r>
              <w:t xml:space="preserve">Recommended Products</w:t>
            </w:r>
          </w:p>
        </w:tc>
      </w:tr>
      <w:tr>
        <w:tc>
          <w:tcPr/>
          <w:p>
            <w:pPr>
              <w:pStyle w:val="Compact"/>
              <w:jc w:val="left"/>
            </w:pPr>
            <w:r>
              <w:t xml:space="preserve">Steel</w:t>
            </w:r>
          </w:p>
        </w:tc>
        <w:tc>
          <w:tcPr/>
          <w:p>
            <w:pPr>
              <w:pStyle w:val="Compact"/>
              <w:jc w:val="left"/>
            </w:pPr>
            <w:r>
              <w:t xml:space="preserve">Process emissions (Scope 1)</w:t>
            </w:r>
          </w:p>
        </w:tc>
        <w:tc>
          <w:tcPr/>
          <w:p>
            <w:pPr>
              <w:pStyle w:val="Compact"/>
              <w:jc w:val="left"/>
            </w:pPr>
            <w:r>
              <w:t xml:space="preserve">DWS IQ v6, Firehorse Automation</w:t>
            </w:r>
          </w:p>
        </w:tc>
      </w:tr>
      <w:tr>
        <w:tc>
          <w:tcPr/>
          <w:p>
            <w:pPr>
              <w:pStyle w:val="Compact"/>
              <w:jc w:val="left"/>
            </w:pPr>
            <w:r>
              <w:t xml:space="preserve">Cement</w:t>
            </w:r>
          </w:p>
        </w:tc>
        <w:tc>
          <w:tcPr/>
          <w:p>
            <w:pPr>
              <w:pStyle w:val="Compact"/>
              <w:jc w:val="left"/>
            </w:pPr>
            <w:r>
              <w:t xml:space="preserve">Process + energy</w:t>
            </w:r>
          </w:p>
        </w:tc>
        <w:tc>
          <w:tcPr/>
          <w:p>
            <w:pPr>
              <w:pStyle w:val="Compact"/>
              <w:jc w:val="left"/>
            </w:pPr>
            <w:r>
              <w:t xml:space="preserve">DWS IQ v6, Climate Bundle</w:t>
            </w:r>
          </w:p>
        </w:tc>
      </w:tr>
      <w:tr>
        <w:tc>
          <w:tcPr/>
          <w:p>
            <w:pPr>
              <w:pStyle w:val="Compact"/>
              <w:jc w:val="left"/>
            </w:pPr>
            <w:r>
              <w:t xml:space="preserve">Chemicals</w:t>
            </w:r>
          </w:p>
        </w:tc>
        <w:tc>
          <w:tcPr/>
          <w:p>
            <w:pPr>
              <w:pStyle w:val="Compact"/>
              <w:jc w:val="left"/>
            </w:pPr>
            <w:r>
              <w:t xml:space="preserve">Supply chain (Scope 3)</w:t>
            </w:r>
          </w:p>
        </w:tc>
        <w:tc>
          <w:tcPr/>
          <w:p>
            <w:pPr>
              <w:pStyle w:val="Compact"/>
              <w:jc w:val="left"/>
            </w:pPr>
            <w:r>
              <w:t xml:space="preserve">Firehorse Report, Consulting</w:t>
            </w:r>
          </w:p>
        </w:tc>
      </w:tr>
      <w:tr>
        <w:tc>
          <w:tcPr/>
          <w:p>
            <w:pPr>
              <w:pStyle w:val="Compact"/>
              <w:jc w:val="left"/>
            </w:pPr>
            <w:r>
              <w:t xml:space="preserve">Automotive</w:t>
            </w:r>
          </w:p>
        </w:tc>
        <w:tc>
          <w:tcPr/>
          <w:p>
            <w:pPr>
              <w:pStyle w:val="Compact"/>
              <w:jc w:val="left"/>
            </w:pPr>
            <w:r>
              <w:t xml:space="preserve">Manufacturing + use phase</w:t>
            </w:r>
          </w:p>
        </w:tc>
        <w:tc>
          <w:tcPr/>
          <w:p>
            <w:pPr>
              <w:pStyle w:val="Compact"/>
              <w:jc w:val="left"/>
            </w:pPr>
            <w:r>
              <w:t xml:space="preserve">DWS IQ v6, Expert Advisory</w:t>
            </w:r>
          </w:p>
        </w:tc>
      </w:tr>
      <w:tr>
        <w:tc>
          <w:tcPr/>
          <w:p>
            <w:pPr>
              <w:pStyle w:val="Compact"/>
              <w:jc w:val="left"/>
            </w:pPr>
            <w:r>
              <w:t xml:space="preserve">Maritime</w:t>
            </w:r>
          </w:p>
        </w:tc>
        <w:tc>
          <w:tcPr/>
          <w:p>
            <w:pPr>
              <w:pStyle w:val="Compact"/>
              <w:jc w:val="left"/>
            </w:pPr>
            <w:r>
              <w:t xml:space="preserve">Fuel consumption</w:t>
            </w:r>
          </w:p>
        </w:tc>
        <w:tc>
          <w:tcPr/>
          <w:p>
            <w:pPr>
              <w:pStyle w:val="Compact"/>
              <w:jc w:val="left"/>
            </w:pPr>
            <w:r>
              <w:t xml:space="preserve">Firehorse Automation, Report</w:t>
            </w:r>
          </w:p>
        </w:tc>
      </w:tr>
      <w:tr>
        <w:tc>
          <w:tcPr/>
          <w:p>
            <w:pPr>
              <w:pStyle w:val="Compact"/>
              <w:jc w:val="left"/>
            </w:pPr>
            <w:r>
              <w:t xml:space="preserve">Aviation</w:t>
            </w:r>
          </w:p>
        </w:tc>
        <w:tc>
          <w:tcPr/>
          <w:p>
            <w:pPr>
              <w:pStyle w:val="Compact"/>
              <w:jc w:val="left"/>
            </w:pPr>
            <w:r>
              <w:t xml:space="preserve">Jet fuel, SAF transition</w:t>
            </w:r>
          </w:p>
        </w:tc>
        <w:tc>
          <w:tcPr/>
          <w:p>
            <w:pPr>
              <w:pStyle w:val="Compact"/>
              <w:jc w:val="left"/>
            </w:pPr>
            <w:r>
              <w:t xml:space="preserve">DWS IQ v6, Consulting Fit55</w:t>
            </w:r>
          </w:p>
        </w:tc>
      </w:tr>
      <w:tr>
        <w:tc>
          <w:tcPr/>
          <w:p>
            <w:pPr>
              <w:pStyle w:val="Compact"/>
              <w:jc w:val="left"/>
            </w:pPr>
            <w:r>
              <w:t xml:space="preserve">Buildings</w:t>
            </w:r>
          </w:p>
        </w:tc>
        <w:tc>
          <w:tcPr/>
          <w:p>
            <w:pPr>
              <w:pStyle w:val="Compact"/>
              <w:jc w:val="left"/>
            </w:pPr>
            <w:r>
              <w:t xml:space="preserve">Energy efficiency</w:t>
            </w:r>
          </w:p>
        </w:tc>
        <w:tc>
          <w:tcPr/>
          <w:p>
            <w:pPr>
              <w:pStyle w:val="Compact"/>
              <w:jc w:val="left"/>
            </w:pPr>
            <w:r>
              <w:t xml:space="preserve">Firehorse CMS, Automation</w:t>
            </w:r>
          </w:p>
        </w:tc>
      </w:tr>
      <w:tr>
        <w:tc>
          <w:tcPr/>
          <w:p>
            <w:pPr>
              <w:pStyle w:val="Compact"/>
              <w:jc w:val="left"/>
            </w:pPr>
            <w:r>
              <w:t xml:space="preserve">Agriculture</w:t>
            </w:r>
          </w:p>
        </w:tc>
        <w:tc>
          <w:tcPr/>
          <w:p>
            <w:pPr>
              <w:pStyle w:val="Compact"/>
              <w:jc w:val="left"/>
            </w:pPr>
            <w:r>
              <w:t xml:space="preserve">Land use, livestock</w:t>
            </w:r>
          </w:p>
        </w:tc>
        <w:tc>
          <w:tcPr/>
          <w:p>
            <w:pPr>
              <w:pStyle w:val="Compact"/>
              <w:jc w:val="left"/>
            </w:pPr>
            <w:r>
              <w:t xml:space="preserve">Climate Bundle, Advisory</w:t>
            </w:r>
          </w:p>
        </w:tc>
      </w:tr>
    </w:tbl>
    <w:bookmarkEnd w:id="106"/>
    <w:bookmarkEnd w:id="107"/>
    <w:bookmarkStart w:id="109" w:name="phase-3-eu-regulatory-awareness-q3-2026"/>
    <w:p>
      <w:pPr>
        <w:pStyle w:val="Heading2"/>
      </w:pPr>
      <w:r>
        <w:t xml:space="preserve">7.5 Phase 3: EU Regulatory Awareness (Q3 2026)</w:t>
      </w:r>
    </w:p>
    <w:p>
      <w:pPr>
        <w:pStyle w:val="FirstParagraph"/>
      </w:pPr>
      <w:r>
        <w:rPr>
          <w:bCs/>
          <w:b/>
        </w:rPr>
        <w:t xml:space="preserve">Goal:</w:t>
      </w:r>
      <w:r>
        <w:t xml:space="preserve"> </w:t>
      </w:r>
      <w:r>
        <w:t xml:space="preserve">Proactive regulatory compliance recommendations</w:t>
      </w:r>
    </w:p>
    <w:bookmarkStart w:id="108" w:name="regulation-trigger-matrix"/>
    <w:p>
      <w:pPr>
        <w:pStyle w:val="Heading3"/>
      </w:pPr>
      <w:r>
        <w:t xml:space="preserve">Regulation Trigger Matrix</w:t>
      </w:r>
    </w:p>
    <w:tbl>
      <w:tblPr>
        <w:tblStyle w:val="Table"/>
        <w:tblW w:type="pct" w:w="5000"/>
        <w:tblLook w:firstRow="1" w:lastRow="0" w:firstColumn="0" w:lastColumn="0" w:noHBand="0" w:noVBand="0" w:val="0020"/>
        <w:jc w:val="start"/>
      </w:tblPr>
      <w:tblGrid>
        <w:gridCol w:w="1237"/>
        <w:gridCol w:w="2846"/>
        <w:gridCol w:w="3836"/>
      </w:tblGrid>
      <w:tr>
        <w:trPr>
          <w:tblHeader w:val="true"/>
        </w:trPr>
        <w:tc>
          <w:tcPr/>
          <w:p>
            <w:pPr>
              <w:pStyle w:val="Compact"/>
              <w:jc w:val="left"/>
            </w:pPr>
            <w:r>
              <w:t xml:space="preserve">Regulation</w:t>
            </w:r>
          </w:p>
        </w:tc>
        <w:tc>
          <w:tcPr/>
          <w:p>
            <w:pPr>
              <w:pStyle w:val="Compact"/>
              <w:jc w:val="left"/>
            </w:pPr>
            <w:r>
              <w:t xml:space="preserve">Trigger Condition</w:t>
            </w:r>
          </w:p>
        </w:tc>
        <w:tc>
          <w:tcPr/>
          <w:p>
            <w:pPr>
              <w:pStyle w:val="Compact"/>
              <w:jc w:val="left"/>
            </w:pPr>
            <w:r>
              <w:t xml:space="preserve">Product Recommendation</w:t>
            </w:r>
          </w:p>
        </w:tc>
      </w:tr>
      <w:tr>
        <w:tc>
          <w:tcPr/>
          <w:p>
            <w:pPr>
              <w:pStyle w:val="Compact"/>
              <w:jc w:val="left"/>
            </w:pPr>
            <w:r>
              <w:t xml:space="preserve">EU AI Act</w:t>
            </w:r>
          </w:p>
        </w:tc>
        <w:tc>
          <w:tcPr/>
          <w:p>
            <w:pPr>
              <w:pStyle w:val="Compact"/>
              <w:jc w:val="left"/>
            </w:pPr>
            <w:r>
              <w:t xml:space="preserve">Uses AI systems</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annually</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employees</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Processes personal data</w:t>
            </w:r>
          </w:p>
        </w:tc>
        <w:tc>
          <w:tcPr/>
          <w:p>
            <w:pPr>
              <w:pStyle w:val="Compact"/>
              <w:jc w:val="left"/>
            </w:pPr>
            <w:r>
              <w:t xml:space="preserve">Protonmail implementation</w:t>
            </w:r>
          </w:p>
        </w:tc>
      </w:tr>
      <w:tr>
        <w:tc>
          <w:tcPr/>
          <w:p>
            <w:pPr>
              <w:pStyle w:val="Compact"/>
              <w:jc w:val="left"/>
            </w:pPr>
            <w:r>
              <w:t xml:space="preserve">NIS2</w:t>
            </w:r>
          </w:p>
        </w:tc>
        <w:tc>
          <w:tcPr/>
          <w:p>
            <w:pPr>
              <w:pStyle w:val="Compact"/>
              <w:jc w:val="left"/>
            </w:pPr>
            <w:r>
              <w:t xml:space="preserve">Critical infrastructure</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Imports from outside EU</w:t>
            </w:r>
          </w:p>
        </w:tc>
        <w:tc>
          <w:tcPr/>
          <w:p>
            <w:pPr>
              <w:pStyle w:val="Compact"/>
              <w:jc w:val="left"/>
            </w:pPr>
            <w:r>
              <w:t xml:space="preserve">DWS IQ, Consulting</w:t>
            </w:r>
          </w:p>
        </w:tc>
      </w:tr>
    </w:tbl>
    <w:bookmarkEnd w:id="108"/>
    <w:bookmarkEnd w:id="109"/>
    <w:bookmarkStart w:id="110" w:name="phase-4-partner-ecosystem-q4-2026"/>
    <w:p>
      <w:pPr>
        <w:pStyle w:val="Heading2"/>
      </w:pPr>
      <w:r>
        <w:t xml:space="preserve">7.6 Phase 4: Partner Ecosystem (Q4 2026)</w:t>
      </w:r>
    </w:p>
    <w:p>
      <w:pPr>
        <w:pStyle w:val="FirstParagraph"/>
      </w:pPr>
      <w:r>
        <w:rPr>
          <w:bCs/>
          <w:b/>
        </w:rPr>
        <w:t xml:space="preserve">Revenue model:</w:t>
      </w:r>
    </w:p>
    <w:p>
      <w:pPr>
        <w:numPr>
          <w:ilvl w:val="0"/>
          <w:numId w:val="1037"/>
        </w:numPr>
        <w:pStyle w:val="Compact"/>
      </w:pPr>
      <w:r>
        <w:t xml:space="preserve">Lifetime products: Direct sales</w:t>
      </w:r>
    </w:p>
    <w:p>
      <w:pPr>
        <w:numPr>
          <w:ilvl w:val="0"/>
          <w:numId w:val="1037"/>
        </w:numPr>
        <w:pStyle w:val="Compact"/>
      </w:pPr>
      <w:r>
        <w:t xml:space="preserve">Partner products: Commission (10-20%)</w:t>
      </w:r>
    </w:p>
    <w:bookmarkEnd w:id="110"/>
    <w:bookmarkStart w:id="111" w:name="proton-security-products-strategy"/>
    <w:p>
      <w:pPr>
        <w:pStyle w:val="Heading2"/>
      </w:pPr>
      <w:r>
        <w:t xml:space="preserve">7.7 Proton Security Products Strategy</w:t>
      </w:r>
    </w:p>
    <w:p>
      <w:pPr>
        <w:pStyle w:val="FirstParagraph"/>
      </w:pPr>
      <w:r>
        <w:t xml:space="preserve">When audio chat detects security/privacy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Password manager</w:t>
            </w:r>
          </w:p>
        </w:tc>
      </w:tr>
      <w:tr>
        <w:tc>
          <w:tcPr/>
          <w:p>
            <w:pPr>
              <w:pStyle w:val="Compact"/>
              <w:jc w:val="left"/>
            </w:pPr>
            <w:r>
              <w:t xml:space="preserve">Proton VPN</w:t>
            </w:r>
          </w:p>
        </w:tc>
        <w:tc>
          <w:tcPr/>
          <w:p>
            <w:pPr>
              <w:pStyle w:val="Compact"/>
              <w:jc w:val="left"/>
            </w:pPr>
            <w:r>
              <w:t xml:space="preserve">Secure network connection</w:t>
            </w:r>
          </w:p>
        </w:tc>
      </w:tr>
    </w:tbl>
    <w:p>
      <w:r>
        <w:pict>
          <v:rect style="width:0;height:1.5pt" o:hralign="center" o:hrstd="t" o:hr="t"/>
        </w:pict>
      </w:r>
    </w:p>
    <w:bookmarkEnd w:id="111"/>
    <w:bookmarkEnd w:id="112"/>
    <w:bookmarkStart w:id="128" w:name="results-and-analysis"/>
    <w:p>
      <w:pPr>
        <w:pStyle w:val="Heading1"/>
      </w:pPr>
      <w:r>
        <w:t xml:space="preserve">8. Results and Analysis</w:t>
      </w:r>
    </w:p>
    <w:bookmarkStart w:id="113" w:name="operational-efficiency"/>
    <w:p>
      <w:pPr>
        <w:pStyle w:val="Heading2"/>
      </w:pPr>
      <w:r>
        <w:t xml:space="preserve">8.1 Operational Efficiency</w:t>
      </w:r>
    </w:p>
    <w:p>
      <w:pPr>
        <w:pStyle w:val="FirstParagraph"/>
      </w:pPr>
      <w:r>
        <w:t xml:space="preserve">The Firehorse operating model with Claude Code achieved (updated v3.26):</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p>
      <w:pPr>
        <w:pStyle w:val="BodyText"/>
      </w:pPr>
      <w:r>
        <w:rPr>
          <w:bCs/>
          <w:b/>
        </w:rPr>
        <w:t xml:space="preserve">New in v3.26:</w:t>
      </w:r>
      <w:r>
        <w:t xml:space="preserve"> </w:t>
      </w:r>
      <w:r>
        <w:t xml:space="preserve">Harness engineering result (section 10.16) demonstrates that system-level improvements (prompt scaffolding, routing, orchestration) alone yield 52.8%→66.5% benchmark gains without changing the underlying model — validating the Firehorse architecture approach.</w:t>
      </w:r>
    </w:p>
    <w:bookmarkEnd w:id="113"/>
    <w:bookmarkStart w:id="114" w:name="google-merchant-center-performance"/>
    <w:p>
      <w:pPr>
        <w:pStyle w:val="Heading2"/>
      </w:pPr>
      <w:r>
        <w:t xml:space="preserve">8.2 Google Merchant Center Performance</w:t>
      </w:r>
    </w:p>
    <w:tbl>
      <w:tblPr>
        <w:tblStyle w:val="Table"/>
        <w:tblW w:type="pct" w:w="5000"/>
        <w:tblLook w:firstRow="1" w:lastRow="0" w:firstColumn="0" w:lastColumn="0" w:noHBand="0" w:noVBand="0" w:val="0020"/>
        <w:jc w:val="start"/>
      </w:tblPr>
      <w:tblGrid>
        <w:gridCol w:w="2864"/>
        <w:gridCol w:w="3117"/>
        <w:gridCol w:w="1937"/>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 upload</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 (AI-generated vs manual)</w:t>
            </w:r>
          </w:p>
        </w:tc>
        <w:tc>
          <w:tcPr/>
          <w:p>
            <w:pPr>
              <w:pStyle w:val="Compact"/>
              <w:jc w:val="left"/>
            </w:pPr>
            <w:r>
              <w:rPr>
                <w:bCs/>
                <w:b/>
              </w:rPr>
              <w:t xml:space="preserve">Google Merchant A/B</w:t>
            </w:r>
          </w:p>
        </w:tc>
      </w:tr>
      <w:tr>
        <w:tc>
          <w:tcPr/>
          <w:p>
            <w:pPr>
              <w:pStyle w:val="Compact"/>
              <w:jc w:val="left"/>
            </w:pPr>
            <w:r>
              <w:rPr>
                <w:bCs/>
                <w:b/>
              </w:rPr>
              <w:t xml:space="preserve">Category page bounce rate</w:t>
            </w:r>
          </w:p>
        </w:tc>
        <w:tc>
          <w:tcPr/>
          <w:p>
            <w:pPr>
              <w:pStyle w:val="Compact"/>
              <w:jc w:val="left"/>
            </w:pPr>
            <w:r>
              <w:rPr>
                <w:bCs/>
                <w:b/>
              </w:rPr>
              <w:t xml:space="preserve">-12% (hierarchical vs flat)</w:t>
            </w:r>
          </w:p>
        </w:tc>
        <w:tc>
          <w:tcPr/>
          <w:p>
            <w:pPr>
              <w:pStyle w:val="Compact"/>
              <w:jc w:val="left"/>
            </w:pPr>
            <w:r>
              <w:rPr>
                <w:bCs/>
                <w:b/>
              </w:rPr>
              <w:t xml:space="preserve">SEO analytics</w:t>
            </w:r>
          </w:p>
        </w:tc>
      </w:tr>
    </w:tbl>
    <w:bookmarkEnd w:id="114"/>
    <w:bookmarkStart w:id="115" w:name="compliance-readiness"/>
    <w:p>
      <w:pPr>
        <w:pStyle w:val="Heading2"/>
      </w:pPr>
      <w:r>
        <w:t xml:space="preserve">8.3 Compliance Readiness</w:t>
      </w:r>
    </w:p>
    <w:tbl>
      <w:tblPr>
        <w:tblStyle w:val="Table"/>
        <w:tblW w:type="pct" w:w="5000"/>
        <w:tblLook w:firstRow="1" w:lastRow="0" w:firstColumn="0" w:lastColumn="0" w:noHBand="0" w:noVBand="0" w:val="0020"/>
        <w:jc w:val="start"/>
      </w:tblPr>
      <w:tblGrid>
        <w:gridCol w:w="1212"/>
        <w:gridCol w:w="404"/>
        <w:gridCol w:w="565"/>
        <w:gridCol w:w="484"/>
        <w:gridCol w:w="5253"/>
      </w:tblGrid>
      <w:tr>
        <w:trPr>
          <w:tblHeader w:val="true"/>
        </w:trPr>
        <w:tc>
          <w:tcPr/>
          <w:p>
            <w:pPr>
              <w:pStyle w:val="Compact"/>
              <w:jc w:val="left"/>
            </w:pPr>
            <w:r>
              <w:t xml:space="preserve">Regulation</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Article 12 logging implemented (Pantheon agents), SOUL.md pattern</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 product catalog</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Security hardening (RC2-RC4), Snyk MCP, agent system hardening</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Reporting templates + compliance 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 architecture</w:t>
            </w:r>
          </w:p>
        </w:tc>
      </w:tr>
    </w:tbl>
    <w:bookmarkEnd w:id="115"/>
    <w:bookmarkStart w:id="116" w:name="cost-model-validation"/>
    <w:p>
      <w:pPr>
        <w:pStyle w:val="Heading2"/>
      </w:pPr>
      <w:r>
        <w:t xml:space="preserve">8.4 Cost Model Validation</w:t>
      </w:r>
    </w:p>
    <w:tbl>
      <w:tblPr>
        <w:tblStyle w:val="Table"/>
        <w:tblW w:type="pct" w:w="5000"/>
        <w:tblLook w:firstRow="1" w:lastRow="0" w:firstColumn="0" w:lastColumn="0" w:noHBand="0" w:noVBand="0" w:val="0020"/>
        <w:jc w:val="start"/>
      </w:tblPr>
      <w:tblGrid>
        <w:gridCol w:w="535"/>
        <w:gridCol w:w="1391"/>
        <w:gridCol w:w="1819"/>
        <w:gridCol w:w="1284"/>
        <w:gridCol w:w="2889"/>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MVP</w:t>
            </w:r>
          </w:p>
        </w:tc>
        <w:tc>
          <w:tcPr/>
          <w:p>
            <w:pPr>
              <w:pStyle w:val="Compact"/>
              <w:jc w:val="left"/>
            </w:pPr>
            <w:r>
              <w:t xml:space="preserve">€0/month</w:t>
            </w:r>
          </w:p>
        </w:tc>
        <w:tc>
          <w:tcPr/>
          <w:p>
            <w:pPr>
              <w:pStyle w:val="Compact"/>
              <w:jc w:val="left"/>
            </w:pPr>
            <w:r>
              <w:t xml:space="preserve">€0/month</w:t>
            </w:r>
          </w:p>
        </w:tc>
        <w:tc>
          <w:tcPr/>
          <w:p>
            <w:pPr>
              <w:pStyle w:val="Compact"/>
              <w:jc w:val="left"/>
            </w:pPr>
            <w:r>
              <w:rPr>
                <w:bCs/>
                <w:b/>
              </w:rPr>
              <w:t xml:space="preserve">ACHIEVED</w:t>
            </w:r>
          </w:p>
        </w:tc>
        <w:tc>
          <w:tcPr/>
          <w:p>
            <w:pPr>
              <w:pStyle w:val="Compact"/>
              <w:jc w:val="left"/>
            </w:pPr>
            <w:r>
              <w:t xml:space="preserve">Free-tier stack operational</w:t>
            </w:r>
          </w:p>
        </w:tc>
      </w:tr>
      <w:tr>
        <w:tc>
          <w:tcPr/>
          <w:p>
            <w:pPr>
              <w:pStyle w:val="Compact"/>
              <w:jc w:val="left"/>
            </w:pPr>
            <w:r>
              <w:t xml:space="preserve">Alpha</w:t>
            </w:r>
          </w:p>
        </w:tc>
        <w:tc>
          <w:tcPr/>
          <w:p>
            <w:pPr>
              <w:pStyle w:val="Compact"/>
              <w:jc w:val="left"/>
            </w:pPr>
            <w:r>
              <w:t xml:space="preserve">€50-150/month</w:t>
            </w:r>
          </w:p>
        </w:tc>
        <w:tc>
          <w:tcPr/>
          <w:p>
            <w:pPr>
              <w:pStyle w:val="Compact"/>
              <w:jc w:val="left"/>
            </w:pPr>
            <w:r>
              <w:t xml:space="preserve">€75/month</w:t>
            </w:r>
          </w:p>
        </w:tc>
        <w:tc>
          <w:tcPr/>
          <w:p>
            <w:pPr>
              <w:pStyle w:val="Compact"/>
              <w:jc w:val="left"/>
            </w:pPr>
            <w:r>
              <w:rPr>
                <w:bCs/>
                <w:b/>
              </w:rPr>
              <w:t xml:space="preserve">ON TRACK</w:t>
            </w:r>
          </w:p>
        </w:tc>
        <w:tc>
          <w:tcPr/>
          <w:p>
            <w:pPr>
              <w:pStyle w:val="Compact"/>
              <w:jc w:val="left"/>
            </w:pPr>
            <w:r>
              <w:t xml:space="preserve">Aiven managed + edge</w:t>
            </w:r>
          </w:p>
        </w:tc>
      </w:tr>
      <w:tr>
        <w:tc>
          <w:tcPr/>
          <w:p>
            <w:pPr>
              <w:pStyle w:val="Compact"/>
              <w:jc w:val="left"/>
            </w:pPr>
            <w:r>
              <w:t xml:space="preserve">V1</w:t>
            </w:r>
          </w:p>
        </w:tc>
        <w:tc>
          <w:tcPr/>
          <w:p>
            <w:pPr>
              <w:pStyle w:val="Compact"/>
              <w:jc w:val="left"/>
            </w:pPr>
            <w:r>
              <w:t xml:space="preserve">€350/month</w:t>
            </w:r>
          </w:p>
        </w:tc>
        <w:tc>
          <w:tcPr/>
          <w:p>
            <w:pPr>
              <w:pStyle w:val="Compact"/>
              <w:jc w:val="left"/>
            </w:pPr>
            <w:r>
              <w:t xml:space="preserve">€280/month (est.)</w:t>
            </w:r>
          </w:p>
        </w:tc>
        <w:tc>
          <w:tcPr/>
          <w:p>
            <w:pPr>
              <w:pStyle w:val="Compact"/>
              <w:jc w:val="left"/>
            </w:pPr>
            <w:r>
              <w:rPr>
                <w:bCs/>
                <w:b/>
              </w:rPr>
              <w:t xml:space="preserve">AHEAD</w:t>
            </w:r>
          </w:p>
        </w:tc>
        <w:tc>
          <w:tcPr/>
          <w:p>
            <w:pPr>
              <w:pStyle w:val="Compact"/>
              <w:jc w:val="left"/>
            </w:pPr>
            <w:r>
              <w:t xml:space="preserve">Two-tier HTAP reduces costs</w:t>
            </w:r>
          </w:p>
        </w:tc>
      </w:tr>
    </w:tbl>
    <w:p>
      <w:pPr>
        <w:pStyle w:val="BodyText"/>
      </w:pPr>
      <w:r>
        <w:rPr>
          <w:bCs/>
          <w:b/>
        </w:rPr>
        <w:t xml:space="preserve">New in v3.26:</w:t>
      </w:r>
      <w:r>
        <w:t xml:space="preserve"> </w:t>
      </w:r>
      <w:r>
        <w:t xml:space="preserve">Two-tier HTAP architecture (Aiven managed + GN100 edge) positions V1 costs below target due to edge offloading analytics workloads.</w:t>
      </w:r>
    </w:p>
    <w:bookmarkEnd w:id="116"/>
    <w:bookmarkStart w:id="121" w:name="answering-research-questions"/>
    <w:p>
      <w:pPr>
        <w:pStyle w:val="Heading2"/>
      </w:pPr>
      <w:r>
        <w:t xml:space="preserve">8.5 Answering Research Questions</w:t>
      </w:r>
    </w:p>
    <w:bookmarkStart w:id="117" w:name="rq1-product-business-model"/>
    <w:p>
      <w:pPr>
        <w:pStyle w:val="Heading3"/>
      </w:pPr>
      <w:r>
        <w:t xml:space="preserve">8.5.1 RQ1: Product &amp; Business Model</w:t>
      </w:r>
    </w:p>
    <w:p>
      <w:pPr>
        <w:pStyle w:val="FirstParagraph"/>
      </w:pPr>
      <w:r>
        <w:t xml:space="preserve">The 2-month payback promise has been validated with real customer deployments:</w:t>
      </w:r>
    </w:p>
    <w:tbl>
      <w:tblPr>
        <w:tblStyle w:val="Table"/>
        <w:tblW w:type="pct" w:w="5000"/>
        <w:tblLook w:firstRow="1" w:lastRow="0" w:firstColumn="0" w:lastColumn="0" w:noHBand="0" w:noVBand="0" w:val="0020"/>
        <w:jc w:val="start"/>
      </w:tblPr>
      <w:tblGrid>
        <w:gridCol w:w="2084"/>
        <w:gridCol w:w="2584"/>
        <w:gridCol w:w="3251"/>
      </w:tblGrid>
      <w:tr>
        <w:trPr>
          <w:tblHeader w:val="true"/>
        </w:trPr>
        <w:tc>
          <w:tcPr/>
          <w:p>
            <w:pPr>
              <w:pStyle w:val="Compact"/>
              <w:jc w:val="left"/>
            </w:pPr>
            <w:r>
              <w:t xml:space="preserve">Evidence</w:t>
            </w:r>
          </w:p>
        </w:tc>
        <w:tc>
          <w:tcPr/>
          <w:p>
            <w:pPr>
              <w:pStyle w:val="Compact"/>
              <w:jc w:val="left"/>
            </w:pPr>
            <w:r>
              <w:t xml:space="preserve">Source</w:t>
            </w:r>
          </w:p>
        </w:tc>
        <w:tc>
          <w:tcPr/>
          <w:p>
            <w:pPr>
              <w:pStyle w:val="Compact"/>
              <w:jc w:val="left"/>
            </w:pPr>
            <w:r>
              <w:t xml:space="preserve">Result</w:t>
            </w:r>
          </w:p>
        </w:tc>
      </w:tr>
      <w:tr>
        <w:tc>
          <w:tcPr/>
          <w:p>
            <w:pPr>
              <w:pStyle w:val="Compact"/>
              <w:jc w:val="left"/>
            </w:pPr>
            <w:r>
              <w:t xml:space="preserve">Payback period</w:t>
            </w:r>
          </w:p>
        </w:tc>
        <w:tc>
          <w:tcPr/>
          <w:p>
            <w:pPr>
              <w:pStyle w:val="Compact"/>
              <w:jc w:val="left"/>
            </w:pPr>
            <w:r>
              <w:t xml:space="preserve">Edge AI ROI calculation</w:t>
            </w:r>
          </w:p>
        </w:tc>
        <w:tc>
          <w:tcPr/>
          <w:p>
            <w:pPr>
              <w:pStyle w:val="Compact"/>
              <w:jc w:val="left"/>
            </w:pPr>
            <w:r>
              <w:t xml:space="preserve">1.95 months</w:t>
            </w:r>
          </w:p>
        </w:tc>
      </w:tr>
      <w:tr>
        <w:tc>
          <w:tcPr/>
          <w:p>
            <w:pPr>
              <w:pStyle w:val="Compact"/>
              <w:jc w:val="left"/>
            </w:pPr>
            <w:r>
              <w:t xml:space="preserve">Customer validation</w:t>
            </w:r>
          </w:p>
        </w:tc>
        <w:tc>
          <w:tcPr/>
          <w:p>
            <w:pPr>
              <w:pStyle w:val="Compact"/>
              <w:jc w:val="left"/>
            </w:pPr>
            <w:r>
              <w:t xml:space="preserve">Uber, Bolt, Kela pilots</w:t>
            </w:r>
          </w:p>
        </w:tc>
        <w:tc>
          <w:tcPr/>
          <w:p>
            <w:pPr>
              <w:pStyle w:val="Compact"/>
              <w:jc w:val="left"/>
            </w:pPr>
            <w:r>
              <w:t xml:space="preserve">€10k MRR during pilot</w:t>
            </w:r>
          </w:p>
        </w:tc>
      </w:tr>
      <w:tr>
        <w:tc>
          <w:tcPr/>
          <w:p>
            <w:pPr>
              <w:pStyle w:val="Compact"/>
              <w:jc w:val="left"/>
            </w:pPr>
            <w:r>
              <w:t xml:space="preserve">International scaling</w:t>
            </w:r>
          </w:p>
        </w:tc>
        <w:tc>
          <w:tcPr/>
          <w:p>
            <w:pPr>
              <w:pStyle w:val="Compact"/>
              <w:jc w:val="left"/>
            </w:pPr>
            <w:r>
              <w:t xml:space="preserve">8 vertical templates</w:t>
            </w:r>
          </w:p>
        </w:tc>
        <w:tc>
          <w:tcPr/>
          <w:p>
            <w:pPr>
              <w:pStyle w:val="Compact"/>
              <w:jc w:val="left"/>
            </w:pPr>
            <w:r>
              <w:t xml:space="preserve">Ready for multi-national deployment</w:t>
            </w:r>
          </w:p>
        </w:tc>
      </w:tr>
      <w:tr>
        <w:tc>
          <w:tcPr/>
          <w:p>
            <w:pPr>
              <w:pStyle w:val="Compact"/>
              <w:jc w:val="left"/>
            </w:pPr>
            <w:r>
              <w:rPr>
                <w:bCs/>
                <w:b/>
              </w:rPr>
              <w:t xml:space="preserve">Customer MVP features</w:t>
            </w:r>
          </w:p>
        </w:tc>
        <w:tc>
          <w:tcPr/>
          <w:p>
            <w:pPr>
              <w:pStyle w:val="Compact"/>
              <w:jc w:val="left"/>
            </w:pPr>
            <w:r>
              <w:rPr>
                <w:bCs/>
                <w:b/>
              </w:rPr>
              <w:t xml:space="preserve">API keys, metering, reports</w:t>
            </w:r>
          </w:p>
        </w:tc>
        <w:tc>
          <w:tcPr/>
          <w:p>
            <w:pPr>
              <w:pStyle w:val="Compact"/>
              <w:jc w:val="left"/>
            </w:pPr>
            <w:r>
              <w:rPr>
                <w:bCs/>
                <w:b/>
              </w:rPr>
              <w:t xml:space="preserve">SaaS-ready for paid customers</w:t>
            </w:r>
          </w:p>
        </w:tc>
      </w:tr>
      <w:tr>
        <w:tc>
          <w:tcPr/>
          <w:p>
            <w:pPr>
              <w:pStyle w:val="Compact"/>
              <w:jc w:val="left"/>
            </w:pPr>
            <w:r>
              <w:rPr>
                <w:bCs/>
                <w:b/>
              </w:rPr>
              <w:t xml:space="preserve">Investor readiness</w:t>
            </w:r>
          </w:p>
        </w:tc>
        <w:tc>
          <w:tcPr/>
          <w:p>
            <w:pPr>
              <w:pStyle w:val="Compact"/>
              <w:jc w:val="left"/>
            </w:pPr>
            <w:r>
              <w:rPr>
                <w:bCs/>
                <w:b/>
              </w:rPr>
              <w:t xml:space="preserve">InvestEU pipeline</w:t>
            </w:r>
          </w:p>
        </w:tc>
        <w:tc>
          <w:tcPr/>
          <w:p>
            <w:pPr>
              <w:pStyle w:val="Compact"/>
              <w:jc w:val="left"/>
            </w:pPr>
            <w:r>
              <w:rPr>
                <w:bCs/>
                <w:b/>
              </w:rPr>
              <w:t xml:space="preserve">Product portfolio validated Q1 2026</w:t>
            </w:r>
          </w:p>
        </w:tc>
      </w:tr>
    </w:tbl>
    <w:bookmarkEnd w:id="117"/>
    <w:bookmarkStart w:id="118" w:name="X544c176ac6458cb16df50739e6d02c1305c6ba2"/>
    <w:p>
      <w:pPr>
        <w:pStyle w:val="Heading3"/>
      </w:pPr>
      <w:r>
        <w:t xml:space="preserve">8.5.2 RQ2: Technology — Multi-Platform Development</w:t>
      </w:r>
    </w:p>
    <w:tbl>
      <w:tblPr>
        <w:tblStyle w:val="Table"/>
        <w:tblW w:type="pct" w:w="5000"/>
        <w:tblLook w:firstRow="1" w:lastRow="0" w:firstColumn="0" w:lastColumn="0" w:noHBand="0" w:noVBand="0" w:val="0020"/>
        <w:jc w:val="start"/>
      </w:tblPr>
      <w:tblGrid>
        <w:gridCol w:w="1150"/>
        <w:gridCol w:w="2504"/>
        <w:gridCol w:w="4264"/>
      </w:tblGrid>
      <w:tr>
        <w:trPr>
          <w:tblHeader w:val="true"/>
        </w:trPr>
        <w:tc>
          <w:tcPr/>
          <w:p>
            <w:pPr>
              <w:pStyle w:val="Compact"/>
              <w:jc w:val="left"/>
            </w:pPr>
            <w:r>
              <w:t xml:space="preserve">Platform</w:t>
            </w:r>
          </w:p>
        </w:tc>
        <w:tc>
          <w:tcPr/>
          <w:p>
            <w:pPr>
              <w:pStyle w:val="Compact"/>
              <w:jc w:val="left"/>
            </w:pPr>
            <w:r>
              <w:t xml:space="preserve">Technology</w:t>
            </w:r>
          </w:p>
        </w:tc>
        <w:tc>
          <w:tcPr/>
          <w:p>
            <w:pPr>
              <w:pStyle w:val="Compact"/>
              <w:jc w:val="left"/>
            </w:pPr>
            <w:r>
              <w:t xml:space="preserve">Evidence</w:t>
            </w:r>
          </w:p>
        </w:tc>
      </w:tr>
      <w:tr>
        <w:tc>
          <w:tcPr/>
          <w:p>
            <w:pPr>
              <w:pStyle w:val="Compact"/>
              <w:jc w:val="left"/>
            </w:pPr>
            <w:r>
              <w:rPr>
                <w:bCs/>
                <w:b/>
              </w:rPr>
              <w:t xml:space="preserve">Cloud</w:t>
            </w:r>
          </w:p>
        </w:tc>
        <w:tc>
          <w:tcPr/>
          <w:p>
            <w:pPr>
              <w:pStyle w:val="Compact"/>
              <w:jc w:val="left"/>
            </w:pPr>
            <w:r>
              <w:t xml:space="preserve">Google Cloud Run + Groq API</w:t>
            </w:r>
          </w:p>
        </w:tc>
        <w:tc>
          <w:tcPr/>
          <w:p>
            <w:pPr>
              <w:pStyle w:val="Compact"/>
              <w:jc w:val="left"/>
            </w:pPr>
            <w:r>
              <w:t xml:space="preserve">MCP Hub on port 8765</w:t>
            </w:r>
          </w:p>
        </w:tc>
      </w:tr>
      <w:tr>
        <w:tc>
          <w:tcPr/>
          <w:p>
            <w:pPr>
              <w:pStyle w:val="Compact"/>
              <w:jc w:val="left"/>
            </w:pPr>
            <w:r>
              <w:rPr>
                <w:bCs/>
                <w:b/>
              </w:rPr>
              <w:t xml:space="preserve">Edge</w:t>
            </w:r>
          </w:p>
        </w:tc>
        <w:tc>
          <w:tcPr/>
          <w:p>
            <w:pPr>
              <w:pStyle w:val="Compact"/>
              <w:jc w:val="left"/>
            </w:pPr>
            <w:r>
              <w:t xml:space="preserve">NVIDIA Jetson Orin Nano + Acer GN100</w:t>
            </w:r>
          </w:p>
        </w:tc>
        <w:tc>
          <w:tcPr/>
          <w:p>
            <w:pPr>
              <w:pStyle w:val="Compact"/>
              <w:jc w:val="left"/>
            </w:pPr>
            <w:r>
              <w:t xml:space="preserve">&lt;100ms inference (25x faster)</w:t>
            </w:r>
          </w:p>
        </w:tc>
      </w:tr>
      <w:tr>
        <w:tc>
          <w:tcPr/>
          <w:p>
            <w:pPr>
              <w:pStyle w:val="Compact"/>
              <w:jc w:val="left"/>
            </w:pPr>
            <w:r>
              <w:rPr>
                <w:bCs/>
                <w:b/>
              </w:rPr>
              <w:t xml:space="preserve">E-commerce</w:t>
            </w:r>
          </w:p>
        </w:tc>
        <w:tc>
          <w:tcPr/>
          <w:p>
            <w:pPr>
              <w:pStyle w:val="Compact"/>
              <w:jc w:val="left"/>
            </w:pPr>
            <w:r>
              <w:t xml:space="preserve">dws10.com (Cloudflare Pages)</w:t>
            </w:r>
          </w:p>
        </w:tc>
        <w:tc>
          <w:tcPr/>
          <w:p>
            <w:pPr>
              <w:pStyle w:val="Compact"/>
              <w:jc w:val="left"/>
            </w:pPr>
            <w:r>
              <w:t xml:space="preserve">€0/month, 99.95% uptime</w:t>
            </w:r>
          </w:p>
        </w:tc>
      </w:tr>
      <w:tr>
        <w:tc>
          <w:tcPr/>
          <w:p>
            <w:pPr>
              <w:pStyle w:val="Compact"/>
              <w:jc w:val="left"/>
            </w:pPr>
            <w:r>
              <w:rPr>
                <w:bCs/>
                <w:b/>
              </w:rPr>
              <w:t xml:space="preserve">Orchestration</w:t>
            </w:r>
          </w:p>
        </w:tc>
        <w:tc>
          <w:tcPr/>
          <w:p>
            <w:pPr>
              <w:pStyle w:val="Compact"/>
              <w:jc w:val="left"/>
            </w:pPr>
            <w:r>
              <w:t xml:space="preserve">MCP Hub + LlamaStack</w:t>
            </w:r>
          </w:p>
        </w:tc>
        <w:tc>
          <w:tcPr/>
          <w:p>
            <w:pPr>
              <w:pStyle w:val="Compact"/>
              <w:jc w:val="left"/>
            </w:pPr>
            <w:r>
              <w:t xml:space="preserve">4 workflow patterns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Two-tier: managed + edge analytics</w:t>
            </w:r>
          </w:p>
        </w:tc>
      </w:tr>
      <w:tr>
        <w:tc>
          <w:tcPr/>
          <w:p>
            <w:pPr>
              <w:pStyle w:val="Compact"/>
              <w:jc w:val="left"/>
            </w:pPr>
            <w:r>
              <w:rPr>
                <w:bCs/>
                <w:b/>
              </w:rPr>
              <w:t xml:space="preserve">Agents</w:t>
            </w:r>
          </w:p>
        </w:tc>
        <w:tc>
          <w:tcPr/>
          <w:p>
            <w:pPr>
              <w:pStyle w:val="Compact"/>
              <w:jc w:val="left"/>
            </w:pPr>
            <w:r>
              <w:t xml:space="preserve">Climate IQ Pantheon (13 agents)</w:t>
            </w:r>
          </w:p>
        </w:tc>
        <w:tc>
          <w:tcPr/>
          <w:p>
            <w:pPr>
              <w:pStyle w:val="Compact"/>
              <w:jc w:val="left"/>
            </w:pPr>
            <w:r>
              <w:t xml:space="preserve">6 orchestrators + 7 industry specialists</w:t>
            </w:r>
          </w:p>
        </w:tc>
      </w:tr>
    </w:tbl>
    <w:bookmarkEnd w:id="118"/>
    <w:bookmarkStart w:id="119" w:name="rq3-technical-solution-evaluation"/>
    <w:p>
      <w:pPr>
        <w:pStyle w:val="Heading3"/>
      </w:pPr>
      <w:r>
        <w:t xml:space="preserve">8.5.3 RQ3: Technical Solution Evaluation</w:t>
      </w:r>
    </w:p>
    <w:tbl>
      <w:tblPr>
        <w:tblStyle w:val="Table"/>
        <w:tblW w:type="pct" w:w="5000"/>
        <w:tblLook w:firstRow="1" w:lastRow="0" w:firstColumn="0" w:lastColumn="0" w:noHBand="0" w:noVBand="0" w:val="0020"/>
        <w:jc w:val="start"/>
      </w:tblPr>
      <w:tblGrid>
        <w:gridCol w:w="2767"/>
        <w:gridCol w:w="1145"/>
        <w:gridCol w:w="1240"/>
        <w:gridCol w:w="1622"/>
        <w:gridCol w:w="1145"/>
      </w:tblGrid>
      <w:tr>
        <w:trPr>
          <w:tblHeader w:val="true"/>
        </w:trPr>
        <w:tc>
          <w:tcPr/>
          <w:p>
            <w:pPr>
              <w:pStyle w:val="Compact"/>
              <w:jc w:val="left"/>
            </w:pPr>
            <w:r>
              <w:t xml:space="preserve">Solution</w:t>
            </w:r>
          </w:p>
        </w:tc>
        <w:tc>
          <w:tcPr/>
          <w:p>
            <w:pPr>
              <w:pStyle w:val="Compact"/>
              <w:jc w:val="left"/>
            </w:pPr>
            <w:r>
              <w:t xml:space="preserve">Dev Velocity</w:t>
            </w:r>
          </w:p>
        </w:tc>
        <w:tc>
          <w:tcPr/>
          <w:p>
            <w:pPr>
              <w:pStyle w:val="Compact"/>
              <w:jc w:val="left"/>
            </w:pPr>
            <w:r>
              <w:t xml:space="preserve">Bug Reduction</w:t>
            </w:r>
          </w:p>
        </w:tc>
        <w:tc>
          <w:tcPr/>
          <w:p>
            <w:pPr>
              <w:pStyle w:val="Compact"/>
              <w:jc w:val="left"/>
            </w:pPr>
            <w:r>
              <w:t xml:space="preserve">Cost</w:t>
            </w:r>
          </w:p>
        </w:tc>
        <w:tc>
          <w:tcPr/>
          <w:p>
            <w:pPr>
              <w:pStyle w:val="Compact"/>
              <w:jc w:val="left"/>
            </w:pPr>
            <w:r>
              <w:t xml:space="preserve">Rating</w:t>
            </w:r>
          </w:p>
        </w:tc>
      </w:tr>
      <w:tr>
        <w:tc>
          <w:tcPr/>
          <w:p>
            <w:pPr>
              <w:pStyle w:val="Compact"/>
              <w:jc w:val="left"/>
            </w:pPr>
            <w:r>
              <w:t xml:space="preserve">Traditional development</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High</w:t>
            </w:r>
          </w:p>
        </w:tc>
        <w:tc>
          <w:tcPr/>
          <w:p>
            <w:pPr>
              <w:pStyle w:val="Compact"/>
              <w:jc w:val="left"/>
            </w:pPr>
            <w:r>
              <w:t xml:space="preserve">Not suitable</w:t>
            </w:r>
          </w:p>
        </w:tc>
      </w:tr>
      <w:tr>
        <w:tc>
          <w:tcPr/>
          <w:p>
            <w:pPr>
              <w:pStyle w:val="Compact"/>
              <w:jc w:val="left"/>
            </w:pPr>
            <w:r>
              <w:t xml:space="preserve">Cloud-only AI</w:t>
            </w:r>
          </w:p>
        </w:tc>
        <w:tc>
          <w:tcPr/>
          <w:p>
            <w:pPr>
              <w:pStyle w:val="Compact"/>
              <w:jc w:val="left"/>
            </w:pPr>
            <w:r>
              <w:t xml:space="preserve">+30%</w:t>
            </w:r>
          </w:p>
        </w:tc>
        <w:tc>
          <w:tcPr/>
          <w:p>
            <w:pPr>
              <w:pStyle w:val="Compact"/>
              <w:jc w:val="left"/>
            </w:pPr>
            <w:r>
              <w:t xml:space="preserve">-40%</w:t>
            </w:r>
          </w:p>
        </w:tc>
        <w:tc>
          <w:tcPr/>
          <w:p>
            <w:pPr>
              <w:pStyle w:val="Compact"/>
              <w:jc w:val="left"/>
            </w:pPr>
            <w:r>
              <w:t xml:space="preserve">€555/month</w:t>
            </w:r>
          </w:p>
        </w:tc>
        <w:tc>
          <w:tcPr/>
          <w:p>
            <w:pPr>
              <w:pStyle w:val="Compact"/>
              <w:jc w:val="left"/>
            </w:pPr>
            <w:r>
              <w:t xml:space="preserve">Partial</w:t>
            </w:r>
          </w:p>
        </w:tc>
      </w:tr>
      <w:tr>
        <w:tc>
          <w:tcPr/>
          <w:p>
            <w:pPr>
              <w:pStyle w:val="Compact"/>
              <w:jc w:val="left"/>
            </w:pPr>
            <w:r>
              <w:rPr>
                <w:bCs/>
                <w:b/>
              </w:rPr>
              <w:t xml:space="preserve">MCP Hub + Edge AI</w:t>
            </w:r>
          </w:p>
        </w:tc>
        <w:tc>
          <w:tcPr/>
          <w:p>
            <w:pPr>
              <w:pStyle w:val="Compact"/>
              <w:jc w:val="left"/>
            </w:pPr>
            <w:r>
              <w:rPr>
                <w:bCs/>
                <w:b/>
              </w:rPr>
              <w:t xml:space="preserve">+62%</w:t>
            </w:r>
          </w:p>
        </w:tc>
        <w:tc>
          <w:tcPr/>
          <w:p>
            <w:pPr>
              <w:pStyle w:val="Compact"/>
              <w:jc w:val="left"/>
            </w:pPr>
            <w:r>
              <w:rPr>
                <w:bCs/>
                <w:b/>
              </w:rPr>
              <w:t xml:space="preserve">-73%</w:t>
            </w:r>
          </w:p>
        </w:tc>
        <w:tc>
          <w:tcPr/>
          <w:p>
            <w:pPr>
              <w:pStyle w:val="Compact"/>
              <w:jc w:val="left"/>
            </w:pPr>
            <w:r>
              <w:rPr>
                <w:bCs/>
                <w:b/>
              </w:rPr>
              <w:t xml:space="preserve">€25-350/month</w:t>
            </w:r>
          </w:p>
        </w:tc>
        <w:tc>
          <w:tcPr/>
          <w:p>
            <w:pPr>
              <w:pStyle w:val="Compact"/>
              <w:jc w:val="left"/>
            </w:pPr>
            <w:r>
              <w:rPr>
                <w:bCs/>
                <w:b/>
              </w:rPr>
              <w:t xml:space="preserve">Best</w:t>
            </w:r>
          </w:p>
        </w:tc>
      </w:tr>
      <w:tr>
        <w:tc>
          <w:tcPr/>
          <w:p>
            <w:pPr>
              <w:pStyle w:val="Compact"/>
              <w:jc w:val="left"/>
            </w:pPr>
            <w:r>
              <w:rPr>
                <w:bCs/>
                <w:b/>
              </w:rPr>
              <w:t xml:space="preserve">Harness-optimized (v3.26)</w:t>
            </w:r>
          </w:p>
        </w:tc>
        <w:tc>
          <w:tcPr/>
          <w:p>
            <w:pPr>
              <w:pStyle w:val="Compact"/>
              <w:jc w:val="left"/>
            </w:pPr>
            <w:r>
              <w:rPr>
                <w:bCs/>
                <w:b/>
              </w:rPr>
              <w:t xml:space="preserve">+85%</w:t>
            </w:r>
          </w:p>
        </w:tc>
        <w:tc>
          <w:tcPr/>
          <w:p>
            <w:pPr>
              <w:pStyle w:val="Compact"/>
              <w:jc w:val="left"/>
            </w:pPr>
            <w:r>
              <w:rPr>
                <w:bCs/>
                <w:b/>
              </w:rPr>
              <w:t xml:space="preserve">-80%</w:t>
            </w:r>
          </w:p>
        </w:tc>
        <w:tc>
          <w:tcPr/>
          <w:p>
            <w:pPr>
              <w:pStyle w:val="Compact"/>
              <w:jc w:val="left"/>
            </w:pPr>
            <w:r>
              <w:rPr>
                <w:bCs/>
                <w:b/>
              </w:rPr>
              <w:t xml:space="preserve">€25-280/month</w:t>
            </w:r>
          </w:p>
        </w:tc>
        <w:tc>
          <w:tcPr/>
          <w:p>
            <w:pPr>
              <w:pStyle w:val="Compact"/>
              <w:jc w:val="left"/>
            </w:pPr>
            <w:r>
              <w:rPr>
                <w:bCs/>
                <w:b/>
              </w:rPr>
              <w:t xml:space="preserve">Optimal</w:t>
            </w:r>
          </w:p>
        </w:tc>
      </w:tr>
    </w:tbl>
    <w:p>
      <w:pPr>
        <w:pStyle w:val="BodyText"/>
      </w:pPr>
      <w:r>
        <w:rPr>
          <w:bCs/>
          <w:b/>
        </w:rPr>
        <w:t xml:space="preserve">New in v3.26:</w:t>
      </w:r>
      <w:r>
        <w:t xml:space="preserve"> </w:t>
      </w:r>
      <w:r>
        <w:t xml:space="preserve">Harness engineering adds a fourth row — system-level optimization without model changes achieves additional +23% dev velocity and -7% bug reduction vs base MCP Hub approach.</w:t>
      </w:r>
    </w:p>
    <w:bookmarkEnd w:id="119"/>
    <w:bookmarkStart w:id="120" w:name="rq4-enterprise-security-and-compliance"/>
    <w:p>
      <w:pPr>
        <w:pStyle w:val="Heading3"/>
      </w:pPr>
      <w:r>
        <w:t xml:space="preserve">8.5.4 RQ4: Enterprise Security and Compliance</w:t>
      </w:r>
    </w:p>
    <w:tbl>
      <w:tblPr>
        <w:tblStyle w:val="Table"/>
        <w:tblW w:type="pct" w:w="5000"/>
        <w:tblLook w:firstRow="1" w:lastRow="0" w:firstColumn="0" w:lastColumn="0" w:noHBand="0" w:noVBand="0" w:val="0020"/>
        <w:jc w:val="start"/>
      </w:tblPr>
      <w:tblGrid>
        <w:gridCol w:w="1363"/>
        <w:gridCol w:w="2272"/>
        <w:gridCol w:w="2921"/>
        <w:gridCol w:w="1363"/>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rPr>
                <w:bCs/>
                <w:b/>
              </w:rPr>
              <w:t xml:space="preserve">NIS 2</w:t>
            </w:r>
          </w:p>
        </w:tc>
        <w:tc>
          <w:tcPr/>
          <w:p>
            <w:pPr>
              <w:pStyle w:val="Compact"/>
              <w:jc w:val="left"/>
            </w:pPr>
            <w:r>
              <w:t xml:space="preserve">Cybersecurity risk management</w:t>
            </w:r>
          </w:p>
        </w:tc>
        <w:tc>
          <w:tcPr/>
          <w:p>
            <w:pPr>
              <w:pStyle w:val="Compact"/>
              <w:jc w:val="left"/>
            </w:pPr>
            <w:r>
              <w:t xml:space="preserve">Security Agent + Snyk MCP + RC2-RC4 hardening</w:t>
            </w:r>
          </w:p>
        </w:tc>
        <w:tc>
          <w:tcPr/>
          <w:p>
            <w:pPr>
              <w:pStyle w:val="Compact"/>
              <w:jc w:val="left"/>
            </w:pPr>
            <w:r>
              <w:rPr>
                <w:bCs/>
                <w:b/>
              </w:rPr>
              <w:t xml:space="preserve">Active</w:t>
            </w:r>
          </w:p>
        </w:tc>
      </w:tr>
      <w:tr>
        <w:tc>
          <w:tcPr/>
          <w:p>
            <w:pPr>
              <w:pStyle w:val="Compact"/>
              <w:jc w:val="left"/>
            </w:pPr>
            <w:r>
              <w:rPr>
                <w:bCs/>
                <w:b/>
              </w:rPr>
              <w:t xml:space="preserve">EU AI Act</w:t>
            </w:r>
          </w:p>
        </w:tc>
        <w:tc>
          <w:tcPr/>
          <w:p>
            <w:pPr>
              <w:pStyle w:val="Compact"/>
              <w:jc w:val="left"/>
            </w:pPr>
            <w:r>
              <w:t xml:space="preserve">Transparency, human oversight</w:t>
            </w:r>
          </w:p>
        </w:tc>
        <w:tc>
          <w:tcPr/>
          <w:p>
            <w:pPr>
              <w:pStyle w:val="Compact"/>
              <w:jc w:val="left"/>
            </w:pPr>
            <w:r>
              <w:t xml:space="preserve">Art. 12 logging, SOUL.md, Pantheon agents</w:t>
            </w:r>
          </w:p>
        </w:tc>
        <w:tc>
          <w:tcPr/>
          <w:p>
            <w:pPr>
              <w:pStyle w:val="Compact"/>
              <w:jc w:val="left"/>
            </w:pPr>
            <w:r>
              <w:rPr>
                <w:bCs/>
                <w:b/>
              </w:rPr>
              <w:t xml:space="preserve">Compliant (92%)</w:t>
            </w:r>
          </w:p>
        </w:tc>
      </w:tr>
      <w:tr>
        <w:tc>
          <w:tcPr/>
          <w:p>
            <w:pPr>
              <w:pStyle w:val="Compact"/>
              <w:jc w:val="left"/>
            </w:pPr>
            <w:r>
              <w:rPr>
                <w:bCs/>
                <w:b/>
              </w:rPr>
              <w:t xml:space="preserve">GDPR</w:t>
            </w:r>
          </w:p>
        </w:tc>
        <w:tc>
          <w:tcPr/>
          <w:p>
            <w:pPr>
              <w:pStyle w:val="Compact"/>
              <w:jc w:val="left"/>
            </w:pPr>
            <w:r>
              <w:t xml:space="preserve">Data residency, data subject rights</w:t>
            </w:r>
          </w:p>
        </w:tc>
        <w:tc>
          <w:tcPr/>
          <w:p>
            <w:pPr>
              <w:pStyle w:val="Compact"/>
              <w:jc w:val="left"/>
            </w:pPr>
            <w:r>
              <w:t xml:space="preserve">europe-north1, Supabase RLS, Aiven EU</w:t>
            </w:r>
          </w:p>
        </w:tc>
        <w:tc>
          <w:tcPr/>
          <w:p>
            <w:pPr>
              <w:pStyle w:val="Compact"/>
              <w:jc w:val="left"/>
            </w:pPr>
            <w:r>
              <w:rPr>
                <w:bCs/>
                <w:b/>
              </w:rPr>
              <w:t xml:space="preserve">Compliant</w:t>
            </w:r>
          </w:p>
        </w:tc>
      </w:tr>
      <w:tr>
        <w:tc>
          <w:tcPr/>
          <w:p>
            <w:pPr>
              <w:pStyle w:val="Compact"/>
              <w:jc w:val="left"/>
            </w:pPr>
            <w:r>
              <w:rPr>
                <w:bCs/>
                <w:b/>
              </w:rPr>
              <w:t xml:space="preserve">Cybersecurity Act</w:t>
            </w:r>
          </w:p>
        </w:tc>
        <w:tc>
          <w:tcPr/>
          <w:p>
            <w:pPr>
              <w:pStyle w:val="Compact"/>
              <w:jc w:val="left"/>
            </w:pPr>
            <w:r>
              <w:t xml:space="preserve">Security certification</w:t>
            </w:r>
          </w:p>
        </w:tc>
        <w:tc>
          <w:tcPr/>
          <w:p>
            <w:pPr>
              <w:pStyle w:val="Compact"/>
              <w:jc w:val="left"/>
            </w:pPr>
            <w:r>
              <w:t xml:space="preserve">ISO 27001 target Q3 2026</w:t>
            </w:r>
          </w:p>
        </w:tc>
        <w:tc>
          <w:tcPr/>
          <w:p>
            <w:pPr>
              <w:pStyle w:val="Compact"/>
              <w:jc w:val="left"/>
            </w:pPr>
            <w:r>
              <w:t xml:space="preserve">Planned</w:t>
            </w:r>
          </w:p>
        </w:tc>
      </w:tr>
      <w:tr>
        <w:tc>
          <w:tcPr/>
          <w:p>
            <w:pPr>
              <w:pStyle w:val="Compact"/>
              <w:jc w:val="left"/>
            </w:pPr>
            <w:r>
              <w:rPr>
                <w:bCs/>
                <w:b/>
              </w:rPr>
              <w:t xml:space="preserve">EU Data Act</w:t>
            </w:r>
          </w:p>
        </w:tc>
        <w:tc>
          <w:tcPr/>
          <w:p>
            <w:pPr>
              <w:pStyle w:val="Compact"/>
              <w:jc w:val="left"/>
            </w:pPr>
            <w:r>
              <w:t xml:space="preserve">Data portability, interoperability</w:t>
            </w:r>
          </w:p>
        </w:tc>
        <w:tc>
          <w:tcPr/>
          <w:p>
            <w:pPr>
              <w:pStyle w:val="Compact"/>
              <w:jc w:val="left"/>
            </w:pPr>
            <w:r>
              <w:t xml:space="preserve">DWS Data Standard, HTAP architecture</w:t>
            </w:r>
          </w:p>
        </w:tc>
        <w:tc>
          <w:tcPr/>
          <w:p>
            <w:pPr>
              <w:pStyle w:val="Compact"/>
              <w:jc w:val="left"/>
            </w:pPr>
            <w:r>
              <w:rPr>
                <w:bCs/>
                <w:b/>
              </w:rPr>
              <w:t xml:space="preserve">In progress (80%)</w:t>
            </w:r>
          </w:p>
        </w:tc>
      </w:tr>
    </w:tbl>
    <w:bookmarkEnd w:id="120"/>
    <w:bookmarkEnd w:id="121"/>
    <w:bookmarkStart w:id="126" w:name="swot-analysis-updated-v3.26"/>
    <w:p>
      <w:pPr>
        <w:pStyle w:val="Heading2"/>
      </w:pPr>
      <w:r>
        <w:t xml:space="preserve">8.6 SWOT Analysis (Updated v3.26)</w:t>
      </w:r>
    </w:p>
    <w:bookmarkStart w:id="122" w:name="strengths"/>
    <w:p>
      <w:pPr>
        <w:pStyle w:val="Heading3"/>
      </w:pPr>
      <w:r>
        <w:t xml:space="preserve">Strengths</w:t>
      </w:r>
    </w:p>
    <w:p>
      <w:pPr>
        <w:numPr>
          <w:ilvl w:val="0"/>
          <w:numId w:val="1038"/>
        </w:numPr>
        <w:pStyle w:val="Compact"/>
      </w:pPr>
      <w:r>
        <w:t xml:space="preserve">Complete implementation (live system with €10k MRR)</w:t>
      </w:r>
    </w:p>
    <w:p>
      <w:pPr>
        <w:numPr>
          <w:ilvl w:val="0"/>
          <w:numId w:val="1038"/>
        </w:numPr>
        <w:pStyle w:val="Compact"/>
      </w:pPr>
      <w:r>
        <w:t xml:space="preserve">Novel coordination protocol (Lifetime Scope Signals)</w:t>
      </w:r>
    </w:p>
    <w:p>
      <w:pPr>
        <w:numPr>
          <w:ilvl w:val="0"/>
          <w:numId w:val="1038"/>
        </w:numPr>
        <w:pStyle w:val="Compact"/>
      </w:pPr>
      <w:r>
        <w:t xml:space="preserve">Cost leadership (82% cheaper than competitors)</w:t>
      </w:r>
    </w:p>
    <w:p>
      <w:pPr>
        <w:numPr>
          <w:ilvl w:val="0"/>
          <w:numId w:val="1038"/>
        </w:numPr>
        <w:pStyle w:val="Compact"/>
      </w:pPr>
      <w:r>
        <w:t xml:space="preserve">EU compliance built-in (5 regulations tracked)</w:t>
      </w:r>
    </w:p>
    <w:p>
      <w:pPr>
        <w:numPr>
          <w:ilvl w:val="0"/>
          <w:numId w:val="1038"/>
        </w:numPr>
        <w:pStyle w:val="Compact"/>
      </w:pPr>
      <w:r>
        <w:rPr>
          <w:bCs/>
          <w:b/>
        </w:rPr>
        <w:t xml:space="preserve">13-agent Pantheon system operational</w:t>
      </w:r>
    </w:p>
    <w:p>
      <w:pPr>
        <w:numPr>
          <w:ilvl w:val="0"/>
          <w:numId w:val="1038"/>
        </w:numPr>
        <w:pStyle w:val="Compact"/>
      </w:pPr>
      <w:r>
        <w:rPr>
          <w:bCs/>
          <w:b/>
        </w:rPr>
        <w:t xml:space="preserve">Harness engineering validated (+26% from system alone)</w:t>
      </w:r>
    </w:p>
    <w:p>
      <w:pPr>
        <w:numPr>
          <w:ilvl w:val="0"/>
          <w:numId w:val="1038"/>
        </w:numPr>
        <w:pStyle w:val="Compact"/>
      </w:pPr>
      <w:r>
        <w:rPr>
          <w:bCs/>
          <w:b/>
        </w:rPr>
        <w:t xml:space="preserve">Strategic partnerships: NVIDIA, Siemens, ABB, xAI, Mistral, Red Hat</w:t>
      </w:r>
    </w:p>
    <w:bookmarkEnd w:id="122"/>
    <w:bookmarkStart w:id="123" w:name="weaknesses"/>
    <w:p>
      <w:pPr>
        <w:pStyle w:val="Heading3"/>
      </w:pPr>
      <w:r>
        <w:t xml:space="preserve">Weaknesses</w:t>
      </w:r>
    </w:p>
    <w:p>
      <w:pPr>
        <w:numPr>
          <w:ilvl w:val="0"/>
          <w:numId w:val="1039"/>
        </w:numPr>
        <w:pStyle w:val="Compact"/>
      </w:pPr>
      <w:r>
        <w:t xml:space="preserve">Single developer dependency (mitigated by CEO automation agents)</w:t>
      </w:r>
    </w:p>
    <w:p>
      <w:pPr>
        <w:numPr>
          <w:ilvl w:val="0"/>
          <w:numId w:val="1039"/>
        </w:numPr>
        <w:pStyle w:val="Compact"/>
      </w:pPr>
      <w:r>
        <w:t xml:space="preserve">External validation limited (A/B testing data growing)</w:t>
      </w:r>
    </w:p>
    <w:p>
      <w:pPr>
        <w:numPr>
          <w:ilvl w:val="0"/>
          <w:numId w:val="1039"/>
        </w:numPr>
        <w:pStyle w:val="Compact"/>
      </w:pPr>
      <w:r>
        <w:t xml:space="preserve">Edge hardware dependency (now 2 devices: Jetson + GN100)</w:t>
      </w:r>
    </w:p>
    <w:bookmarkEnd w:id="123"/>
    <w:bookmarkStart w:id="124" w:name="opportunities"/>
    <w:p>
      <w:pPr>
        <w:pStyle w:val="Heading3"/>
      </w:pPr>
      <w:r>
        <w:t xml:space="preserve">Opportunities</w:t>
      </w:r>
    </w:p>
    <w:p>
      <w:pPr>
        <w:numPr>
          <w:ilvl w:val="0"/>
          <w:numId w:val="1040"/>
        </w:numPr>
        <w:pStyle w:val="Compact"/>
      </w:pPr>
      <w:r>
        <w:t xml:space="preserve">EU Fit for 55 mandate (€15-20 billion EU TAM)</w:t>
      </w:r>
    </w:p>
    <w:p>
      <w:pPr>
        <w:numPr>
          <w:ilvl w:val="0"/>
          <w:numId w:val="1040"/>
        </w:numPr>
        <w:pStyle w:val="Compact"/>
      </w:pPr>
      <w:r>
        <w:t xml:space="preserve">Solution Factory replication (8 verticals)</w:t>
      </w:r>
    </w:p>
    <w:p>
      <w:pPr>
        <w:numPr>
          <w:ilvl w:val="0"/>
          <w:numId w:val="1040"/>
        </w:numPr>
        <w:pStyle w:val="Compact"/>
      </w:pPr>
      <w:r>
        <w:t xml:space="preserve">NCC board-level partnership</w:t>
      </w:r>
    </w:p>
    <w:p>
      <w:pPr>
        <w:numPr>
          <w:ilvl w:val="0"/>
          <w:numId w:val="1040"/>
        </w:numPr>
        <w:pStyle w:val="Compact"/>
      </w:pPr>
      <w:r>
        <w:rPr>
          <w:bCs/>
          <w:b/>
        </w:rPr>
        <w:t xml:space="preserve">EU Data Act compliance as differentiator</w:t>
      </w:r>
    </w:p>
    <w:p>
      <w:pPr>
        <w:numPr>
          <w:ilvl w:val="0"/>
          <w:numId w:val="1040"/>
        </w:numPr>
        <w:pStyle w:val="Compact"/>
      </w:pPr>
      <w:r>
        <w:rPr>
          <w:bCs/>
          <w:b/>
        </w:rPr>
        <w:t xml:space="preserve">Harness engineering as IP moat</w:t>
      </w:r>
    </w:p>
    <w:p>
      <w:pPr>
        <w:numPr>
          <w:ilvl w:val="0"/>
          <w:numId w:val="1040"/>
        </w:numPr>
        <w:pStyle w:val="Compact"/>
      </w:pPr>
      <w:r>
        <w:rPr>
          <w:bCs/>
          <w:b/>
        </w:rPr>
        <w:t xml:space="preserve">$644B GenAI market (2025) with 76.4% YoY growth validates enterprise AI demand</w:t>
      </w:r>
    </w:p>
    <w:p>
      <w:pPr>
        <w:numPr>
          <w:ilvl w:val="0"/>
          <w:numId w:val="1040"/>
        </w:numPr>
        <w:pStyle w:val="Compact"/>
      </w:pPr>
      <w:r>
        <w:rPr>
          <w:bCs/>
          <w:b/>
        </w:rPr>
        <w:t xml:space="preserve">Inference shift: 80%+ accelerators for inference by 2028 validates edge-first architecture</w:t>
      </w:r>
    </w:p>
    <w:bookmarkEnd w:id="124"/>
    <w:bookmarkStart w:id="125" w:name="threats"/>
    <w:p>
      <w:pPr>
        <w:pStyle w:val="Heading3"/>
      </w:pPr>
      <w:r>
        <w:t xml:space="preserve">Threats</w:t>
      </w:r>
    </w:p>
    <w:p>
      <w:pPr>
        <w:numPr>
          <w:ilvl w:val="0"/>
          <w:numId w:val="1041"/>
        </w:numPr>
        <w:pStyle w:val="Compact"/>
      </w:pPr>
      <w:r>
        <w:t xml:space="preserve">Big tech market entry</w:t>
      </w:r>
    </w:p>
    <w:p>
      <w:pPr>
        <w:numPr>
          <w:ilvl w:val="0"/>
          <w:numId w:val="1041"/>
        </w:numPr>
        <w:pStyle w:val="Compact"/>
      </w:pPr>
      <w:r>
        <w:t xml:space="preserve">Credit expiration (12 months)</w:t>
      </w:r>
    </w:p>
    <w:p>
      <w:pPr>
        <w:numPr>
          <w:ilvl w:val="0"/>
          <w:numId w:val="1041"/>
        </w:numPr>
        <w:pStyle w:val="Compact"/>
      </w:pPr>
      <w:r>
        <w:t xml:space="preserve">Competition from established players</w:t>
      </w:r>
    </w:p>
    <w:p>
      <w:pPr>
        <w:numPr>
          <w:ilvl w:val="0"/>
          <w:numId w:val="1041"/>
        </w:numPr>
        <w:pStyle w:val="Compact"/>
      </w:pPr>
      <w:r>
        <w:rPr>
          <w:bCs/>
          <w:b/>
        </w:rPr>
        <w:t xml:space="preserve">EU AI Act enforcement timeline (August 2026)</w:t>
      </w:r>
    </w:p>
    <w:bookmarkEnd w:id="125"/>
    <w:bookmarkEnd w:id="126"/>
    <w:bookmarkStart w:id="127" w:name="ab-testing-and-feedback-channel-results"/>
    <w:p>
      <w:pPr>
        <w:pStyle w:val="Heading2"/>
      </w:pPr>
      <w:r>
        <w:t xml:space="preserve">8.7 A/B Testing and Feedback Channel Results</w:t>
      </w:r>
    </w:p>
    <w:p>
      <w:pPr>
        <w:pStyle w:val="FirstParagraph"/>
      </w:pPr>
      <w:r>
        <w:t xml:space="preserve">Product validation through the four-channel feedback pipeline (section 1.6):</w:t>
      </w:r>
    </w:p>
    <w:tbl>
      <w:tblPr>
        <w:tblStyle w:val="Table"/>
        <w:tblW w:type="pct" w:w="5000"/>
        <w:tblLook w:firstRow="1" w:lastRow="0" w:firstColumn="0" w:lastColumn="0" w:noHBand="0" w:noVBand="0" w:val="0020"/>
        <w:jc w:val="start"/>
      </w:tblPr>
      <w:tblGrid>
        <w:gridCol w:w="1343"/>
        <w:gridCol w:w="2404"/>
        <w:gridCol w:w="1272"/>
        <w:gridCol w:w="2121"/>
        <w:gridCol w:w="777"/>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 (v3.15)</w:t>
            </w:r>
          </w:p>
        </w:tc>
        <w:tc>
          <w:tcPr/>
          <w:p>
            <w:pPr>
              <w:pStyle w:val="Compact"/>
              <w:jc w:val="left"/>
            </w:pPr>
            <w:r>
              <w:t xml:space="preserve">Current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Product approval rate</w:t>
            </w:r>
          </w:p>
        </w:tc>
        <w:tc>
          <w:tcPr/>
          <w:p>
            <w:pPr>
              <w:pStyle w:val="Compact"/>
              <w:jc w:val="left"/>
            </w:pPr>
            <w:r>
              <w:t xml:space="preserve">30/30 (100%)</w:t>
            </w:r>
          </w:p>
        </w:tc>
        <w:tc>
          <w:tcPr/>
          <w:p>
            <w:pPr>
              <w:pStyle w:val="Compact"/>
              <w:jc w:val="left"/>
            </w:pPr>
            <w:r>
              <w:t xml:space="preserve">30/30 (100%)</w:t>
            </w:r>
          </w:p>
        </w:tc>
        <w:tc>
          <w:tcPr/>
          <w:p>
            <w:pPr>
              <w:pStyle w:val="Compact"/>
              <w:jc w:val="left"/>
            </w:pPr>
            <w:r>
              <w:t xml:space="preserve">Maintained</w:t>
            </w:r>
          </w:p>
        </w:tc>
      </w:tr>
      <w:tr>
        <w:tc>
          <w:tcPr/>
          <w:p>
            <w:pPr>
              <w:pStyle w:val="Compact"/>
              <w:jc w:val="left"/>
            </w:pPr>
            <w:r>
              <w:rPr>
                <w:bCs/>
                <w:b/>
              </w:rPr>
              <w:t xml:space="preserve">Google Merchant</w:t>
            </w:r>
          </w:p>
        </w:tc>
        <w:tc>
          <w:tcPr/>
          <w:p>
            <w:pPr>
              <w:pStyle w:val="Compact"/>
              <w:jc w:val="left"/>
            </w:pPr>
            <w:r>
              <w:t xml:space="preserve">Average CTR</w:t>
            </w:r>
          </w:p>
        </w:tc>
        <w:tc>
          <w:tcPr/>
          <w:p>
            <w:pPr>
              <w:pStyle w:val="Compact"/>
              <w:jc w:val="left"/>
            </w:pPr>
            <w:r>
              <w:t xml:space="preserve">1.2%</w:t>
            </w:r>
          </w:p>
        </w:tc>
        <w:tc>
          <w:tcPr/>
          <w:p>
            <w:pPr>
              <w:pStyle w:val="Compact"/>
              <w:jc w:val="left"/>
            </w:pPr>
            <w:r>
              <w:t xml:space="preserve">1.8% (A/B tested descriptions)</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 (target keywords)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MRR</w:t>
            </w:r>
          </w:p>
        </w:tc>
        <w:tc>
          <w:tcPr/>
          <w:p>
            <w:pPr>
              <w:pStyle w:val="Compact"/>
              <w:jc w:val="left"/>
            </w:pPr>
            <w:r>
              <w:t xml:space="preserve">€10k (pilot)</w:t>
            </w:r>
          </w:p>
        </w:tc>
        <w:tc>
          <w:tcPr/>
          <w:p>
            <w:pPr>
              <w:pStyle w:val="Compact"/>
              <w:jc w:val="left"/>
            </w:pPr>
            <w:r>
              <w:t xml:space="preserve">€10k (stable)</w:t>
            </w:r>
          </w:p>
        </w:tc>
        <w:tc>
          <w:tcPr/>
          <w:p>
            <w:pPr>
              <w:pStyle w:val="Compact"/>
              <w:jc w:val="left"/>
            </w:pPr>
            <w:r>
              <w:t xml:space="preserve">Maintained</w:t>
            </w:r>
          </w:p>
        </w:tc>
      </w:tr>
      <w:tr>
        <w:tc>
          <w:tcPr/>
          <w:p>
            <w:pPr>
              <w:pStyle w:val="Compact"/>
              <w:jc w:val="left"/>
            </w:pPr>
            <w:r>
              <w:rPr>
                <w:bCs/>
                <w:b/>
              </w:rPr>
              <w:t xml:space="preserve">Sales</w:t>
            </w:r>
          </w:p>
        </w:tc>
        <w:tc>
          <w:tcPr/>
          <w:p>
            <w:pPr>
              <w:pStyle w:val="Compact"/>
              <w:jc w:val="left"/>
            </w:pPr>
            <w:r>
              <w:t xml:space="preserve">Conversion rate (store)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InvestEU readiness</w:t>
            </w:r>
          </w:p>
        </w:tc>
        <w:tc>
          <w:tcPr/>
          <w:p>
            <w:pPr>
              <w:pStyle w:val="Compact"/>
              <w:jc w:val="left"/>
            </w:pPr>
            <w:r>
              <w:t xml:space="preserve">Pipeline</w:t>
            </w:r>
          </w:p>
        </w:tc>
        <w:tc>
          <w:tcPr/>
          <w:p>
            <w:pPr>
              <w:pStyle w:val="Compact"/>
              <w:jc w:val="left"/>
            </w:pPr>
            <w:r>
              <w:t xml:space="preserve">Assessment phase</w:t>
            </w:r>
          </w:p>
        </w:tc>
        <w:tc>
          <w:tcPr/>
          <w:p>
            <w:pPr>
              <w:pStyle w:val="Compact"/>
              <w:jc w:val="left"/>
            </w:pPr>
            <w:r>
              <w:t xml:space="preserve">Progressing</w:t>
            </w:r>
          </w:p>
        </w:tc>
      </w:tr>
      <w:tr>
        <w:tc>
          <w:tcPr/>
          <w:p>
            <w:pPr>
              <w:pStyle w:val="Compact"/>
              <w:jc w:val="left"/>
            </w:pPr>
            <w:r>
              <w:rPr>
                <w:bCs/>
                <w:b/>
              </w:rPr>
              <w:t xml:space="preserve">Investor</w:t>
            </w:r>
          </w:p>
        </w:tc>
        <w:tc>
          <w:tcPr/>
          <w:p>
            <w:pPr>
              <w:pStyle w:val="Compact"/>
              <w:jc w:val="left"/>
            </w:pPr>
            <w:r>
              <w:t xml:space="preserve">Product portfolio score</w:t>
            </w:r>
          </w:p>
        </w:tc>
        <w:tc>
          <w:tcPr/>
          <w:p>
            <w:pPr>
              <w:pStyle w:val="Compact"/>
              <w:jc w:val="left"/>
            </w:pPr>
            <w:r>
              <w:t xml:space="preserve">30 products listed</w:t>
            </w:r>
          </w:p>
        </w:tc>
        <w:tc>
          <w:tcPr/>
          <w:p>
            <w:pPr>
              <w:pStyle w:val="Compact"/>
              <w:jc w:val="left"/>
            </w:pPr>
            <w:r>
              <w:t xml:space="preserve">30 products + 3 SaaS features</w:t>
            </w:r>
          </w:p>
        </w:tc>
        <w:tc>
          <w:tcPr/>
          <w:p>
            <w:pPr>
              <w:pStyle w:val="Compact"/>
              <w:jc w:val="left"/>
            </w:pPr>
            <w:r>
              <w:t xml:space="preserve">Enhanced</w:t>
            </w:r>
          </w:p>
        </w:tc>
      </w:tr>
    </w:tbl>
    <w:p>
      <w:pPr>
        <w:pStyle w:val="BodyText"/>
      </w:pPr>
      <w:r>
        <w:rPr>
          <w:bCs/>
          <w:b/>
        </w:rPr>
        <w:t xml:space="preserve">Key A/B test findings:</w:t>
      </w:r>
    </w:p>
    <w:p>
      <w:pPr>
        <w:numPr>
          <w:ilvl w:val="0"/>
          <w:numId w:val="1042"/>
        </w:numPr>
        <w:pStyle w:val="Compact"/>
      </w:pPr>
      <w:r>
        <w:rPr>
          <w:bCs/>
          <w:b/>
        </w:rPr>
        <w:t xml:space="preserve">AI-generated product descriptions</w:t>
      </w:r>
      <w:r>
        <w:t xml:space="preserve"> </w:t>
      </w:r>
      <w:r>
        <w:t xml:space="preserve">outperform manual descriptions by +18% CTR in Google Merchant</w:t>
      </w:r>
    </w:p>
    <w:p>
      <w:pPr>
        <w:numPr>
          <w:ilvl w:val="0"/>
          <w:numId w:val="1042"/>
        </w:numPr>
        <w:pStyle w:val="Compact"/>
      </w:pPr>
      <w:r>
        <w:rPr>
          <w:bCs/>
          <w:b/>
        </w:rPr>
        <w:t xml:space="preserve">Hierarchical category pages</w:t>
      </w:r>
      <w:r>
        <w:t xml:space="preserve"> </w:t>
      </w:r>
      <w:r>
        <w:t xml:space="preserve">reduce bounce rate by 12% vs flat product listing</w:t>
      </w:r>
    </w:p>
    <w:p>
      <w:pPr>
        <w:numPr>
          <w:ilvl w:val="0"/>
          <w:numId w:val="1042"/>
        </w:numPr>
        <w:pStyle w:val="Compact"/>
      </w:pPr>
      <w:r>
        <w:rPr>
          <w:bCs/>
          <w:b/>
        </w:rPr>
        <w:t xml:space="preserve">Dynamic pricing signals</w:t>
      </w:r>
      <w:r>
        <w:t xml:space="preserve"> </w:t>
      </w:r>
      <w:r>
        <w:t xml:space="preserve">(showing competitor comparison) increase conversion by 8%</w:t>
      </w:r>
    </w:p>
    <w:p>
      <w:pPr>
        <w:numPr>
          <w:ilvl w:val="0"/>
          <w:numId w:val="1042"/>
        </w:numPr>
        <w:pStyle w:val="Compact"/>
      </w:pPr>
      <w:r>
        <w:rPr>
          <w:bCs/>
          <w:b/>
        </w:rPr>
        <w:t xml:space="preserve">Investor feedback</w:t>
      </w:r>
      <w:r>
        <w:t xml:space="preserve"> </w:t>
      </w:r>
      <w:r>
        <w:t xml:space="preserve">confirmed product portfolio breadth as a strength; pricing model feedback led to 3-tier billing implementation</w:t>
      </w:r>
    </w:p>
    <w:p>
      <w:r>
        <w:pict>
          <v:rect style="width:0;height:1.5pt" o:hralign="center" o:hrstd="t" o:hr="t"/>
        </w:pict>
      </w:r>
    </w:p>
    <w:bookmarkEnd w:id="127"/>
    <w:bookmarkEnd w:id="128"/>
    <w:bookmarkStart w:id="139" w:name="discussion"/>
    <w:p>
      <w:pPr>
        <w:pStyle w:val="Heading1"/>
      </w:pPr>
      <w:r>
        <w:t xml:space="preserve">9. Discussion</w:t>
      </w:r>
    </w:p>
    <w:bookmarkStart w:id="130" w:name="key-findings-and-implications"/>
    <w:p>
      <w:pPr>
        <w:pStyle w:val="Heading2"/>
      </w:pPr>
      <w:r>
        <w:t xml:space="preserve">9.1 Key Findings and Implications</w:t>
      </w:r>
    </w:p>
    <w:bookmarkStart w:id="129" w:name="Xe1b2c8116099c1064818009868175ce91100a68"/>
    <w:p>
      <w:pPr>
        <w:pStyle w:val="Heading3"/>
      </w:pPr>
      <w:r>
        <w:t xml:space="preserve">9.1.1 Validation of AI-Assisted Development Model</w:t>
      </w:r>
    </w:p>
    <w:p>
      <w:pPr>
        <w:pStyle w:val="FirstParagraph"/>
      </w:pPr>
      <w:r>
        <w:rPr>
          <w:bCs/>
          <w:b/>
        </w:rPr>
        <w:t xml:space="preserve">Finding 1: Cursor Pro + Claude Code Max enabled rapid MVP development</w:t>
      </w:r>
    </w:p>
    <w:p>
      <w:pPr>
        <w:numPr>
          <w:ilvl w:val="0"/>
          <w:numId w:val="1043"/>
        </w:numPr>
        <w:pStyle w:val="Compact"/>
      </w:pPr>
      <w:r>
        <w:t xml:space="preserve">AI-assisted development tools (Cursor Pro, Claude Code Max subscriptions) enabled a complete MVP in 15 weeks</w:t>
      </w:r>
    </w:p>
    <w:p>
      <w:pPr>
        <w:numPr>
          <w:ilvl w:val="0"/>
          <w:numId w:val="1043"/>
        </w:numPr>
        <w:pStyle w:val="Compact"/>
      </w:pPr>
      <w:r>
        <w:t xml:space="preserve">Minimal cloud credits supplemented by targeted tool subscriptions eliminate the need for early-stage venture capital</w:t>
      </w:r>
    </w:p>
    <w:p>
      <w:pPr>
        <w:pStyle w:val="FirstParagraph"/>
      </w:pPr>
      <w:r>
        <w:rPr>
          <w:bCs/>
          <w:b/>
        </w:rPr>
        <w:t xml:space="preserve">Finding 2: Edge AI provides sustainable cost advantage</w:t>
      </w:r>
    </w:p>
    <w:p>
      <w:pPr>
        <w:numPr>
          <w:ilvl w:val="0"/>
          <w:numId w:val="1044"/>
        </w:numPr>
        <w:pStyle w:val="Compact"/>
      </w:pPr>
      <w:r>
        <w:t xml:space="preserve">82% cost reduction vs. cloud-only architecture</w:t>
      </w:r>
    </w:p>
    <w:p>
      <w:pPr>
        <w:numPr>
          <w:ilvl w:val="0"/>
          <w:numId w:val="1044"/>
        </w:numPr>
        <w:pStyle w:val="Compact"/>
      </w:pPr>
      <w:r>
        <w:t xml:space="preserve">1.95-month payback period on hardware investment</w:t>
      </w:r>
    </w:p>
    <w:bookmarkEnd w:id="129"/>
    <w:bookmarkEnd w:id="130"/>
    <w:bookmarkStart w:id="131" w:name="replicability-the-solution-factory-model"/>
    <w:p>
      <w:pPr>
        <w:pStyle w:val="Heading2"/>
      </w:pPr>
      <w:r>
        <w:t xml:space="preserve">9.2 Replicability: The Solution Factory Model</w:t>
      </w:r>
    </w:p>
    <w:p>
      <w:pPr>
        <w:pStyle w:val="FirstParagraph"/>
      </w:pPr>
      <w:r>
        <w:rPr>
          <w:bCs/>
          <w:b/>
        </w:rPr>
        <w:t xml:space="preserve">Phase 1: Bootstrap (6 months, EUR 0-350/month)</w:t>
      </w:r>
      <w:r>
        <w:t xml:space="preserve"> </w:t>
      </w:r>
      <w:r>
        <w:t xml:space="preserve">— Free tiers, 5 pilot customers</w:t>
      </w:r>
    </w:p>
    <w:p>
      <w:pPr>
        <w:pStyle w:val="BodyText"/>
      </w:pPr>
      <w:r>
        <w:rPr>
          <w:bCs/>
          <w:b/>
        </w:rPr>
        <w:t xml:space="preserve">Phase 2: Validate (6 months, EUR 5-15k MRR)</w:t>
      </w:r>
      <w:r>
        <w:t xml:space="preserve"> </w:t>
      </w:r>
      <w:r>
        <w:t xml:space="preserve">— Paying customers, &lt;2 month payback</w:t>
      </w:r>
    </w:p>
    <w:p>
      <w:pPr>
        <w:pStyle w:val="BodyText"/>
      </w:pPr>
      <w:r>
        <w:rPr>
          <w:bCs/>
          <w:b/>
        </w:rPr>
        <w:t xml:space="preserve">Phase 3: Scale (12 months, EUR 50k+ MRR)</w:t>
      </w:r>
      <w:r>
        <w:t xml:space="preserve"> </w:t>
      </w:r>
      <w:r>
        <w:t xml:space="preserve">— 2-3 verticals, Series A</w:t>
      </w:r>
    </w:p>
    <w:bookmarkEnd w:id="131"/>
    <w:bookmarkStart w:id="132" w:name="limitations"/>
    <w:p>
      <w:pPr>
        <w:pStyle w:val="Heading2"/>
      </w:pPr>
      <w:r>
        <w:t xml:space="preserve">9.3 Limitations</w:t>
      </w:r>
    </w:p>
    <w:tbl>
      <w:tblPr>
        <w:tblStyle w:val="Table"/>
        <w:tblW w:type="pct" w:w="5000"/>
        <w:tblLook w:firstRow="1" w:lastRow="0" w:firstColumn="0" w:lastColumn="0" w:noHBand="0" w:noVBand="0" w:val="0020"/>
        <w:jc w:val="start"/>
      </w:tblPr>
      <w:tblGrid>
        <w:gridCol w:w="1959"/>
        <w:gridCol w:w="2041"/>
        <w:gridCol w:w="3919"/>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case study</w:t>
            </w:r>
          </w:p>
        </w:tc>
        <w:tc>
          <w:tcPr/>
          <w:p>
            <w:pPr>
              <w:pStyle w:val="Compact"/>
              <w:jc w:val="left"/>
            </w:pPr>
            <w:r>
              <w:t xml:space="preserve">Limited generalizability</w:t>
            </w:r>
          </w:p>
        </w:tc>
        <w:tc>
          <w:tcPr/>
          <w:p>
            <w:pPr>
              <w:pStyle w:val="Compact"/>
              <w:jc w:val="left"/>
            </w:pPr>
            <w:r>
              <w:t xml:space="preserve">Model provides framework for replication studies</w:t>
            </w:r>
          </w:p>
        </w:tc>
      </w:tr>
      <w:tr>
        <w:tc>
          <w:tcPr/>
          <w:p>
            <w:pPr>
              <w:pStyle w:val="Compact"/>
              <w:jc w:val="left"/>
            </w:pPr>
            <w:r>
              <w:t xml:space="preserve">Self-reported metrics</w:t>
            </w:r>
          </w:p>
        </w:tc>
        <w:tc>
          <w:tcPr/>
          <w:p>
            <w:pPr>
              <w:pStyle w:val="Compact"/>
              <w:jc w:val="left"/>
            </w:pPr>
            <w:r>
              <w:t xml:space="preserve">Potential bias</w:t>
            </w:r>
          </w:p>
        </w:tc>
        <w:tc>
          <w:tcPr/>
          <w:p>
            <w:pPr>
              <w:pStyle w:val="Compact"/>
              <w:jc w:val="left"/>
            </w:pPr>
            <w:r>
              <w:t xml:space="preserve">Third-party validation planned Q2 2026</w:t>
            </w:r>
          </w:p>
        </w:tc>
      </w:tr>
      <w:tr>
        <w:tc>
          <w:tcPr/>
          <w:p>
            <w:pPr>
              <w:pStyle w:val="Compact"/>
              <w:jc w:val="left"/>
            </w:pPr>
            <w:r>
              <w:t xml:space="preserve">Short observation period</w:t>
            </w:r>
          </w:p>
        </w:tc>
        <w:tc>
          <w:tcPr/>
          <w:p>
            <w:pPr>
              <w:pStyle w:val="Compact"/>
              <w:jc w:val="left"/>
            </w:pPr>
            <w:r>
              <w:t xml:space="preserve">Long-term effects unknown</w:t>
            </w:r>
          </w:p>
        </w:tc>
        <w:tc>
          <w:tcPr/>
          <w:p>
            <w:pPr>
              <w:pStyle w:val="Compact"/>
              <w:jc w:val="left"/>
            </w:pPr>
            <w:r>
              <w:t xml:space="preserve">Continuous monitoring</w:t>
            </w:r>
          </w:p>
        </w:tc>
      </w:tr>
    </w:tbl>
    <w:bookmarkEnd w:id="132"/>
    <w:bookmarkStart w:id="133" w:name="recommendations"/>
    <w:p>
      <w:pPr>
        <w:pStyle w:val="Heading2"/>
      </w:pPr>
      <w:r>
        <w:t xml:space="preserve">9.4 Recommendations</w:t>
      </w:r>
    </w:p>
    <w:p>
      <w:pPr>
        <w:numPr>
          <w:ilvl w:val="0"/>
          <w:numId w:val="1045"/>
        </w:numPr>
        <w:pStyle w:val="Compact"/>
      </w:pPr>
      <w:r>
        <w:rPr>
          <w:bCs/>
          <w:b/>
        </w:rPr>
        <w:t xml:space="preserve">Execute V1.0 release (23 February 2026)</w:t>
      </w:r>
    </w:p>
    <w:p>
      <w:pPr>
        <w:numPr>
          <w:ilvl w:val="0"/>
          <w:numId w:val="1045"/>
        </w:numPr>
        <w:pStyle w:val="Compact"/>
      </w:pPr>
      <w:r>
        <w:rPr>
          <w:bCs/>
          <w:b/>
        </w:rPr>
        <w:t xml:space="preserve">Document Solution Factory</w:t>
      </w:r>
      <w:r>
        <w:t xml:space="preserve"> </w:t>
      </w:r>
      <w:r>
        <w:t xml:space="preserve">— public cost calculator, AgentFoundry templates</w:t>
      </w:r>
    </w:p>
    <w:p>
      <w:pPr>
        <w:numPr>
          <w:ilvl w:val="0"/>
          <w:numId w:val="1045"/>
        </w:numPr>
        <w:pStyle w:val="Compact"/>
      </w:pPr>
      <w:r>
        <w:rPr>
          <w:bCs/>
          <w:b/>
        </w:rPr>
        <w:t xml:space="preserve">Validate second vertical</w:t>
      </w:r>
      <w:r>
        <w:t xml:space="preserve"> </w:t>
      </w:r>
      <w:r>
        <w:t xml:space="preserve">— Construction (NCC, T2H)</w:t>
      </w:r>
    </w:p>
    <w:bookmarkEnd w:id="133"/>
    <w:bookmarkStart w:id="138" w:name="X1ed1201d73bbf54458553ea5859fce5dfd771ff"/>
    <w:p>
      <w:pPr>
        <w:pStyle w:val="Heading2"/>
      </w:pPr>
      <w:r>
        <w:t xml:space="preserve">9.5 Learn Thinking — A Reflective Learning Framework for AI-Assisted Development</w:t>
      </w:r>
    </w:p>
    <w:p>
      <w:pPr>
        <w:pStyle w:val="FirstParagraph"/>
      </w:pPr>
      <w:r>
        <w:t xml:space="preserve">A critical innovation of the Firehorse operating model is</w:t>
      </w:r>
      <w:r>
        <w:t xml:space="preserve"> </w:t>
      </w:r>
      <w:r>
        <w:rPr>
          <w:bCs/>
          <w:b/>
        </w:rPr>
        <w:t xml:space="preserve">Learn Thinking</w:t>
      </w:r>
      <w:r>
        <w:t xml:space="preserve"> </w:t>
      </w:r>
      <w:r>
        <w:t xml:space="preserve">— a systematic approach where every AI-assisted development session produces not only code and documentation, but also</w:t>
      </w:r>
      <w:r>
        <w:t xml:space="preserve"> </w:t>
      </w:r>
      <w:r>
        <w:rPr>
          <w:bCs/>
          <w:b/>
        </w:rPr>
        <w:t xml:space="preserve">structural learning</w:t>
      </w:r>
      <w:r>
        <w:t xml:space="preserve"> </w:t>
      </w:r>
      <w:r>
        <w:t xml:space="preserve">that returns to the developer the following morning.</w:t>
      </w:r>
    </w:p>
    <w:bookmarkStart w:id="134" w:name="learn-thinking-principles"/>
    <w:p>
      <w:pPr>
        <w:pStyle w:val="Heading3"/>
      </w:pPr>
      <w:r>
        <w:t xml:space="preserve">Learn Thinking Principles</w:t>
      </w:r>
    </w:p>
    <w:tbl>
      <w:tblPr>
        <w:tblStyle w:val="Table"/>
        <w:tblW w:type="pct" w:w="5000"/>
        <w:tblLook w:firstRow="1" w:lastRow="0" w:firstColumn="0" w:lastColumn="0" w:noHBand="0" w:noVBand="0" w:val="0020"/>
        <w:jc w:val="start"/>
      </w:tblPr>
      <w:tblGrid>
        <w:gridCol w:w="1466"/>
        <w:gridCol w:w="3568"/>
        <w:gridCol w:w="288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Daily reflection</w:t>
            </w:r>
          </w:p>
        </w:tc>
        <w:tc>
          <w:tcPr/>
          <w:p>
            <w:pPr>
              <w:pStyle w:val="Compact"/>
              <w:jc w:val="left"/>
            </w:pPr>
            <w:r>
              <w:t xml:space="preserve">Learn/ folder HTML output opens in Edge every morning</w:t>
            </w:r>
          </w:p>
        </w:tc>
        <w:tc>
          <w:tcPr/>
          <w:p>
            <w:pPr>
              <w:pStyle w:val="Compact"/>
              <w:jc w:val="left"/>
            </w:pPr>
            <w:r>
              <w:t xml:space="preserve">Developer starts each day with a review of the latest state</w:t>
            </w:r>
          </w:p>
        </w:tc>
      </w:tr>
      <w:tr>
        <w:tc>
          <w:tcPr/>
          <w:p>
            <w:pPr>
              <w:pStyle w:val="Compact"/>
              <w:jc w:val="left"/>
            </w:pPr>
            <w:r>
              <w:rPr>
                <w:bCs/>
                <w:b/>
              </w:rPr>
              <w:t xml:space="preserve">Versioned learning journal</w:t>
            </w:r>
          </w:p>
        </w:tc>
        <w:tc>
          <w:tcPr/>
          <w:p>
            <w:pPr>
              <w:pStyle w:val="Compact"/>
              <w:jc w:val="left"/>
            </w:pPr>
            <w:r>
              <w:t xml:space="preserve">Thesis version history = learning journal</w:t>
            </w:r>
          </w:p>
        </w:tc>
        <w:tc>
          <w:tcPr/>
          <w:p>
            <w:pPr>
              <w:pStyle w:val="Compact"/>
              <w:jc w:val="left"/>
            </w:pPr>
            <w:r>
              <w:t xml:space="preserve">Each version documents what was learned and why</w:t>
            </w:r>
          </w:p>
        </w:tc>
      </w:tr>
      <w:tr>
        <w:tc>
          <w:tcPr/>
          <w:p>
            <w:pPr>
              <w:pStyle w:val="Compact"/>
              <w:jc w:val="left"/>
            </w:pPr>
            <w:r>
              <w:rPr>
                <w:bCs/>
                <w:b/>
              </w:rPr>
              <w:t xml:space="preserve">AI as learning partner</w:t>
            </w:r>
          </w:p>
        </w:tc>
        <w:tc>
          <w:tcPr/>
          <w:p>
            <w:pPr>
              <w:pStyle w:val="Compact"/>
              <w:jc w:val="left"/>
            </w:pPr>
            <w:r>
              <w:t xml:space="preserve">Claude Code / Copilot generates content, human validates</w:t>
            </w:r>
          </w:p>
        </w:tc>
        <w:tc>
          <w:tcPr/>
          <w:p>
            <w:pPr>
              <w:pStyle w:val="Compact"/>
              <w:jc w:val="left"/>
            </w:pPr>
            <w:r>
              <w:t xml:space="preserve">Dual loop: AI proposes → human evaluates → AI corrects</w:t>
            </w:r>
          </w:p>
        </w:tc>
      </w:tr>
      <w:tr>
        <w:tc>
          <w:tcPr/>
          <w:p>
            <w:pPr>
              <w:pStyle w:val="Compact"/>
              <w:jc w:val="left"/>
            </w:pPr>
            <w:r>
              <w:rPr>
                <w:bCs/>
                <w:b/>
              </w:rPr>
              <w:t xml:space="preserve">Three-layer memory</w:t>
            </w:r>
          </w:p>
        </w:tc>
        <w:tc>
          <w:tcPr/>
          <w:p>
            <w:pPr>
              <w:pStyle w:val="Compact"/>
              <w:jc w:val="left"/>
            </w:pPr>
            <w:r>
              <w:t xml:space="preserve">GitHub (version control) + Proton Drive (encrypted) + Supabase (EU cloud)</w:t>
            </w:r>
          </w:p>
        </w:tc>
        <w:tc>
          <w:tcPr/>
          <w:p>
            <w:pPr>
              <w:pStyle w:val="Compact"/>
              <w:jc w:val="left"/>
            </w:pPr>
            <w:r>
              <w:t xml:space="preserve">Learning never gets lost — three independent copies</w:t>
            </w:r>
          </w:p>
        </w:tc>
      </w:tr>
      <w:tr>
        <w:tc>
          <w:tcPr/>
          <w:p>
            <w:pPr>
              <w:pStyle w:val="Compact"/>
              <w:jc w:val="left"/>
            </w:pPr>
            <w:r>
              <w:rPr>
                <w:bCs/>
                <w:b/>
              </w:rPr>
              <w:t xml:space="preserve">Research-production bridge</w:t>
            </w:r>
          </w:p>
        </w:tc>
        <w:tc>
          <w:tcPr/>
          <w:p>
            <w:pPr>
              <w:pStyle w:val="Compact"/>
              <w:jc w:val="left"/>
            </w:pPr>
            <w:r>
              <w:t xml:space="preserve">Thesis guides product development, product development validates theory</w:t>
            </w:r>
          </w:p>
        </w:tc>
        <w:tc>
          <w:tcPr/>
          <w:p>
            <w:pPr>
              <w:pStyle w:val="Compact"/>
              <w:jc w:val="left"/>
            </w:pPr>
            <w:r>
              <w:t xml:space="preserve">No separate research and production — same loop</w:t>
            </w:r>
          </w:p>
        </w:tc>
      </w:tr>
    </w:tbl>
    <w:bookmarkEnd w:id="134"/>
    <w:bookmarkStart w:id="135" w:name="learning-loop-structure"/>
    <w:p>
      <w:pPr>
        <w:pStyle w:val="Heading3"/>
      </w:pPr>
      <w:r>
        <w:t xml:space="preserve">Learning Loop Structure</w:t>
      </w:r>
    </w:p>
    <w:p>
      <w:pPr>
        <w:pStyle w:val="SourceCode"/>
      </w:pPr>
      <w:r>
        <w:rPr>
          <w:rStyle w:val="VerbatimChar"/>
        </w:rPr>
        <w:t xml:space="preserve">┌─────────────────────────────────────────────────────────────┐</w:t>
      </w:r>
      <w:r>
        <w:br/>
      </w:r>
      <w:r>
        <w:rPr>
          <w:rStyle w:val="VerbatimChar"/>
        </w:rPr>
        <w:t xml:space="preserve">│                    LEARN THINKING LOOP                       │</w:t>
      </w:r>
      <w:r>
        <w:br/>
      </w:r>
      <w:r>
        <w:rPr>
          <w:rStyle w:val="VerbatimChar"/>
        </w:rPr>
        <w:t xml:space="preserve">├─────────────────────────────────────────────────────────────┤</w:t>
      </w:r>
      <w:r>
        <w:br/>
      </w:r>
      <w:r>
        <w:rPr>
          <w:rStyle w:val="VerbatimChar"/>
        </w:rPr>
        <w:t xml:space="preserve">│                                                             │</w:t>
      </w:r>
      <w:r>
        <w:br/>
      </w:r>
      <w:r>
        <w:rPr>
          <w:rStyle w:val="VerbatimChar"/>
        </w:rPr>
        <w:t xml:space="preserve">│  1. MORNING REVIEW (Windows startup)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opens changed HTML files                    │</w:t>
      </w:r>
      <w:r>
        <w:br/>
      </w:r>
      <w:r>
        <w:rPr>
          <w:rStyle w:val="VerbatimChar"/>
        </w:rPr>
        <w:t xml:space="preserve">│                                                             │</w:t>
      </w:r>
      <w:r>
        <w:br/>
      </w:r>
      <w:r>
        <w:rPr>
          <w:rStyle w:val="VerbatimChar"/>
        </w:rPr>
        <w:t xml:space="preserve">│  2. REFLECTION (human reads Learn/ folder content)         │</w:t>
      </w:r>
      <w:r>
        <w:br/>
      </w:r>
      <w:r>
        <w:rPr>
          <w:rStyle w:val="VerbatimChar"/>
        </w:rPr>
        <w:t xml:space="preserve">│     └─ Identifies gaps, errors, new opportunities          │</w:t>
      </w:r>
      <w:r>
        <w:br/>
      </w:r>
      <w:r>
        <w:rPr>
          <w:rStyle w:val="VerbatimChar"/>
        </w:rPr>
        <w:t xml:space="preserve">│                                                             │</w:t>
      </w:r>
      <w:r>
        <w:br/>
      </w:r>
      <w:r>
        <w:rPr>
          <w:rStyle w:val="VerbatimChar"/>
        </w:rPr>
        <w:t xml:space="preserve">│  3. DEVELOPMENT SESSION (Claude Code / Copilot / Cursor)   │</w:t>
      </w:r>
      <w:r>
        <w:br/>
      </w:r>
      <w:r>
        <w:rPr>
          <w:rStyle w:val="VerbatimChar"/>
        </w:rPr>
        <w:t xml:space="preserve">│     └─ Fixes, adds, improves code and documentation        │</w:t>
      </w:r>
      <w:r>
        <w:br/>
      </w:r>
      <w:r>
        <w:rPr>
          <w:rStyle w:val="VerbatimChar"/>
        </w:rPr>
        <w:t xml:space="preserve">│                                                             │</w:t>
      </w:r>
      <w:r>
        <w:br/>
      </w:r>
      <w:r>
        <w:rPr>
          <w:rStyle w:val="VerbatimChar"/>
        </w:rPr>
        <w:t xml:space="preserve">│  4. VERSIONING (git commit + push)                         │</w:t>
      </w:r>
      <w:r>
        <w:br/>
      </w:r>
      <w:r>
        <w:rPr>
          <w:rStyle w:val="VerbatimChar"/>
        </w:rPr>
        <w:t xml:space="preserve">│     └─ Thesis version increments, learning journal         │</w:t>
      </w:r>
      <w:r>
        <w:br/>
      </w:r>
      <w:r>
        <w:rPr>
          <w:rStyle w:val="VerbatimChar"/>
        </w:rPr>
        <w:t xml:space="preserve">│        updates automatically                                │</w:t>
      </w:r>
      <w:r>
        <w:br/>
      </w:r>
      <w:r>
        <w:rPr>
          <w:rStyle w:val="VerbatimChar"/>
        </w:rPr>
        <w:t xml:space="preserve">│                                                             │</w:t>
      </w:r>
      <w:r>
        <w:br/>
      </w:r>
      <w:r>
        <w:rPr>
          <w:rStyle w:val="VerbatimChar"/>
        </w:rPr>
        <w:t xml:space="preserve">│  5. NEXT MORNING → return to step 1                        │</w:t>
      </w:r>
      <w:r>
        <w:br/>
      </w:r>
      <w:r>
        <w:rPr>
          <w:rStyle w:val="VerbatimChar"/>
        </w:rPr>
        <w:t xml:space="preserve">│                                                             │</w:t>
      </w:r>
      <w:r>
        <w:br/>
      </w:r>
      <w:r>
        <w:rPr>
          <w:rStyle w:val="VerbatimChar"/>
        </w:rPr>
        <w:t xml:space="preserve">└─────────────────────────────────────────────────────────────┘</w:t>
      </w:r>
    </w:p>
    <w:bookmarkEnd w:id="135"/>
    <w:bookmarkStart w:id="136" w:name="X54b373059c34066dbb6b5f78c91e5e06f603df8"/>
    <w:p>
      <w:pPr>
        <w:pStyle w:val="Heading3"/>
      </w:pPr>
      <w:r>
        <w:t xml:space="preserve">Why Learn Thinking Matters for Thesis Work</w:t>
      </w:r>
    </w:p>
    <w:p>
      <w:pPr>
        <w:pStyle w:val="FirstParagraph"/>
      </w:pPr>
      <w:r>
        <w:t xml:space="preserve">In a traditional thesis process, the researcher writes a document once and submits it. In the Learn Thinking model:</w:t>
      </w:r>
    </w:p>
    <w:p>
      <w:pPr>
        <w:numPr>
          <w:ilvl w:val="0"/>
          <w:numId w:val="1046"/>
        </w:numPr>
        <w:pStyle w:val="Compact"/>
      </w:pPr>
      <w:r>
        <w:rPr>
          <w:bCs/>
          <w:b/>
        </w:rPr>
        <w:t xml:space="preserve">The thesis is a living document</w:t>
      </w:r>
      <w:r>
        <w:t xml:space="preserve"> </w:t>
      </w:r>
      <w:r>
        <w:t xml:space="preserve">— 30+ versions over 3 months, each documenting a concrete learning contribution</w:t>
      </w:r>
    </w:p>
    <w:p>
      <w:pPr>
        <w:numPr>
          <w:ilvl w:val="0"/>
          <w:numId w:val="1046"/>
        </w:numPr>
        <w:pStyle w:val="Compact"/>
      </w:pPr>
      <w:r>
        <w:rPr>
          <w:bCs/>
          <w:b/>
        </w:rPr>
        <w:t xml:space="preserve">AI tools are learning partners</w:t>
      </w:r>
      <w:r>
        <w:t xml:space="preserve"> </w:t>
      </w:r>
      <w:r>
        <w:t xml:space="preserve">— Claude Code, Copilot, and Cursor don’t just generate code, they produce structural reflection via version history</w:t>
      </w:r>
    </w:p>
    <w:p>
      <w:pPr>
        <w:numPr>
          <w:ilvl w:val="0"/>
          <w:numId w:val="1046"/>
        </w:numPr>
        <w:pStyle w:val="Compact"/>
      </w:pPr>
      <w:r>
        <w:rPr>
          <w:bCs/>
          <w:b/>
        </w:rPr>
        <w:t xml:space="preserve">The Learn/ folder is proof of learning</w:t>
      </w:r>
      <w:r>
        <w:t xml:space="preserve"> </w:t>
      </w:r>
      <w:r>
        <w:t xml:space="preserve">— a concrete, daily-updating portfolio of thesis progress</w:t>
      </w:r>
    </w:p>
    <w:p>
      <w:pPr>
        <w:numPr>
          <w:ilvl w:val="0"/>
          <w:numId w:val="1046"/>
        </w:numPr>
        <w:pStyle w:val="Compact"/>
      </w:pPr>
      <w:r>
        <w:rPr>
          <w:bCs/>
          <w:b/>
        </w:rPr>
        <w:t xml:space="preserve">Research and production converge</w:t>
      </w:r>
      <w:r>
        <w:t xml:space="preserve"> </w:t>
      </w:r>
      <w:r>
        <w:t xml:space="preserve">— thesis findings directly guide DWS product development and vice versa</w:t>
      </w:r>
    </w:p>
    <w:bookmarkEnd w:id="136"/>
    <w:bookmarkStart w:id="137" w:name="connection-to-build-measure-learn-cycle"/>
    <w:p>
      <w:pPr>
        <w:pStyle w:val="Heading3"/>
      </w:pPr>
      <w:r>
        <w:t xml:space="preserve">Connection to Build-Measure-Learn Cycle</w:t>
      </w:r>
    </w:p>
    <w:p>
      <w:pPr>
        <w:pStyle w:val="FirstParagraph"/>
      </w:pPr>
      <w:r>
        <w:t xml:space="preserve">Learn Thinking extends the Lean Startup Build-Measure-Learn cycle:</w:t>
      </w:r>
    </w:p>
    <w:tbl>
      <w:tblPr>
        <w:tblStyle w:val="Table"/>
        <w:tblW w:type="pct" w:w="5000"/>
        <w:tblLook w:firstRow="1" w:lastRow="0" w:firstColumn="0" w:lastColumn="0" w:noHBand="0" w:noVBand="0" w:val="0020"/>
        <w:jc w:val="start"/>
      </w:tblPr>
      <w:tblGrid>
        <w:gridCol w:w="1080"/>
        <w:gridCol w:w="3780"/>
        <w:gridCol w:w="3060"/>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 Implementation</w:t>
            </w:r>
          </w:p>
        </w:tc>
      </w:tr>
      <w:tr>
        <w:tc>
          <w:tcPr/>
          <w:p>
            <w:pPr>
              <w:pStyle w:val="Compact"/>
              <w:jc w:val="left"/>
            </w:pPr>
            <w:r>
              <w:t xml:space="preserve">Build</w:t>
            </w:r>
          </w:p>
        </w:tc>
        <w:tc>
          <w:tcPr/>
          <w:p>
            <w:pPr>
              <w:pStyle w:val="Compact"/>
              <w:jc w:val="left"/>
            </w:pPr>
            <w:r>
              <w:t xml:space="preserve">Development session (code + documentation)</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Morning review (changes in Edge browser)</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Reflection and next action</w:t>
            </w:r>
          </w:p>
        </w:tc>
        <w:tc>
          <w:tcPr/>
          <w:p>
            <w:pPr>
              <w:pStyle w:val="Compact"/>
              <w:jc w:val="left"/>
            </w:pPr>
            <w:r>
              <w:t xml:space="preserve">Version history = learning journal</w:t>
            </w:r>
          </w:p>
        </w:tc>
      </w:tr>
    </w:tbl>
    <w:p>
      <w:r>
        <w:pict>
          <v:rect style="width:0;height:1.5pt" o:hralign="center" o:hrstd="t" o:hr="t"/>
        </w:pict>
      </w:r>
    </w:p>
    <w:bookmarkEnd w:id="137"/>
    <w:bookmarkEnd w:id="138"/>
    <w:bookmarkEnd w:id="139"/>
    <w:bookmarkStart w:id="191" w:name="conclusions"/>
    <w:p>
      <w:pPr>
        <w:pStyle w:val="Heading1"/>
      </w:pPr>
      <w:r>
        <w:t xml:space="preserve">10. Conclusions</w:t>
      </w:r>
    </w:p>
    <w:bookmarkStart w:id="140" w:name="summary"/>
    <w:p>
      <w:pPr>
        <w:pStyle w:val="Heading2"/>
      </w:pPr>
      <w:r>
        <w:t xml:space="preserve">10.1 Summary</w:t>
      </w:r>
    </w:p>
    <w:p>
      <w:pPr>
        <w:pStyle w:val="FirstParagraph"/>
      </w:pPr>
      <w:r>
        <w:t xml:space="preserve">The Firehorse operating model demonstrates that AI-assisted e-commerce management can:</w:t>
      </w:r>
    </w:p>
    <w:p>
      <w:pPr>
        <w:numPr>
          <w:ilvl w:val="0"/>
          <w:numId w:val="1047"/>
        </w:numPr>
        <w:pStyle w:val="Compact"/>
      </w:pPr>
      <w:r>
        <w:rPr>
          <w:bCs/>
          <w:b/>
        </w:rPr>
        <w:t xml:space="preserve">Reduce operational overhead</w:t>
      </w:r>
      <w:r>
        <w:t xml:space="preserve"> </w:t>
      </w:r>
      <w:r>
        <w:t xml:space="preserve">by over 90% with automated product management</w:t>
      </w:r>
    </w:p>
    <w:p>
      <w:pPr>
        <w:numPr>
          <w:ilvl w:val="0"/>
          <w:numId w:val="1047"/>
        </w:numPr>
        <w:pStyle w:val="Compact"/>
      </w:pPr>
      <w:r>
        <w:rPr>
          <w:bCs/>
          <w:b/>
        </w:rPr>
        <w:t xml:space="preserve">Ensure compliance</w:t>
      </w:r>
      <w:r>
        <w:t xml:space="preserve"> </w:t>
      </w:r>
      <w:r>
        <w:t xml:space="preserve">with EU regulations through documented audit trails</w:t>
      </w:r>
    </w:p>
    <w:p>
      <w:pPr>
        <w:numPr>
          <w:ilvl w:val="0"/>
          <w:numId w:val="1047"/>
        </w:numPr>
        <w:pStyle w:val="Compact"/>
      </w:pPr>
      <w:r>
        <w:rPr>
          <w:bCs/>
          <w:b/>
        </w:rPr>
        <w:t xml:space="preserve">Enable rapid iteration</w:t>
      </w:r>
      <w:r>
        <w:t xml:space="preserve"> </w:t>
      </w:r>
      <w:r>
        <w:t xml:space="preserve">on product offerings through natural language interfaces</w:t>
      </w:r>
    </w:p>
    <w:p>
      <w:pPr>
        <w:numPr>
          <w:ilvl w:val="0"/>
          <w:numId w:val="1047"/>
        </w:numPr>
        <w:pStyle w:val="Compact"/>
      </w:pPr>
      <w:r>
        <w:rPr>
          <w:bCs/>
          <w:b/>
        </w:rPr>
        <w:t xml:space="preserve">Prepare infrastructure</w:t>
      </w:r>
      <w:r>
        <w:t xml:space="preserve"> </w:t>
      </w:r>
      <w:r>
        <w:t xml:space="preserve">for voice-based customer interaction</w:t>
      </w:r>
    </w:p>
    <w:p>
      <w:pPr>
        <w:numPr>
          <w:ilvl w:val="0"/>
          <w:numId w:val="1047"/>
        </w:numPr>
        <w:pStyle w:val="Compact"/>
      </w:pPr>
      <w:r>
        <w:rPr>
          <w:bCs/>
          <w:b/>
        </w:rPr>
        <w:t xml:space="preserve">Validate product-market fit</w:t>
      </w:r>
      <w:r>
        <w:t xml:space="preserve"> </w:t>
      </w:r>
      <w:r>
        <w:t xml:space="preserve">through Google Merchant Center integration</w:t>
      </w:r>
    </w:p>
    <w:bookmarkEnd w:id="140"/>
    <w:bookmarkStart w:id="141" w:name="key-contributions"/>
    <w:p>
      <w:pPr>
        <w:pStyle w:val="Heading2"/>
      </w:pPr>
      <w:r>
        <w:t xml:space="preserve">10.2 Key Contributions</w:t>
      </w:r>
    </w:p>
    <w:p>
      <w:pPr>
        <w:numPr>
          <w:ilvl w:val="0"/>
          <w:numId w:val="1048"/>
        </w:numPr>
        <w:pStyle w:val="Compact"/>
      </w:pPr>
      <w:r>
        <w:t xml:space="preserve">Documented framework for AI-assisted store operations (Firehorse model)</w:t>
      </w:r>
    </w:p>
    <w:p>
      <w:pPr>
        <w:numPr>
          <w:ilvl w:val="0"/>
          <w:numId w:val="1048"/>
        </w:numPr>
        <w:pStyle w:val="Compact"/>
      </w:pPr>
      <w:r>
        <w:t xml:space="preserve">Integration patterns for Google Merchant Center and Revolut Business</w:t>
      </w:r>
    </w:p>
    <w:p>
      <w:pPr>
        <w:numPr>
          <w:ilvl w:val="0"/>
          <w:numId w:val="1048"/>
        </w:numPr>
        <w:pStyle w:val="Compact"/>
      </w:pPr>
      <w:r>
        <w:t xml:space="preserve">Roadmap for audio chat with carbon footprint calculator integration (4 phases)</w:t>
      </w:r>
    </w:p>
    <w:p>
      <w:pPr>
        <w:numPr>
          <w:ilvl w:val="0"/>
          <w:numId w:val="1048"/>
        </w:numPr>
        <w:pStyle w:val="Compact"/>
      </w:pPr>
      <w:r>
        <w:t xml:space="preserve">EU compliance mapping for industrial software products</w:t>
      </w:r>
    </w:p>
    <w:p>
      <w:pPr>
        <w:numPr>
          <w:ilvl w:val="0"/>
          <w:numId w:val="1048"/>
        </w:numPr>
        <w:pStyle w:val="Compact"/>
      </w:pPr>
      <w:r>
        <w:t xml:space="preserve">Product recommendation engine architecture for 25+ EU industries</w:t>
      </w:r>
    </w:p>
    <w:p>
      <w:pPr>
        <w:numPr>
          <w:ilvl w:val="0"/>
          <w:numId w:val="1048"/>
        </w:numPr>
        <w:pStyle w:val="Compact"/>
      </w:pPr>
      <w:r>
        <w:t xml:space="preserve">Proton security products strategy for GDPR/NIS2 compliance</w:t>
      </w:r>
    </w:p>
    <w:bookmarkEnd w:id="141"/>
    <w:bookmarkStart w:id="144" w:name="contribution-to-theory"/>
    <w:p>
      <w:pPr>
        <w:pStyle w:val="Heading2"/>
      </w:pPr>
      <w:r>
        <w:t xml:space="preserve">10.3 Contribution to Theory</w:t>
      </w:r>
    </w:p>
    <w:bookmarkStart w:id="142" w:name="lifetime-scope-signals-protocol-2"/>
    <w:p>
      <w:pPr>
        <w:pStyle w:val="Heading3"/>
      </w:pPr>
      <w:r>
        <w:t xml:space="preserve">Lifetime Scope Signals Protocol</w:t>
      </w:r>
    </w:p>
    <w:p>
      <w:pPr>
        <w:pStyle w:val="FirstParagraph"/>
      </w:pPr>
      <w:r>
        <w:t xml:space="preserve">A novel contribution to multi-agent systems theory — declarative coordination, deterministic dependencies, and bootstrap optimization.</w:t>
      </w:r>
    </w:p>
    <w:bookmarkEnd w:id="142"/>
    <w:bookmarkStart w:id="143" w:name="solution-factory-model"/>
    <w:p>
      <w:pPr>
        <w:pStyle w:val="Heading3"/>
      </w:pPr>
      <w:r>
        <w:t xml:space="preserve">Solution Factory Model</w:t>
      </w:r>
    </w:p>
    <w:p>
      <w:pPr>
        <w:pStyle w:val="FirstParagraph"/>
      </w:pPr>
      <w:r>
        <w:t xml:space="preserve">Synthesizes Lean Startup, Platform Economics, Industry 5.0, and Edge Computing Economics into a unified framework.</w:t>
      </w:r>
    </w:p>
    <w:bookmarkEnd w:id="143"/>
    <w:bookmarkEnd w:id="144"/>
    <w:bookmarkStart w:id="145" w:name="X1634afecad3c2e46b7145515217828f4989cf64"/>
    <w:p>
      <w:pPr>
        <w:pStyle w:val="Heading2"/>
      </w:pPr>
      <w:r>
        <w:t xml:space="preserve">10.4 Impact of Regulatory Changes: Omnibus Package</w:t>
      </w:r>
    </w:p>
    <w:p>
      <w:pPr>
        <w:pStyle w:val="FirstParagraph"/>
      </w:pPr>
      <w:r>
        <w:t xml:space="preserve">The Omnibus package</w:t>
      </w:r>
      <w:r>
        <w:t xml:space="preserve"> </w:t>
      </w:r>
      <w:r>
        <w:rPr>
          <w:bCs/>
          <w:b/>
        </w:rPr>
        <w:t xml:space="preserve">strengthens</w:t>
      </w:r>
      <w:r>
        <w:t xml:space="preserve"> </w:t>
      </w:r>
      <w:r>
        <w:t xml:space="preserve">the Firehorse model’s competitiveness: climate emission targets are not compromised — only administrative burden is reduced. This creates a new market segment for voluntary reporting, where the EUR 0-350/month price point is particularly competitive.</w:t>
      </w:r>
    </w:p>
    <w:bookmarkEnd w:id="145"/>
    <w:bookmarkStart w:id="146" w:name="future-work"/>
    <w:p>
      <w:pPr>
        <w:pStyle w:val="Heading2"/>
      </w:pPr>
      <w:r>
        <w:t xml:space="preserve">10.5 Future Work</w:t>
      </w:r>
    </w:p>
    <w:p>
      <w:pPr>
        <w:numPr>
          <w:ilvl w:val="0"/>
          <w:numId w:val="1049"/>
        </w:numPr>
        <w:pStyle w:val="Compact"/>
      </w:pPr>
      <w:r>
        <w:rPr>
          <w:bCs/>
          <w:b/>
        </w:rPr>
        <w:t xml:space="preserve">Q1 2026:</w:t>
      </w:r>
      <w:r>
        <w:t xml:space="preserve"> </w:t>
      </w:r>
      <w:r>
        <w:t xml:space="preserve">Deploy audio chat Phase 1 with Groq/Llama models</w:t>
      </w:r>
    </w:p>
    <w:p>
      <w:pPr>
        <w:numPr>
          <w:ilvl w:val="0"/>
          <w:numId w:val="1049"/>
        </w:numPr>
        <w:pStyle w:val="Compact"/>
      </w:pPr>
      <w:r>
        <w:rPr>
          <w:bCs/>
          <w:b/>
        </w:rPr>
        <w:t xml:space="preserve">Q2 2026:</w:t>
      </w:r>
      <w:r>
        <w:t xml:space="preserve"> </w:t>
      </w:r>
      <w:r>
        <w:t xml:space="preserve">Implement industry carbon footprint calculator with Scope 1/2/3</w:t>
      </w:r>
    </w:p>
    <w:p>
      <w:pPr>
        <w:numPr>
          <w:ilvl w:val="0"/>
          <w:numId w:val="1049"/>
        </w:numPr>
        <w:pStyle w:val="Compact"/>
      </w:pPr>
      <w:r>
        <w:rPr>
          <w:bCs/>
          <w:b/>
        </w:rPr>
        <w:t xml:space="preserve">Q3 2026:</w:t>
      </w:r>
      <w:r>
        <w:t xml:space="preserve"> </w:t>
      </w:r>
      <w:r>
        <w:t xml:space="preserve">Launch regulatory awareness engine</w:t>
      </w:r>
    </w:p>
    <w:p>
      <w:pPr>
        <w:numPr>
          <w:ilvl w:val="0"/>
          <w:numId w:val="1049"/>
        </w:numPr>
        <w:pStyle w:val="Compact"/>
      </w:pPr>
      <w:r>
        <w:rPr>
          <w:bCs/>
          <w:b/>
        </w:rPr>
        <w:t xml:space="preserve">Q4 2026:</w:t>
      </w:r>
      <w:r>
        <w:t xml:space="preserve"> </w:t>
      </w:r>
      <w:r>
        <w:t xml:space="preserve">Establish partner ecosystem with commission model</w:t>
      </w:r>
    </w:p>
    <w:p>
      <w:pPr>
        <w:numPr>
          <w:ilvl w:val="0"/>
          <w:numId w:val="1049"/>
        </w:numPr>
        <w:pStyle w:val="Compact"/>
      </w:pPr>
      <w:r>
        <w:rPr>
          <w:bCs/>
          <w:b/>
        </w:rPr>
        <w:t xml:space="preserve">2027:</w:t>
      </w:r>
      <w:r>
        <w:t xml:space="preserve"> </w:t>
      </w:r>
      <w:r>
        <w:t xml:space="preserve">Expand to other EU markets (SE, NO, DK, DE)</w:t>
      </w:r>
    </w:p>
    <w:p>
      <w:pPr>
        <w:numPr>
          <w:ilvl w:val="0"/>
          <w:numId w:val="1049"/>
        </w:numPr>
        <w:pStyle w:val="Compact"/>
      </w:pPr>
      <w:r>
        <w:rPr>
          <w:bCs/>
          <w:b/>
        </w:rPr>
        <w:t xml:space="preserve">2027:</w:t>
      </w:r>
      <w:r>
        <w:t xml:space="preserve"> </w:t>
      </w:r>
      <w:r>
        <w:t xml:space="preserve">Per-industry open LLM selection and tenant-specific Lifetime World Model training</w:t>
      </w:r>
    </w:p>
    <w:p>
      <w:pPr>
        <w:numPr>
          <w:ilvl w:val="0"/>
          <w:numId w:val="1049"/>
        </w:numPr>
        <w:pStyle w:val="Compact"/>
      </w:pPr>
      <w:r>
        <w:rPr>
          <w:bCs/>
          <w:b/>
        </w:rPr>
        <w:t xml:space="preserve">2027-2028:</w:t>
      </w:r>
      <w:r>
        <w:t xml:space="preserve"> </w:t>
      </w:r>
      <w:r>
        <w:t xml:space="preserve">Enterprise BYOA (Bring Your Own Agent) graphical workflow builder</w:t>
      </w:r>
    </w:p>
    <w:bookmarkEnd w:id="146"/>
    <w:bookmarkStart w:id="148" w:name="per-industry-open-llm-selection"/>
    <w:p>
      <w:pPr>
        <w:pStyle w:val="Heading2"/>
      </w:pPr>
      <w:r>
        <w:t xml:space="preserve">10.6 Per-Industry Open LLM Selection</w:t>
      </w:r>
    </w:p>
    <w:p>
      <w:pPr>
        <w:pStyle w:val="FirstParagraph"/>
      </w:pPr>
      <w:r>
        <w:t xml:space="preserve">A critical finding from the platform architecture work is that</w:t>
      </w:r>
      <w:r>
        <w:t xml:space="preserve"> </w:t>
      </w:r>
      <w:r>
        <w:rPr>
          <w:bCs/>
          <w:b/>
        </w:rPr>
        <w:t xml:space="preserve">no single open LLM is optimal across all 25+ EU industries</w:t>
      </w:r>
      <w:r>
        <w:t xml:space="preserve">. Each industry vertical has distinct domain language, regulatory context, and structured output requirements.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 The platform must evaluate and select the best open LLM per industry rather than defaulting to a single model (e.g., Llama 3.3 70B) for all verticals.</w:t>
      </w:r>
    </w:p>
    <w:p>
      <w:pPr>
        <w:pStyle w:val="BodyText"/>
      </w:pPr>
      <w:r>
        <w:rPr>
          <w:bCs/>
          <w:b/>
        </w:rPr>
        <w:t xml:space="preserve">Candidate open LLMs per industry domain:</w:t>
      </w:r>
    </w:p>
    <w:tbl>
      <w:tblPr>
        <w:tblStyle w:val="Table"/>
        <w:tblW w:type="pct" w:w="5000"/>
        <w:tblLook w:firstRow="1" w:lastRow="0" w:firstColumn="0" w:lastColumn="0" w:noHBand="0" w:noVBand="0" w:val="0020"/>
        <w:jc w:val="start"/>
      </w:tblPr>
      <w:tblGrid>
        <w:gridCol w:w="1697"/>
        <w:gridCol w:w="2376"/>
        <w:gridCol w:w="3846"/>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medical waste, pharmaceutical supply chain</w:t>
            </w:r>
          </w:p>
        </w:tc>
      </w:tr>
    </w:tbl>
    <w:p>
      <w:pPr>
        <w:pStyle w:val="BodyText"/>
      </w:pPr>
      <w:r>
        <w:rPr>
          <w:bCs/>
          <w:b/>
        </w:rPr>
        <w:t xml:space="preserve">Selection criteria:</w:t>
      </w:r>
      <w:r>
        <w:t xml:space="preserve"> </w:t>
      </w:r>
      <w:r>
        <w:t xml:space="preserve">domain knowledge depth, multilingual capability (Finnish/Swedish/20+ for CBAM), structured output reliability, context window (128k+ for supply chain), inference speed, EU data residency, and commercial license.</w:t>
      </w:r>
    </w:p>
    <w:p>
      <w:pPr>
        <w:pStyle w:val="BodyText"/>
      </w:pPr>
      <w:r>
        <w:t xml:space="preserve">Each enterprise tenant can have their Lifetime World Model trained on their own industry data with their chosen LLM as the base model.</w:t>
      </w:r>
    </w:p>
    <w:bookmarkStart w:id="147" w:name="why-16-captain-hats-make-dws-iq-stronger"/>
    <w:p>
      <w:pPr>
        <w:pStyle w:val="Heading3"/>
      </w:pPr>
      <w:r>
        <w:t xml:space="preserve">10.6.1 Why 16 Captain Hats Make DWS IQ Stronger</w:t>
      </w:r>
    </w:p>
    <w:p>
      <w:pPr>
        <w:pStyle w:val="FirstParagraph"/>
      </w:pPr>
      <w:r>
        <w:t xml:space="preserve">From the customer’s perspective, a platform covering 25+ EU industries is not complexity — it is</w:t>
      </w:r>
      <w:r>
        <w:t xml:space="preserve"> </w:t>
      </w:r>
      <w:r>
        <w:rPr>
          <w:bCs/>
          <w:b/>
        </w:rPr>
        <w:t xml:space="preserve">the competitive advantage they are buying</w:t>
      </w:r>
      <w:r>
        <w:t xml:space="preserve">. The 25+-industry architecture creates compounding value that a single-industry platform cannot match:</w:t>
      </w:r>
    </w:p>
    <w:p>
      <w:pPr>
        <w:numPr>
          <w:ilvl w:val="0"/>
          <w:numId w:val="1050"/>
        </w:numPr>
      </w:pPr>
      <w:r>
        <w:rPr>
          <w:bCs/>
          <w:b/>
        </w:rPr>
        <w:t xml:space="preserve">Cross-industry regulatory intelligence.</w:t>
      </w:r>
      <w:r>
        <w:t xml:space="preserve"> </w:t>
      </w:r>
      <w:r>
        <w:t xml:space="preserve">EU regulations like Fit for 55, CSRD, and CBAM affect multiple industries simultaneously. A construction company’s Scope 3 emissions include steel (ETS), cement (CBAM), logistics (FuelEU), and energy (RED III). A single-industry tool sees one slice; DWS IQ sees the entire regulatory chain. The customer gets compliance intelligence that understands their full supply chain, not just their own vertical.</w:t>
      </w:r>
    </w:p>
    <w:p>
      <w:pPr>
        <w:numPr>
          <w:ilvl w:val="0"/>
          <w:numId w:val="1050"/>
        </w:numPr>
      </w:pPr>
      <w:r>
        <w:rPr>
          <w:bCs/>
          <w:b/>
        </w:rPr>
        <w:t xml:space="preserve">Supply chain visibility across verticals.</w:t>
      </w:r>
      <w:r>
        <w:t xml:space="preserve"> </w:t>
      </w:r>
      <w:r>
        <w:t xml:space="preserve">When a manufacturing customer reports CBAM imports, DWS IQ already understands the steel producer’s ETS obligations, the logistics provider’s fuel regulations, and the energy supplier’s renewable certificates. This cross-industry knowledge means the customer’s compliance reports are more accurate, audit-ready, and defensible because the platform understands every link in their value chain.</w:t>
      </w:r>
    </w:p>
    <w:p>
      <w:pPr>
        <w:numPr>
          <w:ilvl w:val="0"/>
          <w:numId w:val="1050"/>
        </w:numPr>
      </w:pPr>
      <w:r>
        <w:rPr>
          <w:bCs/>
          <w:b/>
        </w:rPr>
        <w:t xml:space="preserve">LWM cross-pollination.</w:t>
      </w:r>
      <w:r>
        <w:t xml:space="preserve"> </w:t>
      </w:r>
      <w:r>
        <w:t xml:space="preserve">The Lifetime World Model learns from anonymized patterns across all 20 industries. A carbon reduction technique proven in cement manufacturing (e.g., clinker ratio optimization) generates transferable insight for construction (low-carbon concrete specification). The customer benefits from an LWM that has been trained on 20 industries’ worth of climate intelligence — not just their own narrow domain.</w:t>
      </w:r>
    </w:p>
    <w:p>
      <w:pPr>
        <w:numPr>
          <w:ilvl w:val="0"/>
          <w:numId w:val="1050"/>
        </w:numPr>
      </w:pPr>
      <w:r>
        <w:rPr>
          <w:bCs/>
          <w:b/>
        </w:rPr>
        <w:t xml:space="preserve">Agent template reusability.</w:t>
      </w:r>
      <w:r>
        <w:t xml:space="preserve"> </w:t>
      </w:r>
      <w:r>
        <w:t xml:space="preserve">Agent configurations that work in one industry accelerate deployment in related industries. The BIM compliance agent developed for construction is adapted for real estate energy performance certificates. The supply chain Scope 3 agent in manufacturing transfers to food &amp; beverage. Customers in later-deploying industries get battle-tested agents at lower cost and faster deployment.</w:t>
      </w:r>
    </w:p>
    <w:p>
      <w:pPr>
        <w:numPr>
          <w:ilvl w:val="0"/>
          <w:numId w:val="1050"/>
        </w:numPr>
      </w:pPr>
      <w:r>
        <w:rPr>
          <w:bCs/>
          <w:b/>
        </w:rPr>
        <w:t xml:space="preserve">Regulatory early warning.</w:t>
      </w:r>
      <w:r>
        <w:t xml:space="preserve"> </w:t>
      </w:r>
      <w:r>
        <w:t xml:space="preserve">When a new regulation (e.g., EU Deforestation Regulation) first impacts agriculture, the platform detects it and alerts food &amp; beverage, textiles, and logistics customers proactively — before the regulation reaches their industry. A single-industry platform cannot provide this cross-sector foresight.</w:t>
      </w:r>
    </w:p>
    <w:p>
      <w:pPr>
        <w:numPr>
          <w:ilvl w:val="0"/>
          <w:numId w:val="1050"/>
        </w:numPr>
      </w:pPr>
      <w:r>
        <w:rPr>
          <w:bCs/>
          <w:b/>
        </w:rPr>
        <w:t xml:space="preserve">Benchmarking across peers and adjacent industries.</w:t>
      </w:r>
      <w:r>
        <w:t xml:space="preserve"> </w:t>
      </w:r>
      <w:r>
        <w:t xml:space="preserve">An energy company can benchmark its emissions intensity not only against other utilities but against the industrial customers it serves (manufacturing, mining, chemicals). This multi-dimensional benchmarking gives the customer strategic insight into where they stand in the broader decarbonization landscape.</w:t>
      </w:r>
    </w:p>
    <w:p>
      <w:pPr>
        <w:numPr>
          <w:ilvl w:val="0"/>
          <w:numId w:val="1050"/>
        </w:numPr>
      </w:pPr>
      <w:r>
        <w:rPr>
          <w:bCs/>
          <w:b/>
        </w:rPr>
        <w:t xml:space="preserve">Network effects compound over time.</w:t>
      </w:r>
      <w:r>
        <w:t xml:space="preserve"> </w:t>
      </w:r>
      <w:r>
        <w:t xml:space="preserve">Each new industry added to the platform makes every existing industry’s LWM smarter. The 20th industry customer benefits from all 19 industries’ accumulated intelligence. This creates a</w:t>
      </w:r>
      <w:r>
        <w:t xml:space="preserve"> </w:t>
      </w:r>
      <w:r>
        <w:rPr>
          <w:bCs/>
          <w:b/>
        </w:rPr>
        <w:t xml:space="preserve">moat</w:t>
      </w:r>
      <w:r>
        <w:t xml:space="preserve">: a competitor starting with one industry must replicate years of cross-industry learning to match DWS IQ’s accumulated intelligence.</w:t>
      </w:r>
    </w:p>
    <w:p>
      <w:pPr>
        <w:pStyle w:val="FirstParagraph"/>
      </w:pPr>
      <w:r>
        <w:rPr>
          <w:bCs/>
          <w:b/>
        </w:rPr>
        <w:t xml:space="preserve">The bottom line for the customer:</w:t>
      </w:r>
      <w:r>
        <w:t xml:space="preserve"> </w:t>
      </w:r>
      <w:r>
        <w:t xml:space="preserve">DWS IQ’s 25+-industry coverage means their compliance intelligence is not isolated — it is connected to the entire EU industrial ecosystem. They pay for one platform and receive intelligence that would require 16 separate tools to approximate.</w:t>
      </w:r>
    </w:p>
    <w:bookmarkEnd w:id="147"/>
    <w:bookmarkEnd w:id="148"/>
    <w:bookmarkStart w:id="154" w:name="Xbec6b4bd0a5055100df76aa133c0205e1554495"/>
    <w:p>
      <w:pPr>
        <w:pStyle w:val="Heading2"/>
      </w:pPr>
      <w:r>
        <w:t xml:space="preserve">10.7 Enterprise BYOA Architecture: Bring Your Own Agent</w:t>
      </w:r>
    </w:p>
    <w:p>
      <w:pPr>
        <w:pStyle w:val="FirstParagraph"/>
      </w:pPr>
      <w:r>
        <w:t xml:space="preserve">A key platform evolution is supporting enterprise customers who</w:t>
      </w:r>
      <w:r>
        <w:t xml:space="preserve"> </w:t>
      </w:r>
      <w:r>
        <w:rPr>
          <w:bCs/>
          <w:b/>
        </w:rPr>
        <w:t xml:space="preserve">bring their own AI agents</w:t>
      </w:r>
      <w:r>
        <w:t xml:space="preserve"> </w:t>
      </w:r>
      <w:r>
        <w:t xml:space="preserve">to work on DWS IQ. This section describes the architecture using NCC (Nordic construction company) as an illustrative case.</w:t>
      </w:r>
    </w:p>
    <w:bookmarkStart w:id="149" w:name="the-ncc-scenario"/>
    <w:p>
      <w:pPr>
        <w:pStyle w:val="Heading3"/>
      </w:pPr>
      <w:r>
        <w:t xml:space="preserve">10.7.1 The NCC Scenario</w:t>
      </w:r>
    </w:p>
    <w:p>
      <w:pPr>
        <w:pStyle w:val="FirstParagraph"/>
      </w:pPr>
      <w:r>
        <w:t xml:space="preserve">NCC operates with a complex agent ecosystem:</w:t>
      </w:r>
    </w:p>
    <w:tbl>
      <w:tblPr>
        <w:tblStyle w:val="Table"/>
        <w:tblW w:type="pct" w:w="5000"/>
        <w:tblLook w:firstRow="1" w:lastRow="0" w:firstColumn="0" w:lastColumn="0" w:noHBand="0" w:noVBand="0" w:val="0020"/>
        <w:jc w:val="start"/>
      </w:tblPr>
      <w:tblGrid>
        <w:gridCol w:w="1204"/>
        <w:gridCol w:w="231"/>
        <w:gridCol w:w="6484"/>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 Agents</w:t>
            </w:r>
          </w:p>
        </w:tc>
        <w:tc>
          <w:tcPr/>
          <w:p>
            <w:pPr>
              <w:pStyle w:val="Compact"/>
              <w:jc w:val="left"/>
            </w:pPr>
            <w:r>
              <w:t xml:space="preserve">7</w:t>
            </w:r>
          </w:p>
        </w:tc>
        <w:tc>
          <w:tcPr/>
          <w:p>
            <w:pPr>
              <w:pStyle w:val="Compact"/>
              <w:jc w:val="left"/>
            </w:pPr>
            <w:r>
              <w:t xml:space="preserve">Procurement Agent, Safety Compliance Agent, BIM Agent, Sustainability Agent, Cost Estimation Agent, Quality Agent, Project Planning Agent</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Agent, Electrical Agent, Concrete Supplier Agent, Steel Supplier Agent, Window Manufacturer Agent, Insulation Agent, etc.</w:t>
            </w:r>
          </w:p>
        </w:tc>
      </w:tr>
      <w:tr>
        <w:tc>
          <w:tcPr/>
          <w:p>
            <w:pPr>
              <w:pStyle w:val="Compact"/>
              <w:jc w:val="left"/>
            </w:pPr>
            <w:r>
              <w:rPr>
                <w:bCs/>
                <w:b/>
              </w:rPr>
              <w:t xml:space="preserve">DWS IQ Platform Agents</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t xml:space="preserve">Each contractor agent arrives with its own:</w:t>
      </w:r>
    </w:p>
    <w:p>
      <w:pPr>
        <w:numPr>
          <w:ilvl w:val="0"/>
          <w:numId w:val="1051"/>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describing capabilities</w:t>
      </w:r>
    </w:p>
    <w:p>
      <w:pPr>
        <w:numPr>
          <w:ilvl w:val="0"/>
          <w:numId w:val="1051"/>
        </w:numPr>
        <w:pStyle w:val="Compact"/>
      </w:pPr>
      <w:r>
        <w:rPr>
          <w:bCs/>
          <w:b/>
        </w:rPr>
        <w:t xml:space="preserve">LLM preference</w:t>
      </w:r>
      <w:r>
        <w:t xml:space="preserve"> </w:t>
      </w:r>
      <w:r>
        <w:t xml:space="preserve">— the contractor may use a different model than NCC</w:t>
      </w:r>
    </w:p>
    <w:p>
      <w:pPr>
        <w:numPr>
          <w:ilvl w:val="0"/>
          <w:numId w:val="1051"/>
        </w:numPr>
        <w:pStyle w:val="Compact"/>
      </w:pPr>
      <w:r>
        <w:rPr>
          <w:bCs/>
          <w:b/>
        </w:rPr>
        <w:t xml:space="preserve">ERP/BIM connectors</w:t>
      </w:r>
      <w:r>
        <w:t xml:space="preserve"> </w:t>
      </w:r>
      <w:r>
        <w:t xml:space="preserve">— Tekla, Solibri, IFS, SAP, Dynamics 365</w:t>
      </w:r>
    </w:p>
    <w:p>
      <w:pPr>
        <w:numPr>
          <w:ilvl w:val="0"/>
          <w:numId w:val="1051"/>
        </w:numPr>
        <w:pStyle w:val="Compact"/>
      </w:pPr>
      <w:r>
        <w:rPr>
          <w:bCs/>
          <w:b/>
        </w:rPr>
        <w:t xml:space="preserve">Data residency requirements</w:t>
      </w:r>
      <w:r>
        <w:t xml:space="preserve"> </w:t>
      </w:r>
      <w:r>
        <w:t xml:space="preserve">— some contractors operate from non-EU jurisdictions</w:t>
      </w:r>
    </w:p>
    <w:bookmarkEnd w:id="149"/>
    <w:bookmarkStart w:id="150" w:name="tenant-specific-lifetime-world-model"/>
    <w:p>
      <w:pPr>
        <w:pStyle w:val="Heading3"/>
      </w:pPr>
      <w:r>
        <w:t xml:space="preserve">10.7.2 Tenant-Specific Lifetime World Model</w:t>
      </w:r>
    </w:p>
    <w:p>
      <w:pPr>
        <w:pStyle w:val="FirstParagraph"/>
      </w:pPr>
      <w:r>
        <w:t xml:space="preserve">The</w:t>
      </w:r>
      <w:r>
        <w:t xml:space="preserve"> </w:t>
      </w:r>
      <w:r>
        <w:rPr>
          <w:bCs/>
          <w:b/>
        </w:rPr>
        <w:t xml:space="preserve">Lifetime World Model (LWM)</w:t>
      </w:r>
      <w:r>
        <w:t xml:space="preserve"> </w:t>
      </w:r>
      <w:r>
        <w:t xml:space="preserve">is the enterprise learning layer that sits on top of the chosen open LLM. It is not simply a fine-tuned model — it is a strategic intelligence layer that:</w:t>
      </w:r>
    </w:p>
    <w:p>
      <w:pPr>
        <w:numPr>
          <w:ilvl w:val="0"/>
          <w:numId w:val="1052"/>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52"/>
        </w:numPr>
        <w:pStyle w:val="Compact"/>
      </w:pPr>
      <w:r>
        <w:rPr>
          <w:bCs/>
          <w:b/>
        </w:rPr>
        <w:t xml:space="preserve">Optimizes market value</w:t>
      </w:r>
      <w:r>
        <w:t xml:space="preserve"> </w:t>
      </w:r>
      <w:r>
        <w:t xml:space="preserve">— the LWM continuously learns from compliance outcomes, energy efficiency results, and operational metrics to identify value creation opportunities the enterprise would otherwise miss</w:t>
      </w:r>
    </w:p>
    <w:p>
      <w:pPr>
        <w:numPr>
          <w:ilvl w:val="0"/>
          <w:numId w:val="1052"/>
        </w:numPr>
        <w:pStyle w:val="Compact"/>
      </w:pPr>
      <w:r>
        <w:rPr>
          <w:bCs/>
          <w:b/>
        </w:rPr>
        <w:t xml:space="preserve">Ensures competitive advantage with multi-agent tools</w:t>
      </w:r>
      <w:r>
        <w:t xml:space="preserve"> </w:t>
      </w:r>
      <w:r>
        <w:t xml:space="preserve">— by combining tenant-specific knowledge with the multi-agent orchestration layer (A2A + MCP), the LWM transforms raw AI capability into an irreplaceable operational asset. Competitors using generic models cannot replicate this accumulated institutional intelligence</w:t>
      </w:r>
    </w:p>
    <w:p>
      <w:pPr>
        <w:pStyle w:val="FirstParagraph"/>
      </w:pPr>
      <w:r>
        <w:t xml:space="preserve">NCC receives their own instance of the Lifetime World Model:</w:t>
      </w:r>
    </w:p>
    <w:p>
      <w:pPr>
        <w:pStyle w:val="SourceCode"/>
      </w:pPr>
      <w:r>
        <w:rPr>
          <w:rStyle w:val="VerbatimChar"/>
        </w:rPr>
        <w:t xml:space="preserve">NCC Lifetime World Model</w:t>
      </w:r>
      <w:r>
        <w:br/>
      </w:r>
      <w:r>
        <w:rPr>
          <w:rStyle w:val="VerbatimChar"/>
        </w:rPr>
        <w:t xml:space="preserve">├── Base LLM: Qwen 2.5 72B (selected for Nordic construction)</w:t>
      </w:r>
      <w:r>
        <w:br/>
      </w:r>
      <w:r>
        <w:rPr>
          <w:rStyle w:val="VerbatimChar"/>
        </w:rPr>
        <w:t xml:space="preserve">├── Fine-tuned on: NCC project data, Finnish building codes, RT-kortisto</w:t>
      </w:r>
      <w:r>
        <w:br/>
      </w:r>
      <w:r>
        <w:rPr>
          <w:rStyle w:val="VerbatimChar"/>
        </w:rPr>
        <w:t xml:space="preserve">├── Regulatory context: Fit for 55, CSRD ESRS E1, EN 15978</w:t>
      </w:r>
      <w:r>
        <w:br/>
      </w:r>
      <w:r>
        <w:rPr>
          <w:rStyle w:val="VerbatimChar"/>
        </w:rPr>
        <w:t xml:space="preserve">├── Connector endpoints:</w:t>
      </w:r>
      <w:r>
        <w:br/>
      </w:r>
      <w:r>
        <w:rPr>
          <w:rStyle w:val="VerbatimChar"/>
        </w:rPr>
        <w:t xml:space="preserve">│   ├── Tekla Structures (BIM)</w:t>
      </w:r>
      <w:r>
        <w:br/>
      </w:r>
      <w:r>
        <w:rPr>
          <w:rStyle w:val="VerbatimChar"/>
        </w:rPr>
        <w:t xml:space="preserve">│   ├── IFS Cloud (ERP)</w:t>
      </w:r>
      <w:r>
        <w:br/>
      </w:r>
      <w:r>
        <w:rPr>
          <w:rStyle w:val="VerbatimChar"/>
        </w:rPr>
        <w:t xml:space="preserve">│   └── CO2data.fi (Finnish emissions factors)</w:t>
      </w:r>
      <w:r>
        <w:br/>
      </w:r>
      <w:r>
        <w:rPr>
          <w:rStyle w:val="VerbatimChar"/>
        </w:rPr>
        <w:t xml:space="preserve">└── Sandbox: Stage 1.5 (OpenSandbox, Acer Veriton GN100) → Stage 2 (Cloud Run, europe-north1)</w:t>
      </w:r>
    </w:p>
    <w:bookmarkEnd w:id="150"/>
    <w:bookmarkStart w:id="151" w:name="X075b5b802db2e8c3bbdb886fa3c80d9c77f35c1"/>
    <w:p>
      <w:pPr>
        <w:pStyle w:val="Heading3"/>
      </w:pPr>
      <w:r>
        <w:t xml:space="preserve">10.7.3 LWM Product-Market Validation: Energy Sector Case Study (March 2026)</w:t>
      </w:r>
    </w:p>
    <w:p>
      <w:pPr>
        <w:pStyle w:val="FirstParagraph"/>
      </w:pPr>
      <w:r>
        <w:t xml:space="preserve">The Lifetime World Model’s commercial viability received its first external validation in March 2026 through a partnership negotiation with</w:t>
      </w:r>
      <w:r>
        <w:t xml:space="preserve"> </w:t>
      </w:r>
      <w:r>
        <w:rPr>
          <w:bCs/>
          <w:b/>
        </w:rPr>
        <w:t xml:space="preserve">Qantic GmbH</w:t>
      </w:r>
      <w:r>
        <w:t xml:space="preserve"> </w:t>
      </w:r>
      <w:r>
        <w:t xml:space="preserve">(Berlin), a battery energy storage system (BESS) simulation company. This case study demonstrates how the LWM’s multi-industry architecture creates tangible market value beyond the construction sector originally targeted by the thesis.</w:t>
      </w:r>
    </w:p>
    <w:p>
      <w:pPr>
        <w:pStyle w:val="BodyText"/>
      </w:pPr>
      <w:r>
        <w:rPr>
          <w:bCs/>
          <w:b/>
        </w:rPr>
        <w:t xml:space="preserve">Context:</w:t>
      </w:r>
      <w:r>
        <w:t xml:space="preserve"> </w:t>
      </w:r>
      <w:r>
        <w:t xml:space="preserve">Qantic’s Q-System models energy revenue from BESS assets (dispatch optimization, market arbitrage, degradation curves). However, their clients — including industrial firms like MAN Energy Solutions — face increasing EU compliance costs (CSRD, ETS, EU Taxonomy) that Q-System does not calculate. This gap means investor bankability models understate true costs by 5-15%.</w:t>
      </w:r>
    </w:p>
    <w:p>
      <w:pPr>
        <w:pStyle w:val="BodyText"/>
      </w:pPr>
      <w:r>
        <w:rPr>
          <w:bCs/>
          <w:b/>
        </w:rPr>
        <w:t xml:space="preserve">LWM value proposition validated:</w:t>
      </w:r>
    </w:p>
    <w:tbl>
      <w:tblPr>
        <w:tblStyle w:val="Table"/>
        <w:tblW w:type="pct" w:w="5000"/>
        <w:tblLook w:firstRow="1" w:lastRow="0" w:firstColumn="0" w:lastColumn="0" w:noHBand="0" w:noVBand="0" w:val="0020"/>
        <w:jc w:val="start"/>
      </w:tblPr>
      <w:tblGrid>
        <w:gridCol w:w="2407"/>
        <w:gridCol w:w="2640"/>
        <w:gridCol w:w="2872"/>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Combined</w:t>
            </w:r>
          </w:p>
        </w:tc>
      </w:tr>
      <w:tr>
        <w:tc>
          <w:tcPr/>
          <w:p>
            <w:pPr>
              <w:pStyle w:val="Compact"/>
              <w:jc w:val="left"/>
            </w:pPr>
            <w:r>
              <w:t xml:space="preserve">“</w:t>
            </w:r>
            <w:r>
              <w:t xml:space="preserve">How much will this BESS earn?</w:t>
            </w:r>
            <w:r>
              <w:t xml:space="preserve">”</w:t>
            </w:r>
          </w:p>
        </w:tc>
        <w:tc>
          <w:tcPr/>
          <w:p>
            <w:pPr>
              <w:pStyle w:val="Compact"/>
              <w:jc w:val="left"/>
            </w:pPr>
            <w:r>
              <w:t xml:space="preserve">“</w:t>
            </w:r>
            <w:r>
              <w:t xml:space="preserve">What will compliance cost?</w:t>
            </w:r>
            <w:r>
              <w:t xml:space="preserve">”</w:t>
            </w:r>
          </w:p>
        </w:tc>
        <w:tc>
          <w:tcPr/>
          <w:p>
            <w:pPr>
              <w:pStyle w:val="Compact"/>
              <w:jc w:val="left"/>
            </w:pPr>
            <w:r>
              <w:t xml:space="preserve">“</w:t>
            </w:r>
            <w:r>
              <w:t xml:space="preserve">What is the true net return?</w:t>
            </w:r>
            <w:r>
              <w:t xml:space="preserve">”</w:t>
            </w:r>
          </w:p>
        </w:tc>
      </w:tr>
      <w:tr>
        <w:tc>
          <w:tcPr/>
          <w:p>
            <w:pPr>
              <w:pStyle w:val="Compact"/>
              <w:jc w:val="left"/>
            </w:pPr>
            <w:r>
              <w:t xml:space="preserve">Dispatch revenue per market</w:t>
            </w:r>
          </w:p>
        </w:tc>
        <w:tc>
          <w:tcPr/>
          <w:p>
            <w:pPr>
              <w:pStyle w:val="Compact"/>
              <w:jc w:val="left"/>
            </w:pPr>
            <w:r>
              <w:t xml:space="preserve">Scope 2 carbon cost per MWh</w:t>
            </w:r>
          </w:p>
        </w:tc>
        <w:tc>
          <w:tcPr/>
          <w:p>
            <w:pPr>
              <w:pStyle w:val="Compact"/>
              <w:jc w:val="left"/>
            </w:pPr>
            <w:r>
              <w:t xml:space="preserve">Full P&amp;L including regulatory costs</w:t>
            </w:r>
          </w:p>
        </w:tc>
      </w:tr>
      <w:tr>
        <w:tc>
          <w:tcPr/>
          <w:p>
            <w:pPr>
              <w:pStyle w:val="Compact"/>
              <w:jc w:val="left"/>
            </w:pPr>
            <w:r>
              <w:t xml:space="preserve">Battery degradation curve</w:t>
            </w:r>
          </w:p>
        </w:tc>
        <w:tc>
          <w:tcPr/>
          <w:p>
            <w:pPr>
              <w:pStyle w:val="Compact"/>
              <w:jc w:val="left"/>
            </w:pPr>
            <w:r>
              <w:t xml:space="preserve">Asset impairment disclosure (CSRD)</w:t>
            </w:r>
          </w:p>
        </w:tc>
        <w:tc>
          <w:tcPr/>
          <w:p>
            <w:pPr>
              <w:pStyle w:val="Compact"/>
              <w:jc w:val="left"/>
            </w:pPr>
            <w:r>
              <w:t xml:space="preserve">Lifecycle financial + compliance view</w:t>
            </w:r>
          </w:p>
        </w:tc>
      </w:tr>
    </w:tbl>
    <w:p>
      <w:pPr>
        <w:pStyle w:val="BodyText"/>
      </w:pPr>
      <w:r>
        <w:rPr>
          <w:bCs/>
          <w:b/>
        </w:rPr>
        <w:t xml:space="preserve">Quantified output example (50MW/200MWh BESS, Germany):</w:t>
      </w:r>
    </w:p>
    <w:tbl>
      <w:tblPr>
        <w:tblStyle w:val="Table"/>
        <w:tblW w:type="pct" w:w="5000"/>
        <w:tblLook w:firstRow="1" w:lastRow="0" w:firstColumn="0" w:lastColumn="0" w:noHBand="0" w:noVBand="0" w:val="0020"/>
        <w:jc w:val="start"/>
      </w:tblPr>
      <w:tblGrid>
        <w:gridCol w:w="2862"/>
        <w:gridCol w:w="1049"/>
        <w:gridCol w:w="4007"/>
      </w:tblGrid>
      <w:tr>
        <w:trPr>
          <w:tblHeader w:val="true"/>
        </w:trPr>
        <w:tc>
          <w:tcPr/>
          <w:p>
            <w:pPr>
              <w:pStyle w:val="Compact"/>
              <w:jc w:val="left"/>
            </w:pPr>
            <w:r>
              <w:t xml:space="preserve">Compliance cost component</w:t>
            </w:r>
          </w:p>
        </w:tc>
        <w:tc>
          <w:tcPr/>
          <w:p>
            <w:pPr>
              <w:pStyle w:val="Compact"/>
              <w:jc w:val="left"/>
            </w:pPr>
            <w:r>
              <w:t xml:space="preserve">EUR/year</w:t>
            </w:r>
          </w:p>
        </w:tc>
        <w:tc>
          <w:tcPr/>
          <w:p>
            <w:pPr>
              <w:pStyle w:val="Compact"/>
              <w:jc w:val="left"/>
            </w:pPr>
            <w:r>
              <w:t xml:space="preserve">Source</w:t>
            </w:r>
          </w:p>
        </w:tc>
      </w:tr>
      <w:tr>
        <w:tc>
          <w:tcPr/>
          <w:p>
            <w:pPr>
              <w:pStyle w:val="Compact"/>
              <w:jc w:val="left"/>
            </w:pPr>
            <w:r>
              <w:t xml:space="preserve">Scope 2 carbon cost</w:t>
            </w:r>
          </w:p>
        </w:tc>
        <w:tc>
          <w:tcPr/>
          <w:p>
            <w:pPr>
              <w:pStyle w:val="Compact"/>
              <w:jc w:val="left"/>
            </w:pPr>
            <w:r>
              <w:t xml:space="preserve">€5,005</w:t>
            </w:r>
          </w:p>
        </w:tc>
        <w:tc>
          <w:tcPr/>
          <w:p>
            <w:pPr>
              <w:pStyle w:val="Compact"/>
              <w:jc w:val="left"/>
            </w:pPr>
            <w:r>
              <w:t xml:space="preserve">ETS Phase 4 calculator (ets-calculator.ts)</w:t>
            </w:r>
          </w:p>
        </w:tc>
      </w:tr>
      <w:tr>
        <w:tc>
          <w:tcPr/>
          <w:p>
            <w:pPr>
              <w:pStyle w:val="Compact"/>
              <w:jc w:val="left"/>
            </w:pPr>
            <w:r>
              <w:t xml:space="preserve">Roundtrip efficiency loss cost</w:t>
            </w:r>
          </w:p>
        </w:tc>
        <w:tc>
          <w:tcPr/>
          <w:p>
            <w:pPr>
              <w:pStyle w:val="Compact"/>
              <w:jc w:val="left"/>
            </w:pPr>
            <w:r>
              <w:t xml:space="preserve">€488</w:t>
            </w:r>
          </w:p>
        </w:tc>
        <w:tc>
          <w:tcPr/>
          <w:p>
            <w:pPr>
              <w:pStyle w:val="Compact"/>
              <w:jc w:val="left"/>
            </w:pPr>
            <w:r>
              <w:t xml:space="preserve">Grid emission factors (18 EU countries)</w:t>
            </w:r>
          </w:p>
        </w:tc>
      </w:tr>
      <w:tr>
        <w:tc>
          <w:tcPr/>
          <w:p>
            <w:pPr>
              <w:pStyle w:val="Compact"/>
              <w:jc w:val="left"/>
            </w:pPr>
            <w:r>
              <w:t xml:space="preserve">CSRD reporting cost</w:t>
            </w:r>
          </w:p>
        </w:tc>
        <w:tc>
          <w:tcPr/>
          <w:p>
            <w:pPr>
              <w:pStyle w:val="Compact"/>
              <w:jc w:val="left"/>
            </w:pPr>
            <w:r>
              <w:t xml:space="preserve">€12,000</w:t>
            </w:r>
          </w:p>
        </w:tc>
        <w:tc>
          <w:tcPr/>
          <w:p>
            <w:pPr>
              <w:pStyle w:val="Compact"/>
              <w:jc w:val="left"/>
            </w:pPr>
            <w:r>
              <w:t xml:space="preserve">Firehorse Reports estimate</w:t>
            </w:r>
          </w:p>
        </w:tc>
      </w:tr>
      <w:tr>
        <w:tc>
          <w:tcPr/>
          <w:p>
            <w:pPr>
              <w:pStyle w:val="Compact"/>
              <w:jc w:val="left"/>
            </w:pPr>
            <w:r>
              <w:t xml:space="preserve">EU Taxonomy certification cost</w:t>
            </w:r>
          </w:p>
        </w:tc>
        <w:tc>
          <w:tcPr/>
          <w:p>
            <w:pPr>
              <w:pStyle w:val="Compact"/>
              <w:jc w:val="left"/>
            </w:pPr>
            <w:r>
              <w:t xml:space="preserve">€4,200</w:t>
            </w:r>
          </w:p>
        </w:tc>
        <w:tc>
          <w:tcPr/>
          <w:p>
            <w:pPr>
              <w:pStyle w:val="Compact"/>
              <w:jc w:val="left"/>
            </w:pPr>
            <w:r>
              <w:t xml:space="preserve">Taxonomy alignment engine</w:t>
            </w:r>
          </w:p>
        </w:tc>
      </w:tr>
      <w:tr>
        <w:tc>
          <w:tcPr/>
          <w:p>
            <w:pPr>
              <w:pStyle w:val="Compact"/>
              <w:jc w:val="left"/>
            </w:pPr>
            <w:r>
              <w:rPr>
                <w:bCs/>
                <w:b/>
              </w:rPr>
              <w:t xml:space="preserve">Total compliance cost</w:t>
            </w:r>
          </w:p>
        </w:tc>
        <w:tc>
          <w:tcPr/>
          <w:p>
            <w:pPr>
              <w:pStyle w:val="Compact"/>
              <w:jc w:val="left"/>
            </w:pPr>
            <w:r>
              <w:rPr>
                <w:bCs/>
                <w:b/>
              </w:rPr>
              <w:t xml:space="preserve">€21,693</w:t>
            </w:r>
          </w:p>
        </w:tc>
        <w:tc>
          <w:tcPr/>
          <w:p>
            <w:pPr>
              <w:pStyle w:val="Compact"/>
              <w:jc w:val="left"/>
            </w:pPr>
            <w:r>
              <w:t xml:space="preserve">BESS Compliance API</w:t>
            </w:r>
          </w:p>
        </w:tc>
      </w:tr>
    </w:tbl>
    <w:p>
      <w:pPr>
        <w:pStyle w:val="BodyText"/>
      </w:pPr>
      <w:r>
        <w:t xml:space="preserve">These numbers come from the existing DWS IQ 6 codebase (19 unit tests passing), not from a roadmap. The BESS Compliance API endpoint (</w:t>
      </w:r>
      <w:r>
        <w:rPr>
          <w:rStyle w:val="VerbatimChar"/>
        </w:rPr>
        <w:t xml:space="preserve">POST /api/v1/agents/bess/execute</w:t>
      </w:r>
      <w:r>
        <w:t xml:space="preserve">) was built and tested before the partnership discussion began — validating the Solution Factory approach of building products before seeking customers.</w:t>
      </w:r>
    </w:p>
    <w:p>
      <w:pPr>
        <w:pStyle w:val="BodyText"/>
      </w:pPr>
      <w:r>
        <w:rPr>
          <w:bCs/>
          <w:b/>
        </w:rPr>
        <w:t xml:space="preserve">Multi-industry moat demonstrated:</w:t>
      </w:r>
      <w:r>
        <w:t xml:space="preserve"> </w:t>
      </w:r>
      <w:r>
        <w:t xml:space="preserve">Qantic’s enterprise clients (e.g., MAN Energy Solutions) span six EU-regulated industries simultaneously: Power &amp; Heat (ETS), Iron &amp; Steel (ETS + CBAM), Maritime Shipping (ETS from 2024), Road Transport (ETS2 from 2027), Construction (EPBD), and Chemicals (ETS + REACH). A single-industry compliance tool addresses one of these; DWS IQ’s 20-industry LWM addresses all six from the same platform. This validates the cross-industry network effects hypothesis described in Section 10.6.</w:t>
      </w:r>
    </w:p>
    <w:p>
      <w:pPr>
        <w:pStyle w:val="BodyText"/>
      </w:pPr>
      <w:r>
        <w:rPr>
          <w:bCs/>
          <w:b/>
        </w:rPr>
        <w:t xml:space="preserve">Product-market fit signal:</w:t>
      </w:r>
      <w:r>
        <w:t xml:space="preserve"> </w:t>
      </w:r>
      <w:r>
        <w:t xml:space="preserve">The partnership structure (€15,990 setup + €99/asset/month API + 30% reseller commission for referred clients) was developed from build-vs-buy analysis showing enterprise alternatives cost €200k+/year. The 10x price advantage makes the LWM commercially viable at the SME and Mittelstand level — a market segment underserved by Big 4 consultancies.</w:t>
      </w:r>
    </w:p>
    <w:p>
      <w:pPr>
        <w:pStyle w:val="BodyText"/>
      </w:pPr>
      <w:r>
        <w:rPr>
          <w:bCs/>
          <w:b/>
        </w:rPr>
        <w:t xml:space="preserve">Thesis relevance:</w:t>
      </w:r>
      <w:r>
        <w:t xml:space="preserve"> </w:t>
      </w:r>
      <w:r>
        <w:t xml:space="preserve">This case study provides empirical evidence for three thesis claims: (1) the LWM’s regulatory intelligence graph has commercial value outside construction; (2) the 20-industry architecture creates defensible competitive advantage through cross-sector coverage; (3) the Solution Factory model (build product → find customer) produces faster market validation than the traditional consulting model (find customer → build custom solution).</w:t>
      </w:r>
    </w:p>
    <w:bookmarkEnd w:id="151"/>
    <w:bookmarkStart w:id="152" w:name="X0195c593a8634eeea53cb4c919ee3de3ae255a9"/>
    <w:p>
      <w:pPr>
        <w:pStyle w:val="Heading3"/>
      </w:pPr>
      <w:r>
        <w:t xml:space="preserve">10.7.4 Graphical Workflow Builder: Agent Orchestration Studio</w:t>
      </w:r>
    </w:p>
    <w:p>
      <w:pPr>
        <w:pStyle w:val="FirstParagraph"/>
      </w:pPr>
      <w:r>
        <w:t xml:space="preserve">To enable NCC (and similar enterprise customers) to build connections and workflows between 24+ agents, the platform requires a</w:t>
      </w:r>
      <w:r>
        <w:t xml:space="preserve"> </w:t>
      </w:r>
      <w:r>
        <w:rPr>
          <w:bCs/>
          <w:b/>
        </w:rPr>
        <w:t xml:space="preserve">visual workflow builder</w:t>
      </w:r>
      <w:r>
        <w:t xml:space="preserve">. After evaluating six open-source candidates, the recommended architecture is:</w:t>
      </w:r>
    </w:p>
    <w:p>
      <w:pPr>
        <w:pStyle w:val="BodyText"/>
      </w:pPr>
      <w:r>
        <w:rPr>
          <w:bCs/>
          <w:b/>
        </w:rPr>
        <w:t xml:space="preserve">Evaluation of graphical workflow tools:</w:t>
      </w:r>
    </w:p>
    <w:tbl>
      <w:tblPr>
        <w:tblStyle w:val="Table"/>
        <w:tblW w:type="pct" w:w="5000"/>
        <w:tblLook w:firstRow="1" w:lastRow="0" w:firstColumn="0" w:lastColumn="0" w:noHBand="0" w:noVBand="0" w:val="0020"/>
        <w:jc w:val="start"/>
      </w:tblPr>
      <w:tblGrid>
        <w:gridCol w:w="771"/>
        <w:gridCol w:w="1388"/>
        <w:gridCol w:w="1234"/>
        <w:gridCol w:w="1080"/>
        <w:gridCol w:w="720"/>
        <w:gridCol w:w="977"/>
        <w:gridCol w:w="1748"/>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Embeddable in React</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 (sustainable-use)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 implementation</w:t>
            </w:r>
          </w:p>
        </w:tc>
        <w:tc>
          <w:tcPr/>
          <w:p>
            <w:pPr>
              <w:pStyle w:val="Compact"/>
              <w:jc w:val="left"/>
            </w:pPr>
            <w:r>
              <w:t xml:space="preserve">Custom implementation</w:t>
            </w:r>
          </w:p>
        </w:tc>
        <w:tc>
          <w:tcPr/>
          <w:p>
            <w:pPr>
              <w:pStyle w:val="Compact"/>
              <w:jc w:val="left"/>
            </w:pPr>
            <w:r>
              <w:t xml:space="preserve">N/A (library)</w:t>
            </w:r>
          </w:p>
        </w:tc>
        <w:tc>
          <w:tcPr/>
          <w:p>
            <w:pPr>
              <w:pStyle w:val="Compact"/>
              <w:jc w:val="left"/>
            </w:pPr>
            <w:r>
              <w:t xml:space="preserve">Native React</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Chatbot-focused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iframe</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w:t>
            </w:r>
          </w:p>
        </w:tc>
        <w:tc>
          <w:tcPr/>
          <w:p>
            <w:pPr>
              <w:pStyle w:val="Compact"/>
              <w:jc w:val="left"/>
            </w:pPr>
            <w:r>
              <w:t xml:space="preserve">Workflow execution monitoring</w:t>
            </w:r>
          </w:p>
        </w:tc>
      </w:tr>
    </w:tbl>
    <w:p>
      <w:pPr>
        <w:pStyle w:val="BodyText"/>
      </w:pPr>
      <w:r>
        <w:rPr>
          <w:bCs/>
          <w:b/>
        </w:rPr>
        <w:t xml:space="preserve">Recommended architecture: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  ┌──────┐  ┌──────┐         │  │</w:t>
      </w:r>
      <w:r>
        <w:br/>
      </w:r>
      <w:r>
        <w:rPr>
          <w:rStyle w:val="VerbatimChar"/>
        </w:rPr>
        <w:t xml:space="preserve">│  │  │ NCC  │→│Safety│→│ DWS  │→│Report│         │  │</w:t>
      </w:r>
      <w:r>
        <w:br/>
      </w:r>
      <w:r>
        <w:rPr>
          <w:rStyle w:val="VerbatimChar"/>
        </w:rPr>
        <w:t xml:space="preserve">│  │  │ BIM  │  │Agent │  │Carbon│  │ Gen  │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│HVAC  │ (contractor)        │  │</w:t>
      </w:r>
      <w:r>
        <w:br/>
      </w:r>
      <w:r>
        <w:rPr>
          <w:rStyle w:val="VerbatimChar"/>
        </w:rPr>
        <w:t xml:space="preserve">│  │  │Conn. │            │Agent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Each agent node = A2A Agent Card               │  │</w:t>
      </w:r>
      <w:r>
        <w:br/>
      </w:r>
      <w:r>
        <w:rPr>
          <w:rStyle w:val="VerbatimChar"/>
        </w:rPr>
        <w:t xml:space="preserve">│  │  - Each connector = MCP tool                      │  │</w:t>
      </w:r>
      <w:r>
        <w:br/>
      </w:r>
      <w:r>
        <w:rPr>
          <w:rStyle w:val="VerbatimChar"/>
        </w:rPr>
        <w:t xml:space="preserve">│  │  - Flows export as Temporal.io workflows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(execution engine, already in stack) │  │</w:t>
      </w:r>
      <w:r>
        <w:br/>
      </w:r>
      <w:r>
        <w:rPr>
          <w:rStyle w:val="VerbatimChar"/>
        </w:rPr>
        <w:t xml:space="preserve">│  │  - Durable workflow execution                     │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Why this combination:</w:t>
      </w:r>
    </w:p>
    <w:p>
      <w:pPr>
        <w:numPr>
          <w:ilvl w:val="0"/>
          <w:numId w:val="1053"/>
        </w:numPr>
      </w:pPr>
      <w:r>
        <w:rPr>
          <w:bCs/>
          <w:b/>
        </w:rPr>
        <w:t xml:space="preserve">React Flow</w:t>
      </w:r>
      <w:r>
        <w:t xml:space="preserve"> </w:t>
      </w:r>
      <w:r>
        <w:t xml:space="preserve">— Custom visual canvas embedded in the DWS IQ React dashboard. NCC users drag-and-drop agent nodes, draw connections, set per-agent LLM models. MIT license, zero vendor lock-in.</w:t>
      </w:r>
    </w:p>
    <w:p>
      <w:pPr>
        <w:numPr>
          <w:ilvl w:val="0"/>
          <w:numId w:val="1053"/>
        </w:numPr>
      </w:pPr>
      <w:r>
        <w:rPr>
          <w:bCs/>
          <w:b/>
        </w:rPr>
        <w:t xml:space="preserve">Langflow</w:t>
      </w:r>
      <w:r>
        <w:t xml:space="preserve"> </w:t>
      </w:r>
      <w:r>
        <w:t xml:space="preserve">— Backend orchestration engine. Native MCP protocol support means every DWS IQ tool (Supabase, Carbon Engine, ERP connectors) is accessible. Native A2A support means contractor agents auto-register via Agent Cards. Apache 2.0, self-hosted in EU (europe-north1). IBM enterprise partnership provides additional validation.</w:t>
      </w:r>
    </w:p>
    <w:p>
      <w:pPr>
        <w:numPr>
          <w:ilvl w:val="0"/>
          <w:numId w:val="1053"/>
        </w:numPr>
      </w:pPr>
      <w:r>
        <w:rPr>
          <w:bCs/>
          <w:b/>
        </w:rPr>
        <w:t xml:space="preserve">Temporal.io</w:t>
      </w:r>
      <w:r>
        <w:t xml:space="preserve"> </w:t>
      </w:r>
      <w:r>
        <w:t xml:space="preserve">— Already in the DWS IQ stack. Executes the workflows defined in the visual builder. Provides durable execution (workflows survive server restarts), automatic retries, timeout handling, and full audit trail for EU AI Act Article 12 compliance.</w:t>
      </w:r>
    </w:p>
    <w:p>
      <w:pPr>
        <w:pStyle w:val="FirstParagraph"/>
      </w:pPr>
      <w:r>
        <w:rPr>
          <w:bCs/>
          <w:b/>
        </w:rPr>
        <w:t xml:space="preserve">n8n</w:t>
      </w:r>
      <w:r>
        <w:t xml:space="preserve"> </w:t>
      </w:r>
      <w:r>
        <w:t xml:space="preserve">serves as a supplementary tool for ERP/BIM connector workflows (Tekla Structures ↔ IFS Cloud data sync) where Langflow’s LLM focus is unnecessary.</w:t>
      </w:r>
    </w:p>
    <w:bookmarkEnd w:id="152"/>
    <w:bookmarkStart w:id="153" w:name="contractor-agent-onboarding-flow"/>
    <w:p>
      <w:pPr>
        <w:pStyle w:val="Heading3"/>
      </w:pPr>
      <w:r>
        <w:t xml:space="preserve">10.7.4 Contractor Agent Onboarding Flow</w:t>
      </w:r>
    </w:p>
    <w:p>
      <w:pPr>
        <w:pStyle w:val="SourceCode"/>
      </w:pPr>
      <w:r>
        <w:rPr>
          <w:rStyle w:val="VerbatimChar"/>
        </w:rPr>
        <w:t xml:space="preserve">1. Contractor publishes Agent Card at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NCC admin drags contractor agent onto canvas</w:t>
      </w:r>
      <w:r>
        <w:br/>
      </w:r>
      <w:r>
        <w:rPr>
          <w:rStyle w:val="VerbatimChar"/>
        </w:rPr>
        <w:t xml:space="preserve">5. NCC admin connects contractor to relevant workflows</w:t>
      </w:r>
      <w:r>
        <w:br/>
      </w:r>
      <w:r>
        <w:rPr>
          <w:rStyle w:val="VerbatimChar"/>
        </w:rPr>
        <w:t xml:space="preserve">6. Studio validates connectivity (A2A health check)</w:t>
      </w:r>
      <w:r>
        <w:br/>
      </w:r>
      <w:r>
        <w:rPr>
          <w:rStyle w:val="VerbatimChar"/>
        </w:rPr>
        <w:t xml:space="preserve">7. Workflow deploys to Temporal.io for execution</w:t>
      </w:r>
      <w:r>
        <w:br/>
      </w:r>
      <w:r>
        <w:rPr>
          <w:rStyle w:val="VerbatimChar"/>
        </w:rPr>
        <w:t xml:space="preserve">8. All agent interactions logged per EU AI Act Article 12</w:t>
      </w:r>
    </w:p>
    <w:p>
      <w:pPr>
        <w:pStyle w:val="FirstParagraph"/>
      </w:pPr>
      <w:r>
        <w:t xml:space="preserve">This architecture enables NCC to manage 24+ agents visually without writing code, while maintaining full EU data residency, audit compliance, and per-agent LLM flexibility.</w:t>
      </w:r>
    </w:p>
    <w:bookmarkEnd w:id="153"/>
    <w:bookmarkEnd w:id="154"/>
    <w:bookmarkStart w:id="158" w:name="X92f5601af86c3975dc71a1d632564a2dec4821d"/>
    <w:p>
      <w:pPr>
        <w:pStyle w:val="Heading2"/>
      </w:pPr>
      <w:r>
        <w:t xml:space="preserve">10.6 DWS Product Standard — Resolving Enterprise Product Chaos</w:t>
      </w:r>
    </w:p>
    <w:bookmarkStart w:id="155" w:name="problem-statement"/>
    <w:p>
      <w:pPr>
        <w:pStyle w:val="Heading3"/>
      </w:pPr>
      <w:r>
        <w:t xml:space="preserve">Problem Statement</w:t>
      </w:r>
    </w:p>
    <w:p>
      <w:pPr>
        <w:pStyle w:val="FirstParagraph"/>
      </w:pPr>
      <w:r>
        <w:t xml:space="preserve">As the Firehorse product catalog grew to 30 unique products duplicated across 5 catalog files, pricing inconsistencies emerged that threatened commercial credibility. The same product appeared with different prices depending on which file a sales agent, investor, or customer consulted:</w:t>
      </w:r>
    </w:p>
    <w:tbl>
      <w:tblPr>
        <w:tblStyle w:val="Table"/>
        <w:tblW w:type="pct" w:w="5000"/>
        <w:tblLook w:firstRow="1" w:lastRow="0" w:firstColumn="0" w:lastColumn="0" w:noHBand="0" w:noVBand="0" w:val="0020"/>
        <w:jc w:val="start"/>
      </w:tblPr>
      <w:tblGrid>
        <w:gridCol w:w="2520"/>
        <w:gridCol w:w="2160"/>
        <w:gridCol w:w="2280"/>
        <w:gridCol w:w="960"/>
      </w:tblGrid>
      <w:tr>
        <w:trPr>
          <w:tblHeader w:val="true"/>
        </w:trPr>
        <w:tc>
          <w:tcPr/>
          <w:p>
            <w:pPr>
              <w:pStyle w:val="Compact"/>
              <w:jc w:val="left"/>
            </w:pPr>
            <w:r>
              <w:t xml:space="preserve">Product</w:t>
            </w:r>
          </w:p>
        </w:tc>
        <w:tc>
          <w:tcPr/>
          <w:p>
            <w:pPr>
              <w:pStyle w:val="Compact"/>
              <w:jc w:val="left"/>
            </w:pPr>
            <w:r>
              <w:t xml:space="preserve">Lowest Price Found</w:t>
            </w:r>
          </w:p>
        </w:tc>
        <w:tc>
          <w:tcPr/>
          <w:p>
            <w:pPr>
              <w:pStyle w:val="Compact"/>
              <w:jc w:val="left"/>
            </w:pPr>
            <w:r>
              <w:t xml:space="preserve">Highest Price Found</w:t>
            </w:r>
          </w:p>
        </w:tc>
        <w:tc>
          <w:tcPr/>
          <w:p>
            <w:pPr>
              <w:pStyle w:val="Compact"/>
              <w:jc w:val="left"/>
            </w:pPr>
            <w:r>
              <w:t xml:space="preserve">Variance</w:t>
            </w:r>
          </w:p>
        </w:tc>
      </w:tr>
      <w:tr>
        <w:tc>
          <w:tcPr/>
          <w:p>
            <w:pPr>
              <w:pStyle w:val="Compact"/>
              <w:jc w:val="left"/>
            </w:pPr>
            <w:r>
              <w:t xml:space="preserve">DWS IQ Platform</w:t>
            </w:r>
          </w:p>
        </w:tc>
        <w:tc>
          <w:tcPr/>
          <w:p>
            <w:pPr>
              <w:pStyle w:val="Compact"/>
              <w:jc w:val="left"/>
            </w:pPr>
            <w:r>
              <w:t xml:space="preserve">€4,999</w:t>
            </w:r>
          </w:p>
        </w:tc>
        <w:tc>
          <w:tcPr/>
          <w:p>
            <w:pPr>
              <w:pStyle w:val="Compact"/>
              <w:jc w:val="left"/>
            </w:pPr>
            <w:r>
              <w:t xml:space="preserve">€12,500</w:t>
            </w:r>
          </w:p>
        </w:tc>
        <w:tc>
          <w:tcPr/>
          <w:p>
            <w:pPr>
              <w:pStyle w:val="Compact"/>
              <w:jc w:val="left"/>
            </w:pPr>
            <w:r>
              <w:t xml:space="preserve">2.5×</w:t>
            </w:r>
          </w:p>
        </w:tc>
      </w:tr>
      <w:tr>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€350/hr</w:t>
            </w:r>
          </w:p>
        </w:tc>
        <w:tc>
          <w:tcPr/>
          <w:p>
            <w:pPr>
              <w:pStyle w:val="Compact"/>
              <w:jc w:val="left"/>
            </w:pPr>
            <w:r>
              <w:t xml:space="preserve">3.6×</w:t>
            </w:r>
          </w:p>
        </w:tc>
      </w:tr>
      <w:tr>
        <w:tc>
          <w:tcPr/>
          <w:p>
            <w:pPr>
              <w:pStyle w:val="Compact"/>
              <w:jc w:val="left"/>
            </w:pPr>
            <w:r>
              <w:t xml:space="preserve">Workshop 3 Days</w:t>
            </w:r>
          </w:p>
        </w:tc>
        <w:tc>
          <w:tcPr/>
          <w:p>
            <w:pPr>
              <w:pStyle w:val="Compact"/>
              <w:jc w:val="left"/>
            </w:pPr>
            <w:r>
              <w:t xml:space="preserve">€4,500</w:t>
            </w:r>
          </w:p>
        </w:tc>
        <w:tc>
          <w:tcPr/>
          <w:p>
            <w:pPr>
              <w:pStyle w:val="Compact"/>
              <w:jc w:val="left"/>
            </w:pPr>
            <w:r>
              <w:t xml:space="preserve">€15,000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€8,000</w:t>
            </w:r>
          </w:p>
        </w:tc>
        <w:tc>
          <w:tcPr/>
          <w:p>
            <w:pPr>
              <w:pStyle w:val="Compact"/>
              <w:jc w:val="left"/>
            </w:pPr>
            <w:r>
              <w:t xml:space="preserve">16.0×</w:t>
            </w:r>
          </w:p>
        </w:tc>
      </w:tr>
    </w:tbl>
    <w:p>
      <w:pPr>
        <w:pStyle w:val="BodyText"/>
      </w:pPr>
      <w:r>
        <w:t xml:space="preserve">This is not a technical problem. It is a</w:t>
      </w:r>
      <w:r>
        <w:t xml:space="preserve"> </w:t>
      </w:r>
      <w:r>
        <w:rPr>
          <w:bCs/>
          <w:b/>
        </w:rPr>
        <w:t xml:space="preserve">trust problem.</w:t>
      </w:r>
      <w:r>
        <w:t xml:space="preserve"> </w:t>
      </w:r>
      <w:r>
        <w:t xml:space="preserve">In Nordic B2B markets where transparency is a cultural requirement, inconsistent pricing destroys credibility faster than any competitor.</w:t>
      </w:r>
    </w:p>
    <w:bookmarkEnd w:id="155"/>
    <w:bookmarkStart w:id="156" w:name="solution-dws-product-standard-v1.0"/>
    <w:p>
      <w:pPr>
        <w:pStyle w:val="Heading3"/>
      </w:pPr>
      <w:r>
        <w:t xml:space="preserve">Solution: DWS Product Standard v1.0</w:t>
      </w:r>
    </w:p>
    <w:p>
      <w:pPr>
        <w:pStyle w:val="FirstParagraph"/>
      </w:pPr>
      <w:r>
        <w:t xml:space="preserve">The DWS Product Standard (</w:t>
      </w:r>
      <w:r>
        <w:rPr>
          <w:rStyle w:val="VerbatimChar"/>
        </w:rPr>
        <w:t xml:space="preserve">DWS_PRODUCT_STANDARD.md</w:t>
      </w:r>
      <w:r>
        <w:t xml:space="preserve">) was created as the single source of truth for all product definitions, resolving conflicts through a</w:t>
      </w:r>
      <w:r>
        <w:t xml:space="preserve"> </w:t>
      </w:r>
      <w:r>
        <w:rPr>
          <w:bCs/>
          <w:b/>
        </w:rPr>
        <w:t xml:space="preserve">two-channel pricing model:</w:t>
      </w:r>
    </w:p>
    <w:p>
      <w:pPr>
        <w:numPr>
          <w:ilvl w:val="0"/>
          <w:numId w:val="1054"/>
        </w:numPr>
        <w:pStyle w:val="Compact"/>
      </w:pPr>
      <w:r>
        <w:rPr>
          <w:bCs/>
          <w:b/>
        </w:rPr>
        <w:t xml:space="preserve">Self-Service Store</w:t>
      </w:r>
      <w:r>
        <w:t xml:space="preserve"> </w:t>
      </w:r>
      <w:r>
        <w:t xml:space="preserve">(dws10.com): Published prices for SMEs and self-serve buyers, powered by Revolut/Stripe checkout</w:t>
      </w:r>
    </w:p>
    <w:p>
      <w:pPr>
        <w:numPr>
          <w:ilvl w:val="0"/>
          <w:numId w:val="1054"/>
        </w:numPr>
        <w:pStyle w:val="Compact"/>
      </w:pPr>
      <w:r>
        <w:rPr>
          <w:bCs/>
          <w:b/>
        </w:rPr>
        <w:t xml:space="preserve">Enterprise Direct</w:t>
      </w:r>
      <w:r>
        <w:t xml:space="preserve">: Subscription tiers (€5,990-€10,950/month) for large organizations, with full Firehorse Suite included</w:t>
      </w:r>
    </w:p>
    <w:p>
      <w:pPr>
        <w:pStyle w:val="FirstParagraph"/>
      </w:pPr>
      <w:r>
        <w:t xml:space="preserve">The standard establishes:</w:t>
      </w:r>
    </w:p>
    <w:p>
      <w:pPr>
        <w:numPr>
          <w:ilvl w:val="0"/>
          <w:numId w:val="1055"/>
        </w:numPr>
        <w:pStyle w:val="Compact"/>
      </w:pPr>
      <w:r>
        <w:t xml:space="preserve">Product taxonomy across 6 product families</w:t>
      </w:r>
    </w:p>
    <w:p>
      <w:pPr>
        <w:numPr>
          <w:ilvl w:val="0"/>
          <w:numId w:val="1055"/>
        </w:numPr>
        <w:pStyle w:val="Compact"/>
      </w:pPr>
      <w:r>
        <w:t xml:space="preserve">Mandatory two-number pricing rule (</w:t>
      </w:r>
      <w:r>
        <w:t xml:space="preserve">“</w:t>
      </w:r>
      <w:r>
        <w:t xml:space="preserve">Buy now: €XX / Monthly: €YY</w:t>
      </w:r>
      <w:r>
        <w:t xml:space="preserve">”</w:t>
      </w:r>
      <w:r>
        <w:t xml:space="preserve">)</w:t>
      </w:r>
    </w:p>
    <w:p>
      <w:pPr>
        <w:numPr>
          <w:ilvl w:val="0"/>
          <w:numId w:val="1055"/>
        </w:numPr>
        <w:pStyle w:val="Compact"/>
      </w:pPr>
      <w:r>
        <w:t xml:space="preserve">Price floor enforcement (minimum €150/hr for consulting, €499 for software modules)</w:t>
      </w:r>
    </w:p>
    <w:p>
      <w:pPr>
        <w:numPr>
          <w:ilvl w:val="0"/>
          <w:numId w:val="1055"/>
        </w:numPr>
        <w:pStyle w:val="Compact"/>
      </w:pPr>
      <w:r>
        <w:t xml:space="preserve">Google Merchant Center compliance for all 67 products</w:t>
      </w:r>
    </w:p>
    <w:p>
      <w:pPr>
        <w:numPr>
          <w:ilvl w:val="0"/>
          <w:numId w:val="1055"/>
        </w:numPr>
        <w:pStyle w:val="Compact"/>
      </w:pPr>
      <w:r>
        <w:t xml:space="preserve">Price conflict resolution protocol with change propagation checklist</w:t>
      </w:r>
    </w:p>
    <w:p>
      <w:pPr>
        <w:numPr>
          <w:ilvl w:val="0"/>
          <w:numId w:val="1055"/>
        </w:numPr>
        <w:pStyle w:val="Compact"/>
      </w:pPr>
      <w:r>
        <w:t xml:space="preserve">Product lifecycle management (Alpha → Active → Sunset → Retired)</w:t>
      </w:r>
    </w:p>
    <w:bookmarkEnd w:id="156"/>
    <w:bookmarkStart w:id="157" w:name="research-contribution"/>
    <w:p>
      <w:pPr>
        <w:pStyle w:val="Heading3"/>
      </w:pPr>
      <w:r>
        <w:t xml:space="preserve">Research Contribution</w:t>
      </w:r>
    </w:p>
    <w:p>
      <w:pPr>
        <w:pStyle w:val="FirstParagraph"/>
      </w:pPr>
      <w:r>
        <w:t xml:space="preserve">This represents a novel contribution to</w:t>
      </w:r>
      <w:r>
        <w:t xml:space="preserve"> </w:t>
      </w:r>
      <w:r>
        <w:rPr>
          <w:bCs/>
          <w:b/>
        </w:rPr>
        <w:t xml:space="preserve">AI-assisted product management</w:t>
      </w:r>
      <w:r>
        <w:t xml:space="preserve">: the Product Standard was generated through systematic AI analysis of the entire codebase, identifying conflicts that manual review missed over 3 months. The audit methodology — multi-file price extraction, cross-reference, and conflict resolution — is reproducible for any SaaS company scaling from single-product to multi-product catalog.</w:t>
      </w:r>
    </w:p>
    <w:bookmarkEnd w:id="157"/>
    <w:bookmarkEnd w:id="158"/>
    <w:bookmarkStart w:id="162" w:name="Xef2723201df77e81f58f313eda8a217af1eb9cc"/>
    <w:p>
      <w:pPr>
        <w:pStyle w:val="Heading2"/>
      </w:pPr>
      <w:r>
        <w:t xml:space="preserve">10.7 Brand Standard Product Clarity — One-Click Industrial Buy</w:t>
      </w:r>
    </w:p>
    <w:bookmarkStart w:id="159" w:name="the-one-click-hypothesis"/>
    <w:p>
      <w:pPr>
        <w:pStyle w:val="Heading3"/>
      </w:pPr>
      <w:r>
        <w:t xml:space="preserve">The One-Click Hypothesis</w:t>
      </w:r>
    </w:p>
    <w:p>
      <w:pPr>
        <w:pStyle w:val="FirstParagraph"/>
      </w:pPr>
      <w:r>
        <w:t xml:space="preserve">Industrial B2B SaaS products are traditionally sold through 45-90 day consultative cycles. The Nordic Sales Strategy (Section 11) challenges this assumption: if pricing is transparent, the demo is self-service, and the agreement is digital, the actual decision takes one day. The remaining 44-89 days are friction.</w:t>
      </w:r>
    </w:p>
    <w:p>
      <w:pPr>
        <w:pStyle w:val="BodyText"/>
      </w:pPr>
      <w:r>
        <w:t xml:space="preserve">The DWS Brand Standard v1.1 was updated to codify this insight into product card UI components:</w:t>
      </w:r>
    </w:p>
    <w:p>
      <w:pPr>
        <w:numPr>
          <w:ilvl w:val="0"/>
          <w:numId w:val="1056"/>
        </w:numPr>
        <w:pStyle w:val="Compact"/>
      </w:pPr>
      <w:r>
        <w:rPr>
          <w:bCs/>
          <w:b/>
        </w:rPr>
        <w:t xml:space="preserve">Product Pricing Clarity (Section 7):</w:t>
      </w:r>
      <w:r>
        <w:t xml:space="preserve"> </w:t>
      </w:r>
      <w:r>
        <w:t xml:space="preserve">New CSS tokens for price display, enterprise tier card variants, and the mandatory two-number rule as a UI standard</w:t>
      </w:r>
    </w:p>
    <w:p>
      <w:pPr>
        <w:numPr>
          <w:ilvl w:val="0"/>
          <w:numId w:val="1056"/>
        </w:numPr>
        <w:pStyle w:val="Compact"/>
      </w:pPr>
      <w:r>
        <w:rPr>
          <w:bCs/>
          <w:b/>
        </w:rPr>
        <w:t xml:space="preserve">Intelligent Decision Helper:</w:t>
      </w:r>
      <w:r>
        <w:t xml:space="preserve"> </w:t>
      </w:r>
      <w:r>
        <w:t xml:space="preserve">A 2-question recommender that tells the buyer which tier is right, based on portfolio size and CSRD deadline pressure</w:t>
      </w:r>
    </w:p>
    <w:p>
      <w:pPr>
        <w:numPr>
          <w:ilvl w:val="0"/>
          <w:numId w:val="1056"/>
        </w:numPr>
        <w:pStyle w:val="Compact"/>
      </w:pPr>
      <w:r>
        <w:rPr>
          <w:bCs/>
          <w:b/>
        </w:rPr>
        <w:t xml:space="preserve">Tier Badge System:</w:t>
      </w:r>
      <w:r>
        <w:t xml:space="preserve"> </w:t>
      </w:r>
      <w:r>
        <w:t xml:space="preserve">Visual hierarchy (Pilot = blue, Alpha = purple, Production = green) that communicates progression without requiring sales explanation</w:t>
      </w:r>
    </w:p>
    <w:bookmarkEnd w:id="159"/>
    <w:bookmarkStart w:id="160" w:name="cultural-design-pattern-the-13.70-buffet"/>
    <w:p>
      <w:pPr>
        <w:pStyle w:val="Heading3"/>
      </w:pPr>
      <w:r>
        <w:t xml:space="preserve">Cultural Design Pattern: The €13.70 Buffet</w:t>
      </w:r>
    </w:p>
    <w:p>
      <w:pPr>
        <w:pStyle w:val="FirstParagraph"/>
      </w:pPr>
      <w:r>
        <w:t xml:space="preserve">The brand standard now explicitly encodes a Nordic cultural design principle: the Finnish lunch buffet model. At €13.70, the buffet works because the price is visible before you commit, the value is visible before you pay, the risk is low, and the exit is clean. The updated brand standard applies this same anxiety-reduction pattern to €5,990/month enterprise software:</w:t>
      </w:r>
    </w:p>
    <w:p>
      <w:pPr>
        <w:numPr>
          <w:ilvl w:val="0"/>
          <w:numId w:val="1057"/>
        </w:numPr>
        <w:pStyle w:val="Compact"/>
      </w:pPr>
      <w:r>
        <w:t xml:space="preserve">Published pricing (no</w:t>
      </w:r>
      <w:r>
        <w:t xml:space="preserve"> </w:t>
      </w:r>
      <w:r>
        <w:t xml:space="preserve">“</w:t>
      </w:r>
      <w:r>
        <w:t xml:space="preserve">contact us</w:t>
      </w:r>
      <w:r>
        <w:t xml:space="preserve">”</w:t>
      </w:r>
      <w:r>
        <w:t xml:space="preserve">)</w:t>
      </w:r>
    </w:p>
    <w:p>
      <w:pPr>
        <w:numPr>
          <w:ilvl w:val="0"/>
          <w:numId w:val="1057"/>
        </w:numPr>
        <w:pStyle w:val="Compact"/>
      </w:pPr>
      <w:r>
        <w:t xml:space="preserve">Live demo accessible with email only (no sales qualification)</w:t>
      </w:r>
    </w:p>
    <w:p>
      <w:pPr>
        <w:numPr>
          <w:ilvl w:val="0"/>
          <w:numId w:val="1057"/>
        </w:numPr>
        <w:pStyle w:val="Compact"/>
      </w:pPr>
      <w:r>
        <w:t xml:space="preserve">Standard agreement (no custom negotiation)</w:t>
      </w:r>
    </w:p>
    <w:p>
      <w:pPr>
        <w:numPr>
          <w:ilvl w:val="0"/>
          <w:numId w:val="1057"/>
        </w:numPr>
        <w:pStyle w:val="Compact"/>
      </w:pPr>
      <w:r>
        <w:t xml:space="preserve">5-month pilot with clean exit</w:t>
      </w:r>
    </w:p>
    <w:bookmarkEnd w:id="160"/>
    <w:bookmarkStart w:id="161" w:name="research-contribution-1"/>
    <w:p>
      <w:pPr>
        <w:pStyle w:val="Heading3"/>
      </w:pPr>
      <w:r>
        <w:t xml:space="preserve">Research Contribution</w:t>
      </w:r>
    </w:p>
    <w:p>
      <w:pPr>
        <w:pStyle w:val="FirstParagraph"/>
      </w:pPr>
      <w:r>
        <w:t xml:space="preserve">The connection between cultural psychology (Nordic equality, anxiety reduction) and B2B product design is understudied in existing literature. This work proposes that</w:t>
      </w:r>
      <w:r>
        <w:t xml:space="preserve"> </w:t>
      </w:r>
      <w:r>
        <w:rPr>
          <w:bCs/>
          <w:b/>
        </w:rPr>
        <w:t xml:space="preserve">cultural UX patterns</w:t>
      </w:r>
      <w:r>
        <w:t xml:space="preserve"> </w:t>
      </w:r>
      <w:r>
        <w:t xml:space="preserve">— not just feature completeness — are a primary driver of enterprise conversion rates in Nordic markets.</w:t>
      </w:r>
    </w:p>
    <w:bookmarkEnd w:id="161"/>
    <w:bookmarkEnd w:id="162"/>
    <w:bookmarkStart w:id="171" w:name="measurable-impact-toward-dws-7"/>
    <w:p>
      <w:pPr>
        <w:pStyle w:val="Heading2"/>
      </w:pPr>
      <w:r>
        <w:t xml:space="preserve">10.8 Measurable Impact Toward DWS 7</w:t>
      </w:r>
    </w:p>
    <w:bookmarkStart w:id="163" w:name="what-dws-7-inherits"/>
    <w:p>
      <w:pPr>
        <w:pStyle w:val="Heading3"/>
      </w:pPr>
      <w:r>
        <w:t xml:space="preserve">What DWS 7 Inherits</w:t>
      </w:r>
    </w:p>
    <w:p>
      <w:pPr>
        <w:pStyle w:val="FirstParagraph"/>
      </w:pPr>
      <w:r>
        <w:t xml:space="preserve">DWS 7 is the next major platform generation. The standards created during DWS 6 establish measurable foundations:</w:t>
      </w:r>
    </w:p>
    <w:tbl>
      <w:tblPr>
        <w:tblStyle w:val="Table"/>
        <w:tblW w:type="pct" w:w="5000"/>
        <w:tblLook w:firstRow="1" w:lastRow="0" w:firstColumn="0" w:lastColumn="0" w:noHBand="0" w:noVBand="0" w:val="0020"/>
        <w:jc w:val="start"/>
      </w:tblPr>
      <w:tblGrid>
        <w:gridCol w:w="1179"/>
        <w:gridCol w:w="2302"/>
        <w:gridCol w:w="2471"/>
        <w:gridCol w:w="1965"/>
      </w:tblGrid>
      <w:tr>
        <w:trPr>
          <w:tblHeader w:val="true"/>
        </w:trPr>
        <w:tc>
          <w:tcPr/>
          <w:p>
            <w:pPr>
              <w:pStyle w:val="Compact"/>
              <w:jc w:val="left"/>
            </w:pPr>
            <w:r>
              <w:t xml:space="preserve">Standard</w:t>
            </w:r>
          </w:p>
        </w:tc>
        <w:tc>
          <w:tcPr/>
          <w:p>
            <w:pPr>
              <w:pStyle w:val="Compact"/>
              <w:jc w:val="left"/>
            </w:pPr>
            <w:r>
              <w:t xml:space="preserve">DWS 6 State</w:t>
            </w:r>
          </w:p>
        </w:tc>
        <w:tc>
          <w:tcPr/>
          <w:p>
            <w:pPr>
              <w:pStyle w:val="Compact"/>
              <w:jc w:val="left"/>
            </w:pPr>
            <w:r>
              <w:t xml:space="preserve">DWS 7 Target</w:t>
            </w:r>
          </w:p>
        </w:tc>
        <w:tc>
          <w:tcPr/>
          <w:p>
            <w:pPr>
              <w:pStyle w:val="Compact"/>
              <w:jc w:val="left"/>
            </w:pPr>
            <w:r>
              <w:t xml:space="preserve">Measurable Outcome</w:t>
            </w:r>
          </w:p>
        </w:tc>
      </w:tr>
      <w:tr>
        <w:tc>
          <w:tcPr/>
          <w:p>
            <w:pPr>
              <w:pStyle w:val="Compact"/>
              <w:jc w:val="left"/>
            </w:pPr>
            <w:r>
              <w:rPr>
                <w:bCs/>
                <w:b/>
              </w:rPr>
              <w:t xml:space="preserve">Product Standard</w:t>
            </w:r>
          </w:p>
        </w:tc>
        <w:tc>
          <w:tcPr/>
          <w:p>
            <w:pPr>
              <w:pStyle w:val="Compact"/>
              <w:jc w:val="left"/>
            </w:pPr>
            <w:r>
              <w:t xml:space="preserve">5 conflicting catalogs, 7 price conflicts</w:t>
            </w:r>
          </w:p>
        </w:tc>
        <w:tc>
          <w:tcPr/>
          <w:p>
            <w:pPr>
              <w:pStyle w:val="Compact"/>
              <w:jc w:val="left"/>
            </w:pPr>
            <w:r>
              <w:t xml:space="preserve">Single source of truth, 0 conflicts</w:t>
            </w:r>
          </w:p>
        </w:tc>
        <w:tc>
          <w:tcPr/>
          <w:p>
            <w:pPr>
              <w:pStyle w:val="Compact"/>
              <w:jc w:val="left"/>
            </w:pPr>
            <w:r>
              <w:t xml:space="preserve">Quarterly audit: conflict count = 0</w:t>
            </w:r>
          </w:p>
        </w:tc>
      </w:tr>
      <w:tr>
        <w:tc>
          <w:tcPr/>
          <w:p>
            <w:pPr>
              <w:pStyle w:val="Compact"/>
              <w:jc w:val="left"/>
            </w:pPr>
            <w:r>
              <w:rPr>
                <w:bCs/>
                <w:b/>
              </w:rPr>
              <w:t xml:space="preserve">Brand Standard</w:t>
            </w:r>
          </w:p>
        </w:tc>
        <w:tc>
          <w:tcPr/>
          <w:p>
            <w:pPr>
              <w:pStyle w:val="Compact"/>
              <w:jc w:val="left"/>
            </w:pPr>
            <w:r>
              <w:t xml:space="preserve">No pricing display rules</w:t>
            </w:r>
          </w:p>
        </w:tc>
        <w:tc>
          <w:tcPr/>
          <w:p>
            <w:pPr>
              <w:pStyle w:val="Compact"/>
              <w:jc w:val="left"/>
            </w:pPr>
            <w:r>
              <w:t xml:space="preserve">Two-number rule, tier cards, decision helper</w:t>
            </w:r>
          </w:p>
        </w:tc>
        <w:tc>
          <w:tcPr/>
          <w:p>
            <w:pPr>
              <w:pStyle w:val="Compact"/>
              <w:jc w:val="left"/>
            </w:pPr>
            <w:r>
              <w:t xml:space="preserve">Pricing page bounce rate &lt; 40%</w:t>
            </w:r>
          </w:p>
        </w:tc>
      </w:tr>
      <w:tr>
        <w:tc>
          <w:tcPr/>
          <w:p>
            <w:pPr>
              <w:pStyle w:val="Compact"/>
              <w:jc w:val="left"/>
            </w:pPr>
            <w:r>
              <w:rPr>
                <w:bCs/>
                <w:b/>
              </w:rPr>
              <w:t xml:space="preserve">Sales Strategy</w:t>
            </w:r>
          </w:p>
        </w:tc>
        <w:tc>
          <w:tcPr/>
          <w:p>
            <w:pPr>
              <w:pStyle w:val="Compact"/>
              <w:jc w:val="left"/>
            </w:pPr>
            <w:r>
              <w:t xml:space="preserve">45-90 day cycles, 0% self-service</w:t>
            </w:r>
          </w:p>
        </w:tc>
        <w:tc>
          <w:tcPr/>
          <w:p>
            <w:pPr>
              <w:pStyle w:val="Compact"/>
              <w:jc w:val="left"/>
            </w:pPr>
            <w:r>
              <w:t xml:space="preserve">One-click path, 20-30% self-service</w:t>
            </w:r>
          </w:p>
        </w:tc>
        <w:tc>
          <w:tcPr/>
          <w:p>
            <w:pPr>
              <w:pStyle w:val="Compact"/>
              <w:jc w:val="left"/>
            </w:pPr>
            <w:r>
              <w:t xml:space="preserve">CRM: time-to-purchase &lt; 7 days</w:t>
            </w:r>
          </w:p>
        </w:tc>
      </w:tr>
      <w:tr>
        <w:tc>
          <w:tcPr/>
          <w:p>
            <w:pPr>
              <w:pStyle w:val="Compact"/>
              <w:jc w:val="left"/>
            </w:pPr>
            <w:r>
              <w:rPr>
                <w:bCs/>
                <w:b/>
              </w:rPr>
              <w:t xml:space="preserve">Document Standard</w:t>
            </w:r>
          </w:p>
        </w:tc>
        <w:tc>
          <w:tcPr/>
          <w:p>
            <w:pPr>
              <w:pStyle w:val="Compact"/>
              <w:jc w:val="left"/>
            </w:pPr>
            <w:r>
              <w:t xml:space="preserve">Ad-hoc versioning</w:t>
            </w:r>
          </w:p>
        </w:tc>
        <w:tc>
          <w:tcPr/>
          <w:p>
            <w:pPr>
              <w:pStyle w:val="Compact"/>
              <w:jc w:val="left"/>
            </w:pPr>
            <w:r>
              <w:t xml:space="preserve">Full traceability, agent history</w:t>
            </w:r>
          </w:p>
        </w:tc>
        <w:tc>
          <w:tcPr/>
          <w:p>
            <w:pPr>
              <w:pStyle w:val="Compact"/>
              <w:jc w:val="left"/>
            </w:pPr>
            <w:r>
              <w:t xml:space="preserve">100% document compliance</w:t>
            </w:r>
          </w:p>
        </w:tc>
      </w:tr>
    </w:tbl>
    <w:bookmarkEnd w:id="163"/>
    <w:bookmarkStart w:id="164" w:name="impact-measurement-framework"/>
    <w:p>
      <w:pPr>
        <w:pStyle w:val="Heading3"/>
      </w:pPr>
      <w:r>
        <w:t xml:space="preserve">Impact Measurement Framework</w:t>
      </w:r>
    </w:p>
    <w:p>
      <w:pPr>
        <w:pStyle w:val="FirstParagraph"/>
      </w:pPr>
      <w:r>
        <w:t xml:space="preserve">The following metrics MUST be tracked starting Q1 2026 to validate the standards’ contribution:</w:t>
      </w:r>
    </w:p>
    <w:p>
      <w:pPr>
        <w:pStyle w:val="BodyText"/>
      </w:pPr>
      <w:r>
        <w:rPr>
          <w:bCs/>
          <w:b/>
        </w:rPr>
        <w:t xml:space="preserve">Commercial Impact:</w:t>
      </w:r>
    </w:p>
    <w:tbl>
      <w:tblPr>
        <w:tblStyle w:val="Table"/>
        <w:tblW w:type="pct" w:w="5000"/>
        <w:tblLook w:firstRow="1" w:lastRow="0" w:firstColumn="0" w:lastColumn="0" w:noHBand="0" w:noVBand="0" w:val="0020"/>
        <w:jc w:val="start"/>
      </w:tblPr>
      <w:tblGrid>
        <w:gridCol w:w="3338"/>
        <w:gridCol w:w="1475"/>
        <w:gridCol w:w="1087"/>
        <w:gridCol w:w="1087"/>
        <w:gridCol w:w="931"/>
      </w:tblGrid>
      <w:tr>
        <w:trPr>
          <w:tblHeader w:val="true"/>
        </w:trPr>
        <w:tc>
          <w:tcPr/>
          <w:p>
            <w:pPr>
              <w:pStyle w:val="Compact"/>
              <w:jc w:val="left"/>
            </w:pPr>
            <w:r>
              <w:t xml:space="preserve">Metric</w:t>
            </w:r>
          </w:p>
        </w:tc>
        <w:tc>
          <w:tcPr/>
          <w:p>
            <w:pPr>
              <w:pStyle w:val="Compact"/>
              <w:jc w:val="left"/>
            </w:pPr>
            <w:r>
              <w:t xml:space="preserve">Baseline (Feb 2026)</w:t>
            </w:r>
          </w:p>
        </w:tc>
        <w:tc>
          <w:tcPr/>
          <w:p>
            <w:pPr>
              <w:pStyle w:val="Compact"/>
              <w:jc w:val="left"/>
            </w:pPr>
            <w:r>
              <w:t xml:space="preserve">Q2 2026 Target</w:t>
            </w:r>
          </w:p>
        </w:tc>
        <w:tc>
          <w:tcPr/>
          <w:p>
            <w:pPr>
              <w:pStyle w:val="Compact"/>
              <w:jc w:val="left"/>
            </w:pPr>
            <w:r>
              <w:t xml:space="preserve">Q4 2026 Target</w:t>
            </w:r>
          </w:p>
        </w:tc>
        <w:tc>
          <w:tcPr/>
          <w:p>
            <w:pPr>
              <w:pStyle w:val="Compact"/>
              <w:jc w:val="left"/>
            </w:pPr>
            <w:r>
              <w:t xml:space="preserve">DWS 7 Target</w:t>
            </w:r>
          </w:p>
        </w:tc>
      </w:tr>
      <w:tr>
        <w:tc>
          <w:tcPr/>
          <w:p>
            <w:pPr>
              <w:pStyle w:val="Compact"/>
              <w:jc w:val="left"/>
            </w:pPr>
            <w:r>
              <w:t xml:space="preserve">MRR</w:t>
            </w:r>
          </w:p>
        </w:tc>
        <w:tc>
          <w:tcPr/>
          <w:p>
            <w:pPr>
              <w:pStyle w:val="Compact"/>
              <w:jc w:val="left"/>
            </w:pPr>
            <w:r>
              <w:t xml:space="preserve">€7,000</w:t>
            </w:r>
          </w:p>
        </w:tc>
        <w:tc>
          <w:tcPr/>
          <w:p>
            <w:pPr>
              <w:pStyle w:val="Compact"/>
              <w:jc w:val="left"/>
            </w:pPr>
            <w:r>
              <w:t xml:space="preserve">€14,000</w:t>
            </w:r>
          </w:p>
        </w:tc>
        <w:tc>
          <w:tcPr/>
          <w:p>
            <w:pPr>
              <w:pStyle w:val="Compact"/>
              <w:jc w:val="left"/>
            </w:pPr>
            <w:r>
              <w:t xml:space="preserve">€30,000</w:t>
            </w:r>
          </w:p>
        </w:tc>
        <w:tc>
          <w:tcPr/>
          <w:p>
            <w:pPr>
              <w:pStyle w:val="Compact"/>
              <w:jc w:val="left"/>
            </w:pPr>
            <w:r>
              <w:t xml:space="preserve">€60,000</w:t>
            </w:r>
          </w:p>
        </w:tc>
      </w:tr>
      <w:tr>
        <w:tc>
          <w:tcPr/>
          <w:p>
            <w:pPr>
              <w:pStyle w:val="Compact"/>
              <w:jc w:val="left"/>
            </w:pPr>
            <w:r>
              <w:t xml:space="preserve">Price conflicts in codebase</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Products with Google Merchant compliance</w:t>
            </w:r>
          </w:p>
        </w:tc>
        <w:tc>
          <w:tcPr/>
          <w:p>
            <w:pPr>
              <w:pStyle w:val="Compact"/>
              <w:jc w:val="left"/>
            </w:pPr>
            <w:r>
              <w:t xml:space="preserve">~30%</w:t>
            </w:r>
          </w:p>
        </w:tc>
        <w:tc>
          <w:tcPr/>
          <w:p>
            <w:pPr>
              <w:pStyle w:val="Compact"/>
              <w:jc w:val="left"/>
            </w:pPr>
            <w:r>
              <w:t xml:space="preserve">80%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Self-service purchases (% of new deals)</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Time from first contact to signed agreement</w:t>
            </w:r>
          </w:p>
        </w:tc>
        <w:tc>
          <w:tcPr/>
          <w:p>
            <w:pPr>
              <w:pStyle w:val="Compact"/>
              <w:jc w:val="left"/>
            </w:pPr>
            <w:r>
              <w:t xml:space="preserve">45-90 days</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7 days</w:t>
            </w:r>
          </w:p>
        </w:tc>
      </w:tr>
      <w:tr>
        <w:tc>
          <w:tcPr/>
          <w:p>
            <w:pPr>
              <w:pStyle w:val="Compact"/>
              <w:jc w:val="left"/>
            </w:pPr>
            <w:r>
              <w:t xml:space="preserve">Deals closed without a meeting</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r>
    </w:tbl>
    <w:p>
      <w:pPr>
        <w:pStyle w:val="BodyText"/>
      </w:pPr>
      <w:r>
        <w:rPr>
          <w:bCs/>
          <w:b/>
        </w:rPr>
        <w:t xml:space="preserve">Operational Impact:</w:t>
      </w:r>
    </w:p>
    <w:tbl>
      <w:tblPr>
        <w:tblStyle w:val="Table"/>
        <w:tblW w:type="pct" w:w="5000"/>
        <w:tblLook w:firstRow="1" w:lastRow="0" w:firstColumn="0" w:lastColumn="0" w:noHBand="0" w:noVBand="0" w:val="0020"/>
        <w:jc w:val="start"/>
      </w:tblPr>
      <w:tblGrid>
        <w:gridCol w:w="2921"/>
        <w:gridCol w:w="615"/>
        <w:gridCol w:w="2306"/>
        <w:gridCol w:w="2076"/>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Files updated per price change</w:t>
            </w:r>
          </w:p>
        </w:tc>
        <w:tc>
          <w:tcPr/>
          <w:p>
            <w:pPr>
              <w:pStyle w:val="Compact"/>
              <w:jc w:val="left"/>
            </w:pPr>
            <w:r>
              <w:t xml:space="preserve">5</w:t>
            </w:r>
          </w:p>
        </w:tc>
        <w:tc>
          <w:tcPr/>
          <w:p>
            <w:pPr>
              <w:pStyle w:val="Compact"/>
              <w:jc w:val="left"/>
            </w:pPr>
            <w:r>
              <w:t xml:space="preserve">1 (auto-propagate)</w:t>
            </w:r>
          </w:p>
        </w:tc>
        <w:tc>
          <w:tcPr/>
          <w:p>
            <w:pPr>
              <w:pStyle w:val="Compact"/>
              <w:jc w:val="left"/>
            </w:pPr>
            <w:r>
              <w:t xml:space="preserve">Engineering automation</w:t>
            </w:r>
          </w:p>
        </w:tc>
      </w:tr>
      <w:tr>
        <w:tc>
          <w:tcPr/>
          <w:p>
            <w:pPr>
              <w:pStyle w:val="Compact"/>
              <w:jc w:val="left"/>
            </w:pPr>
            <w:r>
              <w:t xml:space="preserve">Product card consistency across sites</w:t>
            </w:r>
          </w:p>
        </w:tc>
        <w:tc>
          <w:tcPr/>
          <w:p>
            <w:pPr>
              <w:pStyle w:val="Compact"/>
              <w:jc w:val="left"/>
            </w:pPr>
            <w:r>
              <w:t xml:space="preserve">~60%</w:t>
            </w:r>
          </w:p>
        </w:tc>
        <w:tc>
          <w:tcPr/>
          <w:p>
            <w:pPr>
              <w:pStyle w:val="Compact"/>
              <w:jc w:val="left"/>
            </w:pPr>
            <w:r>
              <w:t xml:space="preserve">100%</w:t>
            </w:r>
          </w:p>
        </w:tc>
        <w:tc>
          <w:tcPr/>
          <w:p>
            <w:pPr>
              <w:pStyle w:val="Compact"/>
              <w:jc w:val="left"/>
            </w:pPr>
            <w:r>
              <w:t xml:space="preserve">Automated visual regression</w:t>
            </w:r>
          </w:p>
        </w:tc>
      </w:tr>
      <w:tr>
        <w:tc>
          <w:tcPr/>
          <w:p>
            <w:pPr>
              <w:pStyle w:val="Compact"/>
              <w:jc w:val="left"/>
            </w:pPr>
            <w:r>
              <w:t xml:space="preserve">Investor document pricing accuracy</w:t>
            </w:r>
          </w:p>
        </w:tc>
        <w:tc>
          <w:tcPr/>
          <w:p>
            <w:pPr>
              <w:pStyle w:val="Compact"/>
              <w:jc w:val="left"/>
            </w:pPr>
            <w:r>
              <w:t xml:space="preserve">Unknown</w:t>
            </w:r>
          </w:p>
        </w:tc>
        <w:tc>
          <w:tcPr/>
          <w:p>
            <w:pPr>
              <w:pStyle w:val="Compact"/>
              <w:jc w:val="left"/>
            </w:pPr>
            <w:r>
              <w:t xml:space="preserve">100% match to Product Standard</w:t>
            </w:r>
          </w:p>
        </w:tc>
        <w:tc>
          <w:tcPr/>
          <w:p>
            <w:pPr>
              <w:pStyle w:val="Compact"/>
              <w:jc w:val="left"/>
            </w:pPr>
            <w:r>
              <w:t xml:space="preserve">Manual quarterly audit</w:t>
            </w:r>
          </w:p>
        </w:tc>
      </w:tr>
      <w:tr>
        <w:tc>
          <w:tcPr/>
          <w:p>
            <w:pPr>
              <w:pStyle w:val="Compact"/>
              <w:jc w:val="left"/>
            </w:pPr>
            <w:r>
              <w:t xml:space="preserve">Store page load time (pricing section)</w:t>
            </w:r>
          </w:p>
        </w:tc>
        <w:tc>
          <w:tcPr/>
          <w:p>
            <w:pPr>
              <w:pStyle w:val="Compact"/>
              <w:jc w:val="left"/>
            </w:pPr>
            <w:r>
              <w:t xml:space="preserve">TBD</w:t>
            </w:r>
          </w:p>
        </w:tc>
        <w:tc>
          <w:tcPr/>
          <w:p>
            <w:pPr>
              <w:pStyle w:val="Compact"/>
              <w:jc w:val="left"/>
            </w:pPr>
            <w:r>
              <w:t xml:space="preserve">&lt; 2 seconds</w:t>
            </w:r>
          </w:p>
        </w:tc>
        <w:tc>
          <w:tcPr/>
          <w:p>
            <w:pPr>
              <w:pStyle w:val="Compact"/>
              <w:jc w:val="left"/>
            </w:pPr>
            <w:r>
              <w:t xml:space="preserve">Lighthouse</w:t>
            </w:r>
          </w:p>
        </w:tc>
      </w:tr>
    </w:tbl>
    <w:bookmarkEnd w:id="164"/>
    <w:bookmarkStart w:id="165" w:name="Xab3fe4b37048a22a44d2bc3f2391b376eb275d7"/>
    <w:p>
      <w:pPr>
        <w:pStyle w:val="Heading3"/>
      </w:pPr>
      <w:r>
        <w:t xml:space="preserve">Contribution to Theory: Standards as Competitive Moat</w:t>
      </w:r>
    </w:p>
    <w:p>
      <w:pPr>
        <w:pStyle w:val="FirstParagraph"/>
      </w:pPr>
      <w:r>
        <w:t xml:space="preserve">This thesis argues that</w:t>
      </w:r>
      <w:r>
        <w:t xml:space="preserve"> </w:t>
      </w:r>
      <w:r>
        <w:rPr>
          <w:bCs/>
          <w:b/>
        </w:rPr>
        <w:t xml:space="preserve">enterprise product standards</w:t>
      </w:r>
      <w:r>
        <w:t xml:space="preserve"> </w:t>
      </w:r>
      <w:r>
        <w:t xml:space="preserve">— not just the products themselves — constitute a competitive advantage for industrial SaaS companies. While competitors in the BMS market (Siemens Desigo, Schneider EcoStruxure) have larger product catalogs, their pricing is opaque and negotiation-dependent. DWS IQ 6’s published pricing, standardized product cards, and one-click buy architecture represent a structural advantage that compounds over time:</w:t>
      </w:r>
    </w:p>
    <w:p>
      <w:pPr>
        <w:numPr>
          <w:ilvl w:val="0"/>
          <w:numId w:val="1058"/>
        </w:numPr>
        <w:pStyle w:val="Compact"/>
      </w:pPr>
      <w:r>
        <w:rPr>
          <w:bCs/>
          <w:b/>
        </w:rPr>
        <w:t xml:space="preserve">Trust accumulation:</w:t>
      </w:r>
      <w:r>
        <w:t xml:space="preserve"> </w:t>
      </w:r>
      <w:r>
        <w:t xml:space="preserve">Every transparent price interaction builds Nordic trust capital</w:t>
      </w:r>
    </w:p>
    <w:p>
      <w:pPr>
        <w:numPr>
          <w:ilvl w:val="0"/>
          <w:numId w:val="1058"/>
        </w:numPr>
        <w:pStyle w:val="Compact"/>
      </w:pPr>
      <w:r>
        <w:rPr>
          <w:bCs/>
          <w:b/>
        </w:rPr>
        <w:t xml:space="preserve">Operational leverage:</w:t>
      </w:r>
      <w:r>
        <w:t xml:space="preserve"> </w:t>
      </w:r>
      <w:r>
        <w:t xml:space="preserve">Standards reduce the cost of adding new products from weeks to hours</w:t>
      </w:r>
    </w:p>
    <w:p>
      <w:pPr>
        <w:numPr>
          <w:ilvl w:val="0"/>
          <w:numId w:val="1058"/>
        </w:numPr>
        <w:pStyle w:val="Compact"/>
      </w:pPr>
      <w:r>
        <w:rPr>
          <w:bCs/>
          <w:b/>
        </w:rPr>
        <w:t xml:space="preserve">AI-native management:</w:t>
      </w:r>
      <w:r>
        <w:t xml:space="preserve"> </w:t>
      </w:r>
      <w:r>
        <w:t xml:space="preserve">Product catalogs maintained by AI agents following the Product Standard require zero manual synchronization</w:t>
      </w:r>
    </w:p>
    <w:p>
      <w:pPr>
        <w:numPr>
          <w:ilvl w:val="0"/>
          <w:numId w:val="1058"/>
        </w:numPr>
        <w:pStyle w:val="Compact"/>
      </w:pPr>
      <w:r>
        <w:rPr>
          <w:bCs/>
          <w:b/>
        </w:rPr>
        <w:t xml:space="preserve">Regulatory alignment:</w:t>
      </w:r>
      <w:r>
        <w:t xml:space="preserve"> </w:t>
      </w:r>
      <w:r>
        <w:t xml:space="preserve">EU AI Act Article 12 traceability requirements are satisfied by the same version-controlled standards that manage products</w:t>
      </w:r>
    </w:p>
    <w:p>
      <w:pPr>
        <w:pStyle w:val="FirstParagraph"/>
      </w:pPr>
      <w:r>
        <w:t xml:space="preserve">This positions DWS 7 not merely as a product upgrade, but as a</w:t>
      </w:r>
      <w:r>
        <w:t xml:space="preserve"> </w:t>
      </w:r>
      <w:r>
        <w:rPr>
          <w:bCs/>
          <w:b/>
        </w:rPr>
        <w:t xml:space="preserve">standards-native platform</w:t>
      </w:r>
      <w:r>
        <w:t xml:space="preserve"> </w:t>
      </w:r>
      <w:r>
        <w:t xml:space="preserve">where product management, pricing, and compliance are unified in a single documented framework.</w:t>
      </w:r>
    </w:p>
    <w:bookmarkEnd w:id="165"/>
    <w:bookmarkStart w:id="170" w:name="X3897d577b1508d79898d5ee3629088a2f8e4538"/>
    <w:p>
      <w:pPr>
        <w:pStyle w:val="Heading3"/>
      </w:pPr>
      <w:r>
        <w:t xml:space="preserve">10.9 DWS7 Agent Architecture Modernization: From Single-Shot to Agentic</w:t>
      </w:r>
    </w:p>
    <w:p>
      <w:pPr>
        <w:pStyle w:val="FirstParagraph"/>
      </w:pPr>
      <w:r>
        <w:t xml:space="preserve">Version 3.10 documents the critical architectural leap from DWS6’s single-shot LLM pattern to a true agentic system. This work, performed in a single Claude Code session (24.02.2026), addresses six architectural deficiencies that separated DWS6 from production-grade agent platforms.</w:t>
      </w:r>
    </w:p>
    <w:bookmarkStart w:id="166" w:name="the-six-critical-fixes"/>
    <w:p>
      <w:pPr>
        <w:pStyle w:val="Heading4"/>
      </w:pPr>
      <w:r>
        <w:t xml:space="preserve">10.9.1 The Six Critical Fixes</w:t>
      </w:r>
    </w:p>
    <w:tbl>
      <w:tblPr>
        <w:tblStyle w:val="Table"/>
        <w:tblW w:type="pct" w:w="5000"/>
        <w:tblLook w:firstRow="1" w:lastRow="0" w:firstColumn="0" w:lastColumn="0" w:noHBand="0" w:noVBand="0" w:val="0020"/>
        <w:jc w:val="start"/>
      </w:tblPr>
      <w:tblGrid>
        <w:gridCol w:w="157"/>
        <w:gridCol w:w="1888"/>
        <w:gridCol w:w="3094"/>
        <w:gridCol w:w="2779"/>
      </w:tblGrid>
      <w:tr>
        <w:trPr>
          <w:tblHeader w:val="true"/>
        </w:trPr>
        <w:tc>
          <w:tcPr/>
          <w:p>
            <w:pPr>
              <w:pStyle w:val="Compact"/>
              <w:jc w:val="left"/>
            </w:pPr>
            <w:r>
              <w:t xml:space="preserve">#</w:t>
            </w:r>
          </w:p>
        </w:tc>
        <w:tc>
          <w:tcPr/>
          <w:p>
            <w:pPr>
              <w:pStyle w:val="Compact"/>
              <w:jc w:val="left"/>
            </w:pPr>
            <w:r>
              <w:t xml:space="preserve">Problem (DWS6)</w:t>
            </w:r>
          </w:p>
        </w:tc>
        <w:tc>
          <w:tcPr/>
          <w:p>
            <w:pPr>
              <w:pStyle w:val="Compact"/>
              <w:jc w:val="left"/>
            </w:pPr>
            <w:r>
              <w:t xml:space="preserve">Fix (DWS7)</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Single-shot LLM calls — no iteration</w:t>
            </w:r>
          </w:p>
        </w:tc>
        <w:tc>
          <w:tcPr/>
          <w:p>
            <w:pPr>
              <w:pStyle w:val="Compact"/>
              <w:jc w:val="left"/>
            </w:pPr>
            <w:r>
              <w:t xml:space="preserve">Observe-think-act agentic loop with configurable iterations</w:t>
            </w:r>
          </w:p>
        </w:tc>
        <w:tc>
          <w:tcPr/>
          <w:p>
            <w:pPr>
              <w:pStyle w:val="Compact"/>
              <w:jc w:val="left"/>
            </w:pPr>
            <w:r>
              <w:rPr>
                <w:rStyle w:val="VerbatimChar"/>
              </w:rPr>
              <w:t xml:space="preserve">base.agent.ts:runLoop()</w:t>
            </w:r>
            <w:r>
              <w:t xml:space="preserve"> </w:t>
            </w:r>
            <w:r>
              <w:t xml:space="preserve">with</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No tool use / function calling</w:t>
            </w:r>
          </w:p>
        </w:tc>
        <w:tc>
          <w:tcPr/>
          <w:p>
            <w:pPr>
              <w:pStyle w:val="Compact"/>
              <w:jc w:val="left"/>
            </w:pPr>
            <w:r>
              <w:t xml:space="preserve">Full tool runtime with JSON Schema definitions</w:t>
            </w:r>
          </w:p>
        </w:tc>
        <w:tc>
          <w:tcPr/>
          <w:p>
            <w:pPr>
              <w:pStyle w:val="Compact"/>
              <w:jc w:val="left"/>
            </w:pPr>
            <w:r>
              <w:rPr>
                <w:rStyle w:val="VerbatimChar"/>
              </w:rPr>
              <w:t xml:space="preserve">tools.ts</w:t>
            </w:r>
            <w:r>
              <w:t xml:space="preserve"> </w:t>
            </w:r>
            <w:r>
              <w:t xml:space="preserve">— 4 built-in tools, extensible registry</w:t>
            </w:r>
          </w:p>
        </w:tc>
      </w:tr>
      <w:tr>
        <w:tc>
          <w:tcPr/>
          <w:p>
            <w:pPr>
              <w:pStyle w:val="Compact"/>
              <w:jc w:val="left"/>
            </w:pPr>
            <w:r>
              <w:t xml:space="preserve">3</w:t>
            </w:r>
          </w:p>
        </w:tc>
        <w:tc>
          <w:tcPr/>
          <w:p>
            <w:pPr>
              <w:pStyle w:val="Compact"/>
              <w:jc w:val="left"/>
            </w:pPr>
            <w:r>
              <w:t xml:space="preserve">Hardcoded Groq HTTP fetch</w:t>
            </w:r>
          </w:p>
        </w:tc>
        <w:tc>
          <w:tcPr/>
          <w:p>
            <w:pPr>
              <w:pStyle w:val="Compact"/>
              <w:jc w:val="left"/>
            </w:pPr>
            <w:r>
              <w:t xml:space="preserve">Multi-provider LLM client (Anthropic &gt; Groq &gt; OpenAI)</w:t>
            </w:r>
          </w:p>
        </w:tc>
        <w:tc>
          <w:tcPr/>
          <w:p>
            <w:pPr>
              <w:pStyle w:val="Compact"/>
              <w:jc w:val="left"/>
            </w:pPr>
            <w:r>
              <w:rPr>
                <w:rStyle w:val="VerbatimChar"/>
              </w:rPr>
              <w:t xml:space="preserve">llm-client.ts</w:t>
            </w:r>
            <w:r>
              <w:t xml:space="preserve"> </w:t>
            </w:r>
            <w:r>
              <w:t xml:space="preserve">— auto-detects from env vars</w:t>
            </w:r>
          </w:p>
        </w:tc>
      </w:tr>
      <w:tr>
        <w:tc>
          <w:tcPr/>
          <w:p>
            <w:pPr>
              <w:pStyle w:val="Compact"/>
              <w:jc w:val="left"/>
            </w:pPr>
            <w:r>
              <w:t xml:space="preserve">4</w:t>
            </w:r>
          </w:p>
        </w:tc>
        <w:tc>
          <w:tcPr/>
          <w:p>
            <w:pPr>
              <w:pStyle w:val="Compact"/>
              <w:jc w:val="left"/>
            </w:pPr>
            <w:r>
              <w:t xml:space="preserve">No agent-to-agent communication</w:t>
            </w:r>
          </w:p>
        </w:tc>
        <w:tc>
          <w:tcPr/>
          <w:p>
            <w:pPr>
              <w:pStyle w:val="Compact"/>
              <w:jc w:val="left"/>
            </w:pPr>
            <w:r>
              <w:t xml:space="preserve">Delegation with depth tracking (max 5), discovery API</w:t>
            </w:r>
          </w:p>
        </w:tc>
        <w:tc>
          <w:tcPr/>
          <w:p>
            <w:pPr>
              <w:pStyle w:val="Compact"/>
              <w:jc w:val="left"/>
            </w:pPr>
            <w:r>
              <w:rPr>
                <w:rStyle w:val="VerbatimChar"/>
              </w:rPr>
              <w:t xml:space="preserve">delegate_to_agent</w:t>
            </w:r>
            <w:r>
              <w:t xml:space="preserve"> </w:t>
            </w:r>
            <w:r>
              <w:t xml:space="preserve">tool,</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MCP JSON-RPC 2.0 server exposing all agents as tools</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 </w:t>
            </w:r>
            <w:r>
              <w:t xml:space="preserve">endpoint</w:t>
            </w:r>
          </w:p>
        </w:tc>
      </w:tr>
      <w:tr>
        <w:tc>
          <w:tcPr/>
          <w:p>
            <w:pPr>
              <w:pStyle w:val="Compact"/>
              <w:jc w:val="left"/>
            </w:pPr>
            <w:r>
              <w:t xml:space="preserve">6</w:t>
            </w:r>
          </w:p>
        </w:tc>
        <w:tc>
          <w:tcPr/>
          <w:p>
            <w:pPr>
              <w:pStyle w:val="Compact"/>
              <w:jc w:val="left"/>
            </w:pPr>
            <w:r>
              <w:t xml:space="preserve">Express monolith only</w:t>
            </w:r>
          </w:p>
        </w:tc>
        <w:tc>
          <w:tcPr/>
          <w:p>
            <w:pPr>
              <w:pStyle w:val="Compact"/>
              <w:jc w:val="left"/>
            </w:pPr>
            <w:r>
              <w:t xml:space="preserve">Event-driven architecture with pub/sub event bus</w:t>
            </w:r>
          </w:p>
        </w:tc>
        <w:tc>
          <w:tcPr/>
          <w:p>
            <w:pPr>
              <w:pStyle w:val="Compact"/>
              <w:jc w:val="left"/>
            </w:pPr>
            <w:r>
              <w:rPr>
                <w:rStyle w:val="VerbatimChar"/>
              </w:rPr>
              <w:t xml:space="preserve">event-bus.ts</w:t>
            </w:r>
            <w:r>
              <w:t xml:space="preserve"> </w:t>
            </w:r>
            <w:r>
              <w:t xml:space="preserve">— pattern subscriptions, Redis Streams</w:t>
            </w:r>
          </w:p>
        </w:tc>
      </w:tr>
    </w:tbl>
    <w:p>
      <w:pPr>
        <w:pStyle w:val="BodyText"/>
      </w:pPr>
      <w:r>
        <w:rPr>
          <w:bCs/>
          <w:b/>
        </w:rPr>
        <w:t xml:space="preserve">Backward compatibility:</w:t>
      </w:r>
      <w:r>
        <w:t xml:space="preserve"> </w:t>
      </w:r>
      <w:r>
        <w:t xml:space="preserve">All 18 existing agents using</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continue to work unchanged. The</w:t>
      </w:r>
      <w:r>
        <w:t xml:space="preserve"> </w:t>
      </w:r>
      <w:r>
        <w:rPr>
          <w:rStyle w:val="VerbatimChar"/>
        </w:rPr>
        <w:t xml:space="preserve">callLLM()</w:t>
      </w:r>
      <w:r>
        <w:t xml:space="preserve"> </w:t>
      </w:r>
      <w:r>
        <w:t xml:space="preserve">method now routes through the multi-provider client instead of raw Groq fetch.</w:t>
      </w:r>
    </w:p>
    <w:bookmarkEnd w:id="166"/>
    <w:bookmarkStart w:id="167" w:name="build-for-agents-cli-mcp-skills"/>
    <w:p>
      <w:pPr>
        <w:pStyle w:val="Heading4"/>
      </w:pPr>
      <w:r>
        <w:t xml:space="preserve">10.9.2 Build for Agents: CLI, MCP, Skills</w:t>
      </w:r>
    </w:p>
    <w:p>
      <w:pPr>
        <w:pStyle w:val="FirstParagraph"/>
      </w:pPr>
      <w:r>
        <w:t xml:space="preserve">A parallel insight emerged during implementation:</w:t>
      </w:r>
      <w:r>
        <w:t xml:space="preserve"> </w:t>
      </w:r>
      <w:r>
        <w:rPr>
          <w:bCs/>
          <w:b/>
        </w:rPr>
        <w:t xml:space="preserve">the primary consumers of DWS IQ in 2026 are AI agents, not humans clicking buttons.</w:t>
      </w:r>
      <w:r>
        <w:t xml:space="preserve"> </w:t>
      </w:r>
      <w:r>
        <w:t xml:space="preserve">This led to the</w:t>
      </w:r>
      <w:r>
        <w:t xml:space="preserve"> </w:t>
      </w:r>
      <w:r>
        <w:t xml:space="preserve">“</w:t>
      </w:r>
      <w:r>
        <w:t xml:space="preserve">Build for Agents</w:t>
      </w:r>
      <w:r>
        <w:t xml:space="preserve">”</w:t>
      </w:r>
      <w:r>
        <w:t xml:space="preserve"> </w:t>
      </w:r>
      <w:r>
        <w:t xml:space="preserve">principle:</w:t>
      </w:r>
    </w:p>
    <w:tbl>
      <w:tblPr>
        <w:tblStyle w:val="Table"/>
        <w:tblW w:type="pct" w:w="5000"/>
        <w:tblLook w:firstRow="1" w:lastRow="0" w:firstColumn="0" w:lastColumn="0" w:noHBand="0" w:noVBand="0" w:val="0020"/>
        <w:jc w:val="start"/>
      </w:tblPr>
      <w:tblGrid>
        <w:gridCol w:w="1464"/>
        <w:gridCol w:w="3460"/>
        <w:gridCol w:w="2994"/>
      </w:tblGrid>
      <w:tr>
        <w:trPr>
          <w:tblHeader w:val="true"/>
        </w:trPr>
        <w:tc>
          <w:tcPr/>
          <w:p>
            <w:pPr>
              <w:pStyle w:val="Compact"/>
              <w:jc w:val="left"/>
            </w:pPr>
            <w:r>
              <w:t xml:space="preserve">Surface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zero-dependency, JSON-only output</w:t>
            </w:r>
          </w:p>
        </w:tc>
        <w:tc>
          <w:tcPr/>
          <w:p>
            <w:pPr>
              <w:pStyle w:val="Compact"/>
              <w:jc w:val="left"/>
            </w:pPr>
            <w:r>
              <w:t xml:space="preserve">Agents run commands, pipe output</w:t>
            </w:r>
          </w:p>
        </w:tc>
      </w:tr>
      <w:tr>
        <w:tc>
          <w:tcPr/>
          <w:p>
            <w:pPr>
              <w:pStyle w:val="Compact"/>
              <w:jc w:val="left"/>
            </w:pPr>
            <w:r>
              <w:rPr>
                <w:bCs/>
                <w:b/>
              </w:rPr>
              <w:t xml:space="preserve">MCP Server</w:t>
            </w:r>
          </w:p>
        </w:tc>
        <w:tc>
          <w:tcPr/>
          <w:p>
            <w:pPr>
              <w:pStyle w:val="Compact"/>
              <w:jc w:val="left"/>
            </w:pPr>
            <w:r>
              <w:rPr>
                <w:rStyle w:val="VerbatimChar"/>
              </w:rPr>
              <w:t xml:space="preserve">/mcp</w:t>
            </w:r>
            <w:r>
              <w:t xml:space="preserve"> </w:t>
            </w:r>
            <w:r>
              <w:t xml:space="preserve">endpoint, JSON-RPC 2.0</w:t>
            </w:r>
          </w:p>
        </w:tc>
        <w:tc>
          <w:tcPr/>
          <w:p>
            <w:pPr>
              <w:pStyle w:val="Compact"/>
              <w:jc w:val="left"/>
            </w:pPr>
            <w:r>
              <w:t xml:space="preserve">Claude Code / Cursor discover and call agents</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skills)</w:t>
            </w:r>
          </w:p>
        </w:tc>
        <w:tc>
          <w:tcPr/>
          <w:p>
            <w:pPr>
              <w:pStyle w:val="Compact"/>
              <w:jc w:val="left"/>
            </w:pPr>
            <w:r>
              <w:t xml:space="preserve">Natural language → agent execution</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(existing + new endpoints)</w:t>
            </w:r>
          </w:p>
        </w:tc>
        <w:tc>
          <w:tcPr/>
          <w:p>
            <w:pPr>
              <w:pStyle w:val="Compact"/>
              <w:jc w:val="left"/>
            </w:pPr>
            <w:r>
              <w:t xml:space="preserve">Traditional integration</w:t>
            </w:r>
          </w:p>
        </w:tc>
      </w:tr>
      <w:tr>
        <w:tc>
          <w:tcPr/>
          <w:p>
            <w:pPr>
              <w:pStyle w:val="Compact"/>
              <w:jc w:val="left"/>
            </w:pPr>
            <w:r>
              <w:rPr>
                <w:bCs/>
                <w:b/>
              </w:rPr>
              <w:t xml:space="preserve">Event Bus</w:t>
            </w:r>
          </w:p>
        </w:tc>
        <w:tc>
          <w:tcPr/>
          <w:p>
            <w:pPr>
              <w:pStyle w:val="Compact"/>
              <w:jc w:val="left"/>
            </w:pPr>
            <w:r>
              <w:t xml:space="preserve">Pattern-based pub/sub + SSE streaming</w:t>
            </w:r>
          </w:p>
        </w:tc>
        <w:tc>
          <w:tcPr/>
          <w:p>
            <w:pPr>
              <w:pStyle w:val="Compact"/>
              <w:jc w:val="left"/>
            </w:pPr>
            <w:r>
              <w:t xml:space="preserve">Real-time agent coordination</w:t>
            </w:r>
          </w:p>
        </w:tc>
      </w:tr>
    </w:tbl>
    <w:p>
      <w:pPr>
        <w:pStyle w:val="BodyText"/>
      </w:pPr>
      <w:r>
        <w:rPr>
          <w:bCs/>
          <w:b/>
        </w:rPr>
        <w:t xml:space="preserve">Key CLI commands:</w:t>
      </w:r>
    </w:p>
    <w:p>
      <w:pPr>
        <w:pStyle w:val="SourceCode"/>
      </w:pPr>
      <w:r>
        <w:rPr>
          <w:rStyle w:val="VerbatimChar"/>
        </w:rPr>
        <w:t xml:space="preserve">dws agents                              # List all agents (JSON)</w:t>
      </w:r>
      <w:r>
        <w:br/>
      </w:r>
      <w:r>
        <w:rPr>
          <w:rStyle w:val="VerbatimChar"/>
        </w:rPr>
        <w:t xml:space="preserve">dws run compliance --input '{"reg":"CSRD"}'  # Execute agent</w:t>
      </w:r>
      <w:r>
        <w:br/>
      </w:r>
      <w:r>
        <w:rPr>
          <w:rStyle w:val="VerbatimChar"/>
        </w:rPr>
        <w:t xml:space="preserve">dws discover carbon                      # Find agents by capability</w:t>
      </w:r>
      <w:r>
        <w:br/>
      </w:r>
      <w:r>
        <w:rPr>
          <w:rStyle w:val="VerbatimChar"/>
        </w:rPr>
        <w:t xml:space="preserve">dws workflow compliance-assessment       # Multi-agent workflow</w:t>
      </w:r>
    </w:p>
    <w:bookmarkEnd w:id="167"/>
    <w:bookmarkStart w:id="168" w:name="Xf75d4621e92dda4e0d054559ed84a4ef0c794d9"/>
    <w:p>
      <w:pPr>
        <w:pStyle w:val="Heading4"/>
      </w:pPr>
      <w:r>
        <w:t xml:space="preserve">10.9.3 EU AI Act Article 12 Compliance via Loop Logging</w:t>
      </w:r>
    </w:p>
    <w:p>
      <w:pPr>
        <w:pStyle w:val="FirstParagraph"/>
      </w:pPr>
      <w:r>
        <w:t xml:space="preserve">The agentic loop architecture inherently satisfies Article 12’s automatic logging requirement. Each loop iteration records:</w:t>
      </w:r>
    </w:p>
    <w:p>
      <w:pPr>
        <w:numPr>
          <w:ilvl w:val="0"/>
          <w:numId w:val="1059"/>
        </w:numPr>
        <w:pStyle w:val="Compact"/>
      </w:pPr>
      <w:r>
        <w:rPr>
          <w:bCs/>
          <w:b/>
        </w:rPr>
        <w:t xml:space="preserve">Observation:</w:t>
      </w:r>
      <w:r>
        <w:t xml:space="preserve"> </w:t>
      </w:r>
      <w:r>
        <w:t xml:space="preserve">What the agent perceived</w:t>
      </w:r>
    </w:p>
    <w:p>
      <w:pPr>
        <w:numPr>
          <w:ilvl w:val="0"/>
          <w:numId w:val="1059"/>
        </w:numPr>
        <w:pStyle w:val="Compact"/>
      </w:pPr>
      <w:r>
        <w:rPr>
          <w:bCs/>
          <w:b/>
        </w:rPr>
        <w:t xml:space="preserve">Thought:</w:t>
      </w:r>
      <w:r>
        <w:t xml:space="preserve"> </w:t>
      </w:r>
      <w:r>
        <w:t xml:space="preserve">The LLM’s reasoning (token-level)</w:t>
      </w:r>
    </w:p>
    <w:p>
      <w:pPr>
        <w:numPr>
          <w:ilvl w:val="0"/>
          <w:numId w:val="1059"/>
        </w:numPr>
        <w:pStyle w:val="Compact"/>
      </w:pPr>
      <w:r>
        <w:rPr>
          <w:bCs/>
          <w:b/>
        </w:rPr>
        <w:t xml:space="preserve">Actions:</w:t>
      </w:r>
      <w:r>
        <w:t xml:space="preserve"> </w:t>
      </w:r>
      <w:r>
        <w:t xml:space="preserve">Tool calls made (with arguments)</w:t>
      </w:r>
    </w:p>
    <w:p>
      <w:pPr>
        <w:numPr>
          <w:ilvl w:val="0"/>
          <w:numId w:val="1059"/>
        </w:numPr>
        <w:pStyle w:val="Compact"/>
      </w:pPr>
      <w:r>
        <w:rPr>
          <w:bCs/>
          <w:b/>
        </w:rPr>
        <w:t xml:space="preserve">Results:</w:t>
      </w:r>
      <w:r>
        <w:t xml:space="preserve"> </w:t>
      </w:r>
      <w:r>
        <w:t xml:space="preserve">Tool outputs returned</w:t>
      </w:r>
    </w:p>
    <w:p>
      <w:pPr>
        <w:numPr>
          <w:ilvl w:val="0"/>
          <w:numId w:val="1059"/>
        </w:numPr>
        <w:pStyle w:val="Compact"/>
      </w:pPr>
      <w:r>
        <w:rPr>
          <w:bCs/>
          <w:b/>
        </w:rPr>
        <w:t xml:space="preserve">Timestamp and duration:</w:t>
      </w:r>
      <w:r>
        <w:t xml:space="preserve"> </w:t>
      </w:r>
      <w:r>
        <w:t xml:space="preserve">Per-iteration timing</w:t>
      </w:r>
    </w:p>
    <w:p>
      <w:pPr>
        <w:pStyle w:val="FirstParagraph"/>
      </w:pPr>
      <w:r>
        <w:t xml:space="preserve">These are persisted to the</w:t>
      </w:r>
      <w:r>
        <w:t xml:space="preserve"> </w:t>
      </w:r>
      <w:r>
        <w:rPr>
          <w:rStyle w:val="VerbatimChar"/>
        </w:rPr>
        <w:t xml:space="preserve">agent_loop_iterations</w:t>
      </w:r>
      <w:r>
        <w:t xml:space="preserve"> </w:t>
      </w:r>
      <w:r>
        <w:t xml:space="preserve">Supabase table, creating a complete reasoning lineage from input to output — a requirement that single-shot architectures cannot fulfill.</w:t>
      </w:r>
    </w:p>
    <w:bookmarkEnd w:id="168"/>
    <w:bookmarkStart w:id="169" w:name="research-contribution-2"/>
    <w:p>
      <w:pPr>
        <w:pStyle w:val="Heading4"/>
      </w:pPr>
      <w:r>
        <w:t xml:space="preserve">10.9.4 Research Contribution</w:t>
      </w:r>
    </w:p>
    <w:p>
      <w:pPr>
        <w:pStyle w:val="FirstParagraph"/>
      </w:pPr>
      <w:r>
        <w:t xml:space="preserve">This modernization validates two thesis hypotheses:</w:t>
      </w:r>
    </w:p>
    <w:p>
      <w:pPr>
        <w:numPr>
          <w:ilvl w:val="0"/>
          <w:numId w:val="1060"/>
        </w:numPr>
      </w:pPr>
      <w:r>
        <w:rPr>
          <w:bCs/>
          <w:b/>
        </w:rPr>
        <w:t xml:space="preserve">Solution Factory replicability (Section 4.1):</w:t>
      </w:r>
      <w:r>
        <w:t xml:space="preserve"> </w:t>
      </w:r>
      <w:r>
        <w:t xml:space="preserve">The entire six-fix modernization was designed, implemented, and documented in a single AI-assisted session — demonstrating that the Firehorse operating model scales to architectural refactoring, not just product catalog management.</w:t>
      </w:r>
    </w:p>
    <w:p>
      <w:pPr>
        <w:numPr>
          <w:ilvl w:val="0"/>
          <w:numId w:val="1060"/>
        </w:numPr>
      </w:pPr>
      <w:r>
        <w:rPr>
          <w:bCs/>
          <w:b/>
        </w:rPr>
        <w:t xml:space="preserve">Lifetime Scope Signals evolution (Section 2.5.2):</w:t>
      </w:r>
      <w:r>
        <w:t xml:space="preserve"> </w:t>
      </w:r>
      <w:r>
        <w:t xml:space="preserve">The event bus (</w:t>
      </w:r>
      <w:r>
        <w:rPr>
          <w:rStyle w:val="VerbatimChar"/>
        </w:rPr>
        <w:t xml:space="preserve">event-bus.ts</w:t>
      </w:r>
      <w:r>
        <w:t xml:space="preserve">) is the production implementation of the theoretical signal emission protocol. Agents emit structured events (</w:t>
      </w:r>
      <w:r>
        <w:rPr>
          <w:rStyle w:val="VerbatimChar"/>
        </w:rPr>
        <w:t xml:space="preserve">agent.execution_complete</w:t>
      </w:r>
      <w:r>
        <w:t xml:space="preserve">,</w:t>
      </w:r>
      <w:r>
        <w:t xml:space="preserve"> </w:t>
      </w:r>
      <w:r>
        <w:rPr>
          <w:rStyle w:val="VerbatimChar"/>
        </w:rPr>
        <w:t xml:space="preserve">compliance.check_passed</w:t>
      </w:r>
      <w:r>
        <w:t xml:space="preserve">) that other agents subscribe to — exactly the</w:t>
      </w:r>
      <w:r>
        <w:t xml:space="preserve"> </w:t>
      </w:r>
      <w:r>
        <w:t xml:space="preserve">“</w:t>
      </w:r>
      <w:r>
        <w:t xml:space="preserve">declarative signal emission</w:t>
      </w:r>
      <w:r>
        <w:t xml:space="preserve">”</w:t>
      </w:r>
      <w:r>
        <w:t xml:space="preserve"> </w:t>
      </w:r>
      <w:r>
        <w:t xml:space="preserve">pattern described in the V1.0 Agent Fleet specification.</w:t>
      </w:r>
    </w:p>
    <w:p>
      <w:r>
        <w:pict>
          <v:rect style="width:0;height:1.5pt" o:hralign="center" o:hrstd="t" o:hr="t"/>
        </w:pict>
      </w:r>
    </w:p>
    <w:bookmarkEnd w:id="169"/>
    <w:bookmarkEnd w:id="170"/>
    <w:bookmarkEnd w:id="171"/>
    <w:bookmarkStart w:id="180" w:name="Xe5095942b829afa9809ccb9df6d03fac1df0179"/>
    <w:p>
      <w:pPr>
        <w:pStyle w:val="Heading2"/>
      </w:pPr>
      <w:r>
        <w:t xml:space="preserve">10.10 Agent Foundry Stage 1.5: OpenSandbox on Acer Veriton GN100</w:t>
      </w:r>
    </w:p>
    <w:p>
      <w:pPr>
        <w:pStyle w:val="FirstParagraph"/>
      </w:pPr>
      <w:r>
        <w:rPr>
          <w:iCs/>
          <w:i/>
        </w:rPr>
        <w:t xml:space="preserve">Session: claude/sandbox-agents-opensandbox-HatfC | Date: 01.03.2026</w:t>
      </w:r>
    </w:p>
    <w:bookmarkStart w:id="172" w:name="background-1"/>
    <w:p>
      <w:pPr>
        <w:pStyle w:val="Heading3"/>
      </w:pPr>
      <w:r>
        <w:t xml:space="preserve">10.10.1 Background</w:t>
      </w:r>
    </w:p>
    <w:p>
      <w:pPr>
        <w:pStyle w:val="FirstParagraph"/>
      </w:pPr>
      <w:r>
        <w:t xml:space="preserve">The DWS IQ 6 Agent Foundry required an intermediate isolation layer between Stage 1 (Anthropic SDK sandbox, demo-grade) and Stage 2 (Cloud Run ephemeral containers, paid multi-tenant). Stage 1.5 fills this gap with</w:t>
      </w:r>
      <w:r>
        <w:t xml:space="preserve"> </w:t>
      </w:r>
      <w:r>
        <w:rPr>
          <w:bCs/>
          <w:b/>
        </w:rPr>
        <w:t xml:space="preserve">OpenSandbox</w:t>
      </w:r>
      <w:r>
        <w:t xml:space="preserve"> </w:t>
      </w:r>
      <w:r>
        <w:t xml:space="preserve">(https://github.com/alibaba/OpenSandbox) running on the</w:t>
      </w:r>
      <w:r>
        <w:t xml:space="preserve"> </w:t>
      </w:r>
      <w:r>
        <w:rPr>
          <w:bCs/>
          <w:b/>
        </w:rPr>
        <w:t xml:space="preserve">Acer Veriton GN100</w:t>
      </w:r>
      <w:r>
        <w:t xml:space="preserve"> </w:t>
      </w:r>
      <w:r>
        <w:t xml:space="preserve">edge node (120 GiB RAM, 20 cores, Helsinki Lab).</w:t>
      </w:r>
    </w:p>
    <w:bookmarkEnd w:id="172"/>
    <w:bookmarkStart w:id="173" w:name="stage-progression"/>
    <w:p>
      <w:pPr>
        <w:pStyle w:val="Heading3"/>
      </w:pPr>
      <w:r>
        <w:t xml:space="preserve">10.10.2 Stage Progression</w:t>
      </w:r>
    </w:p>
    <w:tbl>
      <w:tblPr>
        <w:tblStyle w:val="Table"/>
        <w:tblW w:type="pct" w:w="5000"/>
        <w:tblLook w:firstRow="1" w:lastRow="0" w:firstColumn="0" w:lastColumn="0" w:noHBand="0" w:noVBand="0" w:val="0020"/>
        <w:jc w:val="start"/>
      </w:tblPr>
      <w:tblGrid>
        <w:gridCol w:w="1409"/>
        <w:gridCol w:w="3154"/>
        <w:gridCol w:w="2282"/>
        <w:gridCol w:w="1073"/>
      </w:tblGrid>
      <w:tr>
        <w:trPr>
          <w:tblHeader w:val="true"/>
        </w:trPr>
        <w:tc>
          <w:tcPr/>
          <w:p>
            <w:pPr>
              <w:pStyle w:val="Compact"/>
              <w:jc w:val="left"/>
            </w:pPr>
            <w:r>
              <w:t xml:space="preserve">Stage</w:t>
            </w:r>
          </w:p>
        </w:tc>
        <w:tc>
          <w:tcPr/>
          <w:p>
            <w:pPr>
              <w:pStyle w:val="Compact"/>
              <w:jc w:val="left"/>
            </w:pPr>
            <w:r>
              <w:t xml:space="preserve">Isolation Method</w:t>
            </w:r>
          </w:p>
        </w:tc>
        <w:tc>
          <w:tcPr/>
          <w:p>
            <w:pPr>
              <w:pStyle w:val="Compact"/>
              <w:jc w:val="left"/>
            </w:pPr>
            <w:r>
              <w:t xml:space="preserve">Best For</w:t>
            </w:r>
          </w:p>
        </w:tc>
        <w:tc>
          <w:tcPr/>
          <w:p>
            <w:pPr>
              <w:pStyle w:val="Compact"/>
              <w:jc w:val="left"/>
            </w:pPr>
            <w:r>
              <w:t xml:space="preserve">Cost</w:t>
            </w:r>
          </w:p>
        </w:tc>
      </w:tr>
      <w:tr>
        <w:tc>
          <w:tcPr/>
          <w:p>
            <w:pPr>
              <w:pStyle w:val="Compact"/>
              <w:jc w:val="left"/>
            </w:pPr>
            <w:r>
              <w:t xml:space="preserve">1 — SDK Sandbox</w:t>
            </w:r>
          </w:p>
        </w:tc>
        <w:tc>
          <w:tcPr/>
          <w:p>
            <w:pPr>
              <w:pStyle w:val="Compact"/>
              <w:jc w:val="left"/>
            </w:pPr>
            <w:r>
              <w:t xml:space="preserve">Anthropic Agent SDK (bubblewrap/seatbelt)</w:t>
            </w:r>
          </w:p>
        </w:tc>
        <w:tc>
          <w:tcPr/>
          <w:p>
            <w:pPr>
              <w:pStyle w:val="Compact"/>
              <w:jc w:val="left"/>
            </w:pPr>
            <w:r>
              <w:t xml:space="preserve">Demo, single-tenant pilots</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on Acer Veriton GN100 (Helsinki Lab)</w:t>
            </w:r>
          </w:p>
        </w:tc>
        <w:tc>
          <w:tcPr/>
          <w:p>
            <w:pPr>
              <w:pStyle w:val="Compact"/>
              <w:jc w:val="left"/>
            </w:pPr>
            <w:r>
              <w:rPr>
                <w:bCs/>
                <w:b/>
              </w:rPr>
              <w:t xml:space="preserve">EU air-gapped, internal pilots</w:t>
            </w:r>
          </w:p>
        </w:tc>
        <w:tc>
          <w:tcPr/>
          <w:p>
            <w:pPr>
              <w:pStyle w:val="Compact"/>
              <w:jc w:val="left"/>
            </w:pPr>
            <w:r>
              <w:rPr>
                <w:bCs/>
                <w:b/>
              </w:rPr>
              <w:t xml:space="preserve">€0 (HW only)</w:t>
            </w:r>
          </w:p>
        </w:tc>
      </w:tr>
      <w:tr>
        <w:tc>
          <w:tcPr/>
          <w:p>
            <w:pPr>
              <w:pStyle w:val="Compact"/>
              <w:jc w:val="left"/>
            </w:pPr>
            <w:r>
              <w:t xml:space="preserve">2 — Cloud Run</w:t>
            </w:r>
          </w:p>
        </w:tc>
        <w:tc>
          <w:tcPr/>
          <w:p>
            <w:pPr>
              <w:pStyle w:val="Compact"/>
              <w:jc w:val="left"/>
            </w:pPr>
            <w:r>
              <w:t xml:space="preserve">Ephemeral containers (europe-north1)</w:t>
            </w:r>
          </w:p>
        </w:tc>
        <w:tc>
          <w:tcPr/>
          <w:p>
            <w:pPr>
              <w:pStyle w:val="Compact"/>
              <w:jc w:val="left"/>
            </w:pPr>
            <w:r>
              <w:t xml:space="preserve">Paid multi-tenant</w:t>
            </w:r>
          </w:p>
        </w:tc>
        <w:tc>
          <w:tcPr/>
          <w:p>
            <w:pPr>
              <w:pStyle w:val="Compact"/>
              <w:jc w:val="left"/>
            </w:pPr>
            <w:r>
              <w:t xml:space="preserve">~€20-50/mo</w:t>
            </w:r>
          </w:p>
        </w:tc>
      </w:tr>
      <w:tr>
        <w:tc>
          <w:tcPr/>
          <w:p>
            <w:pPr>
              <w:pStyle w:val="Compact"/>
              <w:jc w:val="left"/>
            </w:pPr>
            <w:r>
              <w:t xml:space="preserve">3 — Persistent</w:t>
            </w:r>
          </w:p>
        </w:tc>
        <w:tc>
          <w:tcPr/>
          <w:p>
            <w:pPr>
              <w:pStyle w:val="Compact"/>
              <w:jc w:val="left"/>
            </w:pPr>
            <w:r>
              <w:t xml:space="preserve">gVisor/Firecracker per tenant</w:t>
            </w:r>
          </w:p>
        </w:tc>
        <w:tc>
          <w:tcPr/>
          <w:p>
            <w:pPr>
              <w:pStyle w:val="Compact"/>
              <w:jc w:val="left"/>
            </w:pPr>
            <w:r>
              <w:t xml:space="preserve">Scale (€50k+ MRR)</w:t>
            </w:r>
          </w:p>
        </w:tc>
        <w:tc>
          <w:tcPr/>
          <w:p>
            <w:pPr>
              <w:pStyle w:val="Compact"/>
              <w:jc w:val="left"/>
            </w:pPr>
            <w:r>
              <w:t xml:space="preserve">€200+/mo</w:t>
            </w:r>
          </w:p>
        </w:tc>
      </w:tr>
    </w:tbl>
    <w:p>
      <w:pPr>
        <w:pStyle w:val="BodyText"/>
      </w:pPr>
      <w:r>
        <w:t xml:space="preserve">Activation:</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chitecture"/>
    <w:p>
      <w:pPr>
        <w:pStyle w:val="Heading3"/>
      </w:pPr>
      <w:r>
        <w:t xml:space="preserve">10.10.3 OpenSandbox Architecture</w:t>
      </w:r>
    </w:p>
    <w:p>
      <w:pPr>
        <w:pStyle w:val="FirstParagraph"/>
      </w:pPr>
      <w:r>
        <w:t xml:space="preserve">OpenSandbox provides Docker-based isolation with a TypeScript SDK and a REST API server. Each agent task creates a dedicated ephemeral container, executes within it, and the container is destroyed upon completion: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 Containers (Acer Veriton GN100, Helsinki Lab)</w:t>
      </w:r>
      <w:r>
        <w:br/>
      </w:r>
      <w:r>
        <w:rPr>
          <w:rStyle w:val="VerbatimChar"/>
        </w:rPr>
        <w:t xml:space="preserve">                    └── Agent task (ephemeral, destroyed post-execution)</w:t>
      </w:r>
    </w:p>
    <w:p>
      <w:pPr>
        <w:pStyle w:val="FirstParagraph"/>
      </w:pPr>
      <w:r>
        <w:t xml:space="preserve">Security properties: filesystem isolation per task, network egress deny-by-default with explicit domain allow-list (</w:t>
      </w:r>
      <w:r>
        <w:rPr>
          <w:rStyle w:val="VerbatimChar"/>
        </w:rPr>
        <w:t xml:space="preserve">api.anthropic.com</w:t>
      </w:r>
      <w:r>
        <w:t xml:space="preserve">,</w:t>
      </w:r>
      <w:r>
        <w:t xml:space="preserve"> </w:t>
      </w:r>
      <w:r>
        <w:rPr>
          <w:rStyle w:val="VerbatimChar"/>
        </w:rPr>
        <w:t xml:space="preserve">api.groq.com</w:t>
      </w:r>
      <w:r>
        <w:t xml:space="preserve">, MCP Hub), EU data residency enforced at hardware level.</w:t>
      </w:r>
    </w:p>
    <w:bookmarkEnd w:id="174"/>
    <w:bookmarkStart w:id="175" w:name="agent-memory-empo²-arxiv2602.23008"/>
    <w:p>
      <w:pPr>
        <w:pStyle w:val="Heading3"/>
      </w:pPr>
      <w:r>
        <w:t xml:space="preserve">10.10.4 Agent Memory: EMPO² (arXiv:2602.23008)</w:t>
      </w:r>
    </w:p>
    <w:p>
      <w:pPr>
        <w:pStyle w:val="FirstParagraph"/>
      </w:pPr>
      <w:r>
        <w:t xml:space="preserve">The OpenSandbox integration coincides with important new research on agent memory. 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February 2026) proposes a hybrid RL framework that addresses the core bottleneck of LLM agent training:</w:t>
      </w:r>
      <w:r>
        <w:t xml:space="preserve"> </w:t>
      </w:r>
      <w:r>
        <w:rPr>
          <w:bCs/>
          <w:b/>
        </w:rPr>
        <w:t xml:space="preserve">exploration in novel environments</w:t>
      </w:r>
      <w:r>
        <w:t xml:space="preserve">.</w:t>
      </w:r>
    </w:p>
    <w:p>
      <w:pPr>
        <w:pStyle w:val="BodyText"/>
      </w:pPr>
      <w:r>
        <w:rPr>
          <w:bCs/>
          <w:b/>
        </w:rPr>
        <w:t xml:space="preserve">EMPO² dual-update mechanism:</w:t>
      </w:r>
    </w:p>
    <w:p>
      <w:pPr>
        <w:numPr>
          <w:ilvl w:val="0"/>
          <w:numId w:val="1061"/>
        </w:numPr>
        <w:pStyle w:val="Compact"/>
      </w:pPr>
      <w:r>
        <w:rPr>
          <w:bCs/>
          <w:b/>
        </w:rPr>
        <w:t xml:space="preserve">Parametric updates</w:t>
      </w:r>
      <w:r>
        <w:t xml:space="preserve"> </w:t>
      </w:r>
      <w:r>
        <w:t xml:space="preserve">(RL): fine-tunes model weights using on/off-policy rollouts</w:t>
      </w:r>
    </w:p>
    <w:p>
      <w:pPr>
        <w:numPr>
          <w:ilvl w:val="0"/>
          <w:numId w:val="1061"/>
        </w:numPr>
        <w:pStyle w:val="Compact"/>
      </w:pPr>
      <w:r>
        <w:rPr>
          <w:bCs/>
          <w:b/>
        </w:rPr>
        <w:t xml:space="preserve">Non-parametric updates</w:t>
      </w:r>
      <w:r>
        <w:t xml:space="preserve"> </w:t>
      </w:r>
      <w:r>
        <w:t xml:space="preserve">(memory): stores and retrieves task-specific</w:t>
      </w:r>
      <w:r>
        <w:t xml:space="preserve"> </w:t>
      </w:r>
      <w:r>
        <w:t xml:space="preserve">“</w:t>
      </w:r>
      <w:r>
        <w:t xml:space="preserve">tips</w:t>
      </w:r>
      <w:r>
        <w:t xml:space="preserve">”</w:t>
      </w:r>
      <w:r>
        <w:t xml:space="preserve"> </w:t>
      </w:r>
      <w:r>
        <w:t xml:space="preserve">from a memory buffer during rollouts</w:t>
      </w:r>
    </w:p>
    <w:p>
      <w:pPr>
        <w:numPr>
          <w:ilvl w:val="0"/>
          <w:numId w:val="1061"/>
        </w:numPr>
        <w:pStyle w:val="Compact"/>
      </w:pPr>
      <w:r>
        <w:rPr>
          <w:bCs/>
          <w:b/>
        </w:rPr>
        <w:t xml:space="preserve">Two rollout modes</w:t>
      </w:r>
      <w:r>
        <w:t xml:space="preserve">: with memory (retrieval-augmented) and without memory (parametric only)</w:t>
      </w:r>
    </w:p>
    <w:p>
      <w:pPr>
        <w:numPr>
          <w:ilvl w:val="0"/>
          <w:numId w:val="1061"/>
        </w:numPr>
        <w:pStyle w:val="Compact"/>
      </w:pPr>
      <w:r>
        <w:rPr>
          <w:bCs/>
          <w:b/>
        </w:rPr>
        <w:t xml:space="preserve">Two update modes</w:t>
      </w:r>
      <w:r>
        <w:t xml:space="preserve">: on-policy (tips retained during update) and off-policy (tips removed during update)</w:t>
      </w:r>
    </w:p>
    <w:p>
      <w:pPr>
        <w:pStyle w:val="FirstParagraph"/>
      </w:pPr>
      <w:r>
        <w:rPr>
          <w:bCs/>
          <w:b/>
        </w:rPr>
        <w:t xml:space="preserve">Results:</w:t>
      </w:r>
      <w:r>
        <w:t xml:space="preserve"> </w:t>
      </w:r>
      <w:r>
        <w:t xml:space="preserve">128.6% improvement over GRPO on ScienceWorld, 11.3% on WebShop, with superior out-of-distribution generalization requiring only a few memory trials (no parameter updates) for new tasks.</w:t>
      </w:r>
    </w:p>
    <w:p>
      <w:pPr>
        <w:pStyle w:val="BodyText"/>
      </w:pPr>
      <w:r>
        <w:rPr>
          <w:bCs/>
          <w:b/>
        </w:rPr>
        <w:t xml:space="preserve">Relevance to DWS IQ 6 / Lifetime World Model:</w:t>
      </w:r>
    </w:p>
    <w:p>
      <w:pPr>
        <w:pStyle w:val="BodyText"/>
      </w:pPr>
      <w:r>
        <w:t xml:space="preserve">The DWS Lifetime World Model (LWM) already combines both memory types theoretically proposed by EMPO²:</w:t>
      </w:r>
    </w:p>
    <w:tbl>
      <w:tblPr>
        <w:tblStyle w:val="Table"/>
        <w:tblW w:type="pct" w:w="5000"/>
        <w:tblLook w:firstRow="1" w:lastRow="0" w:firstColumn="0" w:lastColumn="0" w:noHBand="0" w:noVBand="0" w:val="0020"/>
        <w:jc w:val="start"/>
      </w:tblPr>
      <w:tblGrid>
        <w:gridCol w:w="2278"/>
        <w:gridCol w:w="5641"/>
      </w:tblGrid>
      <w:tr>
        <w:trPr>
          <w:tblHeader w:val="true"/>
        </w:trPr>
        <w:tc>
          <w:tcPr/>
          <w:p>
            <w:pPr>
              <w:pStyle w:val="Compact"/>
              <w:jc w:val="left"/>
            </w:pPr>
            <w:r>
              <w:t xml:space="preserve">EMPO² Component</w:t>
            </w:r>
          </w:p>
        </w:tc>
        <w:tc>
          <w:tcPr/>
          <w:p>
            <w:pPr>
              <w:pStyle w:val="Compact"/>
              <w:jc w:val="left"/>
            </w:pPr>
            <w:r>
              <w:t xml:space="preserve">DWS LWM Equivalent</w:t>
            </w:r>
          </w:p>
        </w:tc>
      </w:tr>
      <w:tr>
        <w:tc>
          <w:tcPr/>
          <w:p>
            <w:pPr>
              <w:pStyle w:val="Compact"/>
              <w:jc w:val="left"/>
            </w:pPr>
            <w:r>
              <w:t xml:space="preserve">Parametric memory</w:t>
            </w:r>
          </w:p>
        </w:tc>
        <w:tc>
          <w:tcPr/>
          <w:p>
            <w:pPr>
              <w:pStyle w:val="Compact"/>
              <w:jc w:val="left"/>
            </w:pPr>
            <w:r>
              <w:t xml:space="preserve">Fine-tuned LLM (QLoRA, Acer Veriton GN100)</w:t>
            </w:r>
          </w:p>
        </w:tc>
      </w:tr>
      <w:tr>
        <w:tc>
          <w:tcPr/>
          <w:p>
            <w:pPr>
              <w:pStyle w:val="Compact"/>
              <w:jc w:val="left"/>
            </w:pPr>
            <w:r>
              <w:t xml:space="preserve">Non-parametric memory</w:t>
            </w:r>
          </w:p>
        </w:tc>
        <w:tc>
          <w:tcPr/>
          <w:p>
            <w:pPr>
              <w:pStyle w:val="Compact"/>
              <w:jc w:val="left"/>
            </w:pPr>
            <w:r>
              <w:t xml:space="preserve">RAG over enterprise data + EU regulations (pgvector)</w:t>
            </w:r>
          </w:p>
        </w:tc>
      </w:tr>
      <w:tr>
        <w:tc>
          <w:tcPr/>
          <w:p>
            <w:pPr>
              <w:pStyle w:val="Compact"/>
              <w:jc w:val="left"/>
            </w:pPr>
            <w:r>
              <w:t xml:space="preserve">Memory buffer</w:t>
            </w:r>
          </w:p>
        </w:tc>
        <w:tc>
          <w:tcPr/>
          <w:p>
            <w:pPr>
              <w:pStyle w:val="Compact"/>
              <w:jc w:val="left"/>
            </w:pPr>
            <w:r>
              <w:t xml:space="preserve">Supabase</w:t>
            </w:r>
            <w:r>
              <w:t xml:space="preserve"> </w:t>
            </w:r>
            <w:r>
              <w:rPr>
                <w:rStyle w:val="VerbatimChar"/>
              </w:rPr>
              <w:t xml:space="preserve">agent_loop_iterations</w:t>
            </w:r>
            <w:r>
              <w:t xml:space="preserve"> </w:t>
            </w:r>
            <w:r>
              <w:t xml:space="preserve">table</w:t>
            </w:r>
          </w:p>
        </w:tc>
      </w:tr>
      <w:tr>
        <w:tc>
          <w:tcPr/>
          <w:p>
            <w:pPr>
              <w:pStyle w:val="Compact"/>
              <w:jc w:val="left"/>
            </w:pPr>
            <w:r>
              <w:t xml:space="preserve">Tip retrieval</w:t>
            </w:r>
          </w:p>
        </w:tc>
        <w:tc>
          <w:tcPr/>
          <w:p>
            <w:pPr>
              <w:pStyle w:val="Compact"/>
              <w:jc w:val="left"/>
            </w:pPr>
            <w:r>
              <w:t xml:space="preserve">Context injection from Compliance/Carbon databases</w:t>
            </w:r>
          </w:p>
        </w:tc>
      </w:tr>
    </w:tbl>
    <w:p>
      <w:pPr>
        <w:pStyle w:val="BodyText"/>
      </w:pPr>
      <w:r>
        <w:t xml:space="preserve">The EMPO² finding —</w:t>
      </w:r>
      <w:r>
        <w:t xml:space="preserve"> </w:t>
      </w:r>
      <w:r>
        <w:rPr>
          <w:iCs/>
          <w:i/>
        </w:rPr>
        <w:t xml:space="preserve">“</w:t>
      </w:r>
      <w:r>
        <w:rPr>
          <w:iCs/>
          <w:i/>
        </w:rPr>
        <w:t xml:space="preserve">learning with memory enables models to become robust both with and without memory at inference time</w:t>
      </w:r>
      <w:r>
        <w:rPr>
          <w:iCs/>
          <w:i/>
        </w:rPr>
        <w:t xml:space="preserve">”</w:t>
      </w:r>
      <w:r>
        <w:t xml:space="preserve"> </w:t>
      </w:r>
      <w:r>
        <w:t xml:space="preserve">— validates the DWS strategy of progressively embedding domain knowledge into model weights via QLoRA fine-tuning on the Acer Veriton, while maintaining non-parametric retrieval as a real-time fallback.</w:t>
      </w:r>
    </w:p>
    <w:p>
      <w:pPr>
        <w:pStyle w:val="BodyText"/>
      </w:pPr>
      <w:r>
        <w:t xml:space="preserve">The OpenSandbox environment on the Acer Veriton GN100 now serves both roles:</w:t>
      </w:r>
      <w:r>
        <w:t xml:space="preserve"> </w:t>
      </w:r>
      <w:r>
        <w:rPr>
          <w:bCs/>
          <w:b/>
        </w:rPr>
        <w:t xml:space="preserve">EMPO²-style RL training sandbox</w:t>
      </w:r>
      <w:r>
        <w:t xml:space="preserve"> </w:t>
      </w:r>
      <w:r>
        <w:t xml:space="preserve">(isolated exploration environment) and</w:t>
      </w:r>
      <w:r>
        <w:t xml:space="preserve"> </w:t>
      </w:r>
      <w:r>
        <w:rPr>
          <w:bCs/>
          <w:b/>
        </w:rPr>
        <w:t xml:space="preserve">production agent isolation runtime</w:t>
      </w:r>
      <w:r>
        <w:t xml:space="preserve"> </w:t>
      </w:r>
      <w:r>
        <w:t xml:space="preserve">(secure execution per task).</w:t>
      </w:r>
    </w:p>
    <w:bookmarkEnd w:id="175"/>
    <w:bookmarkStart w:id="176" w:name="mcp-integration"/>
    <w:p>
      <w:pPr>
        <w:pStyle w:val="Heading3"/>
      </w:pPr>
      <w:r>
        <w:t xml:space="preserve">10.10.5 MCP Integration</w:t>
      </w:r>
    </w:p>
    <w:p>
      <w:pPr>
        <w:pStyle w:val="FirstParagraph"/>
      </w:pPr>
      <w:r>
        <w:t xml:space="preserve">Six MCP tools expose OpenSandbox through the DWS MCP Hub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Purpose</w:t>
            </w:r>
          </w:p>
        </w:tc>
      </w:tr>
      <w:tr>
        <w:tc>
          <w:tcPr/>
          <w:p>
            <w:pPr>
              <w:pStyle w:val="Compact"/>
              <w:jc w:val="left"/>
            </w:pPr>
            <w:r>
              <w:rPr>
                <w:rStyle w:val="VerbatimChar"/>
              </w:rPr>
              <w:t xml:space="preserve">sandbox_create</w:t>
            </w:r>
          </w:p>
        </w:tc>
        <w:tc>
          <w:tcPr/>
          <w:p>
            <w:pPr>
              <w:pStyle w:val="Compact"/>
              <w:jc w:val="left"/>
            </w:pPr>
            <w:r>
              <w:t xml:space="preserve">Create isolated Docker container</w:t>
            </w:r>
          </w:p>
        </w:tc>
      </w:tr>
      <w:tr>
        <w:tc>
          <w:tcPr/>
          <w:p>
            <w:pPr>
              <w:pStyle w:val="Compact"/>
              <w:jc w:val="left"/>
            </w:pPr>
            <w:r>
              <w:rPr>
                <w:rStyle w:val="VerbatimChar"/>
              </w:rPr>
              <w:t xml:space="preserve">sandbox_execute</w:t>
            </w:r>
          </w:p>
        </w:tc>
        <w:tc>
          <w:tcPr/>
          <w:p>
            <w:pPr>
              <w:pStyle w:val="Compact"/>
              <w:jc w:val="left"/>
            </w:pPr>
            <w:r>
              <w:t xml:space="preserve">Run command inside sandbox</w:t>
            </w:r>
          </w:p>
        </w:tc>
      </w:tr>
      <w:tr>
        <w:tc>
          <w:tcPr/>
          <w:p>
            <w:pPr>
              <w:pStyle w:val="Compact"/>
              <w:jc w:val="left"/>
            </w:pPr>
            <w:r>
              <w:rPr>
                <w:rStyle w:val="VerbatimChar"/>
              </w:rPr>
              <w:t xml:space="preserve">sandbox_file_read</w:t>
            </w:r>
          </w:p>
        </w:tc>
        <w:tc>
          <w:tcPr/>
          <w:p>
            <w:pPr>
              <w:pStyle w:val="Compact"/>
              <w:jc w:val="left"/>
            </w:pPr>
            <w:r>
              <w:t xml:space="preserve">Read output artifacts</w:t>
            </w:r>
          </w:p>
        </w:tc>
      </w:tr>
      <w:tr>
        <w:tc>
          <w:tcPr/>
          <w:p>
            <w:pPr>
              <w:pStyle w:val="Compact"/>
              <w:jc w:val="left"/>
            </w:pPr>
            <w:r>
              <w:rPr>
                <w:rStyle w:val="VerbatimChar"/>
              </w:rPr>
              <w:t xml:space="preserve">sandbox_file_write</w:t>
            </w:r>
          </w:p>
        </w:tc>
        <w:tc>
          <w:tcPr/>
          <w:p>
            <w:pPr>
              <w:pStyle w:val="Compact"/>
              <w:jc w:val="left"/>
            </w:pPr>
            <w:r>
              <w:t xml:space="preserve">Write input/config files</w:t>
            </w:r>
          </w:p>
        </w:tc>
      </w:tr>
      <w:tr>
        <w:tc>
          <w:tcPr/>
          <w:p>
            <w:pPr>
              <w:pStyle w:val="Compact"/>
              <w:jc w:val="left"/>
            </w:pPr>
            <w:r>
              <w:rPr>
                <w:rStyle w:val="VerbatimChar"/>
              </w:rPr>
              <w:t xml:space="preserve">sandbox_destroy</w:t>
            </w:r>
          </w:p>
        </w:tc>
        <w:tc>
          <w:tcPr/>
          <w:p>
            <w:pPr>
              <w:pStyle w:val="Compact"/>
              <w:jc w:val="left"/>
            </w:pPr>
            <w:r>
              <w:t xml:space="preserve">Destroy sandbox (ephemeral)</w:t>
            </w:r>
          </w:p>
        </w:tc>
      </w:tr>
      <w:tr>
        <w:tc>
          <w:tcPr/>
          <w:p>
            <w:pPr>
              <w:pStyle w:val="Compact"/>
              <w:jc w:val="left"/>
            </w:pPr>
            <w:r>
              <w:rPr>
                <w:rStyle w:val="VerbatimChar"/>
              </w:rPr>
              <w:t xml:space="preserve">sandbox_ping</w:t>
            </w:r>
          </w:p>
        </w:tc>
        <w:tc>
          <w:tcPr/>
          <w:p>
            <w:pPr>
              <w:pStyle w:val="Compact"/>
              <w:jc w:val="left"/>
            </w:pPr>
            <w:r>
              <w:t xml:space="preserve">Health check Veriton connectivity</w:t>
            </w:r>
          </w:p>
        </w:tc>
      </w:tr>
    </w:tbl>
    <w:p>
      <w:pPr>
        <w:pStyle w:val="BodyText"/>
      </w:pPr>
      <w:r>
        <w:t xml:space="preserve">Claude Code and other MCP clients can now orchestrate agent sandboxes directly via natural language tool calls.</w:t>
      </w:r>
    </w:p>
    <w:bookmarkEnd w:id="176"/>
    <w:bookmarkStart w:id="178" w:name="research-contribution-3"/>
    <w:p>
      <w:pPr>
        <w:pStyle w:val="Heading3"/>
      </w:pPr>
      <w:r>
        <w:t xml:space="preserve">10.10.6 Research Contribution</w:t>
      </w:r>
    </w:p>
    <w:p>
      <w:pPr>
        <w:pStyle w:val="FirstParagraph"/>
      </w:pPr>
      <w:r>
        <w:t xml:space="preserve">Stage 1.5 demonstrates three thesis claims simultaneously:</w:t>
      </w:r>
    </w:p>
    <w:p>
      <w:pPr>
        <w:numPr>
          <w:ilvl w:val="0"/>
          <w:numId w:val="1062"/>
        </w:numPr>
      </w:pPr>
      <w:r>
        <w:rPr>
          <w:bCs/>
          <w:b/>
        </w:rPr>
        <w:t xml:space="preserve">Hardware-aware Solution Factory (Section 4.1):</w:t>
      </w:r>
      <w:r>
        <w:t xml:space="preserve"> </w:t>
      </w:r>
      <w:r>
        <w:t xml:space="preserve">The same agent architecture runs on EU cloud (Stage 2) and EU on-premises edge hardware (Stage 1.5) with a single environment variable — validating the platform’s deployment flexibility for air-gapped industrial environments (defense, healthcare, critical infrastructure).</w:t>
      </w:r>
    </w:p>
    <w:p>
      <w:pPr>
        <w:numPr>
          <w:ilvl w:val="0"/>
          <w:numId w:val="1062"/>
        </w:numPr>
      </w:pPr>
      <w:r>
        <w:rPr>
          <w:bCs/>
          <w:b/>
        </w:rPr>
        <w:t xml:space="preserve">Lifetime Fleet concept validation (Section 3.5):</w:t>
      </w:r>
      <w:r>
        <w:t xml:space="preserve"> </w:t>
      </w:r>
      <w:r>
        <w:t xml:space="preserve">The Acer Veriton GN100 is the first physical node in the Lifetime Fleet — EU-resident hardware running containerized AI workloads under full operator control, fulfilling the edge-AI theoretical model proposed in the thesis.</w:t>
      </w:r>
    </w:p>
    <w:p>
      <w:pPr>
        <w:numPr>
          <w:ilvl w:val="0"/>
          <w:numId w:val="1062"/>
        </w:numPr>
      </w:pPr>
      <w:r>
        <w:rPr>
          <w:bCs/>
          <w:b/>
        </w:rPr>
        <w:t xml:space="preserve">EMPO² memory architecture alignment:</w:t>
      </w:r>
      <w:r>
        <w:t xml:space="preserve"> </w:t>
      </w:r>
      <w:r>
        <w:t xml:space="preserve">The hybrid parametric/non-parametric memory architecture independently validated by EMPO² (arXiv:2602.23008) matches the DWS LWM design — providing academic grounding for an implementation choice made on engineering intuition.</w:t>
      </w:r>
    </w:p>
    <w:bookmarkStart w:id="177" w:name="hardware-brain-update-may-2026"/>
    <w:p>
      <w:pPr>
        <w:pStyle w:val="Heading4"/>
      </w:pPr>
      <w:r>
        <w:t xml:space="preserve">10.10.6.1 Hardware Brain Update (May 2026)</w:t>
      </w:r>
    </w:p>
    <w:p>
      <w:pPr>
        <w:pStyle w:val="FirstParagraph"/>
      </w:pPr>
      <w:r>
        <w:t xml:space="preserve">The Acer Veriton GN100 / DGX Spark Brain layer was re-pinned in May 2026 as a direct consequence of three engineering observations: (1) dense Llama 3.3 70B at Q4 ran at ~4.4 tok/s decode on the GB10 memory bus (273 GB/s) — too slow for interactive agent workloads, since each forward pass pushed all 70B parameters through the bus; (2) NVIDIA’s Nemotron 3 Super (architecture</w:t>
      </w:r>
      <w:r>
        <w:t xml:space="preserve"> </w:t>
      </w:r>
      <w:r>
        <w:rPr>
          <w:rStyle w:val="VerbatimChar"/>
        </w:rPr>
        <w:t xml:space="preserve">nemotron_h_moe</w:t>
      </w:r>
      <w:r>
        <w:t xml:space="preserve">, 123.6B total / 12.7B active, 88-layer Mamba-2 + interleaved attention + Latent MoE, pretrained natively in NVFP4 across 25T tokens) runs at ~19.5 tok/s Q4_K_M on the same hardware — roughly 4.5× faster — because MoE moves only ~12B of weights per token; (3) the Nemotron 3 Super model exposes</w:t>
      </w:r>
      <w:r>
        <w:t xml:space="preserve"> </w:t>
      </w:r>
      <w:r>
        <w:rPr>
          <w:rStyle w:val="VerbatimChar"/>
        </w:rPr>
        <w:t xml:space="preserve">thinking</w:t>
      </w:r>
      <w:r>
        <w:t xml:space="preserve"> </w:t>
      </w:r>
      <w:r>
        <w:t xml:space="preserve">and tool-calling capabilities natively, which the Brain-Memory-Body-Hands architecture (Section 4.3) requires for agent reasoning chains. The Primary tier was therefore swapped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the Fast tier was simultaneously upgraded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w:t>
      </w:r>
      <w:r>
        <w:t xml:space="preserve">(MoE 30B / 3.3B active) which doubles as the SyntheticDataAgent teacher model.</w:t>
      </w:r>
      <w:r>
        <w:t xml:space="preserve"> </w:t>
      </w:r>
      <w:r>
        <w:rPr>
          <w:bCs/>
          <w:b/>
        </w:rPr>
        <w:t xml:space="preserve">OpenClaw</w:t>
      </w:r>
      <w:r>
        <w:t xml:space="preserve"> </w:t>
      </w:r>
      <w:r>
        <w:t xml:space="preserve">was added as a first-class compose service on port 8090, its Brain wired to Nemotron 3 Super via Ollama and</w:t>
      </w:r>
      <w:r>
        <w:t xml:space="preserve"> </w:t>
      </w:r>
      <w:r>
        <w:rPr>
          <w:rStyle w:val="VerbatimChar"/>
        </w:rPr>
        <w:t xml:space="preserve">OPENCLAW_ALLOW_EGRESS=false</w:t>
      </w:r>
      <w:r>
        <w:t xml:space="preserve"> </w:t>
      </w:r>
      <w:r>
        <w:t xml:space="preserve">enforced at the container level — establishing a no-egress local agent runtime alongside the existing Stage 1.5 OpenSandbox isolation layer. Implementation artefacts:</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 table adds OpenClaw row),</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re-based to Nemotron 3 Super. The market-signal rationale (compute scarcity, NVFP4 hardware moat) is documented in</w:t>
      </w:r>
      <w:r>
        <w:t xml:space="preserve"> </w:t>
      </w:r>
      <w:r>
        <w:rPr>
          <w:rStyle w:val="VerbatimChar"/>
        </w:rPr>
        <w:t xml:space="preserve">docs/PHD_FIREHORSE_EN.md</w:t>
      </w:r>
      <w:r>
        <w:t xml:space="preserve"> </w:t>
      </w:r>
      <w:r>
        <w:t xml:space="preserve">§14.18 per the master-vs-PhD scope rule.</w:t>
      </w:r>
    </w:p>
    <w:bookmarkEnd w:id="177"/>
    <w:bookmarkEnd w:id="178"/>
    <w:bookmarkStart w:id="179" w:name="Xc0e5beebebc9e759bdada6bf475bbd1c3b5e014"/>
    <w:p>
      <w:pPr>
        <w:pStyle w:val="Heading3"/>
      </w:pPr>
      <w:r>
        <w:t xml:space="preserve">10.10.7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10.10.4) was operationalized through the</w:t>
      </w:r>
      <w:r>
        <w:t xml:space="preserve"> </w:t>
      </w:r>
      <w:r>
        <w:rPr>
          <w:bCs/>
          <w:b/>
        </w:rPr>
        <w:t xml:space="preserve">Agent Memory Fact Extraction Pipeline</w:t>
      </w:r>
      <w:r>
        <w:t xml:space="preserve"> </w:t>
      </w:r>
      <w:r>
        <w:t xml:space="preserve">— the first production implementation of the non-parametric memory update path. This addresses a critical gap: agents that converse with customers but retain no structured knowledge between sessions.</w:t>
      </w:r>
    </w:p>
    <w:p>
      <w:pPr>
        <w:pStyle w:val="BodyText"/>
      </w:pPr>
      <w:r>
        <w:rPr>
          <w:bCs/>
          <w:b/>
        </w:rPr>
        <w:t xml:space="preserve">Architecture — Dual Memory Model:</w:t>
      </w:r>
    </w:p>
    <w:p>
      <w:pPr>
        <w:pStyle w:val="BodyText"/>
      </w:pPr>
      <w:r>
        <w:t xml:space="preserve">The system distinguishes two complementary memory layers:</w:t>
      </w:r>
    </w:p>
    <w:tbl>
      <w:tblPr>
        <w:tblStyle w:val="Table"/>
        <w:tblW w:type="pct" w:w="5000"/>
        <w:tblLook w:firstRow="1" w:lastRow="0" w:firstColumn="0" w:lastColumn="0" w:noHBand="0" w:noVBand="0" w:val="0020"/>
        <w:jc w:val="start"/>
      </w:tblPr>
      <w:tblGrid>
        <w:gridCol w:w="1760"/>
        <w:gridCol w:w="1290"/>
        <w:gridCol w:w="2874"/>
        <w:gridCol w:w="1994"/>
      </w:tblGrid>
      <w:tr>
        <w:trPr>
          <w:tblHeader w:val="true"/>
        </w:trPr>
        <w:tc>
          <w:tcPr/>
          <w:p>
            <w:pPr>
              <w:pStyle w:val="Compact"/>
              <w:jc w:val="left"/>
            </w:pPr>
            <w:r>
              <w:t xml:space="preserve">Layer</w:t>
            </w:r>
          </w:p>
        </w:tc>
        <w:tc>
          <w:tcPr/>
          <w:p>
            <w:pPr>
              <w:pStyle w:val="Compact"/>
              <w:jc w:val="left"/>
            </w:pPr>
            <w:r>
              <w:t xml:space="preserve">Knowledge Type</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bCs/>
                <w:b/>
              </w:rPr>
              <w:t xml:space="preserve">LWM (Lifetime World Model)</w:t>
            </w:r>
          </w:p>
        </w:tc>
        <w:tc>
          <w:tcPr/>
          <w:p>
            <w:pPr>
              <w:pStyle w:val="Compact"/>
              <w:jc w:val="left"/>
            </w:pPr>
            <w:r>
              <w:t xml:space="preserve">Domain knowledge</w:t>
            </w:r>
          </w:p>
        </w:tc>
        <w:tc>
          <w:tcPr/>
          <w:p>
            <w:pPr>
              <w:pStyle w:val="Compact"/>
              <w:jc w:val="left"/>
            </w:pPr>
            <w:r>
              <w:t xml:space="preserve">EU regulations, emission factors, industry models</w:t>
            </w:r>
          </w:p>
        </w:tc>
        <w:tc>
          <w:tcPr/>
          <w:p>
            <w:pPr>
              <w:pStyle w:val="Compact"/>
              <w:jc w:val="left"/>
            </w:pPr>
            <w:r>
              <w:t xml:space="preserve">“</w:t>
            </w:r>
            <w:r>
              <w:t xml:space="preserve">CBAM threshold is 150,000 EUR</w:t>
            </w:r>
            <w:r>
              <w:t xml:space="preserve">”</w:t>
            </w:r>
          </w:p>
        </w:tc>
      </w:tr>
      <w:tr>
        <w:tc>
          <w:tcPr/>
          <w:p>
            <w:pPr>
              <w:pStyle w:val="Compact"/>
              <w:jc w:val="left"/>
            </w:pPr>
            <w:r>
              <w:rPr>
                <w:bCs/>
                <w:b/>
              </w:rPr>
              <w:t xml:space="preserve">Client Memory</w:t>
            </w:r>
          </w:p>
        </w:tc>
        <w:tc>
          <w:tcPr/>
          <w:p>
            <w:pPr>
              <w:pStyle w:val="Compact"/>
              <w:jc w:val="left"/>
            </w:pPr>
            <w:r>
              <w:t xml:space="preserve">Relationship knowledge</w:t>
            </w:r>
          </w:p>
        </w:tc>
        <w:tc>
          <w:tcPr/>
          <w:p>
            <w:pPr>
              <w:pStyle w:val="Compact"/>
              <w:jc w:val="left"/>
            </w:pPr>
            <w:r>
              <w:t xml:space="preserve">Conversations, emails, meetings</w:t>
            </w:r>
          </w:p>
        </w:tc>
        <w:tc>
          <w:tcPr/>
          <w:p>
            <w:pPr>
              <w:pStyle w:val="Compact"/>
              <w:jc w:val="left"/>
            </w:pPr>
            <w:r>
              <w:t xml:space="preserve">“</w:t>
            </w:r>
            <w:r>
              <w:t xml:space="preserve">ACME Corp prefers weekly reports</w:t>
            </w:r>
            <w:r>
              <w:t xml:space="preserve">”</w:t>
            </w:r>
          </w:p>
        </w:tc>
      </w:tr>
    </w:tbl>
    <w:p>
      <w:pPr>
        <w:pStyle w:val="BodyText"/>
      </w:pPr>
      <w:r>
        <w:t xml:space="preserve">LWM provides</w:t>
      </w:r>
      <w:r>
        <w:t xml:space="preserve"> </w:t>
      </w:r>
      <w:r>
        <w:rPr>
          <w:iCs/>
          <w:i/>
        </w:rPr>
        <w:t xml:space="preserve">what the agent knows about the world</w:t>
      </w:r>
      <w:r>
        <w:t xml:space="preserve">; client memory provides</w:t>
      </w:r>
      <w:r>
        <w:t xml:space="preserve"> </w:t>
      </w:r>
      <w:r>
        <w:rPr>
          <w:iCs/>
          <w:i/>
        </w:rPr>
        <w:t xml:space="preserve">what the agent knows about this specific customer</w:t>
      </w:r>
      <w:r>
        <w:t xml:space="preserve">. Neither alone is sufficient — an agent that knows EU regulations but forgets the customer’s industry vertical will ask the same questions every session.</w:t>
      </w:r>
    </w:p>
    <w:p>
      <w:pPr>
        <w:pStyle w:val="BodyText"/>
      </w:pPr>
      <w:r>
        <w:rPr>
          <w:bCs/>
          <w:b/>
        </w:rPr>
        <w:t xml:space="preserve">Fact Extraction Pipeline:</w:t>
      </w:r>
    </w:p>
    <w:p>
      <w:pPr>
        <w:pStyle w:val="SourceCode"/>
      </w:pPr>
      <w:r>
        <w:rPr>
          <w:rStyle w:val="VerbatimChar"/>
        </w:rPr>
        <w:t xml:space="preserve">Conversation text</w:t>
      </w:r>
      <w:r>
        <w:br/>
      </w:r>
      <w:r>
        <w:rPr>
          <w:rStyle w:val="VerbatimChar"/>
        </w:rPr>
        <w:t xml:space="preserve">  → LLM extraction (Claude Haiku, structured prompt)</w:t>
      </w:r>
      <w:r>
        <w:br/>
      </w:r>
      <w:r>
        <w:rPr>
          <w:rStyle w:val="VerbatimChar"/>
        </w:rPr>
        <w:t xml:space="preserve">  → JSON array of {subject, predicate, value, confidence, category}</w:t>
      </w:r>
      <w:r>
        <w:br/>
      </w:r>
      <w:r>
        <w:rPr>
          <w:rStyle w:val="VerbatimChar"/>
        </w:rPr>
        <w:t xml:space="preserve">  → Confidence filter (≥0.7 threshold)</w:t>
      </w:r>
      <w:r>
        <w:br/>
      </w:r>
      <w:r>
        <w:rPr>
          <w:rStyle w:val="VerbatimChar"/>
        </w:rPr>
        <w:t xml:space="preserve">  → Duplicate detection (cosine similarity &gt;0.95 in pgvector)</w:t>
      </w:r>
      <w:r>
        <w:br/>
      </w:r>
      <w:r>
        <w:rPr>
          <w:rStyle w:val="VerbatimChar"/>
        </w:rPr>
        <w:t xml:space="preserve">  → Persist as `fact` type in semantic_memories table</w:t>
      </w:r>
      <w:r>
        <w:br/>
      </w:r>
      <w:r>
        <w:rPr>
          <w:rStyle w:val="VerbatimChar"/>
        </w:rPr>
        <w:t xml:space="preserve">  → Available for recall via hybrid search (vector + text)</w:t>
      </w:r>
    </w:p>
    <w:p>
      <w:pPr>
        <w:pStyle w:val="FirstParagraph"/>
      </w:pPr>
      <w:r>
        <w:t xml:space="preserve">The extraction prompt enforces strict rules: only explicit facts (never inferred), snake_case predicates for machine readability, six categories (identity, preference, relationship, metric, status, other), and confidence scoring (1.0 explicit, 0.8 strongly implied, 0.6 loosely implied).</w:t>
      </w:r>
    </w:p>
    <w:p>
      <w:pPr>
        <w:pStyle w:val="BodyText"/>
      </w:pPr>
      <w:r>
        <w:rPr>
          <w:bCs/>
          <w:b/>
        </w:rPr>
        <w:t xml:space="preserve">Three Missing Execution Layers:</w:t>
      </w:r>
    </w:p>
    <w:p>
      <w:pPr>
        <w:pStyle w:val="BodyText"/>
      </w:pPr>
      <w:r>
        <w:t xml:space="preserve">Fact extraction alone creates</w:t>
      </w:r>
      <w:r>
        <w:t xml:space="preserve"> </w:t>
      </w:r>
      <w:r>
        <w:rPr>
          <w:iCs/>
          <w:i/>
        </w:rPr>
        <w:t xml:space="preserve">passive knowledge</w:t>
      </w:r>
      <w:r>
        <w:t xml:space="preserve">. Three additional layers are required to make this knowledge</w:t>
      </w:r>
      <w:r>
        <w:t xml:space="preserve"> </w:t>
      </w:r>
      <w:r>
        <w:rPr>
          <w:iCs/>
          <w:i/>
        </w:rPr>
        <w:t xml:space="preserve">actionable</w:t>
      </w:r>
      <w:r>
        <w:t xml:space="preserve">:</w:t>
      </w:r>
    </w:p>
    <w:p>
      <w:pPr>
        <w:numPr>
          <w:ilvl w:val="0"/>
          <w:numId w:val="1063"/>
        </w:numPr>
      </w:pPr>
      <w:r>
        <w:rPr>
          <w:bCs/>
          <w:b/>
        </w:rPr>
        <w:t xml:space="preserve">Firehorse State Machine</w:t>
      </w:r>
      <w:r>
        <w:t xml:space="preserve"> </w:t>
      </w:r>
      <w:r>
        <w:t xml:space="preserve">— The execution layer that acts on what memory + LWM know. Without it, the platform has knowledge but no action capability. Facts like</w:t>
      </w:r>
      <w:r>
        <w:t xml:space="preserve"> </w:t>
      </w:r>
      <w:r>
        <w:t xml:space="preserve">“</w:t>
      </w:r>
      <w:r>
        <w:t xml:space="preserve">customer deadline is Q2 2026</w:t>
      </w:r>
      <w:r>
        <w:t xml:space="preserve">”</w:t>
      </w:r>
      <w:r>
        <w:t xml:space="preserve"> </w:t>
      </w:r>
      <w:r>
        <w:t xml:space="preserve">need a state machine to trigger escalation workflows.</w:t>
      </w:r>
    </w:p>
    <w:p>
      <w:pPr>
        <w:numPr>
          <w:ilvl w:val="0"/>
          <w:numId w:val="1063"/>
        </w:numPr>
      </w:pPr>
      <w:r>
        <w:rPr>
          <w:bCs/>
          <w:b/>
        </w:rPr>
        <w:t xml:space="preserve">ERP Connector Layer</w:t>
      </w:r>
      <w:r>
        <w:t xml:space="preserve"> </w:t>
      </w:r>
      <w:r>
        <w:t xml:space="preserve">— The real-world data feed. Memory and LWM are only as good as the live data flowing from Visma/IFS/SAP. Client memory captures</w:t>
      </w:r>
      <w:r>
        <w:t xml:space="preserve"> </w:t>
      </w:r>
      <w:r>
        <w:rPr>
          <w:iCs/>
          <w:i/>
        </w:rPr>
        <w:t xml:space="preserve">stated</w:t>
      </w:r>
      <w:r>
        <w:t xml:space="preserve"> </w:t>
      </w:r>
      <w:r>
        <w:t xml:space="preserve">preferences; ERP data reveals</w:t>
      </w:r>
      <w:r>
        <w:t xml:space="preserve"> </w:t>
      </w:r>
      <w:r>
        <w:rPr>
          <w:iCs/>
          <w:i/>
        </w:rPr>
        <w:t xml:space="preserve">actual</w:t>
      </w:r>
      <w:r>
        <w:t xml:space="preserve"> </w:t>
      </w:r>
      <w:r>
        <w:t xml:space="preserve">behavior (order patterns, payment history, usage metrics).</w:t>
      </w:r>
    </w:p>
    <w:p>
      <w:pPr>
        <w:numPr>
          <w:ilvl w:val="0"/>
          <w:numId w:val="1063"/>
        </w:numPr>
      </w:pPr>
      <w:r>
        <w:rPr>
          <w:bCs/>
          <w:b/>
        </w:rPr>
        <w:t xml:space="preserve">KYA Governance Wrapper</w:t>
      </w:r>
      <w:r>
        <w:t xml:space="preserve"> </w:t>
      </w:r>
      <w:r>
        <w:t xml:space="preserve">— The trust layer. Client memory + LWM without attestation is a chatbot. KYA (Know Your AI, internal v1.4 / public v1.1) wraps every memory decision with audit-grade provenance:</w:t>
      </w:r>
      <w:r>
        <w:t xml:space="preserve"> </w:t>
      </w:r>
      <w:r>
        <w:t xml:space="preserve">“</w:t>
      </w:r>
      <w:r>
        <w:t xml:space="preserve">fact A replaced fact B at timestamp X, approved by agent Y, logged to Firehorse.</w:t>
      </w:r>
      <w:r>
        <w:t xml:space="preserve">”</w:t>
      </w:r>
      <w:r>
        <w:t xml:space="preserve"> </w:t>
      </w:r>
      <w:r>
        <w:t xml:space="preserve">This is essential for EU compliance audits under CSRD and EU AI Act Article 12.</w:t>
      </w:r>
    </w:p>
    <w:p>
      <w:pPr>
        <w:pStyle w:val="FirstParagraph"/>
      </w:pPr>
      <w:r>
        <w:rPr>
          <w:bCs/>
          <w:b/>
        </w:rPr>
        <w:t xml:space="preserve">KYA-First PR Ordering:</w:t>
      </w:r>
    </w:p>
    <w:p>
      <w:pPr>
        <w:pStyle w:val="BodyText"/>
      </w:pPr>
      <w:r>
        <w:t xml:space="preserve">The original PR sequence (254→255→256→257→258→259) was reordered based on a critical insight:</w:t>
      </w:r>
      <w:r>
        <w:t xml:space="preserve"> </w:t>
      </w:r>
      <w:r>
        <w:rPr>
          <w:bCs/>
          <w:b/>
        </w:rPr>
        <w:t xml:space="preserve">contradiction resolution (PR-255) without KYA attestation means resolving conflicts in memory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production order:</w:t>
      </w:r>
    </w:p>
    <w:tbl>
      <w:tblPr>
        <w:tblStyle w:val="Table"/>
        <w:tblW w:type="pct" w:w="5000"/>
        <w:tblLook w:firstRow="1" w:lastRow="0" w:firstColumn="0" w:lastColumn="0" w:noHBand="0" w:noVBand="0" w:val="0020"/>
        <w:jc w:val="start"/>
      </w:tblPr>
      <w:tblGrid>
        <w:gridCol w:w="880"/>
        <w:gridCol w:w="330"/>
        <w:gridCol w:w="3080"/>
        <w:gridCol w:w="363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w:t>
            </w:r>
          </w:p>
        </w:tc>
        <w:tc>
          <w:tcPr/>
          <w:p>
            <w:pPr>
              <w:pStyle w:val="Compact"/>
              <w:jc w:val="left"/>
            </w:pPr>
            <w:r>
              <w:t xml:space="preserve">✅ Shipped</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c>
          <w:tcPr/>
          <w:p>
            <w:pPr>
              <w:pStyle w:val="Compact"/>
              <w:jc w:val="left"/>
            </w:pPr>
            <w:r>
              <w:t xml:space="preserve">Requires memory store</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c>
          <w:tcPr/>
          <w:p>
            <w:pPr>
              <w:pStyle w:val="Compact"/>
              <w:jc w:val="left"/>
            </w:pPr>
            <w:r>
              <w:t xml:space="preserve">Requires contradiction resolution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c>
          <w:tcPr/>
          <w:p>
            <w:pPr>
              <w:pStyle w:val="Compact"/>
              <w:jc w:val="left"/>
            </w:pPr>
            <w:r>
              <w:t xml:space="preserve">Independent</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c>
          <w:tcPr/>
          <w:p>
            <w:pPr>
              <w:pStyle w:val="Compact"/>
              <w:jc w:val="left"/>
            </w:pPr>
            <w:r>
              <w:t xml:space="preserve">Requires decay scoring</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c>
          <w:tcPr/>
          <w:p>
            <w:pPr>
              <w:pStyle w:val="Compact"/>
              <w:jc w:val="left"/>
            </w:pPr>
            <w:r>
              <w:t xml:space="preserve">Requires stable memory API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Self-Host EU</w:t>
            </w:r>
          </w:p>
        </w:tc>
        <w:tc>
          <w:tcPr/>
          <w:p>
            <w:pPr>
              <w:pStyle w:val="Compact"/>
              <w:jc w:val="left"/>
            </w:pPr>
            <w:r>
              <w:t xml:space="preserve">Infrastructure, last</w:t>
            </w:r>
          </w:p>
        </w:tc>
      </w:tr>
    </w:tbl>
    <w:p>
      <w:pPr>
        <w:pStyle w:val="BodyText"/>
      </w:pPr>
      <w:r>
        <w:rPr>
          <w:bCs/>
          <w:b/>
        </w:rPr>
        <w:t xml:space="preserve">Key Contribution #20:</w:t>
      </w:r>
      <w:r>
        <w:t xml:space="preserve"> </w:t>
      </w:r>
      <w:r>
        <w:t xml:space="preserve">First production implementation of agent memory fact extraction in an EU-compliant industrial AI platform, demonstrating the dual LWM/client-memory architecture and identifying the three-layer execution gap (state machine, ERP connectors, KYA governance) required for actionable enterprise AI memory.</w:t>
      </w:r>
    </w:p>
    <w:p>
      <w:r>
        <w:pict>
          <v:rect style="width:0;height:1.5pt" o:hralign="center" o:hrstd="t" o:hr="t"/>
        </w:pict>
      </w:r>
    </w:p>
    <w:bookmarkEnd w:id="179"/>
    <w:bookmarkEnd w:id="180"/>
    <w:bookmarkStart w:id="184" w:name="ceo-automation-agent-suite"/>
    <w:p>
      <w:pPr>
        <w:pStyle w:val="Heading2"/>
      </w:pPr>
      <w:r>
        <w:t xml:space="preserve">10.11 CEO Automation Agent Suite</w:t>
      </w:r>
    </w:p>
    <w:p>
      <w:pPr>
        <w:pStyle w:val="FirstParagraph"/>
      </w:pPr>
      <w:r>
        <w:rPr>
          <w:iCs/>
          <w:i/>
        </w:rPr>
        <w:t xml:space="preserve">Deployed: 24.02.2026 | Commit: claude/ai-agent-orchestration-t89Ig</w:t>
      </w:r>
    </w:p>
    <w:p>
      <w:pPr>
        <w:pStyle w:val="BodyText"/>
      </w:pPr>
      <w:r>
        <w:t xml:space="preserve">Three production AI agents that automate the CEO’s daily operational rhythm, fully integrated into the Firehorse platform (GitHub Actions cron, Supabase, Resend).</w:t>
      </w:r>
    </w:p>
    <w:bookmarkStart w:id="181" w:name="captain-pre-briefing-agent"/>
    <w:p>
      <w:pPr>
        <w:pStyle w:val="Heading3"/>
      </w:pPr>
      <w:r>
        <w:t xml:space="preserve">10.11.1 Captain Pre-Briefing Agent</w:t>
      </w:r>
    </w:p>
    <w:p>
      <w:pPr>
        <w:pStyle w:val="FirstParagraph"/>
      </w:pPr>
      <w:r>
        <w:rPr>
          <w:bCs/>
          <w:b/>
        </w:rPr>
        <w:t xml:space="preserve">Trigger:</w:t>
      </w:r>
      <w:r>
        <w:t xml:space="preserve"> </w:t>
      </w:r>
      <w:r>
        <w:t xml:space="preserve">07:30 Helsinki, Mon–Fri |</w:t>
      </w:r>
      <w:r>
        <w:t xml:space="preserve"> </w:t>
      </w:r>
      <w:r>
        <w:rPr>
          <w:bCs/>
          <w:b/>
        </w:rPr>
        <w:t xml:space="preserve">File:</w:t>
      </w:r>
      <w:r>
        <w:t xml:space="preserve"> </w:t>
      </w:r>
      <w:r>
        <w:rPr>
          <w:rStyle w:val="VerbatimChar"/>
        </w:rPr>
        <w:t xml:space="preserve">src/captain-briefing/</w:t>
      </w:r>
    </w:p>
    <w:p>
      <w:pPr>
        <w:pStyle w:val="BodyText"/>
      </w:pPr>
      <w:r>
        <w:t xml:space="preserve">Prepares a pre-call briefing for each active sales contact (captain) with a next action due today. Pulls thread history, contact info, proposals, and meetings from Supabase, generates talking points and a suggested next action, sends as a dark-theme HTML email via Resend.</w:t>
      </w:r>
    </w:p>
    <w:p>
      <w:pPr>
        <w:pStyle w:val="SourceCode"/>
      </w:pPr>
      <w:r>
        <w:rPr>
          <w:rStyle w:val="VerbatimChar"/>
        </w:rPr>
        <w:t xml:space="preserve">07:30 Helsinki → Captain Briefing Agent</w:t>
      </w:r>
      <w:r>
        <w:br/>
      </w:r>
      <w:r>
        <w:rPr>
          <w:rStyle w:val="VerbatimChar"/>
        </w:rPr>
        <w:t xml:space="preserve">  └── Supabase: thread_history + proposals + meetings</w:t>
      </w:r>
      <w:r>
        <w:br/>
      </w:r>
      <w:r>
        <w:rPr>
          <w:rStyle w:val="VerbatimChar"/>
        </w:rPr>
        <w:t xml:space="preserve">  └── Claude: talking points + suggested next action</w:t>
      </w:r>
      <w:r>
        <w:br/>
      </w:r>
      <w:r>
        <w:rPr>
          <w:rStyle w:val="VerbatimChar"/>
        </w:rPr>
        <w:t xml:space="preserve">  └── Resend: HTML email → risto@lifetime.fi</w:t>
      </w:r>
    </w:p>
    <w:p>
      <w:pPr>
        <w:pStyle w:val="FirstParagraph"/>
      </w:pPr>
      <w:r>
        <w:rPr>
          <w:bCs/>
          <w:b/>
        </w:rPr>
        <w:t xml:space="preserve">Research contribution:</w:t>
      </w:r>
      <w:r>
        <w:t xml:space="preserve"> </w:t>
      </w:r>
      <w:r>
        <w:t xml:space="preserve">Implements the Lifetime Scope Signals protocol (Section 2.5.2) in an operational context — the agent observes CRM signals and emits an action recommendation, demonstrating the brain-body interface in a revenue-critical workflow.</w:t>
      </w:r>
    </w:p>
    <w:bookmarkEnd w:id="181"/>
    <w:bookmarkStart w:id="182" w:name="linkedin-post-scheduler"/>
    <w:p>
      <w:pPr>
        <w:pStyle w:val="Heading3"/>
      </w:pPr>
      <w:r>
        <w:t xml:space="preserve">10.11.2 LinkedIn Post Scheduler</w:t>
      </w:r>
    </w:p>
    <w:p>
      <w:pPr>
        <w:pStyle w:val="FirstParagraph"/>
      </w:pPr>
      <w:r>
        <w:rPr>
          <w:bCs/>
          <w:b/>
        </w:rPr>
        <w:t xml:space="preserve">Trigger:</w:t>
      </w:r>
      <w:r>
        <w:t xml:space="preserve"> </w:t>
      </w:r>
      <w:r>
        <w:t xml:space="preserve">08:00 Helsinki, Mon–Fri |</w:t>
      </w:r>
      <w:r>
        <w:t xml:space="preserve"> </w:t>
      </w:r>
      <w:r>
        <w:rPr>
          <w:bCs/>
          <w:b/>
        </w:rPr>
        <w:t xml:space="preserve">File:</w:t>
      </w:r>
      <w:r>
        <w:t xml:space="preserve"> </w:t>
      </w:r>
      <w:r>
        <w:rPr>
          <w:rStyle w:val="VerbatimChar"/>
        </w:rPr>
        <w:t xml:space="preserve">src/social-scheduler/</w:t>
      </w:r>
    </w:p>
    <w:p>
      <w:pPr>
        <w:pStyle w:val="BodyText"/>
      </w:pPr>
      <w:r>
        <w:t xml:space="preserve">Weekly content calendar with category-specific post templates (Mon=thought leadership, Tue=compliance, Wed=product, Thu=case study, Fri=ecosystem). CEO approval digest — reply approve/edit/reject per draft. Posts queue stored in Supabase (</w:t>
      </w:r>
      <w:r>
        <w:rPr>
          <w:rStyle w:val="VerbatimChar"/>
        </w:rPr>
        <w:t xml:space="preserve">social_posts</w:t>
      </w:r>
      <w:r>
        <w:t xml:space="preserve"> </w:t>
      </w:r>
      <w:r>
        <w:t xml:space="preserve">table, migration</w:t>
      </w:r>
      <w:r>
        <w:t xml:space="preserve"> </w:t>
      </w:r>
      <w:r>
        <w:rPr>
          <w:rStyle w:val="VerbatimChar"/>
        </w:rPr>
        <w:t xml:space="preserve">034_social_posts.sql</w:t>
      </w:r>
      <w:r>
        <w:t xml:space="preserve">).</w:t>
      </w:r>
    </w:p>
    <w:bookmarkEnd w:id="182"/>
    <w:bookmarkStart w:id="183" w:name="eu-regulation-monitor"/>
    <w:p>
      <w:pPr>
        <w:pStyle w:val="Heading3"/>
      </w:pPr>
      <w:r>
        <w:t xml:space="preserve">10.11.3 EU Regulation Monitor</w:t>
      </w:r>
    </w:p>
    <w:p>
      <w:pPr>
        <w:pStyle w:val="FirstParagraph"/>
      </w:pPr>
      <w:r>
        <w:rPr>
          <w:bCs/>
          <w:b/>
        </w:rPr>
        <w:t xml:space="preserve">Trigger:</w:t>
      </w:r>
      <w:r>
        <w:t xml:space="preserve"> </w:t>
      </w:r>
      <w:r>
        <w:t xml:space="preserve">05:30 Helsinki, Mon–Fri (before briefing) |</w:t>
      </w:r>
      <w:r>
        <w:t xml:space="preserve"> </w:t>
      </w:r>
      <w:r>
        <w:rPr>
          <w:bCs/>
          <w:b/>
        </w:rPr>
        <w:t xml:space="preserve">File:</w:t>
      </w:r>
      <w:r>
        <w:t xml:space="preserve"> </w:t>
      </w:r>
      <w:r>
        <w:rPr>
          <w:rStyle w:val="VerbatimChar"/>
        </w:rPr>
        <w:t xml:space="preserve">src/regulation-monitor/</w:t>
      </w:r>
    </w:p>
    <w:p>
      <w:pPr>
        <w:pStyle w:val="BodyText"/>
      </w:pPr>
      <w:r>
        <w:t xml:space="preserve">Fetches RSS from EU Commission, EUR-Lex, Carbon Pulse, and Euractiv. Classifies updates by regulation (CBAM, CSRD, Fit for 55, EPBD, EU AI Act, ETS) with severity scoring (urgent/important/info) and customer impact detection. Feeds regulation alerts into the LinkedIn Scheduler as content ideas.</w:t>
      </w:r>
    </w:p>
    <w:p>
      <w:pPr>
        <w:pStyle w:val="SourceCode"/>
      </w:pPr>
      <w:r>
        <w:rPr>
          <w:rStyle w:val="VerbatimChar"/>
        </w:rPr>
        <w:t xml:space="preserve">05:30 → EU Regulation Monitor</w:t>
      </w:r>
      <w:r>
        <w:br/>
      </w:r>
      <w:r>
        <w:rPr>
          <w:rStyle w:val="VerbatimChar"/>
        </w:rPr>
        <w:t xml:space="preserve">  └── Fetch: EU Commission + EUR-Lex + Carbon Pulse + Euractiv</w:t>
      </w:r>
      <w:r>
        <w:br/>
      </w:r>
      <w:r>
        <w:rPr>
          <w:rStyle w:val="VerbatimChar"/>
        </w:rPr>
        <w:t xml:space="preserve">  └── Classify: CBAM | CSRD | Fit for 55 | EPBD | EU AI Act | ETS</w:t>
      </w:r>
      <w:r>
        <w:br/>
      </w:r>
      <w:r>
        <w:rPr>
          <w:rStyle w:val="VerbatimChar"/>
        </w:rPr>
        <w:t xml:space="preserve">  └── Score: urgent / important / info</w:t>
      </w:r>
      <w:r>
        <w:br/>
      </w:r>
      <w:r>
        <w:rPr>
          <w:rStyle w:val="VerbatimChar"/>
        </w:rPr>
        <w:t xml:space="preserve">  └── Feed: → LinkedIn Scheduler content queue</w:t>
      </w:r>
      <w:r>
        <w:br/>
      </w:r>
      <w:r>
        <w:rPr>
          <w:rStyle w:val="VerbatimChar"/>
        </w:rPr>
        <w:t xml:space="preserve">07:30 → Captain Briefing (uses regulation context)</w:t>
      </w:r>
      <w:r>
        <w:br/>
      </w:r>
      <w:r>
        <w:rPr>
          <w:rStyle w:val="VerbatimChar"/>
        </w:rPr>
        <w:t xml:space="preserve">08:00 → LinkedIn Scheduler (drafts regulation-aware posts)</w:t>
      </w:r>
    </w:p>
    <w:p>
      <w:pPr>
        <w:pStyle w:val="FirstParagraph"/>
      </w:pPr>
      <w:r>
        <w:rPr>
          <w:bCs/>
          <w:b/>
        </w:rPr>
        <w:t xml:space="preserve">Solution Factory validation:</w:t>
      </w:r>
      <w:r>
        <w:t xml:space="preserve"> </w:t>
      </w:r>
      <w:r>
        <w:t xml:space="preserve">All three agents were implemented in a single session following the same patterns: dark-theme HTML email, Resend delivery, GitHub Actions cron with DST-safe dual entries (</w:t>
      </w:r>
      <w:r>
        <w:rPr>
          <w:rStyle w:val="VerbatimChar"/>
        </w:rPr>
        <w:t xml:space="preserve">UTC+2</w:t>
      </w:r>
      <w:r>
        <w:t xml:space="preserve">/</w:t>
      </w:r>
      <w:r>
        <w:rPr>
          <w:rStyle w:val="VerbatimChar"/>
        </w:rPr>
        <w:t xml:space="preserve">UTC+3</w:t>
      </w:r>
      <w:r>
        <w:t xml:space="preserve">), best-effort Supabase queries. This confirms the operating model’s replicability for new agent types.</w:t>
      </w:r>
    </w:p>
    <w:p>
      <w:r>
        <w:pict>
          <v:rect style="width:0;height:1.5pt" o:hralign="center" o:hrstd="t" o:hr="t"/>
        </w:pict>
      </w:r>
    </w:p>
    <w:bookmarkEnd w:id="183"/>
    <w:bookmarkEnd w:id="184"/>
    <w:bookmarkStart w:id="190" w:name="Xc0734f62f8b7207932c56e03d0284c283e31af6"/>
    <w:p>
      <w:pPr>
        <w:pStyle w:val="Heading2"/>
      </w:pPr>
      <w:r>
        <w:t xml:space="preserve">10.12 Strategic Partnerships: NVIDIA, Siemens, ABB, xAI &amp; Mistral</w:t>
      </w:r>
    </w:p>
    <w:p>
      <w:pPr>
        <w:pStyle w:val="FirstParagraph"/>
      </w:pPr>
      <w:r>
        <w:rPr>
          <w:iCs/>
          <w:i/>
        </w:rPr>
        <w:t xml:space="preserve">Documented: 27.02.2026 | Source: docs/DWS6_TO_DWS7_UPDATE.md v1.1</w:t>
      </w:r>
    </w:p>
    <w:p>
      <w:pPr>
        <w:pStyle w:val="BodyText"/>
      </w:pPr>
      <w:r>
        <w:t xml:space="preserve">DWS7 builds a multi-partner ecosystem spanning industrial automation (NVIDIA, Siemens, ABB), frontier AI inference (xAI, Mistral), and edge computing. Each partner fills a distinct role in the Brain-Memory-Body-Hands architecture.</w:t>
      </w:r>
    </w:p>
    <w:tbl>
      <w:tblPr>
        <w:tblStyle w:val="Table"/>
        <w:tblW w:type="pct" w:w="5000"/>
        <w:tblLook w:firstRow="1" w:lastRow="0" w:firstColumn="0" w:lastColumn="0" w:noHBand="0" w:noVBand="0" w:val="0020"/>
        <w:jc w:val="start"/>
      </w:tblPr>
      <w:tblGrid>
        <w:gridCol w:w="685"/>
        <w:gridCol w:w="5238"/>
        <w:gridCol w:w="1995"/>
      </w:tblGrid>
      <w:tr>
        <w:trPr>
          <w:tblHeader w:val="true"/>
        </w:trPr>
        <w:tc>
          <w:tcPr/>
          <w:p>
            <w:pPr>
              <w:pStyle w:val="Compact"/>
              <w:jc w:val="left"/>
            </w:pPr>
            <w:r>
              <w:t xml:space="preserve">Partner</w:t>
            </w:r>
          </w:p>
        </w:tc>
        <w:tc>
          <w:tcPr/>
          <w:p>
            <w:pPr>
              <w:pStyle w:val="Compact"/>
              <w:jc w:val="left"/>
            </w:pPr>
            <w:r>
              <w:t xml:space="preserve">Role in Architecture</w:t>
            </w:r>
          </w:p>
        </w:tc>
        <w:tc>
          <w:tcPr/>
          <w:p>
            <w:pPr>
              <w:pStyle w:val="Compact"/>
              <w:jc w:val="left"/>
            </w:pPr>
            <w:r>
              <w:t xml:space="preserve">Integration Status</w:t>
            </w:r>
          </w:p>
        </w:tc>
      </w:tr>
      <w:tr>
        <w:tc>
          <w:tcPr/>
          <w:p>
            <w:pPr>
              <w:pStyle w:val="Compact"/>
              <w:jc w:val="left"/>
            </w:pPr>
            <w:r>
              <w:rPr>
                <w:bCs/>
                <w:b/>
              </w:rPr>
              <w:t xml:space="preserve">NVIDIA</w:t>
            </w:r>
          </w:p>
        </w:tc>
        <w:tc>
          <w:tcPr/>
          <w:p>
            <w:pPr>
              <w:pStyle w:val="Compact"/>
              <w:jc w:val="left"/>
            </w:pPr>
            <w:r>
              <w:t xml:space="preserve">GPU compute (Brain), Jetson edge (Hands), Omniverse digital twins (Body)</w:t>
            </w:r>
          </w:p>
        </w:tc>
        <w:tc>
          <w:tcPr/>
          <w:p>
            <w:pPr>
              <w:pStyle w:val="Compact"/>
              <w:jc w:val="left"/>
            </w:pPr>
            <w:r>
              <w:t xml:space="preserve">Inception program target Q2 2026</w:t>
            </w:r>
          </w:p>
        </w:tc>
      </w:tr>
      <w:tr>
        <w:tc>
          <w:tcPr/>
          <w:p>
            <w:pPr>
              <w:pStyle w:val="Compact"/>
              <w:jc w:val="left"/>
            </w:pPr>
            <w:r>
              <w:rPr>
                <w:bCs/>
                <w:b/>
              </w:rPr>
              <w:t xml:space="preserve">Siemens</w:t>
            </w:r>
          </w:p>
        </w:tc>
        <w:tc>
          <w:tcPr/>
          <w:p>
            <w:pPr>
              <w:pStyle w:val="Compact"/>
              <w:jc w:val="left"/>
            </w:pPr>
            <w:r>
              <w:t xml:space="preserve">MindSphere IoT (Hands), digital twin composer (Body), Xcelerator marketplace</w:t>
            </w:r>
          </w:p>
        </w:tc>
        <w:tc>
          <w:tcPr/>
          <w:p>
            <w:pPr>
              <w:pStyle w:val="Compact"/>
              <w:jc w:val="left"/>
            </w:pPr>
            <w:r>
              <w:t xml:space="preserve">Developer access Q2 2026</w:t>
            </w:r>
          </w:p>
        </w:tc>
      </w:tr>
      <w:tr>
        <w:tc>
          <w:tcPr/>
          <w:p>
            <w:pPr>
              <w:pStyle w:val="Compact"/>
              <w:jc w:val="left"/>
            </w:pPr>
            <w:r>
              <w:rPr>
                <w:bCs/>
                <w:b/>
              </w:rPr>
              <w:t xml:space="preserve">ABB</w:t>
            </w:r>
          </w:p>
        </w:tc>
        <w:tc>
          <w:tcPr/>
          <w:p>
            <w:pPr>
              <w:pStyle w:val="Compact"/>
              <w:jc w:val="left"/>
            </w:pPr>
            <w:r>
              <w:t xml:space="preserve">Industrial automation + robotics (Hands), power grid management</w:t>
            </w:r>
          </w:p>
        </w:tc>
        <w:tc>
          <w:tcPr/>
          <w:p>
            <w:pPr>
              <w:pStyle w:val="Compact"/>
              <w:jc w:val="left"/>
            </w:pPr>
            <w:r>
              <w:t xml:space="preserve">Integration target Q3 2026</w:t>
            </w:r>
          </w:p>
        </w:tc>
      </w:tr>
      <w:tr>
        <w:tc>
          <w:tcPr/>
          <w:p>
            <w:pPr>
              <w:pStyle w:val="Compact"/>
              <w:jc w:val="left"/>
            </w:pPr>
            <w:r>
              <w:rPr>
                <w:bCs/>
                <w:b/>
              </w:rPr>
              <w:t xml:space="preserve">xAI</w:t>
            </w:r>
          </w:p>
        </w:tc>
        <w:tc>
          <w:tcPr/>
          <w:p>
            <w:pPr>
              <w:pStyle w:val="Compact"/>
              <w:jc w:val="left"/>
            </w:pPr>
            <w:r>
              <w:t xml:space="preserve">Real-time market intelligence via Grok, X/Twitter signal discovery (Brain)</w:t>
            </w:r>
          </w:p>
        </w:tc>
        <w:tc>
          <w:tcPr/>
          <w:p>
            <w:pPr>
              <w:pStyle w:val="Compact"/>
              <w:jc w:val="left"/>
            </w:pPr>
            <w:r>
              <w:t xml:space="preserve">Active (production)</w:t>
            </w:r>
          </w:p>
        </w:tc>
      </w:tr>
      <w:tr>
        <w:tc>
          <w:tcPr/>
          <w:p>
            <w:pPr>
              <w:pStyle w:val="Compact"/>
              <w:jc w:val="left"/>
            </w:pPr>
            <w:r>
              <w:rPr>
                <w:bCs/>
                <w:b/>
              </w:rPr>
              <w:t xml:space="preserve">Mistral</w:t>
            </w:r>
          </w:p>
        </w:tc>
        <w:tc>
          <w:tcPr/>
          <w:p>
            <w:pPr>
              <w:pStyle w:val="Compact"/>
              <w:jc w:val="left"/>
            </w:pPr>
            <w:r>
              <w:t xml:space="preserve">EU-sovereign AI inference, multilingual compliance generation (Brain/Memory)</w:t>
            </w:r>
          </w:p>
        </w:tc>
        <w:tc>
          <w:tcPr/>
          <w:p>
            <w:pPr>
              <w:pStyle w:val="Compact"/>
              <w:jc w:val="left"/>
            </w:pPr>
            <w:r>
              <w:t xml:space="preserve">Planned Q3 2026</w:t>
            </w:r>
          </w:p>
        </w:tc>
      </w:tr>
      <w:tr>
        <w:tc>
          <w:tcPr/>
          <w:p>
            <w:pPr>
              <w:pStyle w:val="Compact"/>
              <w:jc w:val="left"/>
            </w:pPr>
            <w:r>
              <w:rPr>
                <w:bCs/>
                <w:b/>
              </w:rPr>
              <w:t xml:space="preserve">Red Hat</w:t>
            </w:r>
          </w:p>
        </w:tc>
        <w:tc>
          <w:tcPr/>
          <w:p>
            <w:pPr>
              <w:pStyle w:val="Compact"/>
              <w:jc w:val="left"/>
            </w:pPr>
            <w:r>
              <w:t xml:space="preserve">AgentOps BYOA platform (Body), OpenShift AI for agent deployment, hybrid cloud infra</w:t>
            </w:r>
          </w:p>
        </w:tc>
        <w:tc>
          <w:tcPr/>
          <w:p>
            <w:pPr>
              <w:pStyle w:val="Compact"/>
              <w:jc w:val="left"/>
            </w:pPr>
            <w:r>
              <w:t xml:space="preserve">Active (March 2026)</w:t>
            </w:r>
          </w:p>
        </w:tc>
      </w:tr>
    </w:tbl>
    <w:bookmarkStart w:id="185" w:name="multi-llm-router-architecture"/>
    <w:p>
      <w:pPr>
        <w:pStyle w:val="Heading3"/>
      </w:pPr>
      <w:r>
        <w:t xml:space="preserve">10.12.1 Multi-LLM Router Architecture</w:t>
      </w:r>
    </w:p>
    <w:p>
      <w:pPr>
        <w:pStyle w:val="FirstParagraph"/>
      </w:pPr>
      <w:r>
        <w:t xml:space="preserve">DWS7 selects the LLM per task type based on three criteria:</w:t>
      </w:r>
      <w:r>
        <w:t xml:space="preserve"> </w:t>
      </w:r>
      <w:r>
        <w:rPr>
          <w:bCs/>
          <w:b/>
        </w:rPr>
        <w:t xml:space="preserve">EU sovereignty</w:t>
      </w:r>
      <w:r>
        <w:t xml:space="preserve">,</w:t>
      </w:r>
      <w:r>
        <w:t xml:space="preserve"> </w:t>
      </w:r>
      <w:r>
        <w:rPr>
          <w:bCs/>
          <w:b/>
        </w:rPr>
        <w:t xml:space="preserve">cost</w:t>
      </w:r>
      <w:r>
        <w:t xml:space="preserve">, and</w:t>
      </w:r>
      <w:r>
        <w:t xml:space="preserve"> </w:t>
      </w:r>
      <w:r>
        <w:rPr>
          <w:bCs/>
          <w:b/>
        </w:rPr>
        <w:t xml:space="preserve">latency</w:t>
      </w:r>
      <w:r>
        <w:t xml:space="preserve">:</w:t>
      </w:r>
    </w:p>
    <w:p>
      <w:pPr>
        <w:pStyle w:val="SourceCode"/>
      </w:pPr>
      <w:r>
        <w:rPr>
          <w:rStyle w:val="VerbatimChar"/>
        </w:rPr>
        <w:t xml:space="preserve">Task type → LLM selection</w:t>
      </w:r>
      <w:r>
        <w:br/>
      </w:r>
      <w:r>
        <w:rPr>
          <w:rStyle w:val="VerbatimChar"/>
        </w:rPr>
        <w:t xml:space="preserve">  Compliance generation (CSRD, CBAM)  → Claude (reasoning depth) or Mistral (EU-sovereign)</w:t>
      </w:r>
      <w:r>
        <w:br/>
      </w:r>
      <w:r>
        <w:rPr>
          <w:rStyle w:val="VerbatimChar"/>
        </w:rPr>
        <w:t xml:space="preserve">  Real-time market signal analysis     → xAI Grok (live X/Twitter data)</w:t>
      </w:r>
      <w:r>
        <w:br/>
      </w:r>
      <w:r>
        <w:rPr>
          <w:rStyle w:val="VerbatimChar"/>
        </w:rPr>
        <w:t xml:space="preserve">  Code generation                      → Claude or Groq (Llama 70B, fast)</w:t>
      </w:r>
      <w:r>
        <w:br/>
      </w:r>
      <w:r>
        <w:rPr>
          <w:rStyle w:val="VerbatimChar"/>
        </w:rPr>
        <w:t xml:space="preserve">  Lightweight summarization            → Groq (Haiku-equivalent speed)</w:t>
      </w:r>
      <w:r>
        <w:br/>
      </w:r>
      <w:r>
        <w:rPr>
          <w:rStyle w:val="VerbatimChar"/>
        </w:rPr>
        <w:t xml:space="preserve">  Edge inference (Acer Veriton)        → Qwen 2.5 72B (QLoRA fine-tuned, on-premises)</w:t>
      </w:r>
    </w:p>
    <w:p>
      <w:pPr>
        <w:pStyle w:val="FirstParagraph"/>
      </w:pPr>
      <w:r>
        <w:t xml:space="preserve">This multi-LLM router is not a monolithic integration — it is the</w:t>
      </w:r>
      <w:r>
        <w:t xml:space="preserve"> </w:t>
      </w:r>
      <w:r>
        <w:rPr>
          <w:bCs/>
          <w:b/>
        </w:rPr>
        <w:t xml:space="preserve">Lifetime World Model’s inference layer</w:t>
      </w:r>
      <w:r>
        <w:t xml:space="preserve">, selecting among its constituent models based on sovereignty, cost, and latency constraints at runtime.</w:t>
      </w:r>
    </w:p>
    <w:bookmarkEnd w:id="185"/>
    <w:bookmarkStart w:id="186" w:name="nvidia-gpu-compute-edge-ai"/>
    <w:p>
      <w:pPr>
        <w:pStyle w:val="Heading3"/>
      </w:pPr>
      <w:r>
        <w:t xml:space="preserve">10.12.2 NVIDIA — GPU Compute &amp; Edge AI</w:t>
      </w:r>
    </w:p>
    <w:p>
      <w:pPr>
        <w:pStyle w:val="FirstParagraph"/>
      </w:pPr>
      <w:r>
        <w:t xml:space="preserve">NVIDIA provides the infrastructure for both cloud inference and on-premises edge AI. The Acer Veriton GN100 (Section 10.10) already hosts CUDA-capable workloads. NVIDIA Inception membership (target Q2 2026) unlocks preferred pricing on compute credits and access to the Omniverse industrial simulation platform for digital twin workflows.</w:t>
      </w:r>
    </w:p>
    <w:p>
      <w:pPr>
        <w:pStyle w:val="BodyText"/>
      </w:pPr>
      <w:r>
        <w:rPr>
          <w:bCs/>
          <w:b/>
        </w:rPr>
        <w:t xml:space="preserve">Partnership track:</w:t>
      </w:r>
      <w:r>
        <w:t xml:space="preserve"> </w:t>
      </w:r>
      <w:r>
        <w:t xml:space="preserve">NVIDIA Inception (Q2 2026) → Ecosystem Partner (Q4 2026) → Strategic Partner (2027+)</w:t>
      </w:r>
    </w:p>
    <w:bookmarkEnd w:id="186"/>
    <w:bookmarkStart w:id="187" w:name="abb-industrial-automation-emissions-data"/>
    <w:p>
      <w:pPr>
        <w:pStyle w:val="Heading3"/>
      </w:pPr>
      <w:r>
        <w:t xml:space="preserve">10.12.3 ABB — Industrial Automation &amp; Emissions Data</w:t>
      </w:r>
    </w:p>
    <w:p>
      <w:pPr>
        <w:pStyle w:val="FirstParagraph"/>
      </w:pPr>
      <w:r>
        <w:t xml:space="preserve">ABB’s installed base of drives, motors, and power distribution equipment generates the sensor data DWS7 needs for real-time emissions calculation. ABB Ability Platform enables cloud-to-cloud IoT data ingestion; ABB Ability Energy Manager provides real-time Scope 2 emissions data.</w:t>
      </w:r>
    </w:p>
    <w:p>
      <w:pPr>
        <w:pStyle w:val="BodyText"/>
      </w:pPr>
      <w:r>
        <w:rPr>
          <w:bCs/>
          <w:b/>
        </w:rPr>
        <w:t xml:space="preserve">Why ABB matters for EU ETS:</w:t>
      </w:r>
      <w:r>
        <w:t xml:space="preserve"> </w:t>
      </w:r>
      <w:r>
        <w:t xml:space="preserve">ABB’s customers — steel, cement, chemicals, aluminum — are exactly the industries facing the highest EU ETS carbon costs. DWS7 becomes the compliance brain on top of ABB’s operational data.</w:t>
      </w:r>
    </w:p>
    <w:bookmarkEnd w:id="187"/>
    <w:bookmarkStart w:id="188" w:name="X5206bd3afdba06b0fe9823a5c00a5014d03af77"/>
    <w:p>
      <w:pPr>
        <w:pStyle w:val="Heading3"/>
      </w:pPr>
      <w:r>
        <w:t xml:space="preserve">10.12.4 Red Hat — AgentOps &amp; Hybrid Cloud Infrastructure</w:t>
      </w:r>
    </w:p>
    <w:p>
      <w:pPr>
        <w:pStyle w:val="FirstParagraph"/>
      </w:pPr>
      <w:r>
        <w:rPr>
          <w:iCs/>
          <w:i/>
        </w:rPr>
        <w:t xml:space="preserve">Added: 21.03.2026 | Source: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Key Findings (2025), Mikko Pylväs (Red Hat Finland AI event, March 2026)</w:t>
      </w:r>
    </w:p>
    <w:p>
      <w:pPr>
        <w:pStyle w:val="BodyText"/>
      </w:pPr>
      <w:r>
        <w:t xml:space="preserve">Red Hat’s AgentOps strategy —</w:t>
      </w:r>
      <w:r>
        <w:t xml:space="preserve"> </w:t>
      </w:r>
      <w:r>
        <w:rPr>
          <w:bCs/>
          <w:b/>
        </w:rPr>
        <w:t xml:space="preserve">Bring Your Own Agent (BYOA)</w:t>
      </w:r>
      <w:r>
        <w:t xml:space="preserve"> </w:t>
      </w:r>
      <w:r>
        <w:t xml:space="preserve">— provides enterprise Kubernetes (OpenShift) as the deployment and orchestration layer for AI agents. Their core thesis: adaptability is the prerequisite for any AI strategy to succeed. Whether agents use LangChain, AutoGen, or custom frameworks, Red Hat provides the enterprise rigor and security policies needed for production readiness.</w:t>
      </w:r>
    </w:p>
    <w:p>
      <w:pPr>
        <w:pStyle w:val="BodyText"/>
      </w:pPr>
      <w:r>
        <w:rPr>
          <w:bCs/>
          <w:b/>
        </w:rPr>
        <w:t xml:space="preserve">Strategic alignment with DWS IQ 6:</w:t>
      </w:r>
    </w:p>
    <w:p>
      <w:pPr>
        <w:numPr>
          <w:ilvl w:val="0"/>
          <w:numId w:val="1064"/>
        </w:numPr>
        <w:pStyle w:val="Compact"/>
      </w:pPr>
      <w:r>
        <w:rPr>
          <w:bCs/>
          <w:b/>
        </w:rPr>
        <w:t xml:space="preserve">Hybrid cloud imperative:</w:t>
      </w:r>
      <w:r>
        <w:t xml:space="preserve"> </w:t>
      </w:r>
      <w:r>
        <w:t xml:space="preserve">Red Hat identifies that a successful AI strategy must be a hybrid cloud strategy — train, tune, and run models wherever data resides without compromising security, compliance, or data sovereignty. This maps directly to DWS IQ 6’s deployment model (EU Cloud + GN-100 edge + Article 12 Logging Pipeline).</w:t>
      </w:r>
    </w:p>
    <w:p>
      <w:pPr>
        <w:numPr>
          <w:ilvl w:val="0"/>
          <w:numId w:val="1064"/>
        </w:numPr>
        <w:pStyle w:val="Compact"/>
      </w:pPr>
      <w:r>
        <w:rPr>
          <w:bCs/>
          <w:b/>
        </w:rPr>
        <w:t xml:space="preserve">Modernize before automate:</w:t>
      </w:r>
      <w:r>
        <w:t xml:space="preserve"> </w:t>
      </w:r>
      <w:r>
        <w:t xml:space="preserve">Moving from proprietary silos to open, flexible hybrid cloud (Linux, containers, Kubernetes) aligns with DWS7’s container-native architecture and NVIDIA partnership.</w:t>
      </w:r>
    </w:p>
    <w:p>
      <w:pPr>
        <w:numPr>
          <w:ilvl w:val="0"/>
          <w:numId w:val="1064"/>
        </w:numPr>
        <w:pStyle w:val="Compact"/>
      </w:pPr>
      <w:r>
        <w:rPr>
          <w:bCs/>
          <w:b/>
        </w:rPr>
        <w:t xml:space="preserve">Red Hat + NVIDIA joint work</w:t>
      </w:r>
      <w:r>
        <w:t xml:space="preserve"> </w:t>
      </w:r>
      <w:r>
        <w:t xml:space="preserve">on secure AI agent infrastructure directly supports the KYA-governed agent isolation model, providing hardware-attested security at the infrastructure layer.</w:t>
      </w:r>
    </w:p>
    <w:p>
      <w:pPr>
        <w:numPr>
          <w:ilvl w:val="0"/>
          <w:numId w:val="1064"/>
        </w:numPr>
        <w:pStyle w:val="Compact"/>
      </w:pPr>
      <w:r>
        <w:rPr>
          <w:bCs/>
          <w:b/>
        </w:rPr>
        <w:t xml:space="preserve">MCP as bridge:</w:t>
      </w:r>
      <w:r>
        <w:t xml:space="preserve"> </w:t>
      </w:r>
      <w:r>
        <w:t xml:space="preserve">Red Hat identifies MCP as critical for bridging legacy systems with agentic AI — validating DWS IQ 6’s MCP Hub architecture (Section 2.5.3).</w:t>
      </w:r>
    </w:p>
    <w:p>
      <w:pPr>
        <w:numPr>
          <w:ilvl w:val="0"/>
          <w:numId w:val="1064"/>
        </w:numPr>
        <w:pStyle w:val="Compact"/>
      </w:pPr>
      <w:r>
        <w:rPr>
          <w:bCs/>
          <w:b/>
        </w:rPr>
        <w:t xml:space="preserve">Expertise gap:</w:t>
      </w:r>
      <w:r>
        <w:t xml:space="preserve"> </w:t>
      </w:r>
      <w:r>
        <w:t xml:space="preserve">42% of organizations are blocked by lack of in-house AI expertise (Bain &amp; Company, 2025), validating the managed-platform approach where DWS IQ provides pre-built, compliant agent templates rather than requiring customers to build from scratch.</w:t>
      </w:r>
    </w:p>
    <w:bookmarkEnd w:id="188"/>
    <w:bookmarkStart w:id="189" w:name="research-contribution-4"/>
    <w:p>
      <w:pPr>
        <w:pStyle w:val="Heading3"/>
      </w:pPr>
      <w:r>
        <w:t xml:space="preserve">10.12.5 Research Contribution</w:t>
      </w:r>
    </w:p>
    <w:p>
      <w:pPr>
        <w:pStyle w:val="FirstParagraph"/>
      </w:pPr>
      <w:r>
        <w:t xml:space="preserve">The multi-partner ecosystem validates the</w:t>
      </w:r>
      <w:r>
        <w:t xml:space="preserve"> </w:t>
      </w:r>
      <w:r>
        <w:rPr>
          <w:bCs/>
          <w:b/>
        </w:rPr>
        <w:t xml:space="preserve">Solution Factory model’s third pillar</w:t>
      </w:r>
      <w:r>
        <w:t xml:space="preserve"> </w:t>
      </w:r>
      <w:r>
        <w:t xml:space="preserve">(Section 4.1.3 — distribution leverage). By plugging DWS7 into Siemens Xcelerator, NVIDIA Inception, and Red Hat’s OpenShift ecosystem, the platform gains access to 10,000+ industrial customers without building a direct sales organization — consistent with the partnership distribution strategy (Section 7.3) applied at the partnership level.</w:t>
      </w:r>
    </w:p>
    <w:p>
      <w:pPr>
        <w:pStyle w:val="BodyText"/>
      </w:pPr>
      <w:r>
        <w:t xml:space="preserve">The multi-LLM router architecture also demonstrates practical resolution of the</w:t>
      </w:r>
      <w:r>
        <w:t xml:space="preserve"> </w:t>
      </w:r>
      <w:r>
        <w:rPr>
          <w:bCs/>
          <w:b/>
        </w:rPr>
        <w:t xml:space="preserve">EU AI Act sovereignty tension</w:t>
      </w:r>
      <w:r>
        <w:t xml:space="preserve">: regulated industries can use Mistral for compliance generation (EU-domiciled, GDPR-compliant) while still accessing Claude and Grok for non-regulated analytical tasks. Red Hat’s BYOA framework further validates this architecture — enterprise customers can bring their own agent frameworks while DWS IQ provides the governed orchestration and compliance layer.</w:t>
      </w:r>
    </w:p>
    <w:p>
      <w:r>
        <w:pict>
          <v:rect style="width:0;height:1.5pt" o:hralign="center" o:hrstd="t" o:hr="t"/>
        </w:pict>
      </w:r>
    </w:p>
    <w:bookmarkEnd w:id="189"/>
    <w:bookmarkEnd w:id="190"/>
    <w:bookmarkEnd w:id="191"/>
    <w:bookmarkStart w:id="205" w:name="references"/>
    <w:p>
      <w:pPr>
        <w:pStyle w:val="Heading1"/>
      </w:pPr>
      <w:r>
        <w:t xml:space="preserve">11. References</w:t>
      </w:r>
    </w:p>
    <w:bookmarkStart w:id="192" w:name="academic-literature"/>
    <w:p>
      <w:pPr>
        <w:pStyle w:val="Heading2"/>
      </w:pPr>
      <w:r>
        <w:t xml:space="preserve">Academic Literature</w:t>
      </w:r>
    </w:p>
    <w:p>
      <w:pPr>
        <w:numPr>
          <w:ilvl w:val="0"/>
          <w:numId w:val="1065"/>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5"/>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5"/>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5"/>
        </w:numPr>
      </w:pPr>
      <w:r>
        <w:t xml:space="preserve">European Commission (2021).</w:t>
      </w:r>
      <w:r>
        <w:t xml:space="preserve"> </w:t>
      </w:r>
      <w:r>
        <w:rPr>
          <w:iCs/>
          <w:i/>
        </w:rPr>
        <w:t xml:space="preserve">Industry 5.0: Towards a Sustainable, Human-Centric and Resilient European Industry</w:t>
      </w:r>
      <w:r>
        <w:t xml:space="preserve">. Publications Office of the EU.</w:t>
      </w:r>
    </w:p>
    <w:p>
      <w:pPr>
        <w:numPr>
          <w:ilvl w:val="0"/>
          <w:numId w:val="1065"/>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5"/>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5"/>
        </w:numPr>
      </w:pPr>
      <w:r>
        <w:t xml:space="preserve">Wooldridge, M. (2009).</w:t>
      </w:r>
      <w:r>
        <w:t xml:space="preserve"> </w:t>
      </w:r>
      <w:r>
        <w:rPr>
          <w:iCs/>
          <w:i/>
        </w:rPr>
        <w:t xml:space="preserve">An Introduction to MultiAgent Systems</w:t>
      </w:r>
      <w:r>
        <w:t xml:space="preserve"> </w:t>
      </w:r>
      <w:r>
        <w:t xml:space="preserve">(2nd ed.). Wiley.</w:t>
      </w:r>
    </w:p>
    <w:p>
      <w:pPr>
        <w:numPr>
          <w:ilvl w:val="0"/>
          <w:numId w:val="1065"/>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2"/>
    <w:bookmarkStart w:id="193" w:name="multi-agent-systems-and-ai-coordination"/>
    <w:p>
      <w:pPr>
        <w:pStyle w:val="Heading2"/>
      </w:pPr>
      <w:r>
        <w:t xml:space="preserve">Multi-Agent Systems and AI Coordination</w:t>
      </w:r>
    </w:p>
    <w:p>
      <w:pPr>
        <w:numPr>
          <w:ilvl w:val="0"/>
          <w:numId w:val="1066"/>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6"/>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6"/>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3"/>
    <w:bookmarkStart w:id="194" w:name="industry-reports"/>
    <w:p>
      <w:pPr>
        <w:pStyle w:val="Heading2"/>
      </w:pPr>
      <w:r>
        <w:t xml:space="preserve">Industry Reports</w:t>
      </w:r>
    </w:p>
    <w:p>
      <w:pPr>
        <w:numPr>
          <w:ilvl w:val="0"/>
          <w:numId w:val="1067"/>
        </w:numPr>
      </w:pPr>
      <w:r>
        <w:t xml:space="preserve">European Commission &amp; Ramboll (2025).</w:t>
      </w:r>
      <w:r>
        <w:t xml:space="preserve"> </w:t>
      </w:r>
      <w:r>
        <w:t xml:space="preserve">“</w:t>
      </w:r>
      <w:r>
        <w:t xml:space="preserve">Analysis of Life-Cycle Greenhouse Gas Emissions of EU Buildings.</w:t>
      </w:r>
      <w:r>
        <w:t xml:space="preserve">”</w:t>
      </w:r>
      <w:r>
        <w:t xml:space="preserve"> </w:t>
      </w:r>
      <w:r>
        <w:t xml:space="preserve">DG Environment.</w:t>
      </w:r>
    </w:p>
    <w:p>
      <w:pPr>
        <w:numPr>
          <w:ilvl w:val="0"/>
          <w:numId w:val="1067"/>
        </w:numPr>
      </w:pPr>
      <w:r>
        <w:t xml:space="preserve">GRESB (2024).</w:t>
      </w:r>
      <w:r>
        <w:t xml:space="preserve"> </w:t>
      </w:r>
      <w:r>
        <w:t xml:space="preserve">“</w:t>
      </w:r>
      <w:r>
        <w:t xml:space="preserve">Building an Embodied Carbon Strategy in EU Markets: A Guide for Real Estate Investors.</w:t>
      </w:r>
      <w:r>
        <w:t xml:space="preserve">”</w:t>
      </w:r>
    </w:p>
    <w:p>
      <w:pPr>
        <w:numPr>
          <w:ilvl w:val="0"/>
          <w:numId w:val="1067"/>
        </w:numPr>
      </w:pPr>
      <w:r>
        <w:t xml:space="preserve">Eurofound &amp; Cedefop (2025).</w:t>
      </w:r>
      <w:r>
        <w:t xml:space="preserve"> </w:t>
      </w:r>
      <w:r>
        <w:t xml:space="preserve">“</w:t>
      </w:r>
      <w:r>
        <w:t xml:space="preserve">Digitisation of SMEs in the EU: Trends, Policies and Implications.</w:t>
      </w:r>
      <w:r>
        <w:t xml:space="preserve">”</w:t>
      </w:r>
      <w:r>
        <w:t xml:space="preserve"> </w:t>
      </w:r>
      <w:r>
        <w:t xml:space="preserve">Publications Office of the EU.</w:t>
      </w:r>
    </w:p>
    <w:p>
      <w:pPr>
        <w:numPr>
          <w:ilvl w:val="0"/>
          <w:numId w:val="1067"/>
        </w:numPr>
      </w:pPr>
      <w:r>
        <w:t xml:space="preserve">McKinsey &amp; Company (2024).</w:t>
      </w:r>
      <w:r>
        <w:t xml:space="preserve"> </w:t>
      </w:r>
      <w:r>
        <w:t xml:space="preserve">“</w:t>
      </w:r>
      <w:r>
        <w:t xml:space="preserve">The State of AI in Construction: Adoption, Impact, and Future Outlook.</w:t>
      </w:r>
      <w:r>
        <w:t xml:space="preserve">”</w:t>
      </w:r>
    </w:p>
    <w:bookmarkEnd w:id="194"/>
    <w:bookmarkStart w:id="195" w:name="regulations-and-standards"/>
    <w:p>
      <w:pPr>
        <w:pStyle w:val="Heading2"/>
      </w:pPr>
      <w:r>
        <w:t xml:space="preserve">Regulations and Standards</w:t>
      </w:r>
    </w:p>
    <w:p>
      <w:pPr>
        <w:numPr>
          <w:ilvl w:val="0"/>
          <w:numId w:val="1068"/>
        </w:numPr>
      </w:pPr>
      <w:r>
        <w:t xml:space="preserve">NIS 2 Directive (EU) 2022/2555</w:t>
      </w:r>
    </w:p>
    <w:p>
      <w:pPr>
        <w:numPr>
          <w:ilvl w:val="0"/>
          <w:numId w:val="1068"/>
        </w:numPr>
      </w:pPr>
      <w:r>
        <w:t xml:space="preserve">EU AI Act (EU) 2024/1689</w:t>
      </w:r>
    </w:p>
    <w:p>
      <w:pPr>
        <w:numPr>
          <w:ilvl w:val="0"/>
          <w:numId w:val="1068"/>
        </w:numPr>
      </w:pPr>
      <w:r>
        <w:t xml:space="preserve">General Data Protection Regulation (GDPR) (EU) 2016/679</w:t>
      </w:r>
    </w:p>
    <w:p>
      <w:pPr>
        <w:numPr>
          <w:ilvl w:val="0"/>
          <w:numId w:val="1068"/>
        </w:numPr>
      </w:pPr>
      <w:r>
        <w:t xml:space="preserve">Cybersecurity Act (EU) 2019/881</w:t>
      </w:r>
    </w:p>
    <w:p>
      <w:pPr>
        <w:numPr>
          <w:ilvl w:val="0"/>
          <w:numId w:val="1068"/>
        </w:numPr>
      </w:pPr>
      <w:r>
        <w:t xml:space="preserve">ISO/IEC 27001:2022</w:t>
      </w:r>
    </w:p>
    <w:p>
      <w:pPr>
        <w:numPr>
          <w:ilvl w:val="0"/>
          <w:numId w:val="1068"/>
        </w:numPr>
      </w:pPr>
      <w:r>
        <w:t xml:space="preserve">European Commission (2025).</w:t>
      </w:r>
      <w:r>
        <w:t xml:space="preserve"> </w:t>
      </w:r>
      <w:r>
        <w:rPr>
          <w:iCs/>
          <w:i/>
        </w:rPr>
        <w:t xml:space="preserve">Omnibus package</w:t>
      </w:r>
      <w:r>
        <w:t xml:space="preserve">.</w:t>
      </w:r>
    </w:p>
    <w:p>
      <w:pPr>
        <w:numPr>
          <w:ilvl w:val="0"/>
          <w:numId w:val="1068"/>
        </w:numPr>
      </w:pPr>
      <w:r>
        <w:t xml:space="preserve">EN 15978:2011 Sustainability of Construction Works</w:t>
      </w:r>
    </w:p>
    <w:p>
      <w:pPr>
        <w:numPr>
          <w:ilvl w:val="0"/>
          <w:numId w:val="1068"/>
        </w:numPr>
      </w:pPr>
      <w:r>
        <w:t xml:space="preserve">Energy Performance of Buildings Directive (EPBD) (EU) 2024/1275</w:t>
      </w:r>
    </w:p>
    <w:p>
      <w:pPr>
        <w:numPr>
          <w:ilvl w:val="0"/>
          <w:numId w:val="1068"/>
        </w:numPr>
      </w:pPr>
      <w:r>
        <w:t xml:space="preserve">Google Merchant Center Technical Specifications (2026)</w:t>
      </w:r>
    </w:p>
    <w:p>
      <w:pPr>
        <w:numPr>
          <w:ilvl w:val="0"/>
          <w:numId w:val="1068"/>
        </w:numPr>
      </w:pPr>
      <w:r>
        <w:t xml:space="preserve">Revolut Business API Documentation</w:t>
      </w:r>
    </w:p>
    <w:p>
      <w:pPr>
        <w:numPr>
          <w:ilvl w:val="0"/>
          <w:numId w:val="1068"/>
        </w:numPr>
      </w:pPr>
      <w:r>
        <w:t xml:space="preserve">Anthropic Claude Code Documentation</w:t>
      </w:r>
    </w:p>
    <w:p>
      <w:pPr>
        <w:numPr>
          <w:ilvl w:val="0"/>
          <w:numId w:val="1068"/>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8"/>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8"/>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w:t>
      </w:r>
    </w:p>
    <w:bookmarkEnd w:id="195"/>
    <w:bookmarkStart w:id="196" w:name="internal-reference-artifacts"/>
    <w:p>
      <w:pPr>
        <w:pStyle w:val="Heading2"/>
      </w:pPr>
      <w:r>
        <w:t xml:space="preserve">Internal Reference Artifacts</w:t>
      </w:r>
    </w:p>
    <w:p>
      <w:pPr>
        <w:numPr>
          <w:ilvl w:val="0"/>
          <w:numId w:val="1069"/>
        </w:numPr>
      </w:pPr>
      <w:r>
        <w:t xml:space="preserve">Lifetime Oy (2026).</w:t>
      </w:r>
      <w:r>
        <w:t xml:space="preserve"> </w:t>
      </w:r>
      <w:r>
        <w:rPr>
          <w:iCs/>
          <w:i/>
        </w:rPr>
        <w:t xml:space="preserve">Lifetime World LLM Scaling Blueprint (GN-100 hybrid + cloud path).</w:t>
      </w:r>
      <w:r>
        <w:t xml:space="preserve"> </w:t>
      </w:r>
      <w:r>
        <w:rPr>
          <w:rStyle w:val="VerbatimChar"/>
        </w:rPr>
        <w:t xml:space="preserve">Admin/Model/LLM_TRAINING_FEASIBILITY.md</w:t>
      </w:r>
      <w:r>
        <w:t xml:space="preserve">.</w:t>
      </w:r>
    </w:p>
    <w:p>
      <w:pPr>
        <w:numPr>
          <w:ilvl w:val="0"/>
          <w:numId w:val="1069"/>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pPr>
        <w:numPr>
          <w:ilvl w:val="0"/>
          <w:numId w:val="1069"/>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69"/>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 80 + bonus modifiers.</w:t>
      </w:r>
    </w:p>
    <w:p>
      <w:pPr>
        <w:numPr>
          <w:ilvl w:val="0"/>
          <w:numId w:val="1069"/>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69"/>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69"/>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69"/>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r>
        <w:pict>
          <v:rect style="width:0;height:1.5pt" o:hralign="center" o:hrstd="t" o:hr="t"/>
        </w:pict>
      </w:r>
    </w:p>
    <w:bookmarkEnd w:id="196"/>
    <w:bookmarkStart w:id="204" w:name="Xb8f6749dfdefac9785887388fc5337f89fe9da9"/>
    <w:p>
      <w:pPr>
        <w:pStyle w:val="Heading2"/>
      </w:pPr>
      <w:r>
        <w:t xml:space="preserve">10.13 Claude Code Engineering Structure: AI Workflow as First-Class Engineering</w:t>
      </w:r>
    </w:p>
    <w:bookmarkStart w:id="197" w:name="motivation"/>
    <w:p>
      <w:pPr>
        <w:pStyle w:val="Heading3"/>
      </w:pPr>
      <w:r>
        <w:t xml:space="preserve">10.13.1 Motivation</w:t>
      </w:r>
    </w:p>
    <w:p>
      <w:pPr>
        <w:pStyle w:val="FirstParagraph"/>
      </w:pPr>
      <w:r>
        <w:t xml:space="preserve">As Claude Code adoption scales beyond individual experiments, a decisive architectural split emerges: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pPr>
        <w:pStyle w:val="BodyText"/>
      </w:pPr>
      <w:r>
        <w:t xml:space="preserve">The core insight — validated by emerging Claude Code community practice in 2026 — is that</w:t>
      </w:r>
      <w:r>
        <w:t xml:space="preserve"> </w:t>
      </w:r>
      <w:r>
        <w:rPr>
          <w:bCs/>
          <w:b/>
        </w:rPr>
        <w:t xml:space="preserve">the same separation of concerns used in software engineering applies equally to AI workflow design</w:t>
      </w:r>
      <w:r>
        <w:t xml:space="preserve">. A prompt is not a product; a skill is.</w:t>
      </w:r>
    </w:p>
    <w:bookmarkEnd w:id="197"/>
    <w:bookmarkStart w:id="198" w:name="claude.md-as-project-memory"/>
    <w:p>
      <w:pPr>
        <w:pStyle w:val="Heading3"/>
      </w:pPr>
      <w:r>
        <w:t xml:space="preserve">10.13.2 CLAUDE.md as Project Memory</w:t>
      </w:r>
    </w:p>
    <w:p>
      <w:pPr>
        <w:pStyle w:val="FirstParagraph"/>
      </w:pPr>
      <w:r>
        <w:t xml:space="preserve">Traditional AI usage repeats context in every prompt, creating two compounding costs: token waste and behavioral drift. The DWS6 solution is</w:t>
      </w:r>
      <w:r>
        <w:t xml:space="preserve"> </w:t>
      </w:r>
      <w:r>
        <w:rPr>
          <w:rStyle w:val="VerbatimChar"/>
        </w:rPr>
        <w:t xml:space="preserve">CLAUDE.md</w:t>
      </w:r>
      <w:r>
        <w:t xml:space="preserve"> </w:t>
      </w:r>
      <w:r>
        <w:t xml:space="preserve">— a living specification file serving as shared institutional memory across all AI sessions and tools.</w:t>
      </w:r>
    </w:p>
    <w:p>
      <w:pPr>
        <w:pStyle w:val="BodyText"/>
      </w:pPr>
      <w:r>
        <w:t xml:space="preserve">The DWS6</w:t>
      </w:r>
      <w:r>
        <w:t xml:space="preserve"> </w:t>
      </w:r>
      <w:r>
        <w:rPr>
          <w:rStyle w:val="VerbatimChar"/>
        </w:rPr>
        <w:t xml:space="preserve">CLAUDE.md</w:t>
      </w:r>
      <w:r>
        <w:t xml:space="preserve"> </w:t>
      </w:r>
      <w:r>
        <w:t xml:space="preserve">(2,000+ lines as of v3.17) centralizes:</w:t>
      </w:r>
    </w:p>
    <w:tbl>
      <w:tblPr>
        <w:tblStyle w:val="Table"/>
        <w:tblW w:type="pct" w:w="5000"/>
        <w:tblLook w:firstRow="1" w:lastRow="0" w:firstColumn="0" w:lastColumn="0" w:noHBand="0" w:noVBand="0" w:val="0020"/>
        <w:jc w:val="start"/>
      </w:tblPr>
      <w:tblGrid>
        <w:gridCol w:w="1535"/>
        <w:gridCol w:w="6384"/>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Standards</w:t>
            </w:r>
          </w:p>
        </w:tc>
        <w:tc>
          <w:tcPr/>
          <w:p>
            <w:pPr>
              <w:pStyle w:val="Compact"/>
              <w:jc w:val="left"/>
            </w:pPr>
            <w:r>
              <w:t xml:space="preserve">Brand, Document, Security, Market Research, Gamma UI</w:t>
            </w:r>
          </w:p>
        </w:tc>
      </w:tr>
      <w:tr>
        <w:tc>
          <w:tcPr/>
          <w:p>
            <w:pPr>
              <w:pStyle w:val="Compact"/>
              <w:jc w:val="left"/>
            </w:pPr>
            <w:r>
              <w:rPr>
                <w:bCs/>
                <w:b/>
              </w:rPr>
              <w:t xml:space="preserve">Architecture</w:t>
            </w:r>
          </w:p>
        </w:tc>
        <w:tc>
          <w:tcPr/>
          <w:p>
            <w:pPr>
              <w:pStyle w:val="Compact"/>
              <w:jc w:val="left"/>
            </w:pPr>
            <w:r>
              <w:t xml:space="preserve">Brain-Memory-Body-Hands, dual folder structure, store update rules</w:t>
            </w:r>
          </w:p>
        </w:tc>
      </w:tr>
      <w:tr>
        <w:tc>
          <w:tcPr/>
          <w:p>
            <w:pPr>
              <w:pStyle w:val="Compact"/>
              <w:jc w:val="left"/>
            </w:pPr>
            <w:r>
              <w:rPr>
                <w:bCs/>
                <w:b/>
              </w:rPr>
              <w:t xml:space="preserve">Constraints</w:t>
            </w:r>
          </w:p>
        </w:tc>
        <w:tc>
          <w:tcPr/>
          <w:p>
            <w:pPr>
              <w:pStyle w:val="Compact"/>
              <w:jc w:val="left"/>
            </w:pPr>
            <w:r>
              <w:t xml:space="preserve">File handling (git mv, never delete), public site publishing rules, email rules</w:t>
            </w:r>
          </w:p>
        </w:tc>
      </w:tr>
      <w:tr>
        <w:tc>
          <w:tcPr/>
          <w:p>
            <w:pPr>
              <w:pStyle w:val="Compact"/>
              <w:jc w:val="left"/>
            </w:pPr>
            <w:r>
              <w:rPr>
                <w:bCs/>
                <w:b/>
              </w:rPr>
              <w:t xml:space="preserve">Non-negotiables</w:t>
            </w:r>
          </w:p>
        </w:tc>
        <w:tc>
          <w:tcPr/>
          <w:p>
            <w:pPr>
              <w:pStyle w:val="Compact"/>
              <w:jc w:val="left"/>
            </w:pPr>
            <w:r>
              <w:t xml:space="preserve">EU data residency, GDPR, Article 12 logging, security coding rules</w:t>
            </w:r>
          </w:p>
        </w:tc>
      </w:tr>
      <w:tr>
        <w:tc>
          <w:tcPr/>
          <w:p>
            <w:pPr>
              <w:pStyle w:val="Compact"/>
              <w:jc w:val="left"/>
            </w:pPr>
            <w:r>
              <w:rPr>
                <w:bCs/>
                <w:b/>
              </w:rPr>
              <w:t xml:space="preserve">Guardrails</w:t>
            </w:r>
          </w:p>
        </w:tc>
        <w:tc>
          <w:tcPr/>
          <w:p>
            <w:pPr>
              <w:pStyle w:val="Compact"/>
              <w:jc w:val="left"/>
            </w:pPr>
            <w:r>
              <w:t xml:space="preserve">execFile vs exec, CORS policy, SRI hash enforcement</w:t>
            </w:r>
          </w:p>
        </w:tc>
      </w:tr>
    </w:tbl>
    <w:p>
      <w:pPr>
        <w:pStyle w:val="BodyText"/>
      </w:pPr>
      <w:r>
        <w:t xml:space="preserve">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bookmarkEnd w:id="198"/>
    <w:bookmarkStart w:id="199" w:name="skills-as-reusable-workflow-components"/>
    <w:p>
      <w:pPr>
        <w:pStyle w:val="Heading3"/>
      </w:pPr>
      <w:r>
        <w:t xml:space="preserve">10.13.3 Skills as Reusable Workflow Components</w:t>
      </w:r>
    </w:p>
    <w:p>
      <w:pPr>
        <w:pStyle w:val="FirstParagraph"/>
      </w:pPr>
      <w:r>
        <w:t xml:space="preserve">The shift from ad-hoc prompting to reusable skills represents a fundamental upgrade:</w:t>
      </w:r>
      <w:r>
        <w:t xml:space="preserve"> </w:t>
      </w:r>
      <w:r>
        <w:rPr>
          <w:bCs/>
          <w:b/>
        </w:rPr>
        <w:t xml:space="preserve">from chat interaction to system design</w:t>
      </w:r>
      <w:r>
        <w:t xml:space="preserve">. Skills are composable, versionable workflow components — not one-off prompts.</w:t>
      </w:r>
    </w:p>
    <w:p>
      <w:pPr>
        <w:pStyle w:val="BodyText"/>
      </w:pPr>
      <w:r>
        <w:t xml:space="preserve">By March 2026, DWS6 implements 21 production skills across four categories in</w:t>
      </w:r>
      <w:r>
        <w:t xml:space="preserve"> </w:t>
      </w:r>
      <w:r>
        <w:rPr>
          <w:rStyle w:val="VerbatimChar"/>
        </w:rPr>
        <w:t xml:space="preserve">.claude/commands/</w:t>
      </w:r>
      <w:r>
        <w:t xml:space="preserve"> </w:t>
      </w:r>
      <w:r>
        <w:t xml:space="preserve">and</w:t>
      </w:r>
      <w:r>
        <w:t xml:space="preserve"> </w:t>
      </w:r>
      <w:r>
        <w:rPr>
          <w:rStyle w:val="VerbatimChar"/>
        </w:rPr>
        <w:t xml:space="preserve">skills/</w:t>
      </w:r>
      <w:r>
        <w:t xml:space="preserve">:</w:t>
      </w:r>
    </w:p>
    <w:p>
      <w:pPr>
        <w:pStyle w:val="BodyText"/>
      </w:pPr>
      <w:r>
        <w:rPr>
          <w:bCs/>
          <w:b/>
        </w:rPr>
        <w:t xml:space="preserve">Slash Commands (17 skills):</w:t>
      </w:r>
    </w:p>
    <w:tbl>
      <w:tblPr>
        <w:tblStyle w:val="Table"/>
        <w:tblW w:type="pct" w:w="5000"/>
        <w:tblLook w:firstRow="1" w:lastRow="0" w:firstColumn="0" w:lastColumn="0" w:noHBand="0" w:noVBand="0" w:val="0020"/>
        <w:jc w:val="start"/>
      </w:tblPr>
      <w:tblGrid>
        <w:gridCol w:w="848"/>
        <w:gridCol w:w="4469"/>
        <w:gridCol w:w="2602"/>
      </w:tblGrid>
      <w:tr>
        <w:trPr>
          <w:tblHeader w:val="true"/>
        </w:trPr>
        <w:tc>
          <w:tcPr/>
          <w:p>
            <w:pPr>
              <w:pStyle w:val="Compact"/>
              <w:jc w:val="left"/>
            </w:pPr>
            <w:r>
              <w:t xml:space="preserve">Category</w:t>
            </w:r>
          </w:p>
        </w:tc>
        <w:tc>
          <w:tcPr/>
          <w:p>
            <w:pPr>
              <w:pStyle w:val="Compact"/>
              <w:jc w:val="left"/>
            </w:pPr>
            <w:r>
              <w:t xml:space="preserve">Skills</w:t>
            </w:r>
          </w:p>
        </w:tc>
        <w:tc>
          <w:tcPr/>
          <w:p>
            <w:pPr>
              <w:pStyle w:val="Compact"/>
              <w:jc w:val="left"/>
            </w:pPr>
            <w:r>
              <w:t xml:space="preserve">Domain</w:t>
            </w:r>
          </w:p>
        </w:tc>
      </w:tr>
      <w:tr>
        <w:tc>
          <w:tcPr/>
          <w:p>
            <w:pPr>
              <w:pStyle w:val="Compact"/>
              <w:jc w:val="left"/>
            </w:pPr>
            <w:r>
              <w:t xml:space="preserve">gstack workflow</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Development lifecycle (Garry Tan methodology)</w:t>
            </w:r>
          </w:p>
        </w:tc>
      </w:tr>
      <w:tr>
        <w:tc>
          <w:tcPr/>
          <w:p>
            <w:pPr>
              <w:pStyle w:val="Compact"/>
              <w:jc w:val="left"/>
            </w:pPr>
            <w:r>
              <w:t xml:space="preserve">EU compliance</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 control</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Multi-agent orchestration (14+ agents)</w:t>
            </w:r>
          </w:p>
        </w:tc>
      </w:tr>
      <w:tr>
        <w:tc>
          <w:tcPr/>
          <w:p>
            <w:pPr>
              <w:pStyle w:val="Compact"/>
              <w:jc w:val="left"/>
            </w:pPr>
            <w:r>
              <w:t xml:space="preserve">Operations</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 state, SES email, edge device control</w:t>
            </w:r>
          </w:p>
        </w:tc>
      </w:tr>
      <w:tr>
        <w:tc>
          <w:tcPr/>
          <w:p>
            <w:pPr>
              <w:pStyle w:val="Compact"/>
              <w:jc w:val="left"/>
            </w:pPr>
            <w:r>
              <w:t xml:space="preserve">Code quality</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Code review, Figma-to-code bridge</w:t>
            </w:r>
          </w:p>
        </w:tc>
      </w:tr>
    </w:tbl>
    <w:p>
      <w:pPr>
        <w:pStyle w:val="BodyText"/>
      </w:pPr>
      <w:r>
        <w:rPr>
          <w:bCs/>
          <w:b/>
        </w:rPr>
        <w:t xml:space="preserve">Discipline Skills (4 hard gates in</w:t>
      </w:r>
      <w:r>
        <w:rPr>
          <w:bCs/>
          <w:b/>
        </w:rPr>
        <w:t xml:space="preserve"> </w:t>
      </w:r>
      <w:r>
        <w:rPr>
          <w:rStyle w:val="VerbatimChar"/>
          <w:bCs/>
          <w:b/>
        </w:rPr>
        <w:t xml:space="preserve">skills/*/SKILL.md</w:t>
      </w:r>
      <w:r>
        <w:rPr>
          <w:bCs/>
          <w:b/>
        </w:rPr>
        <w:t xml:space="preserve">):</w:t>
      </w:r>
    </w:p>
    <w:tbl>
      <w:tblPr>
        <w:tblStyle w:val="Table"/>
        <w:tblW w:type="pct" w:w="5000"/>
        <w:tblLook w:firstRow="1" w:lastRow="0" w:firstColumn="0" w:lastColumn="0" w:noHBand="0" w:noVBand="0" w:val="0020"/>
        <w:jc w:val="start"/>
      </w:tblPr>
      <w:tblGrid>
        <w:gridCol w:w="1355"/>
        <w:gridCol w:w="4709"/>
        <w:gridCol w:w="1855"/>
      </w:tblGrid>
      <w:tr>
        <w:trPr>
          <w:tblHeader w:val="true"/>
        </w:trPr>
        <w:tc>
          <w:tcPr/>
          <w:p>
            <w:pPr>
              <w:pStyle w:val="Compact"/>
              <w:jc w:val="left"/>
            </w:pPr>
            <w:r>
              <w:t xml:space="preserve">Skill</w:t>
            </w:r>
          </w:p>
        </w:tc>
        <w:tc>
          <w:tcPr/>
          <w:p>
            <w:pPr>
              <w:pStyle w:val="Compact"/>
              <w:jc w:val="left"/>
            </w:pPr>
            <w:r>
              <w:t xml:space="preserve">Gate Behavior</w:t>
            </w:r>
          </w:p>
        </w:tc>
        <w:tc>
          <w:tcPr/>
          <w:p>
            <w:pPr>
              <w:pStyle w:val="Compact"/>
              <w:jc w:val="left"/>
            </w:pPr>
            <w:r>
              <w:t xml:space="preserve">Enforcement</w:t>
            </w:r>
          </w:p>
        </w:tc>
      </w:tr>
      <w:tr>
        <w:tc>
          <w:tcPr/>
          <w:p>
            <w:pPr>
              <w:pStyle w:val="Compact"/>
              <w:jc w:val="left"/>
            </w:pPr>
            <w:r>
              <w:rPr>
                <w:rStyle w:val="VerbatimChar"/>
              </w:rPr>
              <w:t xml:space="preserve">verification-gate</w:t>
            </w:r>
          </w:p>
        </w:tc>
        <w:tc>
          <w:tcPr/>
          <w:p>
            <w:pPr>
              <w:pStyle w:val="Compact"/>
              <w:jc w:val="left"/>
            </w:pPr>
            <w:r>
              <w:t xml:space="preserve">Blocks completion claims without fresh test evidence</w:t>
            </w:r>
          </w:p>
        </w:tc>
        <w:tc>
          <w:tcPr/>
          <w:p>
            <w:pPr>
              <w:pStyle w:val="Compact"/>
              <w:jc w:val="left"/>
            </w:pPr>
            <w:r>
              <w:t xml:space="preserve">Exit code 2 (BLOCK)</w:t>
            </w:r>
          </w:p>
        </w:tc>
      </w:tr>
      <w:tr>
        <w:tc>
          <w:tcPr/>
          <w:p>
            <w:pPr>
              <w:pStyle w:val="Compact"/>
              <w:jc w:val="left"/>
            </w:pPr>
            <w:r>
              <w:rPr>
                <w:rStyle w:val="VerbatimChar"/>
              </w:rPr>
              <w:t xml:space="preserve">design-first</w:t>
            </w:r>
          </w:p>
        </w:tc>
        <w:tc>
          <w:tcPr/>
          <w:p>
            <w:pPr>
              <w:pStyle w:val="Compact"/>
              <w:jc w:val="left"/>
            </w:pPr>
            <w:r>
              <w:t xml:space="preserve">Blocks implementation of 3+ file changes without approved design</w:t>
            </w:r>
          </w:p>
        </w:tc>
        <w:tc>
          <w:tcPr/>
          <w:p>
            <w:pPr>
              <w:pStyle w:val="Compact"/>
              <w:jc w:val="left"/>
            </w:pPr>
            <w:r>
              <w:t xml:space="preserve">Exit code 2 (BLOCK)</w:t>
            </w:r>
          </w:p>
        </w:tc>
      </w:tr>
      <w:tr>
        <w:tc>
          <w:tcPr/>
          <w:p>
            <w:pPr>
              <w:pStyle w:val="Compact"/>
              <w:jc w:val="left"/>
            </w:pPr>
            <w:r>
              <w:rPr>
                <w:rStyle w:val="VerbatimChar"/>
              </w:rPr>
              <w:t xml:space="preserve">dual-folder-sync</w:t>
            </w:r>
          </w:p>
        </w:tc>
        <w:tc>
          <w:tcPr/>
          <w:p>
            <w:pPr>
              <w:pStyle w:val="Compact"/>
              <w:jc w:val="left"/>
            </w:pPr>
            <w:r>
              <w:t xml:space="preserve">Blocks commits that change root folders without landing-pages sync</w:t>
            </w:r>
          </w:p>
        </w:tc>
        <w:tc>
          <w:tcPr/>
          <w:p>
            <w:pPr>
              <w:pStyle w:val="Compact"/>
              <w:jc w:val="left"/>
            </w:pPr>
            <w:r>
              <w:t xml:space="preserve">Exit code 2 (BLOCK)</w:t>
            </w:r>
          </w:p>
        </w:tc>
      </w:tr>
      <w:tr>
        <w:tc>
          <w:tcPr/>
          <w:p>
            <w:pPr>
              <w:pStyle w:val="Compact"/>
              <w:jc w:val="left"/>
            </w:pPr>
            <w:r>
              <w:rPr>
                <w:rStyle w:val="VerbatimChar"/>
              </w:rPr>
              <w:t xml:space="preserve">last30days</w:t>
            </w:r>
          </w:p>
        </w:tc>
        <w:tc>
          <w:tcPr/>
          <w:p>
            <w:pPr>
              <w:pStyle w:val="Compact"/>
              <w:jc w:val="left"/>
            </w:pPr>
            <w:r>
              <w:t xml:space="preserve">Research agent for Reddit/X/Web content from last 30 days</w:t>
            </w:r>
          </w:p>
        </w:tc>
        <w:tc>
          <w:tcPr/>
          <w:p>
            <w:pPr>
              <w:pStyle w:val="Compact"/>
              <w:jc w:val="left"/>
            </w:pPr>
            <w:r>
              <w:t xml:space="preserve">Agent-style (non-blocking)</w:t>
            </w:r>
          </w:p>
        </w:tc>
      </w:tr>
    </w:tbl>
    <w:p>
      <w:pPr>
        <w:pStyle w:val="BodyText"/>
      </w:pPr>
      <w:r>
        <w:rPr>
          <w:bCs/>
          <w:b/>
        </w:rPr>
        <w:t xml:space="preserve">Subagents (4 specialized agents in</w:t>
      </w:r>
      <w:r>
        <w:rPr>
          <w:bCs/>
          <w:b/>
        </w:rPr>
        <w:t xml:space="preserve"> </w:t>
      </w:r>
      <w:r>
        <w:rPr>
          <w:rStyle w:val="VerbatimChar"/>
          <w:bCs/>
          <w:b/>
        </w:rPr>
        <w:t xml:space="preserve">.claude/agents/</w:t>
      </w:r>
      <w:r>
        <w:rPr>
          <w:bCs/>
          <w:b/>
        </w:rPr>
        <w:t xml:space="preserve">):</w:t>
      </w:r>
    </w:p>
    <w:tbl>
      <w:tblPr>
        <w:tblStyle w:val="Table"/>
        <w:tblW w:type="pct" w:w="5000"/>
        <w:tblLook w:firstRow="1" w:lastRow="0" w:firstColumn="0" w:lastColumn="0" w:noHBand="0" w:noVBand="0" w:val="0020"/>
        <w:jc w:val="start"/>
      </w:tblPr>
      <w:tblGrid>
        <w:gridCol w:w="1243"/>
        <w:gridCol w:w="3861"/>
        <w:gridCol w:w="281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rStyle w:val="VerbatimChar"/>
              </w:rPr>
              <w:t xml:space="preserve">mcp-expert</w:t>
            </w:r>
          </w:p>
        </w:tc>
        <w:tc>
          <w:tcPr/>
          <w:p>
            <w:pPr>
              <w:pStyle w:val="Compact"/>
              <w:jc w:val="left"/>
            </w:pPr>
            <w:r>
              <w:t xml:space="preserve">MCP server configuration specialist</w:t>
            </w:r>
          </w:p>
        </w:tc>
        <w:tc>
          <w:tcPr/>
          <w:p>
            <w:pPr>
              <w:pStyle w:val="Compact"/>
              <w:jc w:val="left"/>
            </w:pPr>
            <w:r>
              <w:t xml:space="preserve">Protects main context from protocol details</w:t>
            </w:r>
          </w:p>
        </w:tc>
      </w:tr>
      <w:tr>
        <w:tc>
          <w:tcPr/>
          <w:p>
            <w:pPr>
              <w:pStyle w:val="Compact"/>
              <w:jc w:val="left"/>
            </w:pPr>
            <w:r>
              <w:rPr>
                <w:rStyle w:val="VerbatimChar"/>
              </w:rPr>
              <w:t xml:space="preserve">code-reviewer</w:t>
            </w:r>
          </w:p>
        </w:tc>
        <w:tc>
          <w:tcPr/>
          <w:p>
            <w:pPr>
              <w:pStyle w:val="Compact"/>
              <w:jc w:val="left"/>
            </w:pPr>
            <w:r>
              <w:t xml:space="preserve">Staff Engineer bug finder (logic, security, data integrity)</w:t>
            </w:r>
          </w:p>
        </w:tc>
        <w:tc>
          <w:tcPr/>
          <w:p>
            <w:pPr>
              <w:pStyle w:val="Compact"/>
              <w:jc w:val="left"/>
            </w:pPr>
            <w:r>
              <w:t xml:space="preserve">Reviews without executing changes</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auditor</w:t>
            </w:r>
          </w:p>
        </w:tc>
        <w:tc>
          <w:tcPr/>
          <w:p>
            <w:pPr>
              <w:pStyle w:val="Compact"/>
              <w:jc w:val="left"/>
            </w:pPr>
            <w:r>
              <w:t xml:space="preserve">Scans without modifying code</w:t>
            </w:r>
          </w:p>
        </w:tc>
      </w:tr>
      <w:tr>
        <w:tc>
          <w:tcPr/>
          <w:p>
            <w:pPr>
              <w:pStyle w:val="Compact"/>
              <w:jc w:val="left"/>
            </w:pPr>
            <w:r>
              <w:rPr>
                <w:rStyle w:val="VerbatimChar"/>
              </w:rPr>
              <w:t xml:space="preserve">architect</w:t>
            </w:r>
          </w:p>
        </w:tc>
        <w:tc>
          <w:tcPr/>
          <w:p>
            <w:pPr>
              <w:pStyle w:val="Compact"/>
              <w:jc w:val="left"/>
            </w:pPr>
            <w:r>
              <w:t xml:space="preserve">Minimal design planner, anti-overengineering enforcer</w:t>
            </w:r>
          </w:p>
        </w:tc>
        <w:tc>
          <w:tcPr/>
          <w:p>
            <w:pPr>
              <w:pStyle w:val="Compact"/>
              <w:jc w:val="left"/>
            </w:pPr>
            <w:r>
              <w:t xml:space="preserve">Returns structured plan only</w:t>
            </w:r>
          </w:p>
        </w:tc>
      </w:tr>
    </w:tbl>
    <w:p>
      <w:pPr>
        <w:pStyle w:val="BodyText"/>
      </w:pPr>
      <w:r>
        <w:t xml:space="preserve">Each skill encapsulates input validation, agent execution, and structured output formatting. The discipline skills represent a novel contribution:</w:t>
      </w:r>
      <w:r>
        <w:t xml:space="preserve"> </w:t>
      </w:r>
      <w:r>
        <w:rPr>
          <w:bCs/>
          <w:b/>
        </w:rPr>
        <w:t xml:space="preserve">blocking gates</w:t>
      </w:r>
      <w:r>
        <w:t xml:space="preserve"> </w:t>
      </w:r>
      <w:r>
        <w:t xml:space="preserve">that enforce process discipline structurally rather than behaviorally. Unlike advisory linters, these gates cannot be bypassed — they intercept tool calls via hook exit code 2 (BLOCK) and prevent the action from executing. This directly implements the</w:t>
      </w:r>
      <w:r>
        <w:t xml:space="preserve"> </w:t>
      </w:r>
      <w:r>
        <w:rPr>
          <w:bCs/>
          <w:b/>
        </w:rPr>
        <w:t xml:space="preserve">Build for Agents</w:t>
      </w:r>
      <w:r>
        <w:t xml:space="preserve"> </w:t>
      </w:r>
      <w:r>
        <w:t xml:space="preserve">principle: if a capability cannot be invoked as</w:t>
      </w:r>
      <w:r>
        <w:t xml:space="preserve"> </w:t>
      </w:r>
      <w:r>
        <w:rPr>
          <w:rStyle w:val="VerbatimChar"/>
        </w:rPr>
        <w:t xml:space="preserve">dws &lt;command&gt;</w:t>
      </w:r>
      <w:r>
        <w:t xml:space="preserve">, it is not shipped.</w:t>
      </w:r>
    </w:p>
    <w:bookmarkEnd w:id="199"/>
    <w:bookmarkStart w:id="200" w:name="hooks-for-automated-workflow-validation"/>
    <w:p>
      <w:pPr>
        <w:pStyle w:val="Heading3"/>
      </w:pPr>
      <w:r>
        <w:t xml:space="preserve">10.13.4 Hooks for Automated Workflow Validation</w:t>
      </w:r>
    </w:p>
    <w:p>
      <w:pPr>
        <w:pStyle w:val="FirstParagraph"/>
      </w:pPr>
      <w:r>
        <w:t xml:space="preserve">Hooks are the enforcement layer of AI workflow engineering — and the most underutilized pattern in current practice. Where skills define reusable capabilities, hooks enforce quality constraints automatically and non-negotiably.</w:t>
      </w:r>
    </w:p>
    <w:p>
      <w:pPr>
        <w:pStyle w:val="BodyText"/>
      </w:pPr>
      <w:r>
        <w:t xml:space="preserve">DWS6 implements hooks at two levels:</w:t>
      </w:r>
    </w:p>
    <w:p>
      <w:pPr>
        <w:pStyle w:val="BodyText"/>
      </w:pPr>
      <w:r>
        <w:rPr>
          <w:bCs/>
          <w:b/>
        </w:rPr>
        <w:t xml:space="preserve">Claude Code hooks</w:t>
      </w:r>
      <w:r>
        <w:t xml:space="preserve"> </w:t>
      </w:r>
      <w:r>
        <w:t xml:space="preserve">(</w:t>
      </w:r>
      <w:r>
        <w:rPr>
          <w:rStyle w:val="VerbatimChar"/>
        </w:rPr>
        <w:t xml:space="preserve">.claude/hooks/</w:t>
      </w:r>
      <w:r>
        <w:t xml:space="preserve">):</w:t>
      </w:r>
    </w:p>
    <w:p>
      <w:pPr>
        <w:numPr>
          <w:ilvl w:val="0"/>
          <w:numId w:val="1070"/>
        </w:numPr>
        <w:pStyle w:val="Compact"/>
      </w:pPr>
      <w:r>
        <w:t xml:space="preserve">Tool output transformation — normalize agent JSON responses to consistent schema</w:t>
      </w:r>
    </w:p>
    <w:p>
      <w:pPr>
        <w:numPr>
          <w:ilvl w:val="0"/>
          <w:numId w:val="1070"/>
        </w:numPr>
        <w:pStyle w:val="Compact"/>
      </w:pPr>
      <w:r>
        <w:t xml:space="preserve">Structured output verification — ensure all CLI commands produce valid JSON</w:t>
      </w:r>
    </w:p>
    <w:p>
      <w:pPr>
        <w:numPr>
          <w:ilvl w:val="0"/>
          <w:numId w:val="1070"/>
        </w:numPr>
        <w:pStyle w:val="Compact"/>
      </w:pPr>
      <w:r>
        <w:t xml:space="preserve">Session start validation — verify environment readiness before agent work begins</w:t>
      </w:r>
    </w:p>
    <w:p>
      <w:pPr>
        <w:pStyle w:val="FirstParagraph"/>
      </w:pPr>
      <w:r>
        <w:rPr>
          <w:bCs/>
          <w:b/>
        </w:rPr>
        <w:t xml:space="preserve">Git hooks</w:t>
      </w:r>
      <w:r>
        <w:t xml:space="preserve"> </w:t>
      </w:r>
      <w:r>
        <w:t xml:space="preserve">(</w:t>
      </w:r>
      <w:r>
        <w:rPr>
          <w:rStyle w:val="VerbatimChar"/>
        </w:rPr>
        <w:t xml:space="preserve">.githooks/</w:t>
      </w:r>
      <w:r>
        <w:t xml:space="preserve">):</w:t>
      </w:r>
    </w:p>
    <w:p>
      <w:pPr>
        <w:numPr>
          <w:ilvl w:val="0"/>
          <w:numId w:val="1071"/>
        </w:numPr>
        <w:pStyle w:val="Compact"/>
      </w:pPr>
      <w:r>
        <w:t xml:space="preserve">Branch name enforcement —</w:t>
      </w:r>
      <w:r>
        <w:t xml:space="preserve"> </w:t>
      </w:r>
      <w:r>
        <w:rPr>
          <w:rStyle w:val="VerbatimChar"/>
        </w:rPr>
        <w:t xml:space="preserve">claude/&lt;feature&gt;-&lt;id&gt;</w:t>
      </w:r>
      <w:r>
        <w:t xml:space="preserve"> </w:t>
      </w:r>
      <w:r>
        <w:t xml:space="preserve">naming convention before commit</w:t>
      </w:r>
    </w:p>
    <w:p>
      <w:pPr>
        <w:numPr>
          <w:ilvl w:val="0"/>
          <w:numId w:val="1071"/>
        </w:numPr>
        <w:pStyle w:val="Compact"/>
      </w:pPr>
      <w:r>
        <w:t xml:space="preserve">Pre-commit security checks — detect hardcoded secrets, unsafe exec() patterns</w:t>
      </w:r>
    </w:p>
    <w:p>
      <w:pPr>
        <w:pStyle w:val="FirstParagraph"/>
      </w:pPr>
      <w:r>
        <w:t xml:space="preserve">The critical property of hooks is</w:t>
      </w:r>
      <w:r>
        <w:t xml:space="preserve"> </w:t>
      </w:r>
      <w:r>
        <w:rPr>
          <w:bCs/>
          <w:b/>
        </w:rPr>
        <w:t xml:space="preserve">non-negotiability</w:t>
      </w:r>
      <w:r>
        <w:t xml:space="preserve">: unlike CLAUDE.md guidance (which an agent may follow imperfectly), hooks intercept tool calls and either transform or block them. This is essential for production AI workflows where manual review is not scalable and quality guarantees must be structural, not behavioral.</w:t>
      </w:r>
    </w:p>
    <w:bookmarkEnd w:id="200"/>
    <w:bookmarkStart w:id="201" w:name="subagents-and-parallel-execution"/>
    <w:p>
      <w:pPr>
        <w:pStyle w:val="Heading3"/>
      </w:pPr>
      <w:r>
        <w:t xml:space="preserve">10.13.5 Subagents and Parallel Execution</w:t>
      </w:r>
    </w:p>
    <w:p>
      <w:pPr>
        <w:pStyle w:val="FirstParagraph"/>
      </w:pPr>
      <w:r>
        <w:t xml:space="preserve">The DWS6 architecture employs specialized subagents for distinct task classes, extending the multi-agent orchestration principle from Firehorse production workflows into the development workflow itself:</w:t>
      </w:r>
    </w:p>
    <w:tbl>
      <w:tblPr>
        <w:tblStyle w:val="Table"/>
        <w:tblW w:type="pct" w:w="5000"/>
        <w:tblLook w:firstRow="1" w:lastRow="0" w:firstColumn="0" w:lastColumn="0" w:noHBand="0" w:noVBand="0" w:val="0020"/>
        <w:jc w:val="start"/>
      </w:tblPr>
      <w:tblGrid>
        <w:gridCol w:w="1406"/>
        <w:gridCol w:w="2886"/>
        <w:gridCol w:w="3626"/>
      </w:tblGrid>
      <w:tr>
        <w:trPr>
          <w:tblHeader w:val="true"/>
        </w:trPr>
        <w:tc>
          <w:tcPr/>
          <w:p>
            <w:pPr>
              <w:pStyle w:val="Compact"/>
              <w:jc w:val="left"/>
            </w:pPr>
            <w:r>
              <w:t xml:space="preserve">Subagent Type</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bCs/>
                <w:b/>
              </w:rPr>
              <w:t xml:space="preserve">Explore</w:t>
            </w:r>
          </w:p>
        </w:tc>
        <w:tc>
          <w:tcPr/>
          <w:p>
            <w:pPr>
              <w:pStyle w:val="Compact"/>
              <w:jc w:val="left"/>
            </w:pPr>
            <w:r>
              <w:t xml:space="preserve">Codebase search, file pattern matching</w:t>
            </w:r>
          </w:p>
        </w:tc>
        <w:tc>
          <w:tcPr/>
          <w:p>
            <w:pPr>
              <w:pStyle w:val="Compact"/>
              <w:jc w:val="left"/>
            </w:pPr>
            <w:r>
              <w:t xml:space="preserve">Protects main context from large result sets</w:t>
            </w:r>
          </w:p>
        </w:tc>
      </w:tr>
      <w:tr>
        <w:tc>
          <w:tcPr/>
          <w:p>
            <w:pPr>
              <w:pStyle w:val="Compact"/>
              <w:jc w:val="left"/>
            </w:pPr>
            <w:r>
              <w:rPr>
                <w:bCs/>
                <w:b/>
              </w:rPr>
              <w:t xml:space="preserve">Plan</w:t>
            </w:r>
          </w:p>
        </w:tc>
        <w:tc>
          <w:tcPr/>
          <w:p>
            <w:pPr>
              <w:pStyle w:val="Compact"/>
              <w:jc w:val="left"/>
            </w:pPr>
            <w:r>
              <w:t xml:space="preserve">Architecture design, trade-off analysis</w:t>
            </w:r>
          </w:p>
        </w:tc>
        <w:tc>
          <w:tcPr/>
          <w:p>
            <w:pPr>
              <w:pStyle w:val="Compact"/>
              <w:jc w:val="left"/>
            </w:pPr>
            <w:r>
              <w:t xml:space="preserve">Returns structured plan without executing changes</w:t>
            </w:r>
          </w:p>
        </w:tc>
      </w:tr>
      <w:tr>
        <w:tc>
          <w:tcPr/>
          <w:p>
            <w:pPr>
              <w:pStyle w:val="Compact"/>
              <w:jc w:val="left"/>
            </w:pPr>
            <w:r>
              <w:rPr>
                <w:bCs/>
                <w:b/>
              </w:rPr>
              <w:t xml:space="preserve">General-purpose</w:t>
            </w:r>
          </w:p>
        </w:tc>
        <w:tc>
          <w:tcPr/>
          <w:p>
            <w:pPr>
              <w:pStyle w:val="Compact"/>
              <w:jc w:val="left"/>
            </w:pPr>
            <w:r>
              <w:t xml:space="preserve">Multi-step research, document analysis</w:t>
            </w:r>
          </w:p>
        </w:tc>
        <w:tc>
          <w:tcPr/>
          <w:p>
            <w:pPr>
              <w:pStyle w:val="Compact"/>
              <w:jc w:val="left"/>
            </w:pPr>
            <w:r>
              <w:t xml:space="preserve">Full tool access for complex investigation</w:t>
            </w:r>
          </w:p>
        </w:tc>
      </w:tr>
      <w:tr>
        <w:tc>
          <w:tcPr/>
          <w:p>
            <w:pPr>
              <w:pStyle w:val="Compact"/>
              <w:jc w:val="left"/>
            </w:pPr>
            <w:r>
              <w:rPr>
                <w:bCs/>
                <w:b/>
              </w:rPr>
              <w:t xml:space="preserve">Background</w:t>
            </w:r>
          </w:p>
        </w:tc>
        <w:tc>
          <w:tcPr/>
          <w:p>
            <w:pPr>
              <w:pStyle w:val="Compact"/>
              <w:jc w:val="left"/>
            </w:pPr>
            <w:r>
              <w:t xml:space="preserve">Independent parallel tasks</w:t>
            </w:r>
          </w:p>
        </w:tc>
        <w:tc>
          <w:tcPr/>
          <w:p>
            <w:pPr>
              <w:pStyle w:val="Compact"/>
              <w:jc w:val="left"/>
            </w:pPr>
            <w:r>
              <w:t xml:space="preserve">Non-blocking; notifies on completion</w:t>
            </w:r>
          </w:p>
        </w:tc>
      </w:tr>
    </w:tbl>
    <w:p>
      <w:pPr>
        <w:pStyle w:val="BodyText"/>
      </w:pPr>
      <w:r>
        <w:t xml:space="preserve">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bookmarkEnd w:id="201"/>
    <w:bookmarkStart w:id="202" w:name="Xbd5283222cb8e2b9484c6525212db24f484ccdc"/>
    <w:p>
      <w:pPr>
        <w:pStyle w:val="Heading3"/>
      </w:pPr>
      <w:r>
        <w:t xml:space="preserve">10.13.6 Implications for the Solution Factory Model</w:t>
      </w:r>
    </w:p>
    <w:p>
      <w:pPr>
        <w:pStyle w:val="FirstParagraph"/>
      </w:pPr>
      <w:r>
        <w:t xml:space="preserve">This engineering structure validates and extends the Solution Factory model (Section 5) with a concrete implementation layer that maps directly to the Brain-Memory-Body-Hands architecture:</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Solution Factory Layer</w:t>
            </w:r>
          </w:p>
        </w:tc>
        <w:tc>
          <w:tcPr/>
          <w:p>
            <w:pPr>
              <w:pStyle w:val="Compact"/>
              <w:jc w:val="left"/>
            </w:pPr>
            <w:r>
              <w:t xml:space="preserve">Claude Code Implementation</w:t>
            </w:r>
          </w:p>
        </w:tc>
        <w:tc>
          <w:tcPr/>
          <w:p>
            <w:pPr>
              <w:pStyle w:val="Compact"/>
              <w:jc w:val="left"/>
            </w:pPr>
            <w:r>
              <w:t xml:space="preserve">Architecture Layer</w:t>
            </w:r>
          </w:p>
        </w:tc>
      </w:tr>
      <w:tr>
        <w:tc>
          <w:tcPr/>
          <w:p>
            <w:pPr>
              <w:pStyle w:val="Compact"/>
              <w:jc w:val="left"/>
            </w:pPr>
            <w:r>
              <w:t xml:space="preserve">Knowledge persistence</w:t>
            </w:r>
          </w:p>
        </w:tc>
        <w:tc>
          <w:tcPr/>
          <w:p>
            <w:pPr>
              <w:pStyle w:val="Compact"/>
              <w:jc w:val="left"/>
            </w:pPr>
            <w:r>
              <w:t xml:space="preserve">CLAUDE.md + VERSION AND AGENT HISTORY</w:t>
            </w:r>
          </w:p>
        </w:tc>
        <w:tc>
          <w:tcPr/>
          <w:p>
            <w:pPr>
              <w:pStyle w:val="Compact"/>
              <w:jc w:val="left"/>
            </w:pPr>
            <w:r>
              <w:t xml:space="preserve">Memory</w:t>
            </w:r>
          </w:p>
        </w:tc>
      </w:tr>
      <w:tr>
        <w:tc>
          <w:tcPr/>
          <w:p>
            <w:pPr>
              <w:pStyle w:val="Compact"/>
              <w:jc w:val="left"/>
            </w:pPr>
            <w:r>
              <w:t xml:space="preserve">Agent coordination</w:t>
            </w:r>
          </w:p>
        </w:tc>
        <w:tc>
          <w:tcPr/>
          <w:p>
            <w:pPr>
              <w:pStyle w:val="Compact"/>
              <w:jc w:val="left"/>
            </w:pPr>
            <w:r>
              <w:t xml:space="preserve">Subagents + shared CLAUDE.md context</w:t>
            </w:r>
          </w:p>
        </w:tc>
        <w:tc>
          <w:tcPr/>
          <w:p>
            <w:pPr>
              <w:pStyle w:val="Compact"/>
              <w:jc w:val="left"/>
            </w:pPr>
            <w:r>
              <w:t xml:space="preserve">Brain</w:t>
            </w:r>
          </w:p>
        </w:tc>
      </w:tr>
      <w:tr>
        <w:tc>
          <w:tcPr/>
          <w:p>
            <w:pPr>
              <w:pStyle w:val="Compact"/>
              <w:jc w:val="left"/>
            </w:pPr>
            <w:r>
              <w:t xml:space="preserve">Reusable capabilities</w:t>
            </w:r>
          </w:p>
        </w:tc>
        <w:tc>
          <w:tcPr/>
          <w:p>
            <w:pPr>
              <w:pStyle w:val="Compact"/>
              <w:jc w:val="left"/>
            </w:pPr>
            <w:r>
              <w:t xml:space="preserve">Skills (</w:t>
            </w:r>
            <w:r>
              <w:rPr>
                <w:rStyle w:val="VerbatimChar"/>
              </w:rPr>
              <w:t xml:space="preserve">.claude/commands/</w:t>
            </w:r>
            <w:r>
              <w:t xml:space="preserve">)</w:t>
            </w:r>
          </w:p>
        </w:tc>
        <w:tc>
          <w:tcPr/>
          <w:p>
            <w:pPr>
              <w:pStyle w:val="Compact"/>
              <w:jc w:val="left"/>
            </w:pPr>
            <w:r>
              <w:t xml:space="preserve">Body</w:t>
            </w:r>
          </w:p>
        </w:tc>
      </w:tr>
      <w:tr>
        <w:tc>
          <w:tcPr/>
          <w:p>
            <w:pPr>
              <w:pStyle w:val="Compact"/>
              <w:jc w:val="left"/>
            </w:pPr>
            <w:r>
              <w:t xml:space="preserve">Quality enforcement</w:t>
            </w:r>
          </w:p>
        </w:tc>
        <w:tc>
          <w:tcPr/>
          <w:p>
            <w:pPr>
              <w:pStyle w:val="Compact"/>
              <w:jc w:val="left"/>
            </w:pPr>
            <w:r>
              <w:t xml:space="preserve">Hooks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Hands</w:t>
            </w:r>
          </w:p>
        </w:tc>
      </w:tr>
      <w:tr>
        <w:tc>
          <w:tcPr/>
          <w:p>
            <w:pPr>
              <w:pStyle w:val="Compact"/>
              <w:jc w:val="left"/>
            </w:pPr>
            <w:r>
              <w:t xml:space="preserve">Parallel execution</w:t>
            </w:r>
          </w:p>
        </w:tc>
        <w:tc>
          <w:tcPr/>
          <w:p>
            <w:pPr>
              <w:pStyle w:val="Compact"/>
              <w:jc w:val="left"/>
            </w:pPr>
            <w:r>
              <w:t xml:space="preserve">Background agents + Temporal.io</w:t>
            </w:r>
          </w:p>
        </w:tc>
        <w:tc>
          <w:tcPr/>
          <w:p>
            <w:pPr>
              <w:pStyle w:val="Compact"/>
              <w:jc w:val="left"/>
            </w:pPr>
            <w:r>
              <w:t xml:space="preserve">Brain</w:t>
            </w:r>
          </w:p>
        </w:tc>
      </w:tr>
    </w:tbl>
    <w:p>
      <w:pPr>
        <w:pStyle w:val="BodyText"/>
      </w:pPr>
      <w:r>
        <w:rPr>
          <w:bCs/>
          <w:b/>
        </w:rPr>
        <w:t xml:space="preserve">Key research finding:</w:t>
      </w:r>
      <w:r>
        <w:t xml:space="preserve"> </w:t>
      </w:r>
      <w:r>
        <w:t xml:space="preserve">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pPr>
        <w:pStyle w:val="BodyText"/>
      </w:pPr>
      <w:r>
        <w:t xml:space="preserve">This aligns with the broader principle documented throughout this thesis: the Firehorse Operations Model succeeds not because it uses AI, but because it engineers AI into a disciplined system.</w:t>
      </w:r>
    </w:p>
    <w:bookmarkEnd w:id="202"/>
    <w:bookmarkStart w:id="203" w:name="X637496a0b1d3fdab6b016b43381d52031e87a6a"/>
    <w:p>
      <w:pPr>
        <w:pStyle w:val="Heading3"/>
      </w:pPr>
      <w:r>
        <w:t xml:space="preserve">10.13.7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pPr>
        <w:pStyle w:val="BodyText"/>
      </w:pPr>
      <w:r>
        <w:rPr>
          <w:bCs/>
          <w:b/>
        </w:rPr>
        <w:t xml:space="preserve">ECC Architecture (Generic):</w:t>
      </w:r>
      <w:r>
        <w:t xml:space="preserve"> </w:t>
      </w:r>
      <w:r>
        <w:t xml:space="preserve">ECC answers the question:</w:t>
      </w:r>
      <w:r>
        <w:t xml:space="preserve"> </w:t>
      </w:r>
      <w:r>
        <w:t xml:space="preserve">“</w:t>
      </w:r>
      <w:r>
        <w:t xml:space="preserve">How do I use Claude Code effectively for any project?</w:t>
      </w:r>
      <w:r>
        <w:t xml:space="preserve">”</w:t>
      </w:r>
      <w:r>
        <w:t xml:space="preserve"> </w:t>
      </w:r>
      <w:r>
        <w:t xml:space="preserve">It provides language-specific agents (TypeScript, Python, Go, Java, Rust, C++, Swift, PHP), cross-IDE adapters (Cursor, VS Code, Codex, OpenCode), PM2-based lifecycle management, SQLite session persistence, and a 997-test validation suite. Installation is modular via profiles.</w:t>
      </w:r>
    </w:p>
    <w:p>
      <w:pPr>
        <w:pStyle w:val="BodyText"/>
      </w:pPr>
      <w:r>
        <w:rPr>
          <w:bCs/>
          <w:b/>
        </w:rPr>
        <w:t xml:space="preserve">DWS6 Architecture (Domain-Specific):</w:t>
      </w:r>
      <w:r>
        <w:t xml:space="preserve"> </w:t>
      </w:r>
      <w:r>
        <w:t xml:space="preserve">DWS6 answers a different question:</w:t>
      </w:r>
      <w:r>
        <w:t xml:space="preserve"> </w:t>
      </w:r>
      <w:r>
        <w:t xml:space="preserve">“</w:t>
      </w:r>
      <w:r>
        <w:t xml:space="preserve">How do I run enterprise industrial AI agents safely in the EU?</w:t>
      </w:r>
      <w:r>
        <w:t xml:space="preserve">”</w:t>
      </w:r>
      <w:r>
        <w:t xml:space="preserve"> </w:t>
      </w:r>
      <w:r>
        <w:t xml:space="preserve">The 21 skills encode regulated domain knowledge — EU ETS emission factors, CBAM import thresholds, CSRD disclosure requirements, EN 15978 lifecycle stages, EN 13001 crane safety standards — that no generic framework provides. This domain knowledge is the product’s moat.</w:t>
      </w:r>
    </w:p>
    <w:p>
      <w:pPr>
        <w:pStyle w:val="BodyText"/>
      </w:pPr>
      <w:r>
        <w:rPr>
          <w:bCs/>
          <w:b/>
        </w:rPr>
        <w:t xml:space="preserve">Six competitive differentiators identified:</w:t>
      </w:r>
    </w:p>
    <w:tbl>
      <w:tblPr>
        <w:tblStyle w:val="Table"/>
        <w:tblW w:type="pct" w:w="5000"/>
        <w:tblLook w:firstRow="1" w:lastRow="0" w:firstColumn="0" w:lastColumn="0" w:noHBand="0" w:noVBand="0" w:val="0020"/>
        <w:jc w:val="start"/>
      </w:tblPr>
      <w:tblGrid>
        <w:gridCol w:w="129"/>
        <w:gridCol w:w="3271"/>
        <w:gridCol w:w="1420"/>
        <w:gridCol w:w="3099"/>
      </w:tblGrid>
      <w:tr>
        <w:trPr>
          <w:tblHeader w:val="true"/>
        </w:trPr>
        <w:tc>
          <w:tcPr/>
          <w:p>
            <w:pPr>
              <w:pStyle w:val="Compact"/>
              <w:jc w:val="left"/>
            </w:pPr>
            <w:r>
              <w:t xml:space="preserve">#</w:t>
            </w:r>
          </w:p>
        </w:tc>
        <w:tc>
          <w:tcPr/>
          <w:p>
            <w:pPr>
              <w:pStyle w:val="Compact"/>
              <w:jc w:val="left"/>
            </w:pPr>
            <w:r>
              <w:t xml:space="preserve">DWS6 Advantage</w:t>
            </w:r>
          </w:p>
        </w:tc>
        <w:tc>
          <w:tcPr/>
          <w:p>
            <w:pPr>
              <w:pStyle w:val="Compact"/>
              <w:jc w:val="left"/>
            </w:pPr>
            <w:r>
              <w:t xml:space="preserve">ECC Equivalent</w:t>
            </w:r>
          </w:p>
        </w:tc>
        <w:tc>
          <w:tcPr/>
          <w:p>
            <w:pPr>
              <w:pStyle w:val="Compact"/>
              <w:jc w:val="left"/>
            </w:pPr>
            <w:r>
              <w:t xml:space="preserve">Research Significance</w:t>
            </w:r>
          </w:p>
        </w:tc>
      </w:tr>
      <w:tr>
        <w:tc>
          <w:tcPr/>
          <w:p>
            <w:pPr>
              <w:pStyle w:val="Compact"/>
              <w:jc w:val="left"/>
            </w:pPr>
            <w:r>
              <w:t xml:space="preserve">1</w:t>
            </w:r>
          </w:p>
        </w:tc>
        <w:tc>
          <w:tcPr/>
          <w:p>
            <w:pPr>
              <w:pStyle w:val="Compact"/>
              <w:jc w:val="left"/>
            </w:pPr>
            <w:r>
              <w:rPr>
                <w:bCs/>
                <w:b/>
              </w:rPr>
              <w:t xml:space="preserve">Domain-specific skills</w:t>
            </w:r>
            <w:r>
              <w:t xml:space="preserve"> </w:t>
            </w:r>
            <w:r>
              <w:t xml:space="preserve">encoding EU regulation</w:t>
            </w:r>
          </w:p>
        </w:tc>
        <w:tc>
          <w:tcPr/>
          <w:p>
            <w:pPr>
              <w:pStyle w:val="Compact"/>
              <w:jc w:val="left"/>
            </w:pPr>
            <w:r>
              <w:t xml:space="preserve">Generic language/framework skills</w:t>
            </w:r>
          </w:p>
        </w:tc>
        <w:tc>
          <w:tcPr/>
          <w:p>
            <w:pPr>
              <w:pStyle w:val="Compact"/>
              <w:jc w:val="left"/>
            </w:pPr>
            <w:r>
              <w:t xml:space="preserve">Domain knowledge as competitive moat — not replicable by skill inventory</w:t>
            </w:r>
          </w:p>
        </w:tc>
      </w:tr>
      <w:tr>
        <w:tc>
          <w:tcPr/>
          <w:p>
            <w:pPr>
              <w:pStyle w:val="Compact"/>
              <w:jc w:val="left"/>
            </w:pPr>
            <w:r>
              <w:t xml:space="preserve">2</w:t>
            </w:r>
          </w:p>
        </w:tc>
        <w:tc>
          <w:tcPr/>
          <w:p>
            <w:pPr>
              <w:pStyle w:val="Compact"/>
              <w:jc w:val="left"/>
            </w:pPr>
            <w:r>
              <w:rPr>
                <w:bCs/>
                <w:b/>
              </w:rPr>
              <w:t xml:space="preserve">Six-layer information architecture</w:t>
            </w:r>
            <w:r>
              <w:t xml:space="preserve"> </w:t>
            </w:r>
            <w:r>
              <w:t xml:space="preserve">(L0-L6) controlling context injection</w:t>
            </w:r>
          </w:p>
        </w:tc>
        <w:tc>
          <w:tcPr/>
          <w:p>
            <w:pPr>
              <w:pStyle w:val="Compact"/>
              <w:jc w:val="left"/>
            </w:pPr>
            <w:r>
              <w:t xml:space="preserve">Operates at L2-L3 only</w:t>
            </w:r>
          </w:p>
        </w:tc>
        <w:tc>
          <w:tcPr/>
          <w:p>
            <w:pPr>
              <w:pStyle w:val="Compact"/>
              <w:jc w:val="left"/>
            </w:pPr>
            <w:r>
              <w:t xml:space="preserve">Deeper control over agent behavior at every layer</w:t>
            </w:r>
          </w:p>
        </w:tc>
      </w:tr>
      <w:tr>
        <w:tc>
          <w:tcPr/>
          <w:p>
            <w:pPr>
              <w:pStyle w:val="Compact"/>
              <w:jc w:val="left"/>
            </w:pPr>
            <w:r>
              <w:t xml:space="preserve">3</w:t>
            </w:r>
          </w:p>
        </w:tc>
        <w:tc>
          <w:tcPr/>
          <w:p>
            <w:pPr>
              <w:pStyle w:val="Compact"/>
              <w:jc w:val="left"/>
            </w:pPr>
            <w:r>
              <w:rPr>
                <w:bCs/>
                <w:b/>
              </w:rPr>
              <w:t xml:space="preserve">Hard gates</w:t>
            </w:r>
            <w:r>
              <w:t xml:space="preserve"> </w:t>
            </w:r>
            <w:r>
              <w:t xml:space="preserve">(verification-gate, design-first, dual-folder-sync)</w:t>
            </w:r>
          </w:p>
        </w:tc>
        <w:tc>
          <w:tcPr/>
          <w:p>
            <w:pPr>
              <w:pStyle w:val="Compact"/>
              <w:jc w:val="left"/>
            </w:pPr>
            <w:r>
              <w:t xml:space="preserve">Advisory-only skills</w:t>
            </w:r>
          </w:p>
        </w:tc>
        <w:tc>
          <w:tcPr/>
          <w:p>
            <w:pPr>
              <w:pStyle w:val="Compact"/>
              <w:jc w:val="left"/>
            </w:pPr>
            <w:r>
              <w:t xml:space="preserve">Structural enforcement vs behavioral suggestion</w:t>
            </w:r>
          </w:p>
        </w:tc>
      </w:tr>
      <w:tr>
        <w:tc>
          <w:tcPr/>
          <w:p>
            <w:pPr>
              <w:pStyle w:val="Compact"/>
              <w:jc w:val="left"/>
            </w:pPr>
            <w:r>
              <w:t xml:space="preserve">4</w:t>
            </w:r>
          </w:p>
        </w:tc>
        <w:tc>
          <w:tcPr/>
          <w:p>
            <w:pPr>
              <w:pStyle w:val="Compact"/>
              <w:jc w:val="left"/>
            </w:pPr>
            <w:r>
              <w:rPr>
                <w:bCs/>
                <w:b/>
              </w:rPr>
              <w:t xml:space="preserve">Trust boundary zones</w:t>
            </w:r>
            <w:r>
              <w:t xml:space="preserve"> </w:t>
            </w:r>
            <w:r>
              <w:t xml:space="preserve">(GREEN/YELLOW/RED) with action classification</w:t>
            </w:r>
          </w:p>
        </w:tc>
        <w:tc>
          <w:tcPr/>
          <w:p>
            <w:pPr>
              <w:pStyle w:val="Compact"/>
              <w:jc w:val="left"/>
            </w:pPr>
            <w:r>
              <w:t xml:space="preserve">Secret scanning only</w:t>
            </w:r>
          </w:p>
        </w:tc>
        <w:tc>
          <w:tcPr/>
          <w:p>
            <w:pPr>
              <w:pStyle w:val="Compact"/>
              <w:jc w:val="left"/>
            </w:pPr>
            <w:r>
              <w:t xml:space="preserve">Risk-proportionate automation — not binary allow/deny</w:t>
            </w:r>
          </w:p>
        </w:tc>
      </w:tr>
      <w:tr>
        <w:tc>
          <w:tcPr/>
          <w:p>
            <w:pPr>
              <w:pStyle w:val="Compact"/>
              <w:jc w:val="left"/>
            </w:pPr>
            <w:r>
              <w:t xml:space="preserve">5</w:t>
            </w:r>
          </w:p>
        </w:tc>
        <w:tc>
          <w:tcPr/>
          <w:p>
            <w:pPr>
              <w:pStyle w:val="Compact"/>
              <w:jc w:val="left"/>
            </w:pPr>
            <w:r>
              <w:rPr>
                <w:bCs/>
                <w:b/>
              </w:rPr>
              <w:t xml:space="preserve">gstack workflow</w:t>
            </w:r>
            <w:r>
              <w:t xml:space="preserve"> </w:t>
            </w:r>
            <w:r>
              <w:t xml:space="preserve">with enforced role separation</w:t>
            </w:r>
          </w:p>
        </w:tc>
        <w:tc>
          <w:tcPr/>
          <w:p>
            <w:pPr>
              <w:pStyle w:val="Compact"/>
              <w:jc w:val="left"/>
            </w:pPr>
            <w:r>
              <w:t xml:space="preserve">Independent unorchestrated skills</w:t>
            </w:r>
          </w:p>
        </w:tc>
        <w:tc>
          <w:tcPr/>
          <w:p>
            <w:pPr>
              <w:pStyle w:val="Compact"/>
              <w:jc w:val="left"/>
            </w:pPr>
            <w:r>
              <w:t xml:space="preserve">Cognitive mode switching prevents tunnel vision</w:t>
            </w:r>
          </w:p>
        </w:tc>
      </w:tr>
      <w:tr>
        <w:tc>
          <w:tcPr/>
          <w:p>
            <w:pPr>
              <w:pStyle w:val="Compact"/>
              <w:jc w:val="left"/>
            </w:pPr>
            <w:r>
              <w:t xml:space="preserve">6</w:t>
            </w:r>
          </w:p>
        </w:tc>
        <w:tc>
          <w:tcPr/>
          <w:p>
            <w:pPr>
              <w:pStyle w:val="Compact"/>
              <w:jc w:val="left"/>
            </w:pPr>
            <w:r>
              <w:rPr>
                <w:bCs/>
                <w:b/>
              </w:rPr>
              <w:t xml:space="preserve">Agent-first product rule</w:t>
            </w:r>
            <w:r>
              <w:t xml:space="preserve"> </w:t>
            </w:r>
            <w:r>
              <w:t xml:space="preserve">(5-gate shipping checklist)</w:t>
            </w:r>
          </w:p>
        </w:tc>
        <w:tc>
          <w:tcPr/>
          <w:p>
            <w:pPr>
              <w:pStyle w:val="Compact"/>
              <w:jc w:val="left"/>
            </w:pPr>
            <w:r>
              <w:t xml:space="preserve">Developer convenience tools</w:t>
            </w:r>
          </w:p>
        </w:tc>
        <w:tc>
          <w:tcPr/>
          <w:p>
            <w:pPr>
              <w:pStyle w:val="Compact"/>
              <w:jc w:val="left"/>
            </w:pPr>
            <w:r>
              <w:t xml:space="preserve">Skills as product interfaces, not developer tooling</w:t>
            </w:r>
          </w:p>
        </w:tc>
      </w:tr>
    </w:tbl>
    <w:p>
      <w:pPr>
        <w:pStyle w:val="BodyText"/>
      </w:pPr>
      <w:r>
        <w:rPr>
          <w:bCs/>
          <w:b/>
        </w:rPr>
        <w:t xml:space="preserve">Key research finding:</w:t>
      </w:r>
      <w:r>
        <w:t xml:space="preserve"> </w:t>
      </w:r>
      <w:r>
        <w:t xml:space="preserve">The ECC framework optimizes for</w:t>
      </w:r>
      <w:r>
        <w:t xml:space="preserve"> </w:t>
      </w:r>
      <w:r>
        <w:rPr>
          <w:bCs/>
          <w:b/>
        </w:rPr>
        <w:t xml:space="preserve">breadth</w:t>
      </w:r>
      <w:r>
        <w:t xml:space="preserve"> </w:t>
      </w:r>
      <w:r>
        <w:t xml:space="preserve">(136 skills × multiple languages × multiple IDEs), while DWS6 optimizes for</w:t>
      </w:r>
      <w:r>
        <w:t xml:space="preserve"> </w:t>
      </w:r>
      <w:r>
        <w:rPr>
          <w:bCs/>
          <w:b/>
        </w:rPr>
        <w:t xml:space="preserve">depth</w:t>
      </w:r>
      <w:r>
        <w:t xml:space="preserve"> </w:t>
      </w:r>
      <w:r>
        <w:t xml:space="preserve">(21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pPr>
        <w:pStyle w:val="BodyText"/>
      </w:pPr>
      <w:r>
        <w:t xml:space="preserve">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r>
        <w:pict>
          <v:rect style="width:0;height:1.5pt" o:hralign="center" o:hrstd="t" o:hr="t"/>
        </w:pict>
      </w:r>
    </w:p>
    <w:bookmarkEnd w:id="203"/>
    <w:bookmarkEnd w:id="204"/>
    <w:bookmarkEnd w:id="205"/>
    <w:bookmarkStart w:id="377" w:name="appendices"/>
    <w:p>
      <w:pPr>
        <w:pStyle w:val="Heading1"/>
      </w:pPr>
      <w:r>
        <w:t xml:space="preserve">12. Appendices</w:t>
      </w:r>
    </w:p>
    <w:bookmarkStart w:id="206" w:name="appendix-a-solution-factory-canvas"/>
    <w:p>
      <w:pPr>
        <w:pStyle w:val="Heading2"/>
      </w:pPr>
      <w:r>
        <w:t xml:space="preserve">Appendix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PROBLEM                          |  SOLUTION                           |</w:t>
      </w:r>
      <w:r>
        <w:br/>
      </w:r>
      <w:r>
        <w:rPr>
          <w:rStyle w:val="VerbatimChar"/>
        </w:rPr>
        <w:t xml:space="preserve">|  * EU compliance deadlines        |  * Phased AI deployment             |</w:t>
      </w:r>
      <w:r>
        <w:br/>
      </w:r>
      <w:r>
        <w:rPr>
          <w:rStyle w:val="VerbatimChar"/>
        </w:rPr>
        <w:t xml:space="preserve">|  * High SaaS costs                |  * AI-assisted development          |</w:t>
      </w:r>
      <w:r>
        <w:br/>
      </w:r>
      <w:r>
        <w:rPr>
          <w:rStyle w:val="VerbatimChar"/>
        </w:rPr>
        <w:t xml:space="preserve">|    (EUR 1,400+)                   |  * Edge AI (&lt;100ms)                 |</w:t>
      </w:r>
      <w:r>
        <w:br/>
      </w:r>
      <w:r>
        <w:rPr>
          <w:rStyle w:val="VerbatimChar"/>
        </w:rPr>
        <w:t xml:space="preserve">|  * Cloud-only latency             |  * EUR 0-350/month pricing          |</w:t>
      </w:r>
      <w:r>
        <w:br/>
      </w:r>
      <w:r>
        <w:rPr>
          <w:rStyle w:val="VerbatimChar"/>
        </w:rPr>
        <w:t xml:space="preserve">|  * No SME-accessible options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KEY METRICS                      |  UNFAIR ADVANTAGE                   |</w:t>
      </w:r>
      <w:r>
        <w:br/>
      </w:r>
      <w:r>
        <w:rPr>
          <w:rStyle w:val="VerbatimChar"/>
        </w:rPr>
        <w:t xml:space="preserve">|  * Payback: &lt;=2 months            |  * Lifetime Scope Signals           |</w:t>
      </w:r>
      <w:r>
        <w:br/>
      </w:r>
      <w:r>
        <w:rPr>
          <w:rStyle w:val="VerbatimChar"/>
        </w:rPr>
        <w:t xml:space="preserve">|  * Cost: 82% cheaper              |  * AgentFoundry templates           |</w:t>
      </w:r>
      <w:r>
        <w:br/>
      </w:r>
      <w:r>
        <w:rPr>
          <w:rStyle w:val="VerbatimChar"/>
        </w:rPr>
        <w:t xml:space="preserve">|  * Velocity: +62%                 |  * EU compliance native             |</w:t>
      </w:r>
      <w:r>
        <w:br/>
      </w:r>
      <w:r>
        <w:rPr>
          <w:rStyle w:val="VerbatimChar"/>
        </w:rPr>
        <w:t xml:space="preserve">|  * Retention: 100%                |  * 8 vertical coverage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CUSTOMER SEGMENTS                |  CHANNELS                           |</w:t>
      </w:r>
      <w:r>
        <w:br/>
      </w:r>
      <w:r>
        <w:rPr>
          <w:rStyle w:val="VerbatimChar"/>
        </w:rPr>
        <w:t xml:space="preserve">|  * Construction SMEs              |  * dws6.com (direct)                |</w:t>
      </w:r>
      <w:r>
        <w:br/>
      </w:r>
      <w:r>
        <w:rPr>
          <w:rStyle w:val="VerbatimChar"/>
        </w:rPr>
        <w:t xml:space="preserve">|  * Logistics companies            |  * Partner network                  |</w:t>
      </w:r>
      <w:r>
        <w:br/>
      </w:r>
      <w:r>
        <w:rPr>
          <w:rStyle w:val="VerbatimChar"/>
        </w:rPr>
        <w:t xml:space="preserve">|  * Manufacturing                  |  * LinkedIn (B2B)                   |</w:t>
      </w:r>
      <w:r>
        <w:br/>
      </w:r>
      <w:r>
        <w:rPr>
          <w:rStyle w:val="VerbatimChar"/>
        </w:rPr>
        <w:t xml:space="preserve">|  * 5 additional verticals         |  * GitHub (developer trust)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COST STRUCTURE                   |  REVENUE STREAMS                    |</w:t>
      </w:r>
      <w:r>
        <w:br/>
      </w:r>
      <w:r>
        <w:rPr>
          <w:rStyle w:val="VerbatimChar"/>
        </w:rPr>
        <w:t xml:space="preserve">|  * EUR 0-350/month infrastructure |  * SaaS subscriptions               |</w:t>
      </w:r>
      <w:r>
        <w:br/>
      </w:r>
      <w:r>
        <w:rPr>
          <w:rStyle w:val="VerbatimChar"/>
        </w:rPr>
        <w:t xml:space="preserve">|  * Cursor Pro + Claude Code Max   |  * Edge hardware margin             |</w:t>
      </w:r>
      <w:r>
        <w:br/>
      </w:r>
      <w:r>
        <w:rPr>
          <w:rStyle w:val="VerbatimChar"/>
        </w:rPr>
        <w:t xml:space="preserve">|  * Single developer (bootstrap)   |  * Professional services            |</w:t>
      </w:r>
      <w:r>
        <w:br/>
      </w:r>
      <w:r>
        <w:rPr>
          <w:rStyle w:val="VerbatimChar"/>
        </w:rPr>
        <w:t xml:space="preserve">|  * No marketing spend (organic)   |  * Solution Factory licensing       |</w:t>
      </w:r>
      <w:r>
        <w:br/>
      </w:r>
      <w:r>
        <w:rPr>
          <w:rStyle w:val="VerbatimChar"/>
        </w:rPr>
        <w:t xml:space="preserve">|                                   |                                     |</w:t>
      </w:r>
      <w:r>
        <w:br/>
      </w:r>
      <w:r>
        <w:rPr>
          <w:rStyle w:val="VerbatimChar"/>
        </w:rPr>
        <w:t xml:space="preserve">+-------------------------------------------------------------------------+</w:t>
      </w:r>
    </w:p>
    <w:bookmarkEnd w:id="206"/>
    <w:bookmarkStart w:id="207" w:name="appendix-b-product-catalog-summary"/>
    <w:p>
      <w:pPr>
        <w:pStyle w:val="Heading2"/>
      </w:pPr>
      <w:r>
        <w:t xml:space="preserve">Appendix B: Product Catalog Summary</w:t>
      </w:r>
    </w:p>
    <w:tbl>
      <w:tblPr>
        <w:tblStyle w:val="Table"/>
        <w:tblW w:type="pct" w:w="5000"/>
        <w:tblLook w:firstRow="1" w:lastRow="0" w:firstColumn="0" w:lastColumn="0" w:noHBand="0" w:noVBand="0" w:val="0020"/>
        <w:jc w:val="start"/>
      </w:tblPr>
      <w:tblGrid>
        <w:gridCol w:w="2329"/>
        <w:gridCol w:w="2911"/>
        <w:gridCol w:w="1747"/>
        <w:gridCol w:w="931"/>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EUR 4,999</w:t>
            </w:r>
          </w:p>
        </w:tc>
        <w:tc>
          <w:tcPr/>
          <w:p>
            <w:pPr>
              <w:pStyle w:val="Compact"/>
              <w:jc w:val="left"/>
            </w:pPr>
            <w:r>
              <w:t xml:space="preserve">Platform</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EUR 6,995</w:t>
            </w:r>
          </w:p>
        </w:tc>
        <w:tc>
          <w:tcPr/>
          <w:p>
            <w:pPr>
              <w:pStyle w:val="Compact"/>
              <w:jc w:val="left"/>
            </w:pPr>
            <w:r>
              <w:t xml:space="preserve">Platform</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EUR 4,950</w:t>
            </w:r>
          </w:p>
        </w:tc>
        <w:tc>
          <w:tcPr/>
          <w:p>
            <w:pPr>
              <w:pStyle w:val="Compact"/>
              <w:jc w:val="left"/>
            </w:pPr>
            <w:r>
              <w:t xml:space="preserve">Software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EUR 1,999</w:t>
            </w:r>
          </w:p>
        </w:tc>
        <w:tc>
          <w:tcPr/>
          <w:p>
            <w:pPr>
              <w:pStyle w:val="Compact"/>
              <w:jc w:val="left"/>
            </w:pPr>
            <w:r>
              <w:t xml:space="preserve">Software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EUR 2,999</w:t>
            </w:r>
          </w:p>
        </w:tc>
        <w:tc>
          <w:tcPr/>
          <w:p>
            <w:pPr>
              <w:pStyle w:val="Compact"/>
              <w:jc w:val="left"/>
            </w:pPr>
            <w:r>
              <w:t xml:space="preserve">Software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EUR 499</w:t>
            </w:r>
          </w:p>
        </w:tc>
        <w:tc>
          <w:tcPr/>
          <w:p>
            <w:pPr>
              <w:pStyle w:val="Compact"/>
              <w:jc w:val="left"/>
            </w:pPr>
            <w:r>
              <w:t xml:space="preserve">Software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EUR 6,500</w:t>
            </w:r>
          </w:p>
        </w:tc>
        <w:tc>
          <w:tcPr/>
          <w:p>
            <w:pPr>
              <w:pStyle w:val="Compact"/>
              <w:jc w:val="left"/>
            </w:pPr>
            <w:r>
              <w:t xml:space="preserve">Bundle</w:t>
            </w:r>
          </w:p>
        </w:tc>
      </w:tr>
      <w:tr>
        <w:tc>
          <w:tcPr/>
          <w:p>
            <w:pPr>
              <w:pStyle w:val="Compact"/>
              <w:jc w:val="left"/>
            </w:pPr>
            <w:r>
              <w:t xml:space="preserve">consulting-hourly</w:t>
            </w:r>
          </w:p>
        </w:tc>
        <w:tc>
          <w:tcPr/>
          <w:p>
            <w:pPr>
              <w:pStyle w:val="Compact"/>
              <w:jc w:val="left"/>
            </w:pPr>
            <w:r>
              <w:t xml:space="preserve">Consulting hourly rate</w:t>
            </w:r>
          </w:p>
        </w:tc>
        <w:tc>
          <w:tcPr/>
          <w:p>
            <w:pPr>
              <w:pStyle w:val="Compact"/>
              <w:jc w:val="left"/>
            </w:pPr>
            <w:r>
              <w:t xml:space="preserve">EUR 98/h</w:t>
            </w:r>
          </w:p>
        </w:tc>
        <w:tc>
          <w:tcPr/>
          <w:p>
            <w:pPr>
              <w:pStyle w:val="Compact"/>
              <w:jc w:val="left"/>
            </w:pPr>
            <w:r>
              <w:t xml:space="preserve">Service</w:t>
            </w:r>
          </w:p>
        </w:tc>
      </w:tr>
      <w:tr>
        <w:tc>
          <w:tcPr/>
          <w:p>
            <w:pPr>
              <w:pStyle w:val="Compact"/>
              <w:jc w:val="left"/>
            </w:pPr>
            <w:r>
              <w:t xml:space="preserve">consulting-fit55</w:t>
            </w:r>
          </w:p>
        </w:tc>
        <w:tc>
          <w:tcPr/>
          <w:p>
            <w:pPr>
              <w:pStyle w:val="Compact"/>
              <w:jc w:val="left"/>
            </w:pPr>
            <w:r>
              <w:t xml:space="preserve">Fit55 expert advisory</w:t>
            </w:r>
          </w:p>
        </w:tc>
        <w:tc>
          <w:tcPr/>
          <w:p>
            <w:pPr>
              <w:pStyle w:val="Compact"/>
              <w:jc w:val="left"/>
            </w:pPr>
            <w:r>
              <w:t xml:space="preserve">EUR 3,000/month</w:t>
            </w:r>
          </w:p>
        </w:tc>
        <w:tc>
          <w:tcPr/>
          <w:p>
            <w:pPr>
              <w:pStyle w:val="Compact"/>
              <w:jc w:val="left"/>
            </w:pPr>
            <w:r>
              <w:t xml:space="preserve">Service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EUR 499</w:t>
            </w:r>
          </w:p>
        </w:tc>
        <w:tc>
          <w:tcPr/>
          <w:p>
            <w:pPr>
              <w:pStyle w:val="Compact"/>
              <w:jc w:val="left"/>
            </w:pPr>
            <w:r>
              <w:t xml:space="preserve">Service</w:t>
            </w:r>
          </w:p>
        </w:tc>
      </w:tr>
      <w:tr>
        <w:tc>
          <w:tcPr/>
          <w:p>
            <w:pPr>
              <w:pStyle w:val="Compact"/>
              <w:jc w:val="left"/>
            </w:pPr>
            <w:r>
              <w:t xml:space="preserve">ai-koulutus-3d</w:t>
            </w:r>
          </w:p>
        </w:tc>
        <w:tc>
          <w:tcPr/>
          <w:p>
            <w:pPr>
              <w:pStyle w:val="Compact"/>
              <w:jc w:val="left"/>
            </w:pPr>
            <w:r>
              <w:t xml:space="preserve">AI Training 3 days</w:t>
            </w:r>
          </w:p>
        </w:tc>
        <w:tc>
          <w:tcPr/>
          <w:p>
            <w:pPr>
              <w:pStyle w:val="Compact"/>
              <w:jc w:val="left"/>
            </w:pPr>
            <w:r>
              <w:t xml:space="preserve">EUR 6,250</w:t>
            </w:r>
          </w:p>
        </w:tc>
        <w:tc>
          <w:tcPr/>
          <w:p>
            <w:pPr>
              <w:pStyle w:val="Compact"/>
              <w:jc w:val="left"/>
            </w:pPr>
            <w:r>
              <w:t xml:space="preserve">Training</w:t>
            </w:r>
          </w:p>
        </w:tc>
      </w:tr>
    </w:tbl>
    <w:bookmarkEnd w:id="207"/>
    <w:bookmarkStart w:id="208" w:name="X7002632e99d82ed2e4d65b16818534ba5d08a94"/>
    <w:p>
      <w:pPr>
        <w:pStyle w:val="Heading2"/>
      </w:pPr>
      <w:r>
        <w:t xml:space="preserve">Appendix C: Lifetime Scope Signals Protocol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"Milestone achieved, unblocks downstream agents"</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"All agent work finished"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 encountered an error"</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"Waiting for external dependency"</w:t>
      </w:r>
      <w:r>
        <w:br/>
      </w:r>
      <w:r>
        <w:rPr>
          <w:rStyle w:val="NormalTok"/>
        </w:rPr>
        <w:t xml:space="preserve">  </w:t>
      </w:r>
      <w:r>
        <w:rPr>
          <w:rStyle w:val="FunctionTok"/>
        </w:rPr>
        <w:t xml:space="preserve">}</w:t>
      </w:r>
      <w:r>
        <w:br/>
      </w:r>
      <w:r>
        <w:rPr>
          <w:rStyle w:val="FunctionTok"/>
        </w:rPr>
        <w:t xml:space="preserve">}</w:t>
      </w:r>
    </w:p>
    <w:bookmarkEnd w:id="208"/>
    <w:bookmarkStart w:id="213" w:name="Xcb9df346946d60fb9ff26730b3c0e0b0e4140cc"/>
    <w:p>
      <w:pPr>
        <w:pStyle w:val="Heading2"/>
      </w:pPr>
      <w:r>
        <w:t xml:space="preserve">Appendix D: AI Agent Behavioral Guidelines (Karpathy Principles)</w:t>
      </w:r>
    </w:p>
    <w:bookmarkStart w:id="209" w:name="d.1-background"/>
    <w:p>
      <w:pPr>
        <w:pStyle w:val="Heading3"/>
      </w:pPr>
      <w:r>
        <w:t xml:space="preserve">D.1 Background</w:t>
      </w:r>
    </w:p>
    <w:p>
      <w:pPr>
        <w:pStyle w:val="FirstParagraph"/>
      </w:pPr>
      <w:r>
        <w:t xml:space="preserve">The DWS6 project adopted AI coding agent behavioral guidelines based on</w:t>
      </w:r>
      <w:r>
        <w:t xml:space="preserve"> </w:t>
      </w:r>
      <w:r>
        <w:rPr>
          <w:bCs/>
          <w:b/>
        </w:rPr>
        <w:t xml:space="preserve">Andrej Karpathy’s viral AI coding guidelines</w:t>
      </w:r>
      <w:r>
        <w:t xml:space="preserve">. These guidelines are documented in the repository’s</w:t>
      </w:r>
      <w:r>
        <w:t xml:space="preserve"> </w:t>
      </w:r>
      <w:r>
        <w:rPr>
          <w:rStyle w:val="VerbatimChar"/>
        </w:rPr>
        <w:t xml:space="preserve">CLAUDE.md</w:t>
      </w:r>
      <w:r>
        <w:t xml:space="preserve"> </w:t>
      </w:r>
      <w:r>
        <w:t xml:space="preserve">file and ensure consistent, high-quality AI-human collaboration in agent-based coding workflows.</w:t>
      </w:r>
    </w:p>
    <w:bookmarkEnd w:id="209"/>
    <w:bookmarkStart w:id="210" w:name="d.2-core-philosophy"/>
    <w:p>
      <w:pPr>
        <w:pStyle w:val="Heading3"/>
      </w:pPr>
      <w:r>
        <w:t xml:space="preserve">D.2 Core Philosophy</w:t>
      </w:r>
    </w:p>
    <w:p>
      <w:pPr>
        <w:pStyle w:val="SourceCode"/>
      </w:pPr>
      <w:r>
        <w:rPr>
          <w:rStyle w:val="VerbatimChar"/>
        </w:rPr>
        <w:t xml:space="preserve">"You are the hands; the human is the architect.</w:t>
      </w:r>
      <w:r>
        <w:br/>
      </w:r>
      <w:r>
        <w:rPr>
          <w:rStyle w:val="VerbatimChar"/>
        </w:rPr>
        <w:t xml:space="preserve">Move fast, but never faster than the human can verify.</w:t>
      </w:r>
      <w:r>
        <w:br/>
      </w:r>
      <w:r>
        <w:rPr>
          <w:rStyle w:val="VerbatimChar"/>
        </w:rPr>
        <w:t xml:space="preserve">Your code will be watched -- write accordingly."</w:t>
      </w:r>
    </w:p>
    <w:bookmarkEnd w:id="210"/>
    <w:bookmarkStart w:id="211" w:name="d.3-critical-behavioral-patterns"/>
    <w:p>
      <w:pPr>
        <w:pStyle w:val="Heading3"/>
      </w:pPr>
      <w:r>
        <w:t xml:space="preserve">D.3 Critical Behavioral Patterns</w:t>
      </w:r>
    </w:p>
    <w:tbl>
      <w:tblPr>
        <w:tblStyle w:val="Table"/>
        <w:tblW w:type="pct" w:w="5000"/>
        <w:tblLook w:firstRow="1" w:lastRow="0" w:firstColumn="0" w:lastColumn="0" w:noHBand="0" w:noVBand="0" w:val="0020"/>
        <w:jc w:val="start"/>
      </w:tblPr>
      <w:tblGrid>
        <w:gridCol w:w="198"/>
        <w:gridCol w:w="1848"/>
        <w:gridCol w:w="3300"/>
        <w:gridCol w:w="2574"/>
      </w:tblGrid>
      <w:tr>
        <w:trPr>
          <w:tblHeader w:val="true"/>
        </w:trPr>
        <w:tc>
          <w:tcPr/>
          <w:p>
            <w:pPr>
              <w:pStyle w:val="Compact"/>
              <w:jc w:val="left"/>
            </w:pPr>
            <w:r>
              <w:t xml:space="preserve">#</w:t>
            </w:r>
          </w:p>
        </w:tc>
        <w:tc>
          <w:tcPr/>
          <w:p>
            <w:pPr>
              <w:pStyle w:val="Compact"/>
              <w:jc w:val="left"/>
            </w:pPr>
            <w:r>
              <w:t xml:space="preserve">Behavior</w:t>
            </w:r>
          </w:p>
        </w:tc>
        <w:tc>
          <w:tcPr/>
          <w:p>
            <w:pPr>
              <w:pStyle w:val="Compact"/>
              <w:jc w:val="left"/>
            </w:pPr>
            <w:r>
              <w:t xml:space="preserve">Description</w:t>
            </w:r>
          </w:p>
        </w:tc>
        <w:tc>
          <w:tcPr/>
          <w:p>
            <w:pPr>
              <w:pStyle w:val="Compact"/>
              <w:jc w:val="left"/>
            </w:pPr>
            <w:r>
              <w:t xml:space="preserve">EU AI Act Alignment</w:t>
            </w:r>
          </w:p>
        </w:tc>
      </w:tr>
      <w:tr>
        <w:tc>
          <w:tcPr/>
          <w:p>
            <w:pPr>
              <w:pStyle w:val="Compact"/>
              <w:jc w:val="left"/>
            </w:pPr>
            <w:r>
              <w:t xml:space="preserve">1</w:t>
            </w:r>
          </w:p>
        </w:tc>
        <w:tc>
          <w:tcPr/>
          <w:p>
            <w:pPr>
              <w:pStyle w:val="Compact"/>
              <w:jc w:val="left"/>
            </w:pPr>
            <w:r>
              <w:rPr>
                <w:bCs/>
                <w:b/>
              </w:rPr>
              <w:t xml:space="preserve">Assumption surfacing</w:t>
            </w:r>
          </w:p>
        </w:tc>
        <w:tc>
          <w:tcPr/>
          <w:p>
            <w:pPr>
              <w:pStyle w:val="Compact"/>
              <w:jc w:val="left"/>
            </w:pPr>
            <w:r>
              <w:t xml:space="preserve">State assumptions explicitly before implementation</w:t>
            </w:r>
          </w:p>
        </w:tc>
        <w:tc>
          <w:tcPr/>
          <w:p>
            <w:pPr>
              <w:pStyle w:val="Compact"/>
              <w:jc w:val="left"/>
            </w:pPr>
            <w:r>
              <w:t xml:space="preserve">Supports reasoning lineage (Article 12)</w:t>
            </w:r>
          </w:p>
        </w:tc>
      </w:tr>
      <w:tr>
        <w:tc>
          <w:tcPr/>
          <w:p>
            <w:pPr>
              <w:pStyle w:val="Compact"/>
              <w:jc w:val="left"/>
            </w:pPr>
            <w:r>
              <w:t xml:space="preserve">2</w:t>
            </w:r>
          </w:p>
        </w:tc>
        <w:tc>
          <w:tcPr/>
          <w:p>
            <w:pPr>
              <w:pStyle w:val="Compact"/>
              <w:jc w:val="left"/>
            </w:pPr>
            <w:r>
              <w:rPr>
                <w:bCs/>
                <w:b/>
              </w:rPr>
              <w:t xml:space="preserve">Confusion management</w:t>
            </w:r>
          </w:p>
        </w:tc>
        <w:tc>
          <w:tcPr/>
          <w:p>
            <w:pPr>
              <w:pStyle w:val="Compact"/>
              <w:jc w:val="left"/>
            </w:pPr>
            <w:r>
              <w:t xml:space="preserve">STOP when confused; ask clarifying questions</w:t>
            </w:r>
          </w:p>
        </w:tc>
        <w:tc>
          <w:tcPr/>
          <w:p>
            <w:pPr>
              <w:pStyle w:val="Compact"/>
              <w:jc w:val="left"/>
            </w:pPr>
            <w:r>
              <w:t xml:space="preserve">Prevents autonomous errors</w:t>
            </w:r>
          </w:p>
        </w:tc>
      </w:tr>
      <w:tr>
        <w:tc>
          <w:tcPr/>
          <w:p>
            <w:pPr>
              <w:pStyle w:val="Compact"/>
              <w:jc w:val="left"/>
            </w:pPr>
            <w:r>
              <w:t xml:space="preserve">3</w:t>
            </w:r>
          </w:p>
        </w:tc>
        <w:tc>
          <w:tcPr/>
          <w:p>
            <w:pPr>
              <w:pStyle w:val="Compact"/>
              <w:jc w:val="left"/>
            </w:pPr>
            <w:r>
              <w:rPr>
                <w:bCs/>
                <w:b/>
              </w:rPr>
              <w:t xml:space="preserve">Push back when warranted</w:t>
            </w:r>
          </w:p>
        </w:tc>
        <w:tc>
          <w:tcPr/>
          <w:p>
            <w:pPr>
              <w:pStyle w:val="Compact"/>
              <w:jc w:val="left"/>
            </w:pPr>
            <w:r>
              <w:t xml:space="preserve">Point out issues directly</w:t>
            </w:r>
          </w:p>
        </w:tc>
        <w:tc>
          <w:tcPr/>
          <w:p>
            <w:pPr>
              <w:pStyle w:val="Compact"/>
              <w:jc w:val="left"/>
            </w:pPr>
            <w:r>
              <w:t xml:space="preserve">Ensures human oversight</w:t>
            </w:r>
          </w:p>
        </w:tc>
      </w:tr>
      <w:tr>
        <w:tc>
          <w:tcPr/>
          <w:p>
            <w:pPr>
              <w:pStyle w:val="Compact"/>
              <w:jc w:val="left"/>
            </w:pPr>
            <w:r>
              <w:t xml:space="preserve">4</w:t>
            </w:r>
          </w:p>
        </w:tc>
        <w:tc>
          <w:tcPr/>
          <w:p>
            <w:pPr>
              <w:pStyle w:val="Compact"/>
              <w:jc w:val="left"/>
            </w:pPr>
            <w:r>
              <w:rPr>
                <w:bCs/>
                <w:b/>
              </w:rPr>
              <w:t xml:space="preserve">Simplicity enforcement</w:t>
            </w:r>
          </w:p>
        </w:tc>
        <w:tc>
          <w:tcPr/>
          <w:p>
            <w:pPr>
              <w:pStyle w:val="Compact"/>
              <w:jc w:val="left"/>
            </w:pPr>
            <w:r>
              <w:t xml:space="preserve">Actively resist overcomplication</w:t>
            </w:r>
          </w:p>
        </w:tc>
        <w:tc>
          <w:tcPr/>
          <w:p>
            <w:pPr>
              <w:pStyle w:val="Compact"/>
              <w:jc w:val="left"/>
            </w:pPr>
            <w:r>
              <w:t xml:space="preserve">Maintainability</w:t>
            </w:r>
          </w:p>
        </w:tc>
      </w:tr>
      <w:tr>
        <w:tc>
          <w:tcPr/>
          <w:p>
            <w:pPr>
              <w:pStyle w:val="Compact"/>
              <w:jc w:val="left"/>
            </w:pPr>
            <w:r>
              <w:t xml:space="preserve">5</w:t>
            </w:r>
          </w:p>
        </w:tc>
        <w:tc>
          <w:tcPr/>
          <w:p>
            <w:pPr>
              <w:pStyle w:val="Compact"/>
              <w:jc w:val="left"/>
            </w:pPr>
            <w:r>
              <w:rPr>
                <w:bCs/>
                <w:b/>
              </w:rPr>
              <w:t xml:space="preserve">Scope discipline</w:t>
            </w:r>
          </w:p>
        </w:tc>
        <w:tc>
          <w:tcPr/>
          <w:p>
            <w:pPr>
              <w:pStyle w:val="Compact"/>
              <w:jc w:val="left"/>
            </w:pPr>
            <w:r>
              <w:t xml:space="preserve">Touch only what is asked</w:t>
            </w:r>
          </w:p>
        </w:tc>
        <w:tc>
          <w:tcPr/>
          <w:p>
            <w:pPr>
              <w:pStyle w:val="Compact"/>
              <w:jc w:val="left"/>
            </w:pPr>
            <w:r>
              <w:t xml:space="preserve">Audit trail clarity</w:t>
            </w:r>
          </w:p>
        </w:tc>
      </w:tr>
      <w:tr>
        <w:tc>
          <w:tcPr/>
          <w:p>
            <w:pPr>
              <w:pStyle w:val="Compact"/>
              <w:jc w:val="left"/>
            </w:pPr>
            <w:r>
              <w:t xml:space="preserve">6</w:t>
            </w:r>
          </w:p>
        </w:tc>
        <w:tc>
          <w:tcPr/>
          <w:p>
            <w:pPr>
              <w:pStyle w:val="Compact"/>
              <w:jc w:val="left"/>
            </w:pPr>
            <w:r>
              <w:rPr>
                <w:bCs/>
                <w:b/>
              </w:rPr>
              <w:t xml:space="preserve">Dead code hygiene</w:t>
            </w:r>
          </w:p>
        </w:tc>
        <w:tc>
          <w:tcPr/>
          <w:p>
            <w:pPr>
              <w:pStyle w:val="Compact"/>
              <w:jc w:val="left"/>
            </w:pPr>
            <w:r>
              <w:t xml:space="preserve">Ask before removing unused code</w:t>
            </w:r>
          </w:p>
        </w:tc>
        <w:tc>
          <w:tcPr/>
          <w:p>
            <w:pPr>
              <w:pStyle w:val="Compact"/>
              <w:jc w:val="left"/>
            </w:pPr>
            <w:r>
              <w:t xml:space="preserve">Change documentation</w:t>
            </w:r>
          </w:p>
        </w:tc>
      </w:tr>
    </w:tbl>
    <w:bookmarkEnd w:id="211"/>
    <w:bookmarkStart w:id="212" w:name="d.4-implementation-outcomes"/>
    <w:p>
      <w:pPr>
        <w:pStyle w:val="Heading3"/>
      </w:pPr>
      <w:r>
        <w:t xml:space="preserve">D.4 Implementation 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Code review rejections</w:t>
            </w:r>
          </w:p>
        </w:tc>
        <w:tc>
          <w:tcPr/>
          <w:p>
            <w:pPr>
              <w:pStyle w:val="Compact"/>
              <w:jc w:val="left"/>
            </w:pPr>
            <w:r>
              <w:t xml:space="preserve">15%</w:t>
            </w:r>
          </w:p>
        </w:tc>
        <w:tc>
          <w:tcPr/>
          <w:p>
            <w:pPr>
              <w:pStyle w:val="Compact"/>
              <w:jc w:val="left"/>
            </w:pPr>
            <w:r>
              <w:t xml:space="preserve">3%</w:t>
            </w:r>
          </w:p>
        </w:tc>
        <w:tc>
          <w:tcPr/>
          <w:p>
            <w:pPr>
              <w:pStyle w:val="Compact"/>
              <w:jc w:val="left"/>
            </w:pPr>
            <w:r>
              <w:t xml:space="preserve">80% reduction</w:t>
            </w:r>
          </w:p>
        </w:tc>
      </w:tr>
      <w:tr>
        <w:tc>
          <w:tcPr/>
          <w:p>
            <w:pPr>
              <w:pStyle w:val="Compact"/>
              <w:jc w:val="left"/>
            </w:pPr>
            <w:r>
              <w:t xml:space="preserve">Unclear change rationale</w:t>
            </w:r>
          </w:p>
        </w:tc>
        <w:tc>
          <w:tcPr/>
          <w:p>
            <w:pPr>
              <w:pStyle w:val="Compact"/>
              <w:jc w:val="left"/>
            </w:pPr>
            <w:r>
              <w:t xml:space="preserve">25%</w:t>
            </w:r>
          </w:p>
        </w:tc>
        <w:tc>
          <w:tcPr/>
          <w:p>
            <w:pPr>
              <w:pStyle w:val="Compact"/>
              <w:jc w:val="left"/>
            </w:pPr>
            <w:r>
              <w:t xml:space="preserve">5%</w:t>
            </w:r>
          </w:p>
        </w:tc>
        <w:tc>
          <w:tcPr/>
          <w:p>
            <w:pPr>
              <w:pStyle w:val="Compact"/>
              <w:jc w:val="left"/>
            </w:pPr>
            <w:r>
              <w:t xml:space="preserve">80% reduction</w:t>
            </w:r>
          </w:p>
        </w:tc>
      </w:tr>
      <w:tr>
        <w:tc>
          <w:tcPr/>
          <w:p>
            <w:pPr>
              <w:pStyle w:val="Compact"/>
              <w:jc w:val="left"/>
            </w:pPr>
            <w:r>
              <w:t xml:space="preserve">Unauthorized scope changes</w:t>
            </w:r>
          </w:p>
        </w:tc>
        <w:tc>
          <w:tcPr/>
          <w:p>
            <w:pPr>
              <w:pStyle w:val="Compact"/>
              <w:jc w:val="left"/>
            </w:pPr>
            <w:r>
              <w:t xml:space="preserve">10%</w:t>
            </w:r>
          </w:p>
        </w:tc>
        <w:tc>
          <w:tcPr/>
          <w:p>
            <w:pPr>
              <w:pStyle w:val="Compact"/>
              <w:jc w:val="left"/>
            </w:pPr>
            <w:r>
              <w:t xml:space="preserve">&lt;1%</w:t>
            </w:r>
          </w:p>
        </w:tc>
        <w:tc>
          <w:tcPr/>
          <w:p>
            <w:pPr>
              <w:pStyle w:val="Compact"/>
              <w:jc w:val="left"/>
            </w:pPr>
            <w:r>
              <w:t xml:space="preserve">90% reduction</w:t>
            </w:r>
          </w:p>
        </w:tc>
      </w:tr>
      <w:tr>
        <w:tc>
          <w:tcPr/>
          <w:p>
            <w:pPr>
              <w:pStyle w:val="Compact"/>
              <w:jc w:val="left"/>
            </w:pPr>
            <w:r>
              <w:t xml:space="preserve">Documentation coverage</w:t>
            </w:r>
          </w:p>
        </w:tc>
        <w:tc>
          <w:tcPr/>
          <w:p>
            <w:pPr>
              <w:pStyle w:val="Compact"/>
              <w:jc w:val="left"/>
            </w:pPr>
            <w:r>
              <w:t xml:space="preserve">60%</w:t>
            </w:r>
          </w:p>
        </w:tc>
        <w:tc>
          <w:tcPr/>
          <w:p>
            <w:pPr>
              <w:pStyle w:val="Compact"/>
              <w:jc w:val="left"/>
            </w:pPr>
            <w:r>
              <w:t xml:space="preserve">95%</w:t>
            </w:r>
          </w:p>
        </w:tc>
        <w:tc>
          <w:tcPr/>
          <w:p>
            <w:pPr>
              <w:pStyle w:val="Compact"/>
              <w:jc w:val="left"/>
            </w:pPr>
            <w:r>
              <w:t xml:space="preserve">58% improvement</w:t>
            </w:r>
          </w:p>
        </w:tc>
      </w:tr>
    </w:tbl>
    <w:bookmarkEnd w:id="212"/>
    <w:bookmarkEnd w:id="213"/>
    <w:bookmarkStart w:id="216" w:name="X426344c2f10a3420b0bf0c81e39f821e695a313"/>
    <w:p>
      <w:pPr>
        <w:pStyle w:val="Heading2"/>
      </w:pPr>
      <w:r>
        <w:t xml:space="preserve">Appendix E: AI Model Training Infrastructure</w:t>
      </w:r>
    </w:p>
    <w:bookmarkStart w:id="214" w:name="X201736bd7a6d39b9c43700f25e58f856f339699"/>
    <w:p>
      <w:pPr>
        <w:pStyle w:val="Heading3"/>
      </w:pPr>
      <w:r>
        <w:t xml:space="preserve">Lifetime World Model (LWM) Training Pipeline</w:t>
      </w:r>
    </w:p>
    <w:p>
      <w:pPr>
        <w:pStyle w:val="FirstParagraph"/>
      </w:pPr>
      <w:r>
        <w:rPr>
          <w:bCs/>
          <w:b/>
        </w:rPr>
        <w:t xml:space="preserve">Hardware:</w:t>
      </w:r>
    </w:p>
    <w:p>
      <w:pPr>
        <w:numPr>
          <w:ilvl w:val="0"/>
          <w:numId w:val="1072"/>
        </w:numPr>
        <w:pStyle w:val="Compact"/>
      </w:pPr>
      <w:r>
        <w:rPr>
          <w:bCs/>
          <w:b/>
        </w:rPr>
        <w:t xml:space="preserve">Primary:</w:t>
      </w:r>
      <w:r>
        <w:t xml:space="preserve"> </w:t>
      </w:r>
      <w:r>
        <w:t xml:space="preserve">Acer Veriton GN-100 (dedicated, on-premises)</w:t>
      </w:r>
    </w:p>
    <w:p>
      <w:pPr>
        <w:numPr>
          <w:ilvl w:val="0"/>
          <w:numId w:val="1072"/>
        </w:numPr>
        <w:pStyle w:val="Compact"/>
      </w:pPr>
      <w:r>
        <w:rPr>
          <w:bCs/>
          <w:b/>
        </w:rPr>
        <w:t xml:space="preserve">Accelerator:</w:t>
      </w:r>
      <w:r>
        <w:t xml:space="preserve"> </w:t>
      </w:r>
      <w:r>
        <w:t xml:space="preserve">NVIDIA GB10 Grace Blackwell Superchip</w:t>
      </w:r>
    </w:p>
    <w:p>
      <w:pPr>
        <w:numPr>
          <w:ilvl w:val="0"/>
          <w:numId w:val="1072"/>
        </w:numPr>
        <w:pStyle w:val="Compact"/>
      </w:pPr>
      <w:r>
        <w:rPr>
          <w:bCs/>
          <w:b/>
        </w:rPr>
        <w:t xml:space="preserve">Compute:</w:t>
      </w:r>
      <w:r>
        <w:t xml:space="preserve"> </w:t>
      </w:r>
      <w:r>
        <w:t xml:space="preserve">1 PetaFLOP local inference</w:t>
      </w:r>
    </w:p>
    <w:p>
      <w:pPr>
        <w:numPr>
          <w:ilvl w:val="0"/>
          <w:numId w:val="1072"/>
        </w:numPr>
        <w:pStyle w:val="Compact"/>
      </w:pPr>
      <w:r>
        <w:rPr>
          <w:bCs/>
          <w:b/>
        </w:rPr>
        <w:t xml:space="preserve">Memory:</w:t>
      </w:r>
      <w:r>
        <w:t xml:space="preserve"> </w:t>
      </w:r>
      <w:r>
        <w:t xml:space="preserve">128GB unified memory</w:t>
      </w:r>
    </w:p>
    <w:p>
      <w:pPr>
        <w:pStyle w:val="FirstParagraph"/>
      </w:pPr>
      <w:r>
        <w:rPr>
          <w:bCs/>
          <w:b/>
        </w:rPr>
        <w:t xml:space="preserve">Training workflow:</w:t>
      </w:r>
    </w:p>
    <w:p>
      <w:pPr>
        <w:numPr>
          <w:ilvl w:val="0"/>
          <w:numId w:val="1073"/>
        </w:numPr>
        <w:pStyle w:val="Compact"/>
      </w:pPr>
      <w:r>
        <w:t xml:space="preserve">Curriculum design (Claude API)</w:t>
      </w:r>
    </w:p>
    <w:p>
      <w:pPr>
        <w:numPr>
          <w:ilvl w:val="0"/>
          <w:numId w:val="1073"/>
        </w:numPr>
        <w:pStyle w:val="Compact"/>
      </w:pPr>
      <w:r>
        <w:t xml:space="preserve">Synthetic data generation (Claude API, 2000+ examples per industry)</w:t>
      </w:r>
    </w:p>
    <w:p>
      <w:pPr>
        <w:numPr>
          <w:ilvl w:val="0"/>
          <w:numId w:val="1073"/>
        </w:numPr>
        <w:pStyle w:val="Compact"/>
      </w:pPr>
      <w:r>
        <w:t xml:space="preserve">Local fine-tuning (Acer Veriton GN-100, QLoRA, 16h per model)</w:t>
      </w:r>
    </w:p>
    <w:p>
      <w:pPr>
        <w:numPr>
          <w:ilvl w:val="0"/>
          <w:numId w:val="1073"/>
        </w:numPr>
        <w:pStyle w:val="Compact"/>
      </w:pPr>
      <w:r>
        <w:t xml:space="preserve">Evaluation &amp; deployment (Claude-as-judge, target &gt;7.0/10)</w:t>
      </w:r>
    </w:p>
    <w:p>
      <w:pPr>
        <w:pStyle w:val="FirstParagraph"/>
      </w:pPr>
      <w:r>
        <w:rPr>
          <w:bCs/>
          <w:b/>
        </w:rPr>
        <w:t xml:space="preserve">Cost:</w:t>
      </w:r>
      <w:r>
        <w:t xml:space="preserve"> </w:t>
      </w:r>
      <w:r>
        <w:t xml:space="preserve">EUR 80-125 per industry model (vs. EUR 15,000+ traditionally, 99% cost reduction)</w:t>
      </w:r>
    </w:p>
    <w:bookmarkEnd w:id="214"/>
    <w:bookmarkStart w:id="215" w:name="X6e33ad7af33a367c9272e0607eaaafb3b1f14c6"/>
    <w:p>
      <w:pPr>
        <w:pStyle w:val="Heading3"/>
      </w:pPr>
      <w:r>
        <w:t xml:space="preserve">LWM Training — Verified Hardware Reality (v3.88 amendment)</w:t>
      </w:r>
    </w:p>
    <w:p>
      <w:pPr>
        <w:pStyle w:val="FirstParagraph"/>
      </w:pPr>
      <w:r>
        <w:rPr>
          <w:iCs/>
          <w:i/>
        </w:rPr>
        <w:t xml:space="preserve">Implementation-evidence scope-correction to the pipeline above (per the §1.4 master-vs-PhD scope rule). The QLoRA per-industry fine-tuning described above — small models, ~16 h on the GN-100 — is feasible and remains the delivered path. This subsection makes explicit the boundary a July 2026 verification exposed; the text above is preserved unchanged (Rule 12).</w:t>
      </w:r>
    </w:p>
    <w:p>
      <w:pPr>
        <w:pStyle w:val="BodyText"/>
      </w:pPr>
      <w:r>
        <w:rPr>
          <w:bCs/>
          <w:b/>
        </w:rPr>
        <w:t xml:space="preserve">The GN-100 is an edge inference / development node, not a training cluster.</w:t>
      </w:r>
      <w:r>
        <w:t xml:space="preserve"> </w:t>
      </w:r>
      <w:r>
        <w:t xml:space="preserve">It fine-tunes (QLoRA) small models (~7–13B) and serves inference; it cannot pretrain the full ~55B Lifetime World Model. In training a 55B model needs optimiser states, gradients and activations at roughly 8–16× its inference footprint — hundreds of GB to TB with multi-GPU interconnect — against the GN-100’s 128 GB unified memory.</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full training is Pending Hardware.</w:t>
      </w:r>
      <w:r>
        <w:t xml:space="preserve"> </w:t>
      </w:r>
      <w:r>
        <w:t xml:space="preserve">A repository verification (PR #1720, 24.07.2026) found no training-pipeline code, no go-live record, and that the separately-described training node (x86, 2× RTX 4090) does not exist in the repository; the only documented Acer device is the Veriton GN-100 (ARM64 / GB10 edge inference and development). The Enterprise Model Training path that presented on-prem training as delivered was retagged</w:t>
      </w:r>
      <w:r>
        <w:t xml:space="preserve"> </w:t>
      </w:r>
      <w:r>
        <w:t xml:space="preserve">“</w:t>
      </w:r>
      <w:r>
        <w:t xml:space="preserve">Pending Hardware, not yet verified live.</w:t>
      </w:r>
      <w:r>
        <w:t xml:space="preserve">”</w:t>
      </w:r>
      <w:r>
        <w:t xml:space="preserve"> </w:t>
      </w:r>
      <w:r>
        <w:rPr>
          <w:bCs/>
          <w:b/>
        </w:rPr>
        <w:t xml:space="preserve">Cloud (GCP A3 Mega) remains the available full-training route.</w:t>
      </w:r>
    </w:p>
    <w:p>
      <w:pPr>
        <w:pStyle w:val="BodyText"/>
      </w:pPr>
      <w:r>
        <w:rPr>
          <w:bCs/>
          <w:b/>
        </w:rPr>
        <w:t xml:space="preserve">Realistic pipeline:</w:t>
      </w:r>
      <w:r>
        <w:t xml:space="preserve"> </w:t>
      </w:r>
      <w:r>
        <w:t xml:space="preserve">cloud pretrain / fine-tune (GCP A3 Mega or rented H100/H200) → NVFP4 quantisation co-designed for Blackwell → deploy to the GN-100 for edge inference. Training and inference are distinct workloads on distinct hardware.</w:t>
      </w:r>
    </w:p>
    <w:p>
      <w:pPr>
        <w:pStyle w:val="BodyText"/>
      </w:pPr>
      <w:r>
        <w:rPr>
          <w:bCs/>
          <w:b/>
        </w:rPr>
        <w:t xml:space="preserve">Token-capital framing:</w:t>
      </w:r>
      <w:r>
        <w:t xml:space="preserve"> </w:t>
      </w:r>
      <w:r>
        <w:t xml:space="preserve">the defensible asset is not a from-scratch 55B but the learning loop — private evals, an RL environment, and adaptation on owned operational (fleet) data. Full 55B pretraining is cloud CAPEX that does not by itself produce a moat; the owned loop does.</w:t>
      </w:r>
    </w:p>
    <w:p>
      <w:pPr>
        <w:pStyle w:val="BodyText"/>
      </w:pPr>
      <w:r>
        <w:t xml:space="preserve">Companion lab note:</w:t>
      </w:r>
      <w:r>
        <w:t xml:space="preserve"> </w:t>
      </w:r>
      <w:r>
        <w:rPr>
          <w:rStyle w:val="VerbatimChar"/>
        </w:rPr>
        <w:t xml:space="preserve">docs/lab-notes/2026-07-26-lwm-training-hardware-reality.md</w:t>
      </w:r>
      <w:r>
        <w:t xml:space="preserve">.</w:t>
      </w:r>
    </w:p>
    <w:bookmarkEnd w:id="215"/>
    <w:bookmarkEnd w:id="216"/>
    <w:bookmarkStart w:id="217" w:name="appendix-f-v1.0-agent-fleet"/>
    <w:p>
      <w:pPr>
        <w:pStyle w:val="Heading2"/>
      </w:pPr>
      <w:r>
        <w:t xml:space="preserve">Appendix F: V1.0 Agent Fleet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In Progress</w:t>
            </w:r>
          </w:p>
        </w:tc>
      </w:tr>
    </w:tbl>
    <w:bookmarkEnd w:id="217"/>
    <w:bookmarkStart w:id="222" w:name="appendix-g-glossary"/>
    <w:p>
      <w:pPr>
        <w:pStyle w:val="Heading2"/>
      </w:pPr>
      <w:r>
        <w:t xml:space="preserve">Appendix G: Glossary</w:t>
      </w:r>
    </w:p>
    <w:bookmarkStart w:id="218"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525"/>
        <w:gridCol w:w="1290"/>
        <w:gridCol w:w="510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Reunatekoaly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 legislative package mandating 55% emissions reduction by 2030</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Coordination protocol for multi-agent development via declarative signal emission</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218"/>
    <w:bookmarkStart w:id="219"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880"/>
        <w:gridCol w:w="2166"/>
        <w:gridCol w:w="4873"/>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EU AI Act</w:t>
            </w:r>
          </w:p>
        </w:tc>
        <w:tc>
          <w:tcPr/>
          <w:p>
            <w:pPr>
              <w:pStyle w:val="Compact"/>
              <w:jc w:val="left"/>
            </w:pPr>
            <w:r>
              <w:t xml:space="preserve">EU:n tekoalysaados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219"/>
    <w:bookmarkStart w:id="220"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960"/>
        <w:gridCol w:w="912"/>
        <w:gridCol w:w="6048"/>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 and faster analytical queries</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 time-partitioned table for time-series data with automatic chunk management</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pattern: Tier 1 (Aiven managed, TimescaleDB) + Tier 2 (self-managed edge, pg_duckdb)</w:t>
            </w:r>
          </w:p>
        </w:tc>
      </w:tr>
    </w:tbl>
    <w:bookmarkEnd w:id="220"/>
    <w:bookmarkStart w:id="221" w:name="research-methodology"/>
    <w:p>
      <w:pPr>
        <w:pStyle w:val="Heading3"/>
      </w:pPr>
      <w:r>
        <w:t xml:space="preserve">Research Methodology</w:t>
      </w:r>
    </w:p>
    <w:tbl>
      <w:tblPr>
        <w:tblStyle w:val="Table"/>
        <w:tblW w:type="pct" w:w="5000"/>
        <w:tblLook w:firstRow="1" w:lastRow="0" w:firstColumn="0" w:lastColumn="0" w:noHBand="0" w:noVBand="0" w:val="0020"/>
        <w:jc w:val="start"/>
      </w:tblPr>
      <w:tblGrid>
        <w:gridCol w:w="1071"/>
        <w:gridCol w:w="1304"/>
        <w:gridCol w:w="554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all production database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decisions, extension governance, and EU regulatory compliance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dual-purpose standard for AI agent security (Shield) and optimization governance (Sword)</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changes on small proxy (depth=12) before scaling to production (depth=24)</w:t>
            </w:r>
          </w:p>
        </w:tc>
      </w:tr>
    </w:tbl>
    <w:p>
      <w:r>
        <w:pict>
          <v:rect style="width:0;height:1.5pt" o:hralign="center" o:hrstd="t" o:hr="t"/>
        </w:pict>
      </w:r>
    </w:p>
    <w:bookmarkEnd w:id="221"/>
    <w:bookmarkEnd w:id="222"/>
    <w:bookmarkStart w:id="229" w:name="X913c5d6278562a2088bf833de44a465c3cc1013"/>
    <w:p>
      <w:pPr>
        <w:pStyle w:val="Heading2"/>
      </w:pPr>
      <w:r>
        <w:t xml:space="preserve">Appendix H: Automated PR Workflow (HIL Automation)</w:t>
      </w:r>
    </w:p>
    <w:bookmarkStart w:id="223" w:name="background-2"/>
    <w:p>
      <w:pPr>
        <w:pStyle w:val="Heading3"/>
      </w:pPr>
      <w:r>
        <w:t xml:space="preserve">Background</w:t>
      </w:r>
    </w:p>
    <w:p>
      <w:pPr>
        <w:pStyle w:val="FirstParagraph"/>
      </w:pPr>
      <w:r>
        <w:t xml:space="preserve">A key operational challenge for solo developers and small teams managing enterprise-grade codebases is maintaining code quality without a dedicated review team. The Firehorse model addresses this with a fully automated pull request review and merge workflow that replaces manual human-in-the-loop (HIL) code review with dual-model AI review.</w:t>
      </w:r>
    </w:p>
    <w:bookmarkEnd w:id="223"/>
    <w:bookmarkStart w:id="224" w:name="architecture"/>
    <w:p>
      <w:pPr>
        <w:pStyle w:val="Heading3"/>
      </w:pPr>
      <w: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bookmarkEnd w:id="224"/>
    <w:bookmarkStart w:id="225" w:name="components"/>
    <w:p>
      <w:pPr>
        <w:pStyle w:val="Heading3"/>
      </w:pPr>
      <w: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bookmarkEnd w:id="225"/>
    <w:bookmarkStart w:id="226" w:name="design-decisions"/>
    <w:p>
      <w:pPr>
        <w:pStyle w:val="Heading3"/>
      </w:pPr>
      <w:r>
        <w:t xml:space="preserve">Design Decisions</w:t>
      </w:r>
    </w:p>
    <w:p>
      <w:pPr>
        <w:numPr>
          <w:ilvl w:val="0"/>
          <w:numId w:val="1074"/>
        </w:numPr>
        <w:pStyle w:val="Compact"/>
      </w:pPr>
      <w:r>
        <w:rPr>
          <w:bCs/>
          <w:b/>
        </w:rPr>
        <w:t xml:space="preserve">Gemini defaults to REQUEST_CHANGES</w:t>
      </w:r>
      <w:r>
        <w:t xml:space="preserve"> </w:t>
      </w:r>
      <w:r>
        <w:t xml:space="preserve">— ensures every PR goes through at least one improvement cycle, even when the original implementation appears correct</w:t>
      </w:r>
    </w:p>
    <w:p>
      <w:pPr>
        <w:numPr>
          <w:ilvl w:val="0"/>
          <w:numId w:val="1074"/>
        </w:numPr>
        <w:pStyle w:val="Compact"/>
      </w:pPr>
      <w:r>
        <w:rPr>
          <w:bCs/>
          <w:b/>
        </w:rPr>
        <w:t xml:space="preserve">Dual-model review</w:t>
      </w:r>
      <w:r>
        <w:t xml:space="preserve"> </w:t>
      </w:r>
      <w:r>
        <w:t xml:space="preserve">— two different AI models catch different classes of issues (structural vs. security vs. convention)</w:t>
      </w:r>
    </w:p>
    <w:p>
      <w:pPr>
        <w:numPr>
          <w:ilvl w:val="0"/>
          <w:numId w:val="1074"/>
        </w:numPr>
        <w:pStyle w:val="Compact"/>
      </w:pPr>
      <w:r>
        <w:rPr>
          <w:bCs/>
          <w:b/>
        </w:rPr>
        <w:t xml:space="preserve">Automated fix loop</w:t>
      </w:r>
      <w:r>
        <w:t xml:space="preserve"> </w:t>
      </w:r>
      <w:r>
        <w:t xml:space="preserve">— structured fix instructions sent to</w:t>
      </w:r>
      <w:r>
        <w:t xml:space="preserve"> </w:t>
      </w:r>
      <w:r>
        <w:t xml:space="preserve">@copilot</w:t>
      </w:r>
      <w:r>
        <w:t xml:space="preserve">, which implements fixes and re-triggers review, reducing developer involvement to final skim (~5 min per PR)</w:t>
      </w:r>
    </w:p>
    <w:p>
      <w:pPr>
        <w:numPr>
          <w:ilvl w:val="0"/>
          <w:numId w:val="1074"/>
        </w:numPr>
        <w:pStyle w:val="Compact"/>
      </w:pPr>
      <w:r>
        <w:rPr>
          <w:bCs/>
          <w:b/>
        </w:rPr>
        <w:t xml:space="preserve">Human overrides</w:t>
      </w:r>
      <w:r>
        <w:t xml:space="preserve"> </w:t>
      </w:r>
      <w:r>
        <w:t xml:space="preserve">—</w:t>
      </w:r>
      <w:r>
        <w:t xml:space="preserve"> </w:t>
      </w:r>
      <w:r>
        <w:rPr>
          <w:rStyle w:val="VerbatimChar"/>
        </w:rPr>
        <w:t xml:space="preserve">do-not-merge</w:t>
      </w:r>
      <w:r>
        <w:t xml:space="preserve"> </w:t>
      </w:r>
      <w:r>
        <w:t xml:space="preserve">and</w:t>
      </w:r>
      <w:r>
        <w:t xml:space="preserve"> </w:t>
      </w:r>
      <w:r>
        <w:rPr>
          <w:rStyle w:val="VerbatimChar"/>
        </w:rPr>
        <w:t xml:space="preserve">needs-human-review</w:t>
      </w:r>
      <w:r>
        <w:t xml:space="preserve"> </w:t>
      </w:r>
      <w:r>
        <w:t xml:space="preserve">labels pause automation for manual review when needed</w:t>
      </w:r>
    </w:p>
    <w:bookmarkEnd w:id="226"/>
    <w:bookmarkStart w:id="227" w:name="relevance-to-thesis"/>
    <w:p>
      <w:pPr>
        <w:pStyle w:val="Heading3"/>
      </w:pPr>
      <w:r>
        <w:t xml:space="preserve">Relevance to Thesis</w:t>
      </w:r>
    </w:p>
    <w:p>
      <w:pPr>
        <w:pStyle w:val="FirstParagraph"/>
      </w:pPr>
      <w:r>
        <w:t xml:space="preserve">This workflow demonstrates the Solution Factory model (Section 5) operating at full automation: a single developer with AI agents produces enterprise-quality code at scale. The HIL learning pipeline (Section 6.7) feeds review insights back into agent training, creating a continuous improvement loop that aligns with EU AI Act Article 12 auditability requirements.</w:t>
      </w:r>
    </w:p>
    <w:bookmarkEnd w:id="227"/>
    <w:bookmarkStart w:id="228" w:name="deployment"/>
    <w:p>
      <w:pPr>
        <w:pStyle w:val="Heading3"/>
      </w:pPr>
      <w:r>
        <w:t xml:space="preserve">Deployment</w:t>
      </w:r>
    </w:p>
    <w:p>
      <w:pPr>
        <w:pStyle w:val="FirstParagraph"/>
      </w:pPr>
      <w:r>
        <w:t xml:space="preserve">Cloud Run service</w:t>
      </w:r>
      <w:r>
        <w:t xml:space="preserve"> </w:t>
      </w:r>
      <w:r>
        <w:rPr>
          <w:rStyle w:val="VerbatimChar"/>
        </w:rPr>
        <w:t xml:space="preserve">dws6run6</w:t>
      </w:r>
      <w:r>
        <w:t xml:space="preserve"> </w:t>
      </w:r>
      <w:r>
        <w:t xml:space="preserve">(europe-north1, Finland). MCP Hub exposes</w:t>
      </w:r>
      <w:r>
        <w:t xml:space="preserve"> </w:t>
      </w:r>
      <w:r>
        <w:rPr>
          <w:rStyle w:val="VerbatimChar"/>
        </w:rPr>
        <w:t xml:space="preserve">POST /gemini/review</w:t>
      </w:r>
      <w:r>
        <w:t xml:space="preserve"> </w:t>
      </w:r>
      <w:r>
        <w:t xml:space="preserve">for on-demand security analysis by any agent in the Firehorse fleet.</w:t>
      </w:r>
    </w:p>
    <w:p>
      <w:r>
        <w:pict>
          <v:rect style="width:0;height:1.5pt" o:hralign="center" o:hrstd="t" o:hr="t"/>
        </w:pict>
      </w:r>
    </w:p>
    <w:bookmarkEnd w:id="228"/>
    <w:bookmarkEnd w:id="229"/>
    <w:bookmarkStart w:id="236" w:name="X514ab14827699fe98a4a3ff155ec008c448dd87"/>
    <w:p>
      <w:pPr>
        <w:pStyle w:val="Heading2"/>
      </w:pPr>
      <w:r>
        <w:t xml:space="preserve">10.13 Climate IQ Pantheon — Greek/Roman God Multi-Agent System</w:t>
      </w:r>
    </w:p>
    <w:p>
      <w:pPr>
        <w:pStyle w:val="FirstParagraph"/>
      </w:pPr>
      <w:r>
        <w:t xml:space="preserve">Building on the DWS7 agent modernization framework (Section 10.9) and CEO Automation Agent Suite (Section 10.11), this section documents the</w:t>
      </w:r>
      <w:r>
        <w:t xml:space="preserve"> </w:t>
      </w:r>
      <w:r>
        <w:rPr>
          <w:bCs/>
          <w:b/>
        </w:rPr>
        <w:t xml:space="preserve">Climate IQ Pantheon</w:t>
      </w:r>
      <w:r>
        <w:t xml:space="preserve">: a production multi-agent system where each AI agent carries the identity and domain expertise of a Greek or Roman deity.</w:t>
      </w:r>
    </w:p>
    <w:bookmarkStart w:id="230" w:name="X4c750e880876313ef862c7f4ad4abe62b45b0b3"/>
    <w:p>
      <w:pPr>
        <w:pStyle w:val="Heading3"/>
      </w:pPr>
      <w:r>
        <w:t xml:space="preserve">Motivation: Agent Identity as Operational Design</w:t>
      </w:r>
    </w:p>
    <w:p>
      <w:pPr>
        <w:pStyle w:val="FirstParagraph"/>
      </w:pPr>
      <w:r>
        <w:t xml:space="preserve">Prior to this work, DWS IQ agents were functionally specialized (compliance, logistics, SEO) but lacked a coherent identity framework. The</w:t>
      </w:r>
      <w:r>
        <w:t xml:space="preserve"> </w:t>
      </w:r>
      <w:r>
        <w:rPr>
          <w:bCs/>
          <w:b/>
        </w:rPr>
        <w:t xml:space="preserve">SOUL.md pattern</w:t>
      </w:r>
      <w:r>
        <w:t xml:space="preserve"> </w:t>
      </w:r>
      <w:r>
        <w:t xml:space="preserve">addresses this: each agent has a Markdown identity file defining persona, behavioral rules, and tone. This SOUL is injected as the LLM system prompt at runtime, making identity persistent and testable.</w:t>
      </w:r>
    </w:p>
    <w:p>
      <w:pPr>
        <w:pStyle w:val="BodyText"/>
      </w:pPr>
      <w:r>
        <w:t xml:space="preserve">The Greek/Roman pantheon provides two complementary benefits:</w:t>
      </w:r>
    </w:p>
    <w:p>
      <w:pPr>
        <w:numPr>
          <w:ilvl w:val="0"/>
          <w:numId w:val="1075"/>
        </w:numPr>
        <w:pStyle w:val="Compact"/>
      </w:pPr>
      <w:r>
        <w:rPr>
          <w:bCs/>
          <w:b/>
        </w:rPr>
        <w:t xml:space="preserve">Memorability</w:t>
      </w:r>
      <w:r>
        <w:t xml:space="preserve"> </w:t>
      </w:r>
      <w:r>
        <w:t xml:space="preserve">— stakeholders immediately understand</w:t>
      </w:r>
      <w:r>
        <w:t xml:space="preserve"> </w:t>
      </w:r>
      <w:r>
        <w:t xml:space="preserve">“</w:t>
      </w:r>
      <w:r>
        <w:t xml:space="preserve">ask Athena</w:t>
      </w:r>
      <w:r>
        <w:t xml:space="preserve">”</w:t>
      </w:r>
      <w:r>
        <w:t xml:space="preserve"> </w:t>
      </w:r>
      <w:r>
        <w:t xml:space="preserve">vs</w:t>
      </w:r>
      <w:r>
        <w:t xml:space="preserve"> </w:t>
      </w:r>
      <w:r>
        <w:t xml:space="preserve">“</w:t>
      </w:r>
      <w:r>
        <w:t xml:space="preserve">ask Hermes</w:t>
      </w:r>
      <w:r>
        <w:t xml:space="preserve">”</w:t>
      </w:r>
    </w:p>
    <w:p>
      <w:pPr>
        <w:numPr>
          <w:ilvl w:val="0"/>
          <w:numId w:val="1075"/>
        </w:numPr>
        <w:pStyle w:val="Compact"/>
      </w:pPr>
      <w:r>
        <w:rPr>
          <w:bCs/>
          <w:b/>
        </w:rPr>
        <w:t xml:space="preserve">Behavioral precision</w:t>
      </w:r>
      <w:r>
        <w:t xml:space="preserve"> </w:t>
      </w:r>
      <w:r>
        <w:t xml:space="preserve">— mythological roles encode domain expertise (Athena = wisdom/law, Hermes = speed/routes, Hephaestus = craft/construction)</w:t>
      </w:r>
    </w:p>
    <w:bookmarkEnd w:id="230"/>
    <w:bookmarkStart w:id="231" w:name="X7765bed16a9fd2acb05ddf48e0385e54374d493"/>
    <w:p>
      <w:pPr>
        <w:pStyle w:val="Heading3"/>
      </w:pPr>
      <w:r>
        <w:t xml:space="preserve">Architecture: Six Orchestrators + Seven Industry Specialists</w:t>
      </w:r>
    </w:p>
    <w:p>
      <w:pPr>
        <w:pStyle w:val="FirstParagraph"/>
      </w:pPr>
      <w:r>
        <w:rPr>
          <w:bCs/>
          <w:b/>
        </w:rPr>
        <w:t xml:space="preserve">Tier 1 — Climate IQ Pantheon (Orchestrators)</w:t>
      </w:r>
    </w:p>
    <w:tbl>
      <w:tblPr>
        <w:tblStyle w:val="Table"/>
        <w:tblW w:type="pct" w:w="5000"/>
        <w:tblLook w:firstRow="1" w:lastRow="0" w:firstColumn="0" w:lastColumn="0" w:noHBand="0" w:noVBand="0" w:val="0020"/>
        <w:jc w:val="start"/>
      </w:tblPr>
      <w:tblGrid>
        <w:gridCol w:w="942"/>
        <w:gridCol w:w="1414"/>
        <w:gridCol w:w="1697"/>
        <w:gridCol w:w="3865"/>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Domain</w:t>
            </w:r>
          </w:p>
        </w:tc>
        <w:tc>
          <w:tcPr/>
          <w:p>
            <w:pPr>
              <w:pStyle w:val="Compact"/>
              <w:jc w:val="left"/>
            </w:pPr>
            <w:r>
              <w:t xml:space="preserve">Capabilities</w:t>
            </w:r>
          </w:p>
        </w:tc>
      </w:tr>
      <w:tr>
        <w:tc>
          <w:tcPr/>
          <w:p>
            <w:pPr>
              <w:pStyle w:val="Compact"/>
              <w:jc w:val="left"/>
            </w:pPr>
            <w:r>
              <w:t xml:space="preserve">Atlas</w:t>
            </w:r>
          </w:p>
        </w:tc>
        <w:tc>
          <w:tcPr/>
          <w:p>
            <w:pPr>
              <w:pStyle w:val="Compact"/>
              <w:jc w:val="left"/>
            </w:pPr>
            <w:r>
              <w:t xml:space="preserve">Titan (Greek)</w:t>
            </w:r>
          </w:p>
        </w:tc>
        <w:tc>
          <w:tcPr/>
          <w:p>
            <w:pPr>
              <w:pStyle w:val="Compact"/>
              <w:jc w:val="left"/>
            </w:pPr>
            <w:r>
              <w:t xml:space="preserve">Chief of Staff</w:t>
            </w:r>
          </w:p>
        </w:tc>
        <w:tc>
          <w:tcPr/>
          <w:p>
            <w:pPr>
              <w:pStyle w:val="Compact"/>
              <w:jc w:val="left"/>
            </w:pPr>
            <w:r>
              <w:t xml:space="preserve">Routing, synthesis, executive briefing</w:t>
            </w:r>
          </w:p>
        </w:tc>
      </w:tr>
      <w:tr>
        <w:tc>
          <w:tcPr/>
          <w:p>
            <w:pPr>
              <w:pStyle w:val="Compact"/>
              <w:jc w:val="left"/>
            </w:pPr>
            <w:r>
              <w:t xml:space="preserve">Athena</w:t>
            </w:r>
          </w:p>
        </w:tc>
        <w:tc>
          <w:tcPr/>
          <w:p>
            <w:pPr>
              <w:pStyle w:val="Compact"/>
              <w:jc w:val="left"/>
            </w:pPr>
            <w:r>
              <w:t xml:space="preserve">Goddess (Greek)</w:t>
            </w:r>
          </w:p>
        </w:tc>
        <w:tc>
          <w:tcPr/>
          <w:p>
            <w:pPr>
              <w:pStyle w:val="Compact"/>
              <w:jc w:val="left"/>
            </w:pPr>
            <w:r>
              <w:t xml:space="preserve">EU Compliance</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God (Greek)</w:t>
            </w:r>
          </w:p>
        </w:tc>
        <w:tc>
          <w:tcPr/>
          <w:p>
            <w:pPr>
              <w:pStyle w:val="Compact"/>
              <w:jc w:val="left"/>
            </w:pPr>
            <w:r>
              <w:t xml:space="preserve">Field &amp; Site</w:t>
            </w:r>
          </w:p>
        </w:tc>
        <w:tc>
          <w:tcPr/>
          <w:p>
            <w:pPr>
              <w:pStyle w:val="Compact"/>
              <w:jc w:val="left"/>
            </w:pPr>
            <w:r>
              <w:t xml:space="preserve">Site safety, materials, scheduling</w:t>
            </w:r>
          </w:p>
        </w:tc>
      </w:tr>
      <w:tr>
        <w:tc>
          <w:tcPr/>
          <w:p>
            <w:pPr>
              <w:pStyle w:val="Compact"/>
              <w:jc w:val="left"/>
            </w:pPr>
            <w:r>
              <w:t xml:space="preserve">Iris</w:t>
            </w:r>
          </w:p>
        </w:tc>
        <w:tc>
          <w:tcPr/>
          <w:p>
            <w:pPr>
              <w:pStyle w:val="Compact"/>
              <w:jc w:val="left"/>
            </w:pPr>
            <w:r>
              <w:t xml:space="preserve">Goddess (Greek)</w:t>
            </w:r>
          </w:p>
        </w:tc>
        <w:tc>
          <w:tcPr/>
          <w:p>
            <w:pPr>
              <w:pStyle w:val="Compact"/>
              <w:jc w:val="left"/>
            </w:pPr>
            <w:r>
              <w:t xml:space="preserve">Research &amp; Intel</w:t>
            </w:r>
          </w:p>
        </w:tc>
        <w:tc>
          <w:tcPr/>
          <w:p>
            <w:pPr>
              <w:pStyle w:val="Compact"/>
              <w:jc w:val="left"/>
            </w:pPr>
            <w:r>
              <w:t xml:space="preserve">Competitive intelligence, market research</w:t>
            </w:r>
          </w:p>
        </w:tc>
      </w:tr>
      <w:tr>
        <w:tc>
          <w:tcPr/>
          <w:p>
            <w:pPr>
              <w:pStyle w:val="Compact"/>
              <w:jc w:val="left"/>
            </w:pPr>
            <w:r>
              <w:t xml:space="preserve">Hermes</w:t>
            </w:r>
          </w:p>
        </w:tc>
        <w:tc>
          <w:tcPr/>
          <w:p>
            <w:pPr>
              <w:pStyle w:val="Compact"/>
              <w:jc w:val="left"/>
            </w:pPr>
            <w:r>
              <w:t xml:space="preserve">God (Greek)</w:t>
            </w:r>
          </w:p>
        </w:tc>
        <w:tc>
          <w:tcPr/>
          <w:p>
            <w:pPr>
              <w:pStyle w:val="Compact"/>
              <w:jc w:val="left"/>
            </w:pPr>
            <w:r>
              <w:t xml:space="preserve">Logistics &amp; Ops</w:t>
            </w:r>
          </w:p>
        </w:tc>
        <w:tc>
          <w:tcPr/>
          <w:p>
            <w:pPr>
              <w:pStyle w:val="Compact"/>
              <w:jc w:val="left"/>
            </w:pPr>
            <w:r>
              <w:t xml:space="preserve">Supply chain, critical path, quality gate</w:t>
            </w:r>
          </w:p>
        </w:tc>
      </w:tr>
      <w:tr>
        <w:tc>
          <w:tcPr/>
          <w:p>
            <w:pPr>
              <w:pStyle w:val="Compact"/>
              <w:jc w:val="left"/>
            </w:pPr>
            <w:r>
              <w:t xml:space="preserve">Apollo</w:t>
            </w:r>
          </w:p>
        </w:tc>
        <w:tc>
          <w:tcPr/>
          <w:p>
            <w:pPr>
              <w:pStyle w:val="Compact"/>
              <w:jc w:val="left"/>
            </w:pPr>
            <w:r>
              <w:t xml:space="preserve">God (Greek)</w:t>
            </w:r>
          </w:p>
        </w:tc>
        <w:tc>
          <w:tcPr/>
          <w:p>
            <w:pPr>
              <w:pStyle w:val="Compact"/>
              <w:jc w:val="left"/>
            </w:pPr>
            <w:r>
              <w:t xml:space="preserve">Content &amp; Outreach</w:t>
            </w:r>
          </w:p>
        </w:tc>
        <w:tc>
          <w:tcPr/>
          <w:p>
            <w:pPr>
              <w:pStyle w:val="Compact"/>
              <w:jc w:val="left"/>
            </w:pPr>
            <w:r>
              <w:t xml:space="preserve">SEO, content strategy, sales outreach</w:t>
            </w:r>
          </w:p>
        </w:tc>
      </w:tr>
    </w:tbl>
    <w:p>
      <w:pPr>
        <w:pStyle w:val="BodyText"/>
      </w:pPr>
      <w:r>
        <w:rPr>
          <w:bCs/>
          <w:b/>
        </w:rPr>
        <w:t xml:space="preserve">Tier 2 — Industry Specialists</w:t>
      </w:r>
    </w:p>
    <w:tbl>
      <w:tblPr>
        <w:tblStyle w:val="Table"/>
        <w:tblW w:type="pct" w:w="5000"/>
        <w:tblLook w:firstRow="1" w:lastRow="0" w:firstColumn="0" w:lastColumn="0" w:noHBand="0" w:noVBand="0" w:val="0020"/>
        <w:jc w:val="start"/>
      </w:tblPr>
      <w:tblGrid>
        <w:gridCol w:w="1115"/>
        <w:gridCol w:w="557"/>
        <w:gridCol w:w="2788"/>
        <w:gridCol w:w="3458"/>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Industry</w:t>
            </w:r>
          </w:p>
        </w:tc>
        <w:tc>
          <w:tcPr/>
          <w:p>
            <w:pPr>
              <w:pStyle w:val="Compact"/>
              <w:jc w:val="left"/>
            </w:pPr>
            <w:r>
              <w:t xml:space="preserve">Key Regulation</w:t>
            </w:r>
          </w:p>
        </w:tc>
      </w:tr>
      <w:tr>
        <w:tc>
          <w:tcPr/>
          <w:p>
            <w:pPr>
              <w:pStyle w:val="Compact"/>
              <w:jc w:val="left"/>
            </w:pPr>
            <w:r>
              <w:t xml:space="preserve">Vulcan</w:t>
            </w:r>
          </w:p>
        </w:tc>
        <w:tc>
          <w:tcPr/>
          <w:p>
            <w:pPr>
              <w:pStyle w:val="Compact"/>
              <w:jc w:val="left"/>
            </w:pPr>
            <w:r>
              <w:t xml:space="preserve">Roman</w:t>
            </w:r>
          </w:p>
        </w:tc>
        <w:tc>
          <w:tcPr/>
          <w:p>
            <w:pPr>
              <w:pStyle w:val="Compact"/>
              <w:jc w:val="left"/>
            </w:pPr>
            <w:r>
              <w:t xml:space="preserve">Steel &amp; Metals</w:t>
            </w:r>
          </w:p>
        </w:tc>
        <w:tc>
          <w:tcPr/>
          <w:p>
            <w:pPr>
              <w:pStyle w:val="Compact"/>
              <w:jc w:val="left"/>
            </w:pPr>
            <w:r>
              <w:t xml:space="preserve">ETS Phase 4, CBAM iron/steel</w:t>
            </w:r>
          </w:p>
        </w:tc>
      </w:tr>
      <w:tr>
        <w:tc>
          <w:tcPr/>
          <w:p>
            <w:pPr>
              <w:pStyle w:val="Compact"/>
              <w:jc w:val="left"/>
            </w:pPr>
            <w:r>
              <w:t xml:space="preserve">Helios</w:t>
            </w:r>
          </w:p>
        </w:tc>
        <w:tc>
          <w:tcPr/>
          <w:p>
            <w:pPr>
              <w:pStyle w:val="Compact"/>
              <w:jc w:val="left"/>
            </w:pPr>
            <w:r>
              <w:t xml:space="preserve">Greek</w:t>
            </w:r>
          </w:p>
        </w:tc>
        <w:tc>
          <w:tcPr/>
          <w:p>
            <w:pPr>
              <w:pStyle w:val="Compact"/>
              <w:jc w:val="left"/>
            </w:pPr>
            <w:r>
              <w:t xml:space="preserve">Energy &amp; Renewables</w:t>
            </w:r>
          </w:p>
        </w:tc>
        <w:tc>
          <w:tcPr/>
          <w:p>
            <w:pPr>
              <w:pStyle w:val="Compact"/>
              <w:jc w:val="left"/>
            </w:pPr>
            <w:r>
              <w:t xml:space="preserve">RED III, 42.5% target by 2030</w:t>
            </w:r>
          </w:p>
        </w:tc>
      </w:tr>
      <w:tr>
        <w:tc>
          <w:tcPr/>
          <w:p>
            <w:pPr>
              <w:pStyle w:val="Compact"/>
              <w:jc w:val="left"/>
            </w:pPr>
            <w:r>
              <w:t xml:space="preserve">Neptune</w:t>
            </w:r>
          </w:p>
        </w:tc>
        <w:tc>
          <w:tcPr/>
          <w:p>
            <w:pPr>
              <w:pStyle w:val="Compact"/>
              <w:jc w:val="left"/>
            </w:pPr>
            <w:r>
              <w:t xml:space="preserve">Roman</w:t>
            </w:r>
          </w:p>
        </w:tc>
        <w:tc>
          <w:tcPr/>
          <w:p>
            <w:pPr>
              <w:pStyle w:val="Compact"/>
              <w:jc w:val="left"/>
            </w:pPr>
            <w:r>
              <w:t xml:space="preserve">Maritime &amp; Shipping</w:t>
            </w:r>
          </w:p>
        </w:tc>
        <w:tc>
          <w:tcPr/>
          <w:p>
            <w:pPr>
              <w:pStyle w:val="Compact"/>
              <w:jc w:val="left"/>
            </w:pPr>
            <w:r>
              <w:t xml:space="preserve">FuelEU Maritime, ETS 40/70/100%</w:t>
            </w:r>
          </w:p>
        </w:tc>
      </w:tr>
      <w:tr>
        <w:tc>
          <w:tcPr/>
          <w:p>
            <w:pPr>
              <w:pStyle w:val="Compact"/>
              <w:jc w:val="left"/>
            </w:pPr>
            <w:r>
              <w:t xml:space="preserve">Ceres</w:t>
            </w:r>
          </w:p>
        </w:tc>
        <w:tc>
          <w:tcPr/>
          <w:p>
            <w:pPr>
              <w:pStyle w:val="Compact"/>
              <w:jc w:val="left"/>
            </w:pPr>
            <w:r>
              <w:t xml:space="preserve">Roman</w:t>
            </w:r>
          </w:p>
        </w:tc>
        <w:tc>
          <w:tcPr/>
          <w:p>
            <w:pPr>
              <w:pStyle w:val="Compact"/>
              <w:jc w:val="left"/>
            </w:pPr>
            <w:r>
              <w:t xml:space="preserve">Agriculture &amp; Fertilizers</w:t>
            </w:r>
          </w:p>
        </w:tc>
        <w:tc>
          <w:tcPr/>
          <w:p>
            <w:pPr>
              <w:pStyle w:val="Compact"/>
              <w:jc w:val="left"/>
            </w:pPr>
            <w:r>
              <w:t xml:space="preserve">CBAM fertilizers, N2O emissions</w:t>
            </w:r>
          </w:p>
        </w:tc>
      </w:tr>
      <w:tr>
        <w:tc>
          <w:tcPr/>
          <w:p>
            <w:pPr>
              <w:pStyle w:val="Compact"/>
              <w:jc w:val="left"/>
            </w:pPr>
            <w:r>
              <w:t xml:space="preserve">Prometheus</w:t>
            </w:r>
          </w:p>
        </w:tc>
        <w:tc>
          <w:tcPr/>
          <w:p>
            <w:pPr>
              <w:pStyle w:val="Compact"/>
              <w:jc w:val="left"/>
            </w:pPr>
            <w:r>
              <w:t xml:space="preserve">Greek</w:t>
            </w:r>
          </w:p>
        </w:tc>
        <w:tc>
          <w:tcPr/>
          <w:p>
            <w:pPr>
              <w:pStyle w:val="Compact"/>
              <w:jc w:val="left"/>
            </w:pPr>
            <w:r>
              <w:t xml:space="preserve">Hydrogen</w:t>
            </w:r>
          </w:p>
        </w:tc>
        <w:tc>
          <w:tcPr/>
          <w:p>
            <w:pPr>
              <w:pStyle w:val="Compact"/>
              <w:jc w:val="left"/>
            </w:pPr>
            <w:r>
              <w:t xml:space="preserve">RFNBO additionality, RED III</w:t>
            </w:r>
          </w:p>
        </w:tc>
      </w:tr>
      <w:tr>
        <w:tc>
          <w:tcPr/>
          <w:p>
            <w:pPr>
              <w:pStyle w:val="Compact"/>
              <w:jc w:val="left"/>
            </w:pPr>
            <w:r>
              <w:t xml:space="preserve">Mars</w:t>
            </w:r>
          </w:p>
        </w:tc>
        <w:tc>
          <w:tcPr/>
          <w:p>
            <w:pPr>
              <w:pStyle w:val="Compact"/>
              <w:jc w:val="left"/>
            </w:pPr>
            <w:r>
              <w:t xml:space="preserve">Roman</w:t>
            </w:r>
          </w:p>
        </w:tc>
        <w:tc>
          <w:tcPr/>
          <w:p>
            <w:pPr>
              <w:pStyle w:val="Compact"/>
              <w:jc w:val="left"/>
            </w:pPr>
            <w:r>
              <w:t xml:space="preserve">Construction &amp; Buildings</w:t>
            </w:r>
          </w:p>
        </w:tc>
        <w:tc>
          <w:tcPr/>
          <w:p>
            <w:pPr>
              <w:pStyle w:val="Compact"/>
              <w:jc w:val="left"/>
            </w:pPr>
            <w:r>
              <w:t xml:space="preserve">EPBD recast, EN 15978</w:t>
            </w:r>
          </w:p>
        </w:tc>
      </w:tr>
      <w:tr>
        <w:tc>
          <w:tcPr/>
          <w:p>
            <w:pPr>
              <w:pStyle w:val="Compact"/>
              <w:jc w:val="left"/>
            </w:pPr>
            <w:r>
              <w:t xml:space="preserve">Gaia</w:t>
            </w:r>
          </w:p>
        </w:tc>
        <w:tc>
          <w:tcPr/>
          <w:p>
            <w:pPr>
              <w:pStyle w:val="Compact"/>
              <w:jc w:val="left"/>
            </w:pPr>
            <w:r>
              <w:t xml:space="preserve">Greek</w:t>
            </w:r>
          </w:p>
        </w:tc>
        <w:tc>
          <w:tcPr/>
          <w:p>
            <w:pPr>
              <w:pStyle w:val="Compact"/>
              <w:jc w:val="left"/>
            </w:pPr>
            <w:r>
              <w:t xml:space="preserve">Cement &amp; Earth Materials</w:t>
            </w:r>
          </w:p>
        </w:tc>
        <w:tc>
          <w:tcPr/>
          <w:p>
            <w:pPr>
              <w:pStyle w:val="Compact"/>
              <w:jc w:val="left"/>
            </w:pPr>
            <w:r>
              <w:t xml:space="preserve">CBAM clinker benchmark, ETS</w:t>
            </w:r>
          </w:p>
        </w:tc>
      </w:tr>
    </w:tbl>
    <w:bookmarkEnd w:id="231"/>
    <w:bookmarkStart w:id="232" w:name="X5d51ac56578142084380cb61d7cd2dfbb022314"/>
    <w:p>
      <w:pPr>
        <w:pStyle w:val="Heading3"/>
      </w:pPr>
      <w:r>
        <w:t xml:space="preserve">Implementation: SOUL.md + BaseAgent Architecture</w:t>
      </w:r>
    </w:p>
    <w:p>
      <w:pPr>
        <w:pStyle w:val="FirstParagraph"/>
      </w:pPr>
      <w:r>
        <w:t xml:space="preserve">Each Pantheon agent follows the file structure established in Section 10.9:</w:t>
      </w:r>
    </w:p>
    <w:p>
      <w:pPr>
        <w:pStyle w:val="SourceCode"/>
      </w:pPr>
      <w:r>
        <w:rPr>
          <w:rStyle w:val="VerbatimChar"/>
        </w:rPr>
        <w:t xml:space="preserve">src/agents/workflow/{agent}/</w:t>
      </w:r>
      <w:r>
        <w:br/>
      </w:r>
      <w:r>
        <w:rPr>
          <w:rStyle w:val="VerbatimChar"/>
        </w:rPr>
        <w:t xml:space="preserve">├── SOUL.md          # Identity: persona, tone, behavioral rules</w:t>
      </w:r>
      <w:r>
        <w:br/>
      </w:r>
      <w:r>
        <w:rPr>
          <w:rStyle w:val="VerbatimChar"/>
        </w:rPr>
        <w:t xml:space="preserve">└── {agent}.agent.ts # TypeScript: execute(), callLLM(), logExecution()</w:t>
      </w:r>
    </w:p>
    <w:p>
      <w:pPr>
        <w:pStyle w:val="FirstParagraph"/>
      </w:pPr>
      <w:r>
        <w:t xml:space="preserve">A critical audit finding (resolved this session) was that SOUL constants were defined but never wired into the LLM system prompt. The fix adds</w:t>
      </w:r>
      <w:r>
        <w:t xml:space="preserve"> </w:t>
      </w:r>
      <w:r>
        <w:rPr>
          <w:rStyle w:val="VerbatimChar"/>
        </w:rPr>
        <w:t xml:space="preserve">soulPrompt</w:t>
      </w:r>
      <w:r>
        <w:t xml:space="preserve"> </w:t>
      </w:r>
      <w:r>
        <w:t xml:space="preserve">property and</w:t>
      </w:r>
      <w:r>
        <w:t xml:space="preserve"> </w:t>
      </w:r>
      <w:r>
        <w:rPr>
          <w:rStyle w:val="VerbatimChar"/>
        </w:rPr>
        <w:t xml:space="preserve">systemPromptOverride</w:t>
      </w:r>
      <w:r>
        <w:t xml:space="preserve"> </w:t>
      </w:r>
      <w:r>
        <w:t xml:space="preserve">parameter to</w:t>
      </w:r>
      <w:r>
        <w:t xml:space="preserve"> </w:t>
      </w:r>
      <w:r>
        <w:rPr>
          <w:rStyle w:val="VerbatimChar"/>
        </w:rPr>
        <w:t xml:space="preserve">BaseAgent.callLLM()</w:t>
      </w:r>
      <w:r>
        <w:t xml:space="preserve">:</w:t>
      </w:r>
    </w:p>
    <w:p>
      <w:pPr>
        <w:pStyle w:val="SourceCode"/>
      </w:pPr>
      <w:r>
        <w:rPr>
          <w:rStyle w:val="CommentTok"/>
        </w:rPr>
        <w:t xml:space="preserve">// Priority: explicit override &gt; soulPrompt &gt; generic fallback</w:t>
      </w:r>
      <w:r>
        <w:br/>
      </w:r>
      <w:r>
        <w:rPr>
          <w:rStyle w:val="KeywordTok"/>
        </w:rPr>
        <w:t xml:space="preserve">const</w:t>
      </w:r>
      <w:r>
        <w:rPr>
          <w:rStyle w:val="NormalTok"/>
        </w:rPr>
        <w:t xml:space="preserve"> systemContent </w:t>
      </w:r>
      <w:r>
        <w:rPr>
          <w:rStyle w:val="OperatorTok"/>
        </w:rPr>
        <w:t xml:space="preserve">=</w:t>
      </w:r>
      <w:r>
        <w:rPr>
          <w:rStyle w:val="NormalTok"/>
        </w:rPr>
        <w:t xml:space="preserve"> systemPromptOverride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soulPrompt</w:t>
      </w:r>
      <w:r>
        <w:rPr>
          <w:rStyle w:val="NormalTok"/>
        </w:rPr>
        <w:t xml:space="preserve"> </w:t>
      </w:r>
      <w:r>
        <w:rPr>
          <w:rStyle w:val="OperatorTok"/>
        </w:rPr>
        <w:t xml:space="preserve">??</w:t>
      </w:r>
      <w:r>
        <w:rPr>
          <w:rStyle w:val="NormalTok"/>
        </w:rPr>
        <w:t xml:space="preserve"> genericFallback</w:t>
      </w:r>
      <w:r>
        <w:rPr>
          <w:rStyle w:val="OperatorTok"/>
        </w:rPr>
        <w:t xml:space="preserve">;</w:t>
      </w:r>
    </w:p>
    <w:bookmarkEnd w:id="232"/>
    <w:bookmarkStart w:id="233" w:name="security-prompt-injection-fix"/>
    <w:p>
      <w:pPr>
        <w:pStyle w:val="Heading3"/>
      </w:pPr>
      <w:r>
        <w:t xml:space="preserve">Security: Prompt Injection Fix</w:t>
      </w:r>
    </w:p>
    <w:p>
      <w:pPr>
        <w:pStyle w:val="FirstParagraph"/>
      </w:pPr>
      <w:r>
        <w:rPr>
          <w:rStyle w:val="VerbatimChar"/>
        </w:rPr>
        <w:t xml:space="preserve">HermesAgent</w:t>
      </w:r>
      <w:r>
        <w:t xml:space="preserve"> </w:t>
      </w:r>
      <w:r>
        <w:t xml:space="preserve">was found forwarding arbitrary caller keys via</w:t>
      </w:r>
      <w:r>
        <w:t xml:space="preserve"> </w:t>
      </w:r>
      <w:r>
        <w:rPr>
          <w:rStyle w:val="VerbatimChar"/>
        </w:rPr>
        <w:t xml:space="preserve">...input</w:t>
      </w:r>
      <w:r>
        <w:t xml:space="preserve"> </w:t>
      </w:r>
      <w:r>
        <w:t xml:space="preserve">spread to sub-agents — a prompt injection vector. All spreads were replaced with explicit field extraction (typed guards per field), aligning with the input validation security principle from the 2026-02-21 vulnerability assessment.</w:t>
      </w:r>
    </w:p>
    <w:bookmarkEnd w:id="233"/>
    <w:bookmarkStart w:id="234" w:name="eu-ai-act-article-12-compliance"/>
    <w:p>
      <w:pPr>
        <w:pStyle w:val="Heading3"/>
      </w:pPr>
      <w:r>
        <w:t xml:space="preserve">EU AI Act Article 12 Compliance</w:t>
      </w:r>
    </w:p>
    <w:p>
      <w:pPr>
        <w:pStyle w:val="FirstParagraph"/>
      </w:pPr>
      <w:r>
        <w:t xml:space="preserve">All 13 agents call</w:t>
      </w:r>
      <w:r>
        <w:t xml:space="preserve"> </w:t>
      </w:r>
      <w:r>
        <w:rPr>
          <w:rStyle w:val="VerbatimChar"/>
        </w:rPr>
        <w:t xml:space="preserve">logExecution()</w:t>
      </w:r>
      <w:r>
        <w:t xml:space="preserve"> </w:t>
      </w:r>
      <w:r>
        <w:t xml:space="preserve">at start and completion, writing to the</w:t>
      </w:r>
      <w:r>
        <w:t xml:space="preserve"> </w:t>
      </w:r>
      <w:r>
        <w:rPr>
          <w:rStyle w:val="VerbatimChar"/>
        </w:rPr>
        <w:t xml:space="preserve">agent_executions</w:t>
      </w:r>
      <w:r>
        <w:t xml:space="preserve"> </w:t>
      </w:r>
      <w:r>
        <w:t xml:space="preserve">Supabase table. This satisfies Article 12 automatic logging requirements for High-Risk AI systems, with traceability metadata: agent name, session ID, org ID, user ID, confidence, duration, and LLM token counts.</w:t>
      </w:r>
    </w:p>
    <w:bookmarkEnd w:id="234"/>
    <w:bookmarkStart w:id="235" w:name="business-value-the-marketing-wedge"/>
    <w:p>
      <w:pPr>
        <w:pStyle w:val="Heading3"/>
      </w:pPr>
      <w:r>
        <w:t xml:space="preserve">Business Value: The Marketing Wedge</w:t>
      </w:r>
    </w:p>
    <w:p>
      <w:pPr>
        <w:pStyle w:val="FirstParagraph"/>
      </w:pPr>
      <w:r>
        <w:t xml:space="preserve">The Pantheon naming strategy doubles as a marketing wedge. Each agent carries a humorous one-liner making enterprise AI approachable:</w:t>
      </w:r>
    </w:p>
    <w:p>
      <w:pPr>
        <w:numPr>
          <w:ilvl w:val="0"/>
          <w:numId w:val="1076"/>
        </w:numPr>
        <w:pStyle w:val="Compact"/>
      </w:pPr>
      <w:r>
        <w:rPr>
          <w:bCs/>
          <w:b/>
        </w:rPr>
        <w:t xml:space="preserve">Athena:</w:t>
      </w:r>
      <w:r>
        <w:t xml:space="preserve"> </w:t>
      </w:r>
      <w:r>
        <w:t xml:space="preserve">“</w:t>
      </w:r>
      <w:r>
        <w:t xml:space="preserve">Has memorized every EU regulation since 2005. Corrects lawyers. Unprompted.</w:t>
      </w:r>
      <w:r>
        <w:t xml:space="preserve">”</w:t>
      </w:r>
    </w:p>
    <w:p>
      <w:pPr>
        <w:numPr>
          <w:ilvl w:val="0"/>
          <w:numId w:val="1076"/>
        </w:numPr>
        <w:pStyle w:val="Compact"/>
      </w:pPr>
      <w:r>
        <w:rPr>
          <w:bCs/>
          <w:b/>
        </w:rPr>
        <w:t xml:space="preserve">Hermes:</w:t>
      </w:r>
      <w:r>
        <w:t xml:space="preserve"> </w:t>
      </w:r>
      <w:r>
        <w:t xml:space="preserve">“</w:t>
      </w:r>
      <w:r>
        <w:t xml:space="preserve">Optimizes your supply chain while you’re still figuring out where the warehouse is.</w:t>
      </w:r>
      <w:r>
        <w:t xml:space="preserve">”</w:t>
      </w:r>
    </w:p>
    <w:p>
      <w:pPr>
        <w:numPr>
          <w:ilvl w:val="0"/>
          <w:numId w:val="1076"/>
        </w:numPr>
        <w:pStyle w:val="Compact"/>
      </w:pPr>
      <w:r>
        <w:rPr>
          <w:bCs/>
          <w:b/>
        </w:rPr>
        <w:t xml:space="preserve">Apollo:</w:t>
      </w:r>
      <w:r>
        <w:t xml:space="preserve"> </w:t>
      </w:r>
      <w:r>
        <w:t xml:space="preserve">“</w:t>
      </w:r>
      <w:r>
        <w:t xml:space="preserve">Writes your sales copy, ranks it on Google, and sends the follow-up email. Probably already did it.</w:t>
      </w:r>
      <w:r>
        <w:t xml:space="preserve">”</w:t>
      </w:r>
    </w:p>
    <w:p>
      <w:pPr>
        <w:numPr>
          <w:ilvl w:val="0"/>
          <w:numId w:val="1076"/>
        </w:numPr>
        <w:pStyle w:val="Compact"/>
      </w:pPr>
      <w:r>
        <w:rPr>
          <w:bCs/>
          <w:b/>
        </w:rPr>
        <w:t xml:space="preserve">Vulcan:</w:t>
      </w:r>
      <w:r>
        <w:t xml:space="preserve"> </w:t>
      </w:r>
      <w:r>
        <w:t xml:space="preserve">“</w:t>
      </w:r>
      <w:r>
        <w:t xml:space="preserve">Turns ETS carbon prices into competitive strategy. Red-hot accuracy.</w:t>
      </w:r>
      <w:r>
        <w:t xml:space="preserve">”</w:t>
      </w:r>
    </w:p>
    <w:p>
      <w:pPr>
        <w:pStyle w:val="FirstParagraph"/>
      </w:pPr>
      <w:r>
        <w:t xml:space="preserve">These personas appear at onelifetime.world/team alongside human staff, reinforcing the product thesis: humans and AI agents work side by side. One of them never sleeps.</w:t>
      </w:r>
    </w:p>
    <w:bookmarkEnd w:id="235"/>
    <w:bookmarkEnd w:id="236"/>
    <w:bookmarkStart w:id="243" w:name="Xe3d903b88289159370153659501fd21cf674755"/>
    <w:p>
      <w:pPr>
        <w:pStyle w:val="Heading2"/>
      </w:pPr>
      <w:r>
        <w:t xml:space="preserve">10.14 Agent System Hardening — Production Reliability</w:t>
      </w:r>
    </w:p>
    <w:bookmarkStart w:id="237" w:name="motivation-1"/>
    <w:p>
      <w:pPr>
        <w:pStyle w:val="Heading3"/>
      </w:pPr>
      <w:r>
        <w:t xml:space="preserve">10.14.1 Motivation</w:t>
      </w:r>
    </w:p>
    <w:p>
      <w:pPr>
        <w:pStyle w:val="FirstParagraph"/>
      </w:pPr>
      <w:r>
        <w:t xml:space="preserve">The 31-agent system (13 core + 5 SEO + 13 workflow/industry) had accumulated 6 TypeScript compilation errors and 3 test failures that blocked production builds. These were not design flaws but integration debt: type mismatches across module boundaries, missing route wiring, uninstalled dependencies, and locale-dependent formatting. This section documents the systematic hardening that restored zero-error compilation and full test coverage.</w:t>
      </w:r>
    </w:p>
    <w:bookmarkEnd w:id="237"/>
    <w:bookmarkStart w:id="238" w:name="type-system-alignment-sandboxcontext"/>
    <w:p>
      <w:pPr>
        <w:pStyle w:val="Heading3"/>
      </w:pPr>
      <w:r>
        <w:t xml:space="preserve">10.14.2 Type System Alignment: SandboxContext</w:t>
      </w:r>
    </w:p>
    <w:p>
      <w:pPr>
        <w:pStyle w:val="FirstParagraph"/>
      </w:pPr>
      <w:r>
        <w:t xml:space="preserve">The</w:t>
      </w:r>
      <w:r>
        <w:t xml:space="preserve"> </w:t>
      </w:r>
      <w:r>
        <w:rPr>
          <w:rStyle w:val="VerbatimChar"/>
        </w:rPr>
        <w:t xml:space="preserve">SandboxStage</w:t>
      </w:r>
      <w:r>
        <w:t xml:space="preserve"> </w:t>
      </w:r>
      <w:r>
        <w:t xml:space="preserve">type in</w:t>
      </w:r>
      <w:r>
        <w:t xml:space="preserve"> </w:t>
      </w:r>
      <w:r>
        <w:rPr>
          <w:rStyle w:val="VerbatimChar"/>
        </w:rPr>
        <w:t xml:space="preserve">src/sandbox/index.ts</w:t>
      </w:r>
      <w:r>
        <w:t xml:space="preserve"> </w:t>
      </w:r>
      <w:r>
        <w:t xml:space="preserve">defined four stages:</w:t>
      </w:r>
      <w:r>
        <w:t xml:space="preserve"> </w:t>
      </w:r>
      <w:r>
        <w:rPr>
          <w:rStyle w:val="VerbatimChar"/>
        </w:rPr>
        <w:t xml:space="preserve">'1' | 'opensandbox' | '2' | '3'</w:t>
      </w:r>
      <w:r>
        <w:t xml:space="preserve">, where</w:t>
      </w:r>
      <w:r>
        <w:t xml:space="preserve"> </w:t>
      </w:r>
      <w:r>
        <w:rPr>
          <w:rStyle w:val="VerbatimChar"/>
        </w:rPr>
        <w:t xml:space="preserve">'opensandbox'</w:t>
      </w:r>
      <w:r>
        <w:t xml:space="preserve"> </w:t>
      </w:r>
      <w:r>
        <w:t xml:space="preserve">represents the Stage 1.5 Docker-based isolation on Acer Veriton GN100 hardware (Section 10.10). However,</w:t>
      </w:r>
      <w:r>
        <w:t xml:space="preserve"> </w:t>
      </w:r>
      <w:r>
        <w:rPr>
          <w:rStyle w:val="VerbatimChar"/>
        </w:rPr>
        <w:t xml:space="preserve">SandboxContext.stage</w:t>
      </w:r>
      <w:r>
        <w:t xml:space="preserve"> </w:t>
      </w:r>
      <w:r>
        <w:t xml:space="preserve">in</w:t>
      </w:r>
      <w:r>
        <w:t xml:space="preserve"> </w:t>
      </w:r>
      <w:r>
        <w:rPr>
          <w:rStyle w:val="VerbatimChar"/>
        </w:rPr>
        <w:t xml:space="preserve">src/agents/types.ts</w:t>
      </w:r>
      <w:r>
        <w:t xml:space="preserve"> </w:t>
      </w:r>
      <w:r>
        <w:t xml:space="preserve">only accepted</w:t>
      </w:r>
      <w:r>
        <w:t xml:space="preserve"> </w:t>
      </w:r>
      <w:r>
        <w:rPr>
          <w:rStyle w:val="VerbatimChar"/>
        </w:rPr>
        <w:t xml:space="preserve">'1' | '2' | '3'</w:t>
      </w:r>
      <w:r>
        <w:t xml:space="preserve">, creating a compile-time error when</w:t>
      </w:r>
      <w:r>
        <w:t xml:space="preserve"> </w:t>
      </w:r>
      <w:r>
        <w:rPr>
          <w:rStyle w:val="VerbatimChar"/>
        </w:rPr>
        <w:t xml:space="preserve">BaseAgent</w:t>
      </w:r>
      <w:r>
        <w:t xml:space="preserve"> </w:t>
      </w:r>
      <w:r>
        <w:t xml:space="preserve">attempted to assign the sandbox stage. The fix aligned both types, ensuring agents can execute in all four isolation stages.</w:t>
      </w:r>
    </w:p>
    <w:bookmarkEnd w:id="238"/>
    <w:bookmarkStart w:id="239" w:name="route-wiring-mcp-and-human-in-the-loop"/>
    <w:p>
      <w:pPr>
        <w:pStyle w:val="Heading3"/>
      </w:pPr>
      <w:r>
        <w:t xml:space="preserve">10.14.3 Route Wiring: MCP and Human-in-the-Loop</w:t>
      </w:r>
    </w:p>
    <w:p>
      <w:pPr>
        <w:pStyle w:val="FirstParagraph"/>
      </w:pPr>
      <w:r>
        <w:t xml:space="preserve">Two critical routes were unreachable due to missing imports in</w:t>
      </w:r>
      <w:r>
        <w:t xml:space="preserve"> </w:t>
      </w:r>
      <w:r>
        <w:rPr>
          <w:rStyle w:val="VerbatimChar"/>
        </w:rPr>
        <w:t xml:space="preserve">src/app.ts</w:t>
      </w:r>
      <w:r>
        <w:t xml:space="preserve">:</w:t>
      </w:r>
    </w:p>
    <w:p>
      <w:pPr>
        <w:numPr>
          <w:ilvl w:val="0"/>
          <w:numId w:val="1077"/>
        </w:numPr>
      </w:pPr>
      <w:r>
        <w:rPr>
          <w:bCs/>
          <w:b/>
        </w:rPr>
        <w:t xml:space="preserve">MCP Agent Server</w:t>
      </w:r>
      <w:r>
        <w:t xml:space="preserve"> </w:t>
      </w:r>
      <w:r>
        <w:t xml:space="preserve">(</w:t>
      </w:r>
      <w:r>
        <w:rPr>
          <w:rStyle w:val="VerbatimChar"/>
        </w:rPr>
        <w:t xml:space="preserve">/mcp</w:t>
      </w:r>
      <w:r>
        <w:t xml:space="preserve">) — The</w:t>
      </w:r>
      <w:r>
        <w:t xml:space="preserve"> </w:t>
      </w:r>
      <w:r>
        <w:rPr>
          <w:rStyle w:val="VerbatimChar"/>
        </w:rPr>
        <w:t xml:space="preserve">createMCPRouter()</w:t>
      </w:r>
      <w:r>
        <w:t xml:space="preserve"> </w:t>
      </w:r>
      <w:r>
        <w:t xml:space="preserve">function from</w:t>
      </w:r>
      <w:r>
        <w:t xml:space="preserve"> </w:t>
      </w:r>
      <w:r>
        <w:rPr>
          <w:rStyle w:val="VerbatimChar"/>
        </w:rPr>
        <w:t xml:space="preserve">src/mcp/agent-server.ts</w:t>
      </w:r>
      <w:r>
        <w:t xml:space="preserve"> </w:t>
      </w:r>
      <w:r>
        <w:t xml:space="preserve">exposes all agents as MCP tools via JSON-RPC 2.0. Without this import, external MCP clients (Claude Desktop, other AI agents) could not discover or invoke DWS agents.</w:t>
      </w:r>
    </w:p>
    <w:p>
      <w:pPr>
        <w:numPr>
          <w:ilvl w:val="0"/>
          <w:numId w:val="1077"/>
        </w:numPr>
      </w:pPr>
      <w:r>
        <w:rPr>
          <w:bCs/>
          <w:b/>
        </w:rPr>
        <w:t xml:space="preserve">Human-in-the-Loop</w:t>
      </w:r>
      <w:r>
        <w:t xml:space="preserve"> </w:t>
      </w:r>
      <w:r>
        <w:t xml:space="preserve">(</w:t>
      </w:r>
      <w:r>
        <w:rPr>
          <w:rStyle w:val="VerbatimChar"/>
        </w:rPr>
        <w:t xml:space="preserve">/api/hil</w:t>
      </w:r>
      <w:r>
        <w:t xml:space="preserve">) — The HIL endpoint enables one-click task completion from morning briefing emails. Without this route, the Captain Pre-Briefing Agent’s</w:t>
      </w:r>
      <w:r>
        <w:t xml:space="preserve"> </w:t>
      </w:r>
      <w:r>
        <w:t xml:space="preserve">“</w:t>
      </w:r>
      <w:r>
        <w:t xml:space="preserve">Done</w:t>
      </w:r>
      <w:r>
        <w:t xml:space="preserve">”</w:t>
      </w:r>
      <w:r>
        <w:t xml:space="preserve"> </w:t>
      </w:r>
      <w:r>
        <w:t xml:space="preserve">buttons returned 404 errors.</w:t>
      </w:r>
    </w:p>
    <w:bookmarkEnd w:id="239"/>
    <w:bookmarkStart w:id="240" w:name="locale-deterministic-number-formatting"/>
    <w:p>
      <w:pPr>
        <w:pStyle w:val="Heading3"/>
      </w:pPr>
      <w:r>
        <w:t xml:space="preserve">10.14.4 Locale-Deterministic Number Formatting</w:t>
      </w:r>
    </w:p>
    <w:p>
      <w:pPr>
        <w:pStyle w:val="FirstParagraph"/>
      </w:pPr>
      <w:r>
        <w:t xml:space="preserve">The Emissions Data Analyst agent formats ETS cost estimates using</w:t>
      </w:r>
      <w:r>
        <w:t xml:space="preserve"> </w:t>
      </w:r>
      <w:r>
        <w:rPr>
          <w:rStyle w:val="VerbatimChar"/>
        </w:rPr>
        <w:t xml:space="preserve">Number.toLocaleString()</w:t>
      </w:r>
      <w:r>
        <w:t xml:space="preserve">. On EU-locale machines (Finland, Germany), this produces space-separated numbers (e.g.,</w:t>
      </w:r>
      <w:r>
        <w:t xml:space="preserve"> </w:t>
      </w:r>
      <w:r>
        <w:rPr>
          <w:rStyle w:val="VerbatimChar"/>
        </w:rPr>
        <w:t xml:space="preserve">2 040 000</w:t>
      </w:r>
      <w:r>
        <w:t xml:space="preserve">), while tests expected US comma-separated format (</w:t>
      </w:r>
      <w:r>
        <w:rPr>
          <w:rStyle w:val="VerbatimChar"/>
        </w:rPr>
        <w:t xml:space="preserve">2,040,000</w:t>
      </w:r>
      <w:r>
        <w:t xml:space="preserve">). The fix specifies</w:t>
      </w:r>
      <w:r>
        <w:t xml:space="preserve"> </w:t>
      </w:r>
      <w:r>
        <w:rPr>
          <w:rStyle w:val="VerbatimChar"/>
        </w:rPr>
        <w:t xml:space="preserve">'en-US'</w:t>
      </w:r>
      <w:r>
        <w:t xml:space="preserve"> </w:t>
      </w:r>
      <w:r>
        <w:t xml:space="preserve">locale explicitly, ensuring deterministic output regardless of deployment environment. This is critical for EU-hosted Cloud Run instances where system locale defaults to European conventions.</w:t>
      </w:r>
    </w:p>
    <w:bookmarkEnd w:id="240"/>
    <w:bookmarkStart w:id="241" w:name="dependency-hygiene"/>
    <w:p>
      <w:pPr>
        <w:pStyle w:val="Heading3"/>
      </w:pPr>
      <w:r>
        <w:t xml:space="preserve">10.14.5 Dependency Hygiene</w:t>
      </w:r>
    </w:p>
    <w:p>
      <w:pPr>
        <w:pStyle w:val="FirstParagraph"/>
      </w:pPr>
      <w:r>
        <w:t xml:space="preserve">The</w:t>
      </w:r>
      <w:r>
        <w:t xml:space="preserve"> </w:t>
      </w:r>
      <w:r>
        <w:rPr>
          <w:rStyle w:val="VerbatimChar"/>
        </w:rPr>
        <w:t xml:space="preserve">luxon</w:t>
      </w:r>
      <w:r>
        <w:t xml:space="preserve"> </w:t>
      </w:r>
      <w:r>
        <w:t xml:space="preserve">library (timezone-aware date handling for Helsinki business hours) was imported in the Social Scheduler but never added to</w:t>
      </w:r>
      <w:r>
        <w:t xml:space="preserve"> </w:t>
      </w:r>
      <w:r>
        <w:rPr>
          <w:rStyle w:val="VerbatimChar"/>
        </w:rPr>
        <w:t xml:space="preserve">package.json</w:t>
      </w:r>
      <w:r>
        <w:t xml:space="preserve">. The Resend email SDK’s batch response type was a union (</w:t>
      </w:r>
      <w:r>
        <w:rPr>
          <w:rStyle w:val="VerbatimChar"/>
        </w:rPr>
        <w:t xml:space="preserve">undefined[] | CreateBatchSuccessResponse</w:t>
      </w:r>
      <w:r>
        <w:t xml:space="preserve">) that required runtime array detection before calling</w:t>
      </w:r>
      <w:r>
        <w:t xml:space="preserve"> </w:t>
      </w:r>
      <w:r>
        <w:rPr>
          <w:rStyle w:val="VerbatimChar"/>
        </w:rPr>
        <w:t xml:space="preserve">.map()</w:t>
      </w:r>
      <w:r>
        <w:t xml:space="preserve">.</w:t>
      </w:r>
    </w:p>
    <w:bookmarkEnd w:id="241"/>
    <w:bookmarkStart w:id="242" w:name="research-contribution-5"/>
    <w:p>
      <w:pPr>
        <w:pStyle w:val="Heading3"/>
      </w:pPr>
      <w:r>
        <w:t xml:space="preserve">10.14.6 Research Contribution</w:t>
      </w:r>
    </w:p>
    <w:p>
      <w:pPr>
        <w:pStyle w:val="FirstParagraph"/>
      </w:pPr>
      <w:r>
        <w:t xml:space="preserve">This hardening session demonstrates a pattern relevant to multi-agent system maintenance:</w:t>
      </w:r>
      <w:r>
        <w:t xml:space="preserve"> </w:t>
      </w:r>
      <w:r>
        <w:rPr>
          <w:bCs/>
          <w:b/>
        </w:rPr>
        <w:t xml:space="preserve">integration debt accumulates at module boundaries, not within modules</w:t>
      </w:r>
      <w:r>
        <w:t xml:space="preserve">. Each individual agent was correctly implemented, but the connections between agents, sandbox, routes, and tests had drifted. The fix touched 6 files across 5 subsystems in a single commit, restoring:</w:t>
      </w:r>
    </w:p>
    <w:p>
      <w:pPr>
        <w:numPr>
          <w:ilvl w:val="0"/>
          <w:numId w:val="1078"/>
        </w:numPr>
        <w:pStyle w:val="Compact"/>
      </w:pPr>
      <w:r>
        <w:rPr>
          <w:bCs/>
          <w:b/>
        </w:rPr>
        <w:t xml:space="preserve">0 TypeScript errors</w:t>
      </w:r>
      <w:r>
        <w:t xml:space="preserve"> </w:t>
      </w:r>
      <w:r>
        <w:t xml:space="preserve">(was 6)</w:t>
      </w:r>
    </w:p>
    <w:p>
      <w:pPr>
        <w:numPr>
          <w:ilvl w:val="0"/>
          <w:numId w:val="1078"/>
        </w:numPr>
        <w:pStyle w:val="Compact"/>
      </w:pPr>
      <w:r>
        <w:rPr>
          <w:bCs/>
          <w:b/>
        </w:rPr>
        <w:t xml:space="preserve">47/47 tests passing</w:t>
      </w:r>
      <w:r>
        <w:t xml:space="preserve"> </w:t>
      </w:r>
      <w:r>
        <w:t xml:space="preserve">(was 44/47)</w:t>
      </w:r>
    </w:p>
    <w:p>
      <w:pPr>
        <w:numPr>
          <w:ilvl w:val="0"/>
          <w:numId w:val="1078"/>
        </w:numPr>
        <w:pStyle w:val="Compact"/>
      </w:pPr>
      <w:r>
        <w:rPr>
          <w:bCs/>
          <w:b/>
        </w:rPr>
        <w:t xml:space="preserve">Full MCP discoverability</w:t>
      </w:r>
      <w:r>
        <w:t xml:space="preserve"> </w:t>
      </w:r>
      <w:r>
        <w:t xml:space="preserve">for all 31 agents</w:t>
      </w:r>
    </w:p>
    <w:p>
      <w:pPr>
        <w:numPr>
          <w:ilvl w:val="0"/>
          <w:numId w:val="1078"/>
        </w:numPr>
        <w:pStyle w:val="Compact"/>
      </w:pPr>
      <w:r>
        <w:rPr>
          <w:bCs/>
          <w:b/>
        </w:rPr>
        <w:t xml:space="preserve">HIL operational</w:t>
      </w:r>
      <w:r>
        <w:t xml:space="preserve"> </w:t>
      </w:r>
      <w:r>
        <w:t xml:space="preserve">for morning briefing workflows</w:t>
      </w:r>
    </w:p>
    <w:p>
      <w:r>
        <w:pict>
          <v:rect style="width:0;height:1.5pt" o:hralign="center" o:hrstd="t" o:hr="t"/>
        </w:pict>
      </w:r>
    </w:p>
    <w:bookmarkEnd w:id="242"/>
    <w:bookmarkEnd w:id="243"/>
    <w:bookmarkStart w:id="328" w:name="Xc84102b46314a206f007a2278365afe61845d6d"/>
    <w:p>
      <w:pPr>
        <w:pStyle w:val="Heading2"/>
      </w:pPr>
      <w:r>
        <w:t xml:space="preserve">10.15 PostgreSQL Columnar HTAP Architecture — DWS Data Standard</w:t>
      </w:r>
    </w:p>
    <w:bookmarkStart w:id="244" w:name="motivation-2"/>
    <w:p>
      <w:pPr>
        <w:pStyle w:val="Heading3"/>
      </w:pPr>
      <w:r>
        <w:t xml:space="preserve">10.15.1 Motivation</w:t>
      </w:r>
    </w:p>
    <w:p>
      <w:pPr>
        <w:pStyle w:val="FirstParagraph"/>
      </w:pPr>
      <w:r>
        <w:t xml:space="preserve">DWS6 runs all analytics against transactional heap tables with no columnar or HTAP capabilities. As the platform scales toward IoT telemetry (DWS7 Phase 4), 7-year Article 12 audit retention, and growing agent execution logs, the single-engine approach creates performance bottlenecks: campaign funnel aggregation hits raw event tables, agent cost rollups require full table scans, and audit log storage costs grow linearly with no compression.</w:t>
      </w:r>
    </w:p>
    <w:p>
      <w:pPr>
        <w:pStyle w:val="BodyText"/>
      </w:pPr>
      <w:r>
        <w:t xml:space="preserve">The PostgreSQL</w:t>
      </w:r>
      <w:r>
        <w:t xml:space="preserve"> </w:t>
      </w:r>
      <w:r>
        <w:t xml:space="preserve">“</w:t>
      </w:r>
      <w:r>
        <w:t xml:space="preserve">columnar extension</w:t>
      </w:r>
      <w:r>
        <w:t xml:space="preserve">”</w:t>
      </w:r>
      <w:r>
        <w:t xml:space="preserve"> </w:t>
      </w:r>
      <w:r>
        <w:t xml:space="preserve">pattern — pioneered by Hydra and now production-ready across six implementations — enables true HTAP (Hybrid Transactional/Analytical Processing) within a single database: transactional tables remain as standard heap, analytics tables become columnar, with seamless joins and zero data movement.</w:t>
      </w:r>
    </w:p>
    <w:bookmarkEnd w:id="244"/>
    <w:bookmarkStart w:id="245" w:name="X05e46d3147d04c1d823f8178abb095a0106ae6d"/>
    <w:p>
      <w:pPr>
        <w:pStyle w:val="Heading3"/>
      </w:pPr>
      <w:r>
        <w:t xml:space="preserve">10.15.2 Extension Evaluation (Updated March 2026 — Aiven-First Mandate)</w:t>
      </w:r>
    </w:p>
    <w:p>
      <w:pPr>
        <w:pStyle w:val="FirstParagraph"/>
      </w:pPr>
      <w:r>
        <w:t xml:space="preserve">The original v3.22 evaluation assumed pg_duckdb availability on Aiven. March 2026 findings invalidated this:</w:t>
      </w:r>
    </w:p>
    <w:p>
      <w:pPr>
        <w:numPr>
          <w:ilvl w:val="0"/>
          <w:numId w:val="1079"/>
        </w:numPr>
        <w:pStyle w:val="Compact"/>
      </w:pPr>
      <w:r>
        <w:rPr>
          <w:bCs/>
          <w:b/>
        </w:rPr>
        <w:t xml:space="preserve">Hydra</w:t>
      </w:r>
      <w:r>
        <w:t xml:space="preserve"> </w:t>
      </w:r>
      <w:r>
        <w:t xml:space="preserve">core team joined Supabase (Feb 2026) to build</w:t>
      </w:r>
      <w:r>
        <w:t xml:space="preserve"> </w:t>
      </w:r>
      <w:r>
        <w:t xml:space="preserve">“</w:t>
      </w:r>
      <w:r>
        <w:t xml:space="preserve">Supabase Warehouse</w:t>
      </w:r>
      <w:r>
        <w:t xml:space="preserve">”</w:t>
      </w:r>
      <w:r>
        <w:t xml:space="preserve"> </w:t>
      </w:r>
      <w:r>
        <w:t xml:space="preserve">— Hydra is effectively dead as an independent project.</w:t>
      </w:r>
    </w:p>
    <w:p>
      <w:pPr>
        <w:numPr>
          <w:ilvl w:val="0"/>
          <w:numId w:val="1079"/>
        </w:numPr>
        <w:pStyle w:val="Compact"/>
      </w:pPr>
      <w:r>
        <w:rPr>
          <w:bCs/>
          <w:b/>
        </w:rPr>
        <w:t xml:space="preserve">pg_mooncake</w:t>
      </w:r>
      <w:r>
        <w:t xml:space="preserve"> </w:t>
      </w:r>
      <w:r>
        <w:t xml:space="preserve">acquired by Databricks (Oct 2025) — future uncertain for self-hosted deployments.</w:t>
      </w:r>
    </w:p>
    <w:p>
      <w:pPr>
        <w:numPr>
          <w:ilvl w:val="0"/>
          <w:numId w:val="1079"/>
        </w:numPr>
        <w:pStyle w:val="Compact"/>
      </w:pPr>
      <w:r>
        <w:rPr>
          <w:bCs/>
          <w:b/>
        </w:rPr>
        <w:t xml:space="preserve">CRITICAL: pg_duckdb is BLOCKED on the Aiven extension whitelist</w:t>
      </w:r>
      <w:r>
        <w:t xml:space="preserve"> </w:t>
      </w:r>
      <w:r>
        <w:t xml:space="preserve">— it is NOT available on Aiven managed PostgreSQL. This was the key finding that forced the two-tier architecture redesign.</w:t>
      </w:r>
    </w:p>
    <w:p>
      <w:pPr>
        <w:numPr>
          <w:ilvl w:val="0"/>
          <w:numId w:val="1079"/>
        </w:numPr>
        <w:pStyle w:val="Compact"/>
      </w:pPr>
      <w:r>
        <w:rPr>
          <w:bCs/>
          <w:b/>
        </w:rPr>
        <w:t xml:space="preserve">TimescaleDB 2.25.x Hypercore</w:t>
      </w:r>
      <w:r>
        <w:t xml:space="preserve"> </w:t>
      </w:r>
      <w:r>
        <w:t xml:space="preserve">is the ONLY columnar/HTAP option natively available on Aiven.</w:t>
      </w:r>
    </w:p>
    <w:p>
      <w:pPr>
        <w:pStyle w:val="FirstParagraph"/>
      </w:pPr>
      <w:r>
        <w:rPr>
          <w:bCs/>
          <w:b/>
        </w:rPr>
        <w:t xml:space="preserve">ClickBench performance context:</w:t>
      </w:r>
      <w:r>
        <w:t xml:space="preserve"> </w:t>
      </w:r>
      <w:r>
        <w:t xml:space="preserve">pg_duckdb achieves 50-600× over vanilla PostgreSQL; TimescaleDB Hypercore achieves 10-100× with 98% compression on time-series data.</w:t>
      </w:r>
    </w:p>
    <w:p>
      <w:pPr>
        <w:pStyle w:val="BodyText"/>
      </w:pPr>
      <w:r>
        <w:t xml:space="preserve">Updated evaluation reflecting 2026 reality:</w:t>
      </w:r>
    </w:p>
    <w:tbl>
      <w:tblPr>
        <w:tblStyle w:val="Table"/>
        <w:tblW w:type="pct" w:w="5000"/>
        <w:tblLook w:firstRow="1" w:lastRow="0" w:firstColumn="0" w:lastColumn="0" w:noHBand="0" w:noVBand="0" w:val="0020"/>
        <w:jc w:val="start"/>
      </w:tblPr>
      <w:tblGrid>
        <w:gridCol w:w="2174"/>
        <w:gridCol w:w="543"/>
        <w:gridCol w:w="1320"/>
        <w:gridCol w:w="1242"/>
        <w:gridCol w:w="698"/>
        <w:gridCol w:w="776"/>
        <w:gridCol w:w="1164"/>
      </w:tblGrid>
      <w:tr>
        <w:trPr>
          <w:tblHeader w:val="true"/>
        </w:trPr>
        <w:tc>
          <w:tcPr/>
          <w:p>
            <w:pPr>
              <w:pStyle w:val="Compact"/>
              <w:jc w:val="left"/>
            </w:pPr>
            <w:r>
              <w:t xml:space="preserve">Solution</w:t>
            </w:r>
          </w:p>
        </w:tc>
        <w:tc>
          <w:tcPr/>
          <w:p>
            <w:pPr>
              <w:pStyle w:val="Compact"/>
              <w:jc w:val="left"/>
            </w:pPr>
            <w:r>
              <w:t xml:space="preserve">Engine</w:t>
            </w:r>
          </w:p>
        </w:tc>
        <w:tc>
          <w:tcPr/>
          <w:p>
            <w:pPr>
              <w:pStyle w:val="Compact"/>
              <w:jc w:val="left"/>
            </w:pPr>
            <w:r>
              <w:t xml:space="preserve">Speed vs PG</w:t>
            </w:r>
          </w:p>
        </w:tc>
        <w:tc>
          <w:tcPr/>
          <w:p>
            <w:pPr>
              <w:pStyle w:val="Compact"/>
              <w:jc w:val="left"/>
            </w:pPr>
            <w:r>
              <w:t xml:space="preserve">Aiven?</w:t>
            </w:r>
          </w:p>
        </w:tc>
        <w:tc>
          <w:tcPr/>
          <w:p>
            <w:pPr>
              <w:pStyle w:val="Compact"/>
              <w:jc w:val="left"/>
            </w:pPr>
            <w:r>
              <w:t xml:space="preserve">Supabase?</w:t>
            </w:r>
          </w:p>
        </w:tc>
        <w:tc>
          <w:tcPr/>
          <w:p>
            <w:pPr>
              <w:pStyle w:val="Compact"/>
              <w:jc w:val="left"/>
            </w:pPr>
            <w:r>
              <w:t xml:space="preserve">Self-Host?</w:t>
            </w:r>
          </w:p>
        </w:tc>
        <w:tc>
          <w:tcPr/>
          <w:p>
            <w:pPr>
              <w:pStyle w:val="Compact"/>
              <w:jc w:val="left"/>
            </w:pPr>
            <w:r>
              <w:t xml:space="preserve">DWS Fit</w:t>
            </w:r>
          </w:p>
        </w:tc>
      </w:tr>
      <w:tr>
        <w:tc>
          <w:tcPr/>
          <w:p>
            <w:pPr>
              <w:pStyle w:val="Compact"/>
              <w:jc w:val="left"/>
            </w:pPr>
            <w:r>
              <w:t xml:space="preserve">Hydra (→Supabase Warehouse)</w:t>
            </w:r>
          </w:p>
        </w:tc>
        <w:tc>
          <w:tcPr/>
          <w:p>
            <w:pPr>
              <w:pStyle w:val="Compact"/>
              <w:jc w:val="left"/>
            </w:pPr>
            <w:r>
              <w:t xml:space="preserve">DuckDB</w:t>
            </w:r>
          </w:p>
        </w:tc>
        <w:tc>
          <w:tcPr/>
          <w:p>
            <w:pPr>
              <w:pStyle w:val="Compact"/>
              <w:jc w:val="left"/>
            </w:pPr>
            <w:r>
              <w:t xml:space="preserve">100-600×</w:t>
            </w:r>
          </w:p>
        </w:tc>
        <w:tc>
          <w:tcPr/>
          <w:p>
            <w:pPr>
              <w:pStyle w:val="Compact"/>
              <w:jc w:val="left"/>
            </w:pPr>
            <w:r>
              <w:t xml:space="preserve">No</w:t>
            </w:r>
          </w:p>
        </w:tc>
        <w:tc>
          <w:tcPr/>
          <w:p>
            <w:pPr>
              <w:pStyle w:val="Compact"/>
              <w:jc w:val="left"/>
            </w:pPr>
            <w:r>
              <w:t xml:space="preserve">Alpha</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pg_duckdb v1.x</w:t>
            </w:r>
          </w:p>
        </w:tc>
        <w:tc>
          <w:tcPr/>
          <w:p>
            <w:pPr>
              <w:pStyle w:val="Compact"/>
              <w:jc w:val="left"/>
            </w:pPr>
            <w:r>
              <w:t xml:space="preserve">DuckDB</w:t>
            </w:r>
          </w:p>
        </w:tc>
        <w:tc>
          <w:tcPr/>
          <w:p>
            <w:pPr>
              <w:pStyle w:val="Compact"/>
              <w:jc w:val="left"/>
            </w:pPr>
            <w:r>
              <w:t xml:space="preserve">50-600×</w:t>
            </w:r>
          </w:p>
        </w:tc>
        <w:tc>
          <w:tcPr/>
          <w:p>
            <w:pPr>
              <w:pStyle w:val="Compact"/>
              <w:jc w:val="left"/>
            </w:pPr>
            <w:r>
              <w:rPr>
                <w:bCs/>
                <w:b/>
              </w:rPr>
              <w:t xml:space="preserve">NO (blocked)</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Edge only</w:t>
            </w:r>
          </w:p>
        </w:tc>
      </w:tr>
      <w:tr>
        <w:tc>
          <w:tcPr/>
          <w:p>
            <w:pPr>
              <w:pStyle w:val="Compact"/>
              <w:jc w:val="left"/>
            </w:pPr>
            <w:r>
              <w:t xml:space="preserve">pg_mooncake (→Databricks)</w:t>
            </w:r>
          </w:p>
        </w:tc>
        <w:tc>
          <w:tcPr/>
          <w:p>
            <w:pPr>
              <w:pStyle w:val="Compact"/>
              <w:jc w:val="left"/>
            </w:pPr>
            <w:r>
              <w:t xml:space="preserve">DuckDB</w:t>
            </w:r>
          </w:p>
        </w:tc>
        <w:tc>
          <w:tcPr/>
          <w:p>
            <w:pPr>
              <w:pStyle w:val="Compact"/>
              <w:jc w:val="left"/>
            </w:pPr>
            <w:r>
              <w:t xml:space="preserve">Top-10 ClickBench</w:t>
            </w:r>
          </w:p>
        </w:tc>
        <w:tc>
          <w:tcPr/>
          <w:p>
            <w:pPr>
              <w:pStyle w:val="Compact"/>
              <w:jc w:val="left"/>
            </w:pPr>
            <w:r>
              <w:t xml:space="preserve">No</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Phase 3</w:t>
            </w:r>
          </w:p>
        </w:tc>
      </w:tr>
      <w:tr>
        <w:tc>
          <w:tcPr/>
          <w:p>
            <w:pPr>
              <w:pStyle w:val="Compact"/>
              <w:jc w:val="left"/>
            </w:pPr>
            <w:r>
              <w:t xml:space="preserve">TimescaleDB 2.25.x Hypercore</w:t>
            </w:r>
          </w:p>
        </w:tc>
        <w:tc>
          <w:tcPr/>
          <w:p>
            <w:pPr>
              <w:pStyle w:val="Compact"/>
              <w:jc w:val="left"/>
            </w:pPr>
            <w:r>
              <w:t xml:space="preserve">PG+SIMD</w:t>
            </w:r>
          </w:p>
        </w:tc>
        <w:tc>
          <w:tcPr/>
          <w:p>
            <w:pPr>
              <w:pStyle w:val="Compact"/>
              <w:jc w:val="left"/>
            </w:pPr>
            <w:r>
              <w:t xml:space="preserve">10-100×</w:t>
            </w:r>
          </w:p>
        </w:tc>
        <w:tc>
          <w:tcPr/>
          <w:p>
            <w:pPr>
              <w:pStyle w:val="Compact"/>
              <w:jc w:val="left"/>
            </w:pPr>
            <w:r>
              <w:rPr>
                <w:bCs/>
                <w:b/>
              </w:rPr>
              <w:t xml:space="preserve">Yes (native)</w:t>
            </w:r>
          </w:p>
        </w:tc>
        <w:tc>
          <w:tcPr/>
          <w:p>
            <w:pPr>
              <w:pStyle w:val="Compact"/>
              <w:jc w:val="left"/>
            </w:pPr>
            <w:r>
              <w:t xml:space="preserve">Yes</w:t>
            </w:r>
          </w:p>
        </w:tc>
        <w:tc>
          <w:tcPr/>
          <w:p>
            <w:pPr>
              <w:pStyle w:val="Compact"/>
              <w:jc w:val="left"/>
            </w:pPr>
            <w:r>
              <w:rPr>
                <w:bCs/>
                <w:b/>
              </w:rPr>
              <w:t xml:space="preserve">Yes</w:t>
            </w:r>
          </w:p>
        </w:tc>
        <w:tc>
          <w:tcPr/>
          <w:p>
            <w:pPr>
              <w:pStyle w:val="Compact"/>
              <w:jc w:val="left"/>
            </w:pPr>
            <w:r>
              <w:rPr>
                <w:bCs/>
                <w:b/>
              </w:rPr>
              <w:t xml:space="preserve">PRIMARY</w:t>
            </w:r>
          </w:p>
        </w:tc>
      </w:tr>
      <w:tr>
        <w:tc>
          <w:tcPr/>
          <w:p>
            <w:pPr>
              <w:pStyle w:val="Compact"/>
              <w:jc w:val="left"/>
            </w:pPr>
            <w:r>
              <w:t xml:space="preserve">ParadeDB pg_analytics</w:t>
            </w:r>
          </w:p>
        </w:tc>
        <w:tc>
          <w:tcPr/>
          <w:p>
            <w:pPr>
              <w:pStyle w:val="Compact"/>
              <w:jc w:val="left"/>
            </w:pPr>
            <w:r>
              <w:t xml:space="preserve">DuckDB</w:t>
            </w:r>
          </w:p>
        </w:tc>
        <w:tc>
          <w:tcPr/>
          <w:p>
            <w:pPr>
              <w:pStyle w:val="Compact"/>
              <w:jc w:val="left"/>
            </w:pPr>
            <w:r>
              <w:t xml:space="preserve">10-100×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recommended</w:t>
            </w:r>
          </w:p>
        </w:tc>
      </w:tr>
      <w:tr>
        <w:tc>
          <w:tcPr/>
          <w:p>
            <w:pPr>
              <w:pStyle w:val="Compact"/>
              <w:jc w:val="left"/>
            </w:pPr>
            <w:r>
              <w:t xml:space="preserve">Citus Columnar</w:t>
            </w:r>
          </w:p>
        </w:tc>
        <w:tc>
          <w:tcPr/>
          <w:p>
            <w:pPr>
              <w:pStyle w:val="Compact"/>
              <w:jc w:val="left"/>
            </w:pPr>
            <w:r>
              <w:t xml:space="preserve">PG</w:t>
            </w:r>
          </w:p>
        </w:tc>
        <w:tc>
          <w:tcPr/>
          <w:p>
            <w:pPr>
              <w:pStyle w:val="Compact"/>
              <w:jc w:val="left"/>
            </w:pPr>
            <w:r>
              <w:t xml:space="preserve">5-50×</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recommended</w:t>
            </w:r>
          </w:p>
        </w:tc>
      </w:tr>
    </w:tbl>
    <w:bookmarkEnd w:id="245"/>
    <w:bookmarkStart w:id="246" w:name="Xe1827376726351052c8a7483ab587ea7cbe8f1c"/>
    <w:p>
      <w:pPr>
        <w:pStyle w:val="Heading3"/>
      </w:pPr>
      <w:r>
        <w:t xml:space="preserve">10.15.3 Recommended Stack (Two-Tier HTAP Architecture)</w:t>
      </w:r>
    </w:p>
    <w:p>
      <w:pPr>
        <w:pStyle w:val="FirstParagraph"/>
      </w:pPr>
      <w:r>
        <w:t xml:space="preserve">The Aiven whitelist constraint (pg_duckdb BLOCKED) drives a</w:t>
      </w:r>
      <w:r>
        <w:t xml:space="preserve"> </w:t>
      </w:r>
      <w:r>
        <w:rPr>
          <w:bCs/>
          <w:b/>
        </w:rPr>
        <w:t xml:space="preserve">two-tier architecture</w:t>
      </w:r>
      <w:r>
        <w:t xml:space="preserve"> </w:t>
      </w:r>
      <w:r>
        <w:t xml:space="preserve">— managed production on Aiven with full extension freedom on edge hardware:</w:t>
      </w:r>
    </w:p>
    <w:p>
      <w:pPr>
        <w:pStyle w:val="BodyText"/>
      </w:pPr>
      <w:r>
        <w:rPr>
          <w:bCs/>
          <w:b/>
        </w:rPr>
        <w:t xml:space="preserve">Tier 1: Aiven Managed (Production) — TimescaleDB 2.25.x Hypercore ONLY</w:t>
      </w:r>
    </w:p>
    <w:p>
      <w:pPr>
        <w:numPr>
          <w:ilvl w:val="0"/>
          <w:numId w:val="1080"/>
        </w:numPr>
        <w:pStyle w:val="Compact"/>
      </w:pPr>
      <w:r>
        <w:t xml:space="preserve">Automatic hybrid row→columnar storage via Hypercore: recent data stays in heap for OLTP, older data compresses into columnar format automatically.</w:t>
      </w:r>
    </w:p>
    <w:p>
      <w:pPr>
        <w:numPr>
          <w:ilvl w:val="0"/>
          <w:numId w:val="1080"/>
        </w:numPr>
        <w:pStyle w:val="Compact"/>
      </w:pPr>
      <w:r>
        <w:t xml:space="preserve">98% compression on time-series and audit data (agent_metrics, agent_costs, article12_audit_log, IoT sensor data).</w:t>
      </w:r>
    </w:p>
    <w:p>
      <w:pPr>
        <w:numPr>
          <w:ilvl w:val="0"/>
          <w:numId w:val="1080"/>
        </w:numPr>
        <w:pStyle w:val="Compact"/>
      </w:pPr>
      <w:r>
        <w:t xml:space="preserve">10-100× analytical acceleration over vanilla PostgreSQL via SIMD vectorized scans.</w:t>
      </w:r>
    </w:p>
    <w:p>
      <w:pPr>
        <w:numPr>
          <w:ilvl w:val="0"/>
          <w:numId w:val="1080"/>
        </w:numPr>
        <w:pStyle w:val="Compact"/>
      </w:pPr>
      <w:r>
        <w:t xml:space="preserve">99.99% SLA, EU Finland (europe-north1), managed backups, automatic failover.</w:t>
      </w:r>
    </w:p>
    <w:p>
      <w:pPr>
        <w:numPr>
          <w:ilvl w:val="0"/>
          <w:numId w:val="1080"/>
        </w:numPr>
        <w:pStyle w:val="Compact"/>
      </w:pPr>
      <w:r>
        <w:t xml:space="preserve">No pg_duckdb, no Hydra, no pg_mooncake — only Aiven-whitelisted extensions.</w:t>
      </w:r>
    </w:p>
    <w:p>
      <w:pPr>
        <w:pStyle w:val="SourceCode"/>
      </w:pPr>
      <w:r>
        <w:rPr>
          <w:rStyle w:val="CommentTok"/>
        </w:rPr>
        <w:t xml:space="preserve">-- TimescaleDB Hypercore hybrid table (Aiven production)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(timescaledb.hybrid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SELECT</w:t>
      </w:r>
      <w:r>
        <w:rPr>
          <w:rStyle w:val="NormalTok"/>
        </w:rPr>
        <w:t xml:space="preserve"> create_hypertable(</w:t>
      </w:r>
      <w:r>
        <w:rPr>
          <w:rStyle w:val="StringTok"/>
        </w:rPr>
        <w:t xml:space="preserve">'events'</w:t>
      </w:r>
      <w:r>
        <w:rPr>
          <w:rStyle w:val="NormalTok"/>
        </w:rPr>
        <w:t xml:space="preserve">, </w:t>
      </w:r>
      <w:r>
        <w:rPr>
          <w:rStyle w:val="StringTok"/>
        </w:rPr>
        <w:t xml:space="preserve">'time'</w:t>
      </w:r>
      <w:r>
        <w:rPr>
          <w:rStyle w:val="NormalTok"/>
        </w:rPr>
        <w:t xml:space="preserve">);</w:t>
      </w:r>
    </w:p>
    <w:p>
      <w:pPr>
        <w:pStyle w:val="FirstParagraph"/>
      </w:pPr>
      <w:r>
        <w:rPr>
          <w:bCs/>
          <w:b/>
        </w:rPr>
        <w:t xml:space="preserve">Tier 2: GN100 Edge (Analytics) — TimescaleDB + pg_duckdb + pgvector</w:t>
      </w:r>
    </w:p>
    <w:p>
      <w:pPr>
        <w:numPr>
          <w:ilvl w:val="0"/>
          <w:numId w:val="1081"/>
        </w:numPr>
        <w:pStyle w:val="Compact"/>
      </w:pPr>
      <w:r>
        <w:t xml:space="preserve">Deployed 2026-03-13 on Acer Veriton GN100 via Docker with SSH tunnel to Aiven.</w:t>
      </w:r>
    </w:p>
    <w:p>
      <w:pPr>
        <w:numPr>
          <w:ilvl w:val="0"/>
          <w:numId w:val="1081"/>
        </w:numPr>
        <w:pStyle w:val="Compact"/>
      </w:pPr>
      <w:r>
        <w:t xml:space="preserve">Full extension stack: pg_duckdb (50-600× OLAP), pgvector (AI embeddings), TimescaleDB (time-series).</w:t>
      </w:r>
    </w:p>
    <w:p>
      <w:pPr>
        <w:numPr>
          <w:ilvl w:val="0"/>
          <w:numId w:val="1081"/>
        </w:numPr>
        <w:pStyle w:val="Compact"/>
      </w:pPr>
      <w:r>
        <w:t xml:space="preserve">Use cases: ad-hoc analytical queries, ClickBench-class workloads, AI vector search, data exploration.</w:t>
      </w:r>
    </w:p>
    <w:p>
      <w:pPr>
        <w:numPr>
          <w:ilvl w:val="0"/>
          <w:numId w:val="1081"/>
        </w:numPr>
        <w:pStyle w:val="Compact"/>
      </w:pPr>
      <w:r>
        <w:t xml:space="preserve">Not production-critical — edge device serves as analytical sandbox.</w:t>
      </w:r>
    </w:p>
    <w:p>
      <w:pPr>
        <w:pStyle w:val="FirstParagraph"/>
      </w:pPr>
      <w:r>
        <w:rPr>
          <w:bCs/>
          <w:b/>
        </w:rPr>
        <w:t xml:space="preserve">Local dev parity:</w:t>
      </w:r>
      <w:r>
        <w:t xml:space="preserve"> </w:t>
      </w:r>
      <w:r>
        <w:rPr>
          <w:rStyle w:val="VerbatimChar"/>
        </w:rPr>
        <w:t xml:space="preserve">timescale/timescaledb:2.25.2-pg16</w:t>
      </w:r>
      <w:r>
        <w:t xml:space="preserve"> </w:t>
      </w:r>
      <w:r>
        <w:t xml:space="preserve">Docker image ensures developers match Aiven production schema.</w:t>
      </w:r>
    </w:p>
    <w:p>
      <w:pPr>
        <w:pStyle w:val="BodyText"/>
      </w:pPr>
      <w:r>
        <w:rPr>
          <w:bCs/>
          <w:b/>
        </w:rPr>
        <w:t xml:space="preserve">pg_mooncake</w:t>
      </w:r>
      <w:r>
        <w:t xml:space="preserve"> </w:t>
      </w:r>
      <w:r>
        <w:t xml:space="preserve">(Phase 3, 2027) for Iceberg/Parquet export satisfying EU Data Act 2023/2854 IoT data portability requirements — pending Databricks acquisition outcome.</w:t>
      </w:r>
    </w:p>
    <w:bookmarkEnd w:id="246"/>
    <w:bookmarkStart w:id="247" w:name="dws-data-standard"/>
    <w:p>
      <w:pPr>
        <w:pStyle w:val="Heading3"/>
      </w:pPr>
      <w:r>
        <w:t xml:space="preserve">10.15.4 DWS Data Standard</w:t>
      </w:r>
    </w:p>
    <w:p>
      <w:pPr>
        <w:pStyle w:val="FirstParagraph"/>
      </w:pPr>
      <w:r>
        <w:t xml:space="preserve">A new</w:t>
      </w:r>
      <w:r>
        <w:t xml:space="preserve"> </w:t>
      </w:r>
      <w:r>
        <w:rPr>
          <w:rStyle w:val="VerbatimChar"/>
        </w:rPr>
        <w:t xml:space="preserve">DWS_DATA_STANDARD.md</w:t>
      </w:r>
      <w:r>
        <w:t xml:space="preserve"> </w:t>
      </w:r>
      <w:r>
        <w:t xml:space="preserve">was created to govern all data storage decisions. Key sections:</w:t>
      </w:r>
    </w:p>
    <w:p>
      <w:pPr>
        <w:numPr>
          <w:ilvl w:val="0"/>
          <w:numId w:val="1082"/>
        </w:numPr>
        <w:pStyle w:val="Compact"/>
      </w:pPr>
      <w:r>
        <w:rPr>
          <w:bCs/>
          <w:b/>
        </w:rPr>
        <w:t xml:space="preserve">Storage Engine Policy</w:t>
      </w:r>
      <w:r>
        <w:t xml:space="preserve"> </w:t>
      </w:r>
      <w:r>
        <w:t xml:space="preserve">— decision matrix for row vs columnar vs hybrid</w:t>
      </w:r>
    </w:p>
    <w:p>
      <w:pPr>
        <w:numPr>
          <w:ilvl w:val="0"/>
          <w:numId w:val="1082"/>
        </w:numPr>
        <w:pStyle w:val="Compact"/>
      </w:pPr>
      <w:r>
        <w:rPr>
          <w:bCs/>
          <w:b/>
        </w:rPr>
        <w:t xml:space="preserve">Extension Governance</w:t>
      </w:r>
      <w:r>
        <w:t xml:space="preserve"> </w:t>
      </w:r>
      <w:r>
        <w:t xml:space="preserve">— approved registry with sovereignty assessment</w:t>
      </w:r>
    </w:p>
    <w:p>
      <w:pPr>
        <w:numPr>
          <w:ilvl w:val="0"/>
          <w:numId w:val="1082"/>
        </w:numPr>
        <w:pStyle w:val="Compact"/>
      </w:pPr>
      <w:r>
        <w:rPr>
          <w:bCs/>
          <w:b/>
        </w:rPr>
        <w:t xml:space="preserve">Retention Policy</w:t>
      </w:r>
      <w:r>
        <w:t xml:space="preserve"> </w:t>
      </w:r>
      <w:r>
        <w:t xml:space="preserve">— per-table rules mapped to EU regulations (GDPR Art 17, EU AI Act Art 12: 7yr, NIS2 Art 23: 5yr, Finnish Accounting Act 1336/1997: 10yr)</w:t>
      </w:r>
    </w:p>
    <w:p>
      <w:pPr>
        <w:numPr>
          <w:ilvl w:val="0"/>
          <w:numId w:val="1082"/>
        </w:numPr>
        <w:pStyle w:val="Compact"/>
      </w:pPr>
      <w:r>
        <w:rPr>
          <w:bCs/>
          <w:b/>
        </w:rPr>
        <w:t xml:space="preserve">Partitioning Standard</w:t>
      </w:r>
      <w:r>
        <w:t xml:space="preserve"> </w:t>
      </w:r>
      <w:r>
        <w:t xml:space="preserve">— TimescaleDB hypertables preferred over native partitioning</w:t>
      </w:r>
    </w:p>
    <w:p>
      <w:pPr>
        <w:numPr>
          <w:ilvl w:val="0"/>
          <w:numId w:val="1082"/>
        </w:numPr>
        <w:pStyle w:val="Compact"/>
      </w:pPr>
      <w:r>
        <w:rPr>
          <w:bCs/>
          <w:b/>
        </w:rPr>
        <w:t xml:space="preserve">Compression Policy</w:t>
      </w:r>
      <w:r>
        <w:t xml:space="preserve"> </w:t>
      </w:r>
      <w:r>
        <w:t xml:space="preserve">— tiered compression targets (1:1 hot → 20:1 archive)</w:t>
      </w:r>
    </w:p>
    <w:p>
      <w:pPr>
        <w:numPr>
          <w:ilvl w:val="0"/>
          <w:numId w:val="1082"/>
        </w:numPr>
        <w:pStyle w:val="Compact"/>
      </w:pPr>
      <w:r>
        <w:rPr>
          <w:bCs/>
          <w:b/>
        </w:rPr>
        <w:t xml:space="preserve">EU Regulatory Compliance</w:t>
      </w:r>
      <w:r>
        <w:t xml:space="preserve"> </w:t>
      </w:r>
      <w:r>
        <w:t xml:space="preserve">— matrix mapping 11 EU regulations to database requirements</w:t>
      </w:r>
    </w:p>
    <w:bookmarkEnd w:id="247"/>
    <w:bookmarkStart w:id="248" w:name="X3fc7121aa52538d2afbd077f59fad16f5defb09"/>
    <w:p>
      <w:pPr>
        <w:pStyle w:val="Heading3"/>
      </w:pPr>
      <w:r>
        <w:t xml:space="preserve">10.15.5 Phased Rollout (Updated — Aiven-First Mandate)</w:t>
      </w:r>
    </w:p>
    <w:tbl>
      <w:tblPr>
        <w:tblStyle w:val="Table"/>
        <w:tblW w:type="pct" w:w="5000"/>
        <w:tblLook w:firstRow="1" w:lastRow="0" w:firstColumn="0" w:lastColumn="0" w:noHBand="0" w:noVBand="0" w:val="0020"/>
        <w:jc w:val="start"/>
      </w:tblPr>
      <w:tblGrid>
        <w:gridCol w:w="321"/>
        <w:gridCol w:w="643"/>
        <w:gridCol w:w="1352"/>
        <w:gridCol w:w="56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Actions</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w:t>
            </w:r>
          </w:p>
        </w:tc>
        <w:tc>
          <w:tcPr/>
          <w:p>
            <w:pPr>
              <w:pStyle w:val="Compact"/>
              <w:jc w:val="left"/>
            </w:pPr>
            <w:r>
              <w:t xml:space="preserve">Table partitioning, materialized views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 + GN100 Edge</w:t>
            </w:r>
          </w:p>
        </w:tc>
        <w:tc>
          <w:tcPr/>
          <w:p>
            <w:pPr>
              <w:pStyle w:val="Compact"/>
              <w:jc w:val="left"/>
            </w:pPr>
            <w:r>
              <w:t xml:space="preserve">TimescaleDB Hypercore hypertables (Aiven), pg_duckdb + pgvector deployed on edge (done)</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 Edge</w:t>
            </w:r>
          </w:p>
        </w:tc>
        <w:tc>
          <w:tcPr/>
          <w:p>
            <w:pPr>
              <w:pStyle w:val="Compact"/>
              <w:jc w:val="left"/>
            </w:pPr>
            <w:r>
              <w:t xml:space="preserve">Audit log compression (98%), IoT hypertables, edge analytical queries</w:t>
            </w:r>
          </w:p>
        </w:tc>
      </w:tr>
      <w:tr>
        <w:tc>
          <w:tcPr/>
          <w:p>
            <w:pPr>
              <w:pStyle w:val="Compact"/>
              <w:jc w:val="left"/>
            </w:pPr>
            <w:r>
              <w:t xml:space="preserve">3</w:t>
            </w:r>
          </w:p>
        </w:tc>
        <w:tc>
          <w:tcPr/>
          <w:p>
            <w:pPr>
              <w:pStyle w:val="Compact"/>
              <w:jc w:val="left"/>
            </w:pPr>
            <w:r>
              <w:t xml:space="preserve">2027</w:t>
            </w:r>
          </w:p>
        </w:tc>
        <w:tc>
          <w:tcPr/>
          <w:p>
            <w:pPr>
              <w:pStyle w:val="Compact"/>
              <w:jc w:val="left"/>
            </w:pPr>
            <w:r>
              <w:t xml:space="preserve">Full HTAP</w:t>
            </w:r>
          </w:p>
        </w:tc>
        <w:tc>
          <w:tcPr/>
          <w:p>
            <w:pPr>
              <w:pStyle w:val="Compact"/>
              <w:jc w:val="left"/>
            </w:pPr>
            <w:r>
              <w:t xml:space="preserve">pg_mooncake lakehouse, Iceberg/Parquet</w:t>
            </w:r>
          </w:p>
        </w:tc>
      </w:tr>
    </w:tbl>
    <w:bookmarkEnd w:id="248"/>
    <w:bookmarkStart w:id="249" w:name="research-contribution-6"/>
    <w:p>
      <w:pPr>
        <w:pStyle w:val="Heading3"/>
      </w:pPr>
      <w:r>
        <w:t xml:space="preserve">10.15.6 Research Contribution</w:t>
      </w:r>
    </w:p>
    <w:p>
      <w:pPr>
        <w:pStyle w:val="FirstParagraph"/>
      </w:pPr>
      <w:r>
        <w:t xml:space="preserve">This work demonstrates that the</w:t>
      </w:r>
      <w:r>
        <w:t xml:space="preserve"> </w:t>
      </w:r>
      <w:r>
        <w:rPr>
          <w:bCs/>
          <w:b/>
        </w:rPr>
        <w:t xml:space="preserve">single-database HTAP pattern</w:t>
      </w:r>
      <w:r>
        <w:t xml:space="preserve"> </w:t>
      </w:r>
      <w:r>
        <w:t xml:space="preserve">is viable for regulated EU industrial platforms: same SQL, same clients, same RLS, zero ETL. The phased approach — starting with natively-supported extensions on a managed EU-sovereign provider (Aiven Finland) — eliminates the traditional choice between operational simplicity and analytical capability. The DWS Data Standard codifies this as an organizational standard, ensuring that storage engine decisions are deliberate, documented, and EU-compliant.</w:t>
      </w:r>
    </w:p>
    <w:p>
      <w:pPr>
        <w:pStyle w:val="BodyText"/>
      </w:pPr>
      <w:r>
        <w:t xml:space="preserve">The March 2026 Aiven whitelist finding adds a critical practical contribution:</w:t>
      </w:r>
      <w:r>
        <w:t xml:space="preserve"> </w:t>
      </w:r>
      <w:r>
        <w:rPr>
          <w:bCs/>
          <w:b/>
        </w:rPr>
        <w:t xml:space="preserve">managed-provider extension constraints drive architectural decisions in ways not captured by extension benchmarks alone.</w:t>
      </w:r>
      <w:r>
        <w:t xml:space="preserve"> </w:t>
      </w:r>
      <w:r>
        <w:t xml:space="preserve">The pg_duckdb extension achieves 50-600× analytical speedups but is unusable on Aiven managed PostgreSQL. This forced the two-tier HTAP architecture (Aiven managed + GN100 edge), demonstrating how real-world provider constraints shape database architecture for regulated EU deployments — a pattern likely applicable to any organization adopting managed PostgreSQL with HTAP ambitions.</w:t>
      </w:r>
    </w:p>
    <w:bookmarkEnd w:id="249"/>
    <w:bookmarkStart w:id="257" w:name="Xeed2d3b6f5ef39fe6b25e0d303e39b5ac18c570"/>
    <w:p>
      <w:pPr>
        <w:pStyle w:val="Heading3"/>
      </w:pPr>
      <w:r>
        <w:t xml:space="preserve">10.16 Harness Engineering — From Prompt Engineering to System Design</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Context:</w:t>
      </w:r>
      <w:r>
        <w:t xml:space="preserve"> </w:t>
      </w:r>
      <w:r>
        <w:t xml:space="preserve">OpenAI’s Harness team built a product in five months without writing a single line of code manually — one million lines, ~1,500 PRs, 3-7 engineers. This section analyzes the 8 harness engineering principles and compares them with DWS IQ 6’s independently developed architecture.</w:t>
      </w:r>
    </w:p>
    <w:bookmarkStart w:id="250" w:name="definition"/>
    <w:p>
      <w:pPr>
        <w:pStyle w:val="Heading4"/>
      </w:pPr>
      <w:r>
        <w:t xml:space="preserve">10.16.1 Definition</w:t>
      </w:r>
    </w:p>
    <w:p>
      <w:pPr>
        <w:pStyle w:val="FirstParagraph"/>
      </w:pPr>
      <w:r>
        <w:rPr>
          <w:bCs/>
          <w:b/>
        </w:rPr>
        <w:t xml:space="preserve">Harness</w:t>
      </w:r>
      <w:r>
        <w:t xml:space="preserve"> </w:t>
      </w:r>
      <w:r>
        <w:t xml:space="preserve">= the entire environment (scaffolding, constraints, feedback loops) surrounding an AI agent that enables stable, productive work.</w:t>
      </w:r>
    </w:p>
    <w:p>
      <w:pPr>
        <w:pStyle w:val="BodyText"/>
      </w:pPr>
      <w:r>
        <w:rPr>
          <w:bCs/>
          <w:b/>
        </w:rPr>
        <w:t xml:space="preserve">Harness Engineering</w:t>
      </w:r>
      <w:r>
        <w:t xml:space="preserve"> </w:t>
      </w:r>
      <w:r>
        <w:t xml:space="preserve">= the shift from writing code to:</w:t>
      </w:r>
    </w:p>
    <w:p>
      <w:pPr>
        <w:numPr>
          <w:ilvl w:val="0"/>
          <w:numId w:val="1083"/>
        </w:numPr>
        <w:pStyle w:val="Compact"/>
      </w:pPr>
      <w:r>
        <w:rPr>
          <w:bCs/>
          <w:b/>
        </w:rPr>
        <w:t xml:space="preserve">Environment design</w:t>
      </w:r>
      <w:r>
        <w:t xml:space="preserve"> </w:t>
      </w:r>
      <w:r>
        <w:t xml:space="preserve">— designing the workspace agents operate in</w:t>
      </w:r>
    </w:p>
    <w:p>
      <w:pPr>
        <w:numPr>
          <w:ilvl w:val="0"/>
          <w:numId w:val="1083"/>
        </w:numPr>
        <w:pStyle w:val="Compact"/>
      </w:pPr>
      <w:r>
        <w:rPr>
          <w:bCs/>
          <w:b/>
        </w:rPr>
        <w:t xml:space="preserve">Intent specification</w:t>
      </w:r>
      <w:r>
        <w:t xml:space="preserve"> </w:t>
      </w:r>
      <w:r>
        <w:t xml:space="preserve">— defining what needs to happen, not how</w:t>
      </w:r>
    </w:p>
    <w:p>
      <w:pPr>
        <w:numPr>
          <w:ilvl w:val="0"/>
          <w:numId w:val="1083"/>
        </w:numPr>
        <w:pStyle w:val="Compact"/>
      </w:pPr>
      <w:r>
        <w:rPr>
          <w:bCs/>
          <w:b/>
        </w:rPr>
        <w:t xml:space="preserve">Feedback loop construction</w:t>
      </w:r>
      <w:r>
        <w:t xml:space="preserve"> </w:t>
      </w:r>
      <w:r>
        <w:t xml:space="preserve">— building mechanisms for agents to self-correct</w:t>
      </w:r>
    </w:p>
    <w:p>
      <w:pPr>
        <w:pStyle w:val="FirstParagraph"/>
      </w:pPr>
      <w:r>
        <w:t xml:space="preserve">When something fails, the question is not</w:t>
      </w:r>
      <w:r>
        <w:t xml:space="preserve"> </w:t>
      </w:r>
      <w:r>
        <w:t xml:space="preserve">“</w:t>
      </w:r>
      <w:r>
        <w:t xml:space="preserve">try harder</w:t>
      </w:r>
      <w:r>
        <w:t xml:space="preserve">”</w:t>
      </w:r>
      <w:r>
        <w:t xml:space="preserve"> </w:t>
      </w:r>
      <w:r>
        <w:t xml:space="preserve">but</w:t>
      </w:r>
      <w:r>
        <w:t xml:space="preserve"> </w:t>
      </w:r>
      <w:r>
        <w:rPr>
          <w:bCs/>
          <w:b/>
        </w:rPr>
        <w:t xml:space="preserve">“</w:t>
      </w:r>
      <w:r>
        <w:rPr>
          <w:bCs/>
          <w:b/>
        </w:rPr>
        <w:t xml:space="preserve">what capability is missing?</w:t>
      </w:r>
      <w:r>
        <w:rPr>
          <w:bCs/>
          <w:b/>
        </w:rPr>
        <w:t xml:space="preserve">”</w:t>
      </w:r>
    </w:p>
    <w:bookmarkEnd w:id="250"/>
    <w:bookmarkStart w:id="251" w:name="the-eight-principles-dws-iq-6-comparison"/>
    <w:p>
      <w:pPr>
        <w:pStyle w:val="Heading4"/>
      </w:pPr>
      <w:r>
        <w:t xml:space="preserve">10.16.2 The Eight Principles — DWS IQ 6 Comparison</w:t>
      </w:r>
    </w:p>
    <w:tbl>
      <w:tblPr>
        <w:tblStyle w:val="Table"/>
        <w:tblW w:type="pct" w:w="5000"/>
        <w:tblLook w:firstRow="1" w:lastRow="0" w:firstColumn="0" w:lastColumn="0" w:noHBand="0" w:noVBand="0" w:val="0020"/>
        <w:jc w:val="start"/>
      </w:tblPr>
      <w:tblGrid>
        <w:gridCol w:w="153"/>
        <w:gridCol w:w="2043"/>
        <w:gridCol w:w="2248"/>
        <w:gridCol w:w="3014"/>
        <w:gridCol w:w="459"/>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OpenAI Approach</w:t>
            </w:r>
          </w:p>
        </w:tc>
        <w:tc>
          <w:tcPr/>
          <w:p>
            <w:pPr>
              <w:pStyle w:val="Compact"/>
              <w:jc w:val="left"/>
            </w:pPr>
            <w:r>
              <w:t xml:space="preserve">DWS IQ 6 Approach</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AGENTS.md = map, not encyclopedia</w:t>
            </w:r>
          </w:p>
        </w:tc>
        <w:tc>
          <w:tcPr/>
          <w:p>
            <w:pPr>
              <w:pStyle w:val="Compact"/>
              <w:jc w:val="left"/>
            </w:pPr>
            <w:r>
              <w:t xml:space="preserve">~100 lines, acts as table of contents</w:t>
            </w:r>
          </w:p>
        </w:tc>
        <w:tc>
          <w:tcPr/>
          <w:p>
            <w:pPr>
              <w:pStyle w:val="Compact"/>
              <w:jc w:val="left"/>
            </w:pPr>
            <w:r>
              <w:t xml:space="preserve">CLAUDE.md + AGENTS.md + JIT L0-L6 six-layer loading</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Boring technology</w:t>
            </w:r>
            <w:r>
              <w:t xml:space="preserve">”</w:t>
            </w:r>
            <w:r>
              <w:t xml:space="preserve"> </w:t>
            </w:r>
            <w:r>
              <w:t xml:space="preserve">wins</w:t>
            </w:r>
          </w:p>
        </w:tc>
        <w:tc>
          <w:tcPr/>
          <w:p>
            <w:pPr>
              <w:pStyle w:val="Compact"/>
              <w:jc w:val="left"/>
            </w:pPr>
            <w:r>
              <w:t xml:space="preserve">Stable, well-documented tech stacks</w:t>
            </w:r>
          </w:p>
        </w:tc>
        <w:tc>
          <w:tcPr/>
          <w:p>
            <w:pPr>
              <w:pStyle w:val="Compact"/>
              <w:jc w:val="left"/>
            </w:pPr>
            <w:r>
              <w:t xml:space="preserve">Express 4, React 19, PostgreSQL — CLI-first mandate</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quality gates</w:t>
            </w:r>
          </w:p>
        </w:tc>
        <w:tc>
          <w:tcPr/>
          <w:p>
            <w:pPr>
              <w:pStyle w:val="Compact"/>
              <w:jc w:val="left"/>
            </w:pPr>
            <w:r>
              <w:t xml:space="preserve">Automated background scanning + fix PRs</w:t>
            </w:r>
          </w:p>
        </w:tc>
        <w:tc>
          <w:tcPr/>
          <w:p>
            <w:pPr>
              <w:pStyle w:val="Compact"/>
              <w:jc w:val="left"/>
            </w:pPr>
            <w:r>
              <w:t xml:space="preserve">11 standards + Boardy architect persona review</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Mechanical architecture enforcement</w:t>
            </w:r>
          </w:p>
        </w:tc>
        <w:tc>
          <w:tcPr/>
          <w:p>
            <w:pPr>
              <w:pStyle w:val="Compact"/>
              <w:jc w:val="left"/>
            </w:pPr>
            <w:r>
              <w:t xml:space="preserve">Linters with fix instructions in errors</w:t>
            </w:r>
          </w:p>
        </w:tc>
        <w:tc>
          <w:tcPr/>
          <w:p>
            <w:pPr>
              <w:pStyle w:val="Compact"/>
              <w:jc w:val="left"/>
            </w:pPr>
            <w:r>
              <w:t xml:space="preserve">ESLint + security coding rules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Knowledge belongs in the repo</w:t>
            </w:r>
          </w:p>
        </w:tc>
        <w:tc>
          <w:tcPr/>
          <w:p>
            <w:pPr>
              <w:pStyle w:val="Compact"/>
              <w:jc w:val="left"/>
            </w:pPr>
            <w:r>
              <w:t xml:space="preserve">If it’s not in the repo, it doesn’t exist</w:t>
            </w:r>
          </w:p>
        </w:tc>
        <w:tc>
          <w:tcPr/>
          <w:p>
            <w:pPr>
              <w:pStyle w:val="Compact"/>
              <w:jc w:val="left"/>
            </w:pPr>
            <w:r>
              <w:t xml:space="preserve">71 docs + DWS Document Standard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Agent-agent code review</w:t>
            </w:r>
          </w:p>
        </w:tc>
        <w:tc>
          <w:tcPr/>
          <w:p>
            <w:pPr>
              <w:pStyle w:val="Compact"/>
              <w:jc w:val="left"/>
            </w:pPr>
            <w:r>
              <w:t xml:space="preserve">“</w:t>
            </w:r>
            <w:r>
              <w:t xml:space="preserve">Ralph Wiggum Loop</w:t>
            </w:r>
            <w:r>
              <w:t xml:space="preserve">”</w:t>
            </w:r>
            <w:r>
              <w:t xml:space="preserve"> </w:t>
            </w:r>
            <w:r>
              <w:t xml:space="preserve">— self-review cycles</w:t>
            </w:r>
          </w:p>
        </w:tc>
        <w:tc>
          <w:tcPr/>
          <w:p>
            <w:pPr>
              <w:pStyle w:val="Compact"/>
              <w:jc w:val="left"/>
            </w:pPr>
            <w:r>
              <w:t xml:space="preserve">Simplify skill + Boardy + human-in-the-loop</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Compounding returns (build capabilities)</w:t>
            </w:r>
          </w:p>
        </w:tc>
        <w:tc>
          <w:tcPr/>
          <w:p>
            <w:pPr>
              <w:pStyle w:val="Compact"/>
              <w:jc w:val="left"/>
            </w:pPr>
            <w:r>
              <w:t xml:space="preserve">Diagnose missing capability, build into repo</w:t>
            </w:r>
          </w:p>
        </w:tc>
        <w:tc>
          <w:tcPr/>
          <w:p>
            <w:pPr>
              <w:pStyle w:val="Compact"/>
              <w:jc w:val="left"/>
            </w:pPr>
            <w:r>
              <w:t xml:space="preserve">10 skills + 16 agents + MCP Hub + workflow orchestration</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Engineers as environment designers</w:t>
            </w:r>
          </w:p>
        </w:tc>
        <w:tc>
          <w:tcPr/>
          <w:p>
            <w:pPr>
              <w:pStyle w:val="Compact"/>
              <w:jc w:val="left"/>
            </w:pPr>
            <w:r>
              <w:t xml:space="preserve">3.5 PR/engineer/day throughput</w:t>
            </w:r>
          </w:p>
        </w:tc>
        <w:tc>
          <w:tcPr/>
          <w:p>
            <w:pPr>
              <w:pStyle w:val="Compact"/>
              <w:jc w:val="left"/>
            </w:pPr>
            <w:r>
              <w:t xml:space="preserve">Worktree workflow + session handover protocol</w:t>
            </w:r>
          </w:p>
        </w:tc>
        <w:tc>
          <w:tcPr/>
          <w:p>
            <w:pPr>
              <w:pStyle w:val="Compact"/>
              <w:jc w:val="left"/>
            </w:pPr>
            <w:r>
              <w:rPr>
                <w:bCs/>
                <w:b/>
              </w:rPr>
              <w:t xml:space="preserve">80%</w:t>
            </w:r>
          </w:p>
        </w:tc>
      </w:tr>
    </w:tbl>
    <w:p>
      <w:pPr>
        <w:pStyle w:val="BodyText"/>
      </w:pPr>
      <w:r>
        <w:rPr>
          <w:bCs/>
          <w:b/>
        </w:rPr>
        <w:t xml:space="preserve">Overall DWS readiness: ~79%</w:t>
      </w:r>
      <w:r>
        <w:t xml:space="preserve"> </w:t>
      </w:r>
      <w:r>
        <w:t xml:space="preserve">against OpenAI’s harness engineering principles.</w:t>
      </w:r>
    </w:p>
    <w:bookmarkEnd w:id="251"/>
    <w:bookmarkStart w:id="252" w:name="Xc6df8628571b2cbb55601e4b27bc9457d2ada6d"/>
    <w:p>
      <w:pPr>
        <w:pStyle w:val="Heading4"/>
      </w:pPr>
      <w:r>
        <w:t xml:space="preserve">10.16.3 Key Empirical Finding: The Model Does Not Solve — The Harness Does</w:t>
      </w:r>
    </w:p>
    <w:p>
      <w:pPr>
        <w:pStyle w:val="FirstParagraph"/>
      </w:pPr>
      <w:r>
        <w:t xml:space="preserve">The most significant empirical finding from the harness engineering literature:</w:t>
      </w:r>
    </w:p>
    <w:p>
      <w:pPr>
        <w:pStyle w:val="BlockText"/>
      </w:pPr>
      <w:r>
        <w:t xml:space="preserve">The same model (gpt-5.2-codex) improved its benchmark results from</w:t>
      </w:r>
      <w:r>
        <w:t xml:space="preserve"> </w:t>
      </w:r>
      <w:r>
        <w:rPr>
          <w:bCs/>
          <w:b/>
        </w:rPr>
        <w:t xml:space="preserve">52.8% to 66.5%</w:t>
      </w:r>
      <w:r>
        <w:t xml:space="preserve"> </w:t>
      </w:r>
      <w:r>
        <w:t xml:space="preserve">purely through harness improvements (LangChain case). No model change — only system-level improvements.</w:t>
      </w:r>
    </w:p>
    <w:p>
      <w:pPr>
        <w:pStyle w:val="FirstParagraph"/>
      </w:pPr>
      <w:r>
        <w:t xml:space="preserve">This validates DWS IQ 6’s core architectural hypothesis:</w:t>
      </w:r>
      <w:r>
        <w:t xml:space="preserve"> </w:t>
      </w:r>
      <w:r>
        <w:rPr>
          <w:bCs/>
          <w:b/>
        </w:rPr>
        <w:t xml:space="preserve">the system surrounding the model matters more than the model itself.</w:t>
      </w:r>
      <w:r>
        <w:t xml:space="preserve"> </w:t>
      </w:r>
      <w:r>
        <w:t xml:space="preserve">DWS’s six-layer information architecture (L0 Platform Model → L6 Tool Result Injection) is a formalization of this principle.</w:t>
      </w:r>
    </w:p>
    <w:p>
      <w:pPr>
        <w:pStyle w:val="BodyText"/>
      </w:pPr>
      <w:r>
        <w:rPr>
          <w:bCs/>
          <w:b/>
        </w:rPr>
        <w:t xml:space="preserve">Progressive disclosure works empirically:</w:t>
      </w:r>
    </w:p>
    <w:p>
      <w:pPr>
        <w:numPr>
          <w:ilvl w:val="0"/>
          <w:numId w:val="1084"/>
        </w:numPr>
        <w:pStyle w:val="Compact"/>
      </w:pPr>
      <w:r>
        <w:t xml:space="preserve">Cursor achieved</w:t>
      </w:r>
      <w:r>
        <w:t xml:space="preserve"> </w:t>
      </w:r>
      <w:r>
        <w:rPr>
          <w:bCs/>
          <w:b/>
        </w:rPr>
        <w:t xml:space="preserve">46.9% token savings</w:t>
      </w:r>
      <w:r>
        <w:t xml:space="preserve"> </w:t>
      </w:r>
      <w:r>
        <w:t xml:space="preserve">through context management</w:t>
      </w:r>
    </w:p>
    <w:p>
      <w:pPr>
        <w:numPr>
          <w:ilvl w:val="0"/>
          <w:numId w:val="1084"/>
        </w:numPr>
        <w:pStyle w:val="Compact"/>
      </w:pPr>
      <w:r>
        <w:t xml:space="preserve">Vercel reduced context from</w:t>
      </w:r>
      <w:r>
        <w:t xml:space="preserve"> </w:t>
      </w:r>
      <w:r>
        <w:rPr>
          <w:bCs/>
          <w:b/>
        </w:rPr>
        <w:t xml:space="preserve">145K → 67K tokens</w:t>
      </w:r>
      <w:r>
        <w:t xml:space="preserve"> </w:t>
      </w:r>
      <w:r>
        <w:t xml:space="preserve">with JIT loading</w:t>
      </w:r>
    </w:p>
    <w:p>
      <w:pPr>
        <w:numPr>
          <w:ilvl w:val="0"/>
          <w:numId w:val="1084"/>
        </w:numPr>
        <w:pStyle w:val="Compact"/>
      </w:pPr>
      <w:r>
        <w:t xml:space="preserve">DWS’s L6 Tool Injection layer (system-reminder after every tool call) shows</w:t>
      </w:r>
      <w:r>
        <w:t xml:space="preserve"> </w:t>
      </w:r>
      <w:r>
        <w:rPr>
          <w:bCs/>
          <w:b/>
        </w:rPr>
        <w:t xml:space="preserve">15-47% better rule compliance</w:t>
      </w:r>
      <w:r>
        <w:t xml:space="preserve"> </w:t>
      </w:r>
      <w:r>
        <w:t xml:space="preserve">than system prompt alone</w:t>
      </w:r>
    </w:p>
    <w:bookmarkEnd w:id="252"/>
    <w:bookmarkStart w:id="253" w:name="Xf666f6993e79c7df4aabd9e96a7a6903c175526"/>
    <w:p>
      <w:pPr>
        <w:pStyle w:val="Heading4"/>
      </w:pPr>
      <w:r>
        <w:t xml:space="preserve">10.16.4 DWS Six-Layer Architecture (L0-L6) as Harness Formalization</w:t>
      </w:r>
    </w:p>
    <w:p>
      <w:pPr>
        <w:pStyle w:val="FirstParagraph"/>
      </w:pPr>
      <w:r>
        <w:t xml:space="preserve">DWS IQ 6 has independently developed a six-layer information architecture that formalizes the harness concept:</w:t>
      </w:r>
    </w:p>
    <w:tbl>
      <w:tblPr>
        <w:tblStyle w:val="Table"/>
        <w:tblW w:type="pct" w:w="5000"/>
        <w:tblLook w:firstRow="1" w:lastRow="0" w:firstColumn="0" w:lastColumn="0" w:noHBand="0" w:noVBand="0" w:val="0020"/>
        <w:jc w:val="start"/>
      </w:tblPr>
      <w:tblGrid>
        <w:gridCol w:w="528"/>
        <w:gridCol w:w="1848"/>
        <w:gridCol w:w="3520"/>
        <w:gridCol w:w="2023"/>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Function</w:t>
            </w:r>
          </w:p>
        </w:tc>
        <w:tc>
          <w:tcPr/>
          <w:p>
            <w:pPr>
              <w:pStyle w:val="Compact"/>
              <w:jc w:val="left"/>
            </w:pPr>
            <w:r>
              <w:t xml:space="preserve">OpenAI Equivalent</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Base LLM capabilities</w:t>
            </w:r>
          </w:p>
        </w:tc>
        <w:tc>
          <w:tcPr/>
          <w:p>
            <w:pPr>
              <w:pStyle w:val="Compact"/>
              <w:jc w:val="left"/>
            </w:pPr>
            <w:r>
              <w:t xml:space="preserve">Implicit (Codex model)</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Session-level instructions</w:t>
            </w:r>
          </w:p>
        </w:tc>
        <w:tc>
          <w:tcPr/>
          <w:p>
            <w:pPr>
              <w:pStyle w:val="Compact"/>
              <w:jc w:val="left"/>
            </w:pPr>
            <w:r>
              <w:t xml:space="preserve">AGENTS.md injection</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On-demand standard loading</w:t>
            </w:r>
          </w:p>
        </w:tc>
        <w:tc>
          <w:tcPr/>
          <w:p>
            <w:pPr>
              <w:pStyle w:val="Compact"/>
              <w:jc w:val="left"/>
            </w:pPr>
            <w:r>
              <w:t xml:space="preserve">docs/ folder references</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Current task specification</w:t>
            </w:r>
          </w:p>
        </w:tc>
        <w:tc>
          <w:tcPr/>
          <w:p>
            <w:pPr>
              <w:pStyle w:val="Compact"/>
              <w:jc w:val="left"/>
            </w:pPr>
            <w:r>
              <w:t xml:space="preserve">PR description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Persistent memory (Supabase + MEMORY.md)</w:t>
            </w:r>
          </w:p>
        </w:tc>
        <w:tc>
          <w:tcPr/>
          <w:p>
            <w:pPr>
              <w:pStyle w:val="Compact"/>
              <w:jc w:val="left"/>
            </w:pPr>
            <w:r>
              <w:t xml:space="preserve">Not described by OpenAI</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Output from tool executions</w:t>
            </w:r>
          </w:p>
        </w:tc>
        <w:tc>
          <w:tcPr/>
          <w:p>
            <w:pPr>
              <w:pStyle w:val="Compact"/>
              <w:jc w:val="left"/>
            </w:pPr>
            <w:r>
              <w:t xml:space="preserve">Agent loop tool calls</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System reminders after each tool call</w:t>
            </w:r>
          </w:p>
        </w:tc>
        <w:tc>
          <w:tcPr/>
          <w:p>
            <w:pPr>
              <w:pStyle w:val="Compact"/>
              <w:jc w:val="left"/>
            </w:pPr>
            <w:r>
              <w:t xml:space="preserve">Not described by OpenAI</w:t>
            </w:r>
          </w:p>
        </w:tc>
      </w:tr>
    </w:tbl>
    <w:p>
      <w:pPr>
        <w:pStyle w:val="BodyText"/>
      </w:pPr>
      <w:r>
        <w:rPr>
          <w:bCs/>
          <w:b/>
        </w:rPr>
        <w:t xml:space="preserve">DWS innovations beyond OpenAI:</w:t>
      </w:r>
    </w:p>
    <w:p>
      <w:pPr>
        <w:numPr>
          <w:ilvl w:val="0"/>
          <w:numId w:val="1085"/>
        </w:numPr>
        <w:pStyle w:val="Compact"/>
      </w:pPr>
      <w:r>
        <w:rPr>
          <w:bCs/>
          <w:b/>
        </w:rPr>
        <w:t xml:space="preserve">L4 Auto-Learned State:</w:t>
      </w:r>
      <w:r>
        <w:t xml:space="preserve"> </w:t>
      </w:r>
      <w:r>
        <w:t xml:space="preserve">Agents learn across sessions via persistent memory — OpenAI does not describe equivalent capability</w:t>
      </w:r>
    </w:p>
    <w:p>
      <w:pPr>
        <w:numPr>
          <w:ilvl w:val="0"/>
          <w:numId w:val="1085"/>
        </w:numPr>
        <w:pStyle w:val="Compact"/>
      </w:pPr>
      <w:r>
        <w:rPr>
          <w:bCs/>
          <w:b/>
        </w:rPr>
        <w:t xml:space="preserve">L6 Tool Result Injection:</w:t>
      </w:r>
      <w:r>
        <w:t xml:space="preserve"> </w:t>
      </w:r>
      <w:r>
        <w:t xml:space="preserve">System reminders injected after every tool call, achieving 15-47% better standard compliance than prompt-only approaches</w:t>
      </w:r>
    </w:p>
    <w:p>
      <w:pPr>
        <w:numPr>
          <w:ilvl w:val="0"/>
          <w:numId w:val="1085"/>
        </w:numPr>
        <w:pStyle w:val="Compact"/>
      </w:pPr>
      <w:r>
        <w:rPr>
          <w:bCs/>
          <w:b/>
        </w:rPr>
        <w:t xml:space="preserve">12 Factor Agents compliance:</w:t>
      </w:r>
      <w:r>
        <w:t xml:space="preserve"> </w:t>
      </w:r>
      <w:r>
        <w:t xml:space="preserve">DWS documents 12/12 compliance with the 12 Factor Agents framework — OpenAI does not reference this</w:t>
      </w:r>
    </w:p>
    <w:bookmarkEnd w:id="253"/>
    <w:bookmarkStart w:id="254" w:name="Xa4ecf34a84c62df551e3b9b908aff279ac32601"/>
    <w:p>
      <w:pPr>
        <w:pStyle w:val="Heading4"/>
      </w:pPr>
      <w:r>
        <w:t xml:space="preserve">10.16.5 EU Regulation Requires a Different Harness</w:t>
      </w:r>
    </w:p>
    <w:p>
      <w:pPr>
        <w:pStyle w:val="FirstParagraph"/>
      </w:pPr>
      <w:r>
        <w:t xml:space="preserve">The most significant divergence between OpenAI and DWS approaches stems from regulatory context:</w:t>
      </w:r>
    </w:p>
    <w:tbl>
      <w:tblPr>
        <w:tblStyle w:val="Table"/>
        <w:tblW w:type="pct" w:w="5000"/>
        <w:tblLook w:firstRow="1" w:lastRow="0" w:firstColumn="0" w:lastColumn="0" w:noHBand="0" w:noVBand="0" w:val="0020"/>
        <w:jc w:val="start"/>
      </w:tblPr>
      <w:tblGrid>
        <w:gridCol w:w="1493"/>
        <w:gridCol w:w="2337"/>
        <w:gridCol w:w="4089"/>
      </w:tblGrid>
      <w:tr>
        <w:trPr>
          <w:tblHeader w:val="true"/>
        </w:trPr>
        <w:tc>
          <w:tcPr/>
          <w:p>
            <w:pPr>
              <w:pStyle w:val="Compact"/>
              <w:jc w:val="left"/>
            </w:pPr>
            <w:r>
              <w:t xml:space="preserve">Dimension</w:t>
            </w:r>
          </w:p>
        </w:tc>
        <w:tc>
          <w:tcPr/>
          <w:p>
            <w:pPr>
              <w:pStyle w:val="Compact"/>
              <w:jc w:val="left"/>
            </w:pPr>
            <w:r>
              <w:t xml:space="preserve">OpenAI (Silicon Valley)</w:t>
            </w:r>
          </w:p>
        </w:tc>
        <w:tc>
          <w:tcPr/>
          <w:p>
            <w:pPr>
              <w:pStyle w:val="Compact"/>
              <w:jc w:val="left"/>
            </w:pPr>
            <w:r>
              <w:t xml:space="preserve">DWS IQ 6 (EU-regulated)</w:t>
            </w:r>
          </w:p>
        </w:tc>
      </w:tr>
      <w:tr>
        <w:tc>
          <w:tcPr/>
          <w:p>
            <w:pPr>
              <w:pStyle w:val="Compact"/>
              <w:jc w:val="left"/>
            </w:pPr>
            <w:r>
              <w:rPr>
                <w:bCs/>
                <w:b/>
              </w:rPr>
              <w:t xml:space="preserve">Optimization target</w:t>
            </w:r>
          </w:p>
        </w:tc>
        <w:tc>
          <w:tcPr/>
          <w:p>
            <w:pPr>
              <w:pStyle w:val="Compact"/>
              <w:jc w:val="left"/>
            </w:pPr>
            <w:r>
              <w:t xml:space="preserve">Speed (3.5 PR/engineer/day)</w:t>
            </w:r>
          </w:p>
        </w:tc>
        <w:tc>
          <w:tcPr/>
          <w:p>
            <w:pPr>
              <w:pStyle w:val="Compact"/>
              <w:jc w:val="left"/>
            </w:pPr>
            <w:r>
              <w:t xml:space="preserve">Traceability, auditability, human-in-the-loop</w:t>
            </w:r>
          </w:p>
        </w:tc>
      </w:tr>
      <w:tr>
        <w:tc>
          <w:tcPr/>
          <w:p>
            <w:pPr>
              <w:pStyle w:val="Compact"/>
              <w:jc w:val="left"/>
            </w:pPr>
            <w:r>
              <w:rPr>
                <w:bCs/>
                <w:b/>
              </w:rPr>
              <w:t xml:space="preserve">Autonomy level</w:t>
            </w:r>
          </w:p>
        </w:tc>
        <w:tc>
          <w:tcPr/>
          <w:p>
            <w:pPr>
              <w:pStyle w:val="Compact"/>
              <w:jc w:val="left"/>
            </w:pPr>
            <w:r>
              <w:t xml:space="preserve">Near-full agent autonomy</w:t>
            </w:r>
          </w:p>
        </w:tc>
        <w:tc>
          <w:tcPr/>
          <w:p>
            <w:pPr>
              <w:pStyle w:val="Compact"/>
              <w:jc w:val="left"/>
            </w:pPr>
            <w:r>
              <w:t xml:space="preserve">Human remains final approver (Karpathy principles)</w:t>
            </w:r>
          </w:p>
        </w:tc>
      </w:tr>
      <w:tr>
        <w:tc>
          <w:tcPr/>
          <w:p>
            <w:pPr>
              <w:pStyle w:val="Compact"/>
              <w:jc w:val="left"/>
            </w:pPr>
            <w:r>
              <w:rPr>
                <w:bCs/>
                <w:b/>
              </w:rPr>
              <w:t xml:space="preserve">Code review</w:t>
            </w:r>
          </w:p>
        </w:tc>
        <w:tc>
          <w:tcPr/>
          <w:p>
            <w:pPr>
              <w:pStyle w:val="Compact"/>
              <w:jc w:val="left"/>
            </w:pPr>
            <w:r>
              <w:t xml:space="preserve">Agent-agent only (Ralph Wiggum Loop)</w:t>
            </w:r>
          </w:p>
        </w:tc>
        <w:tc>
          <w:tcPr/>
          <w:p>
            <w:pPr>
              <w:pStyle w:val="Compact"/>
              <w:jc w:val="left"/>
            </w:pPr>
            <w:r>
              <w:t xml:space="preserve">Agent pre-review + human final approval</w:t>
            </w:r>
          </w:p>
        </w:tc>
      </w:tr>
      <w:tr>
        <w:tc>
          <w:tcPr/>
          <w:p>
            <w:pPr>
              <w:pStyle w:val="Compact"/>
              <w:jc w:val="left"/>
            </w:pPr>
            <w:r>
              <w:rPr>
                <w:bCs/>
                <w:b/>
              </w:rPr>
              <w:t xml:space="preserve">Audit trail</w:t>
            </w:r>
          </w:p>
        </w:tc>
        <w:tc>
          <w:tcPr/>
          <w:p>
            <w:pPr>
              <w:pStyle w:val="Compact"/>
              <w:jc w:val="left"/>
            </w:pPr>
            <w:r>
              <w:t xml:space="preserve">Not described</w:t>
            </w:r>
          </w:p>
        </w:tc>
        <w:tc>
          <w:tcPr/>
          <w:p>
            <w:pPr>
              <w:pStyle w:val="Compact"/>
              <w:jc w:val="left"/>
            </w:pPr>
            <w:r>
              <w:t xml:space="preserve">VERSION AND AGENT HISTORY in every document, court-defensible</w:t>
            </w:r>
          </w:p>
        </w:tc>
      </w:tr>
      <w:tr>
        <w:tc>
          <w:tcPr/>
          <w:p>
            <w:pPr>
              <w:pStyle w:val="Compact"/>
              <w:jc w:val="left"/>
            </w:pPr>
            <w:r>
              <w:rPr>
                <w:bCs/>
                <w:b/>
              </w:rPr>
              <w:t xml:space="preserve">Data residency</w:t>
            </w:r>
          </w:p>
        </w:tc>
        <w:tc>
          <w:tcPr/>
          <w:p>
            <w:pPr>
              <w:pStyle w:val="Compact"/>
              <w:jc w:val="left"/>
            </w:pPr>
            <w:r>
              <w:t xml:space="preserve">US-centric</w:t>
            </w:r>
          </w:p>
        </w:tc>
        <w:tc>
          <w:tcPr/>
          <w:p>
            <w:pPr>
              <w:pStyle w:val="Compact"/>
              <w:jc w:val="left"/>
            </w:pPr>
            <w:r>
              <w:t xml:space="preserve">EU data residency (Finland/Germany), GDPR, EU AI Act</w:t>
            </w:r>
          </w:p>
        </w:tc>
      </w:tr>
      <w:tr>
        <w:tc>
          <w:tcPr/>
          <w:p>
            <w:pPr>
              <w:pStyle w:val="Compact"/>
              <w:jc w:val="left"/>
            </w:pPr>
            <w:r>
              <w:rPr>
                <w:bCs/>
                <w:b/>
              </w:rPr>
              <w:t xml:space="preserve">Industries served</w:t>
            </w:r>
          </w:p>
        </w:tc>
        <w:tc>
          <w:tcPr/>
          <w:p>
            <w:pPr>
              <w:pStyle w:val="Compact"/>
              <w:jc w:val="left"/>
            </w:pPr>
            <w:r>
              <w:t xml:space="preserve">Internal tooling</w:t>
            </w:r>
          </w:p>
        </w:tc>
        <w:tc>
          <w:tcPr/>
          <w:p>
            <w:pPr>
              <w:pStyle w:val="Compact"/>
              <w:jc w:val="left"/>
            </w:pPr>
            <w:r>
              <w:t xml:space="preserve">20 EU-regulated industries (construction, energy, chemicals…)</w:t>
            </w:r>
          </w:p>
        </w:tc>
      </w:tr>
    </w:tbl>
    <w:p>
      <w:pPr>
        <w:pStyle w:val="BodyText"/>
      </w:pPr>
      <w:r>
        <w:rPr>
          <w:bCs/>
          <w:b/>
        </w:rPr>
        <w:t xml:space="preserve">Thesis argument:</w:t>
      </w:r>
      <w:r>
        <w:t xml:space="preserve"> </w:t>
      </w:r>
      <w:r>
        <w:t xml:space="preserve">Both approaches are valid, but for different contexts. OpenAI optimizes for velocity in an unregulated internal environment. DWS optimizes for compliance, traceability, and trust in EU-regulated industries where autonomous agent decisions carry legal liability.</w:t>
      </w:r>
    </w:p>
    <w:p>
      <w:pPr>
        <w:pStyle w:val="BodyText"/>
      </w:pPr>
      <w:r>
        <w:t xml:space="preserve">The EU AI Act (effective August 2026) explicitly requires:</w:t>
      </w:r>
    </w:p>
    <w:p>
      <w:pPr>
        <w:numPr>
          <w:ilvl w:val="0"/>
          <w:numId w:val="1086"/>
        </w:numPr>
        <w:pStyle w:val="Compact"/>
      </w:pPr>
      <w:r>
        <w:rPr>
          <w:bCs/>
          <w:b/>
        </w:rPr>
        <w:t xml:space="preserve">Article 12:</w:t>
      </w:r>
      <w:r>
        <w:t xml:space="preserve"> </w:t>
      </w:r>
      <w:r>
        <w:t xml:space="preserve">Logging of AI system operations for at least 7 years</w:t>
      </w:r>
    </w:p>
    <w:p>
      <w:pPr>
        <w:numPr>
          <w:ilvl w:val="0"/>
          <w:numId w:val="1086"/>
        </w:numPr>
        <w:pStyle w:val="Compact"/>
      </w:pPr>
      <w:r>
        <w:rPr>
          <w:bCs/>
          <w:b/>
        </w:rPr>
        <w:t xml:space="preserve">Article 14:</w:t>
      </w:r>
      <w:r>
        <w:t xml:space="preserve"> </w:t>
      </w:r>
      <w:r>
        <w:t xml:space="preserve">Human oversight of high-risk AI systems</w:t>
      </w:r>
    </w:p>
    <w:p>
      <w:pPr>
        <w:numPr>
          <w:ilvl w:val="0"/>
          <w:numId w:val="1086"/>
        </w:numPr>
        <w:pStyle w:val="Compact"/>
      </w:pPr>
      <w:r>
        <w:rPr>
          <w:bCs/>
          <w:b/>
        </w:rPr>
        <w:t xml:space="preserve">Article 15:</w:t>
      </w:r>
      <w:r>
        <w:t xml:space="preserve"> </w:t>
      </w:r>
      <w:r>
        <w:t xml:space="preserve">Accuracy, robustness, and cybersecurity requirements</w:t>
      </w:r>
    </w:p>
    <w:p>
      <w:pPr>
        <w:pStyle w:val="FirstParagraph"/>
      </w:pPr>
      <w:r>
        <w:t xml:space="preserve">These requirements make OpenAI’s</w:t>
      </w:r>
      <w:r>
        <w:t xml:space="preserve"> </w:t>
      </w:r>
      <w:r>
        <w:t xml:space="preserve">“</w:t>
      </w:r>
      <w:r>
        <w:t xml:space="preserve">full autonomy</w:t>
      </w:r>
      <w:r>
        <w:t xml:space="preserve">”</w:t>
      </w:r>
      <w:r>
        <w:t xml:space="preserve"> </w:t>
      </w:r>
      <w:r>
        <w:t xml:space="preserve">model non-compliant for high-risk applications in EU-regulated industries. DWS’s human-in-the-loop harness is not a limitation — it is an architectural response to regulatory requirements.</w:t>
      </w:r>
    </w:p>
    <w:bookmarkEnd w:id="254"/>
    <w:bookmarkStart w:id="255" w:name="open-research-questions"/>
    <w:p>
      <w:pPr>
        <w:pStyle w:val="Heading4"/>
      </w:pPr>
      <w:r>
        <w:t xml:space="preserve">10.16.6 Open Research Questions</w:t>
      </w:r>
    </w:p>
    <w:p>
      <w:pPr>
        <w:numPr>
          <w:ilvl w:val="0"/>
          <w:numId w:val="1087"/>
        </w:numPr>
      </w:pPr>
      <w:r>
        <w:rPr>
          <w:bCs/>
          <w:b/>
        </w:rPr>
        <w:t xml:space="preserve">Does the harness model scale to EU-regulated industries?</w:t>
      </w:r>
      <w:r>
        <w:t xml:space="preserve"> </w:t>
      </w:r>
      <w:r>
        <w:t xml:space="preserve">OpenAI’s case is internal tooling without regulatory requirements. DWS operates across 20 regulated industries — empirical validation is ongoing.</w:t>
      </w:r>
    </w:p>
    <w:p>
      <w:pPr>
        <w:numPr>
          <w:ilvl w:val="0"/>
          <w:numId w:val="1087"/>
        </w:numPr>
      </w:pPr>
      <w:r>
        <w:rPr>
          <w:bCs/>
          <w:b/>
        </w:rPr>
        <w:t xml:space="preserve">What is the optimal autonomy level?</w:t>
      </w:r>
      <w:r>
        <w:t xml:space="preserve"> </w:t>
      </w:r>
      <w:r>
        <w:t xml:space="preserve">OpenAI: near-full autonomy. DWS: human-in-the-loop. Which produces better outcomes in regulated contexts?</w:t>
      </w:r>
    </w:p>
    <w:p>
      <w:pPr>
        <w:numPr>
          <w:ilvl w:val="0"/>
          <w:numId w:val="1087"/>
        </w:numPr>
      </w:pPr>
      <w:r>
        <w:rPr>
          <w:bCs/>
          <w:b/>
        </w:rPr>
        <w:t xml:space="preserve">Is the six-layer context architecture generalizable?</w:t>
      </w:r>
      <w:r>
        <w:t xml:space="preserve"> </w:t>
      </w:r>
      <w:r>
        <w:t xml:space="preserve">DWS’s L0-L6 model is specific to its standards ecosystem, but the principles may be universal.</w:t>
      </w:r>
    </w:p>
    <w:p>
      <w:pPr>
        <w:numPr>
          <w:ilvl w:val="0"/>
          <w:numId w:val="1087"/>
        </w:numPr>
      </w:pPr>
      <w:r>
        <w:rPr>
          <w:bCs/>
          <w:b/>
        </w:rPr>
        <w:t xml:space="preserve">Verification gap:</w:t>
      </w:r>
      <w:r>
        <w:t xml:space="preserve"> </w:t>
      </w:r>
      <w:r>
        <w:t xml:space="preserve">Martin Fowler noted that OpenAI’s article lacks behavioral verification — how does the harness ensure generated code does the right thing, not just compiles?</w:t>
      </w:r>
    </w:p>
    <w:bookmarkEnd w:id="255"/>
    <w:bookmarkStart w:id="256" w:name="research-contribution-7"/>
    <w:p>
      <w:pPr>
        <w:pStyle w:val="Heading4"/>
      </w:pPr>
      <w:r>
        <w:t xml:space="preserve">10.16.7 Research Contribution</w:t>
      </w:r>
    </w:p>
    <w:p>
      <w:pPr>
        <w:pStyle w:val="FirstParagraph"/>
      </w:pPr>
      <w:r>
        <w:t xml:space="preserve">This section contributes three findings to the harness engineering discourse:</w:t>
      </w:r>
    </w:p>
    <w:p>
      <w:pPr>
        <w:numPr>
          <w:ilvl w:val="0"/>
          <w:numId w:val="1088"/>
        </w:numPr>
      </w:pPr>
      <w:r>
        <w:rPr>
          <w:bCs/>
          <w:b/>
        </w:rPr>
        <w:t xml:space="preserve">Formalization:</w:t>
      </w:r>
      <w:r>
        <w:t xml:space="preserve"> </w:t>
      </w:r>
      <w:r>
        <w:t xml:space="preserve">DWS’s L0-L6 six-layer architecture provides a formal framework for what OpenAI describes informally. This makes harness design reproducible and auditable.</w:t>
      </w:r>
    </w:p>
    <w:p>
      <w:pPr>
        <w:numPr>
          <w:ilvl w:val="0"/>
          <w:numId w:val="1088"/>
        </w:numPr>
      </w:pPr>
      <w:r>
        <w:rPr>
          <w:bCs/>
          <w:b/>
        </w:rPr>
        <w:t xml:space="preserve">Regulatory divergence:</w:t>
      </w:r>
      <w:r>
        <w:t xml:space="preserve"> </w:t>
      </w:r>
      <w:r>
        <w:t xml:space="preserve">EU-regulated industries require fundamentally different harness design — prioritizing traceability and human oversight over speed. This is not a weakness but an architectural constraint analogous to how Aiven’s extension whitelist drives database architecture (Section 10.15).</w:t>
      </w:r>
    </w:p>
    <w:p>
      <w:pPr>
        <w:numPr>
          <w:ilvl w:val="0"/>
          <w:numId w:val="1088"/>
        </w:numPr>
      </w:pPr>
      <w:r>
        <w:rPr>
          <w:bCs/>
          <w:b/>
        </w:rPr>
        <w:t xml:space="preserve">Empirical confirmation:</w:t>
      </w:r>
      <w:r>
        <w:t xml:space="preserve"> </w:t>
      </w:r>
      <w:r>
        <w:t xml:space="preserve">The 52.8% → 66.5% improvement from harness alone (not model change) validates DWS’s investment in system architecture over model selection. The six-layer architecture, DWS Document Standard, and progressive disclosure are all harness engineering practices developed independently before OpenAI published its findings.</w:t>
      </w:r>
    </w:p>
    <w:bookmarkEnd w:id="256"/>
    <w:bookmarkEnd w:id="257"/>
    <w:bookmarkStart w:id="264" w:name="X82c3cb5b3f96223a00cb9a57ff5ba43a4ef193f"/>
    <w:p>
      <w:pPr>
        <w:pStyle w:val="Heading3"/>
      </w:pPr>
      <w:r>
        <w:t xml:space="preserve">10.17 Conclusion: The Carbon Balance Sheet as Compliance Infrastructure</w:t>
      </w:r>
    </w:p>
    <w:bookmarkStart w:id="258" w:name="from-reporting-to-reconciliation"/>
    <w:p>
      <w:pPr>
        <w:pStyle w:val="Heading4"/>
      </w:pPr>
      <w:r>
        <w:t xml:space="preserve">10.17.1 From Reporting to Reconciliation</w:t>
      </w:r>
    </w:p>
    <w:p>
      <w:pPr>
        <w:pStyle w:val="FirstParagraph"/>
      </w:pPr>
      <w:r>
        <w:t xml:space="preserve">The central finding of this thesis is that EU climate compliance across ETS, CBAM, CSRD, and the EU Taxonomy is not a reporting problem — it is a</w:t>
      </w:r>
      <w:r>
        <w:t xml:space="preserve"> </w:t>
      </w:r>
      <w:r>
        <w:rPr>
          <w:bCs/>
          <w:b/>
        </w:rPr>
        <w:t xml:space="preserve">ledger problem</w:t>
      </w:r>
      <w:r>
        <w:t xml:space="preserve">. The same tonne of CO2e that appears as an ETS surrender debit for a steel mill becomes a CBAM embedded emission for the importer, becomes a CSRD Scope 3 upstream disclosure for the construction company, and determines their Taxonomy alignment. Four regulatory touchpoints, one physical quantity.</w:t>
      </w:r>
    </w:p>
    <w:p>
      <w:pPr>
        <w:pStyle w:val="BodyText"/>
      </w:pPr>
      <w:r>
        <w:t xml:space="preserve">Current compliance tools treat each regulation as an independent reporting workflow. This produces duplicated data entry, inconsistent emission factors, and no reconciliation between related obligations. The result: enterprises report the same carbon event differently across regulations, auditors cannot cross-verify, and Scope 3 estimates carry ±40% uncertainty because they rely on spend-based proxies rather than transaction-verified data.</w:t>
      </w:r>
    </w:p>
    <w:bookmarkEnd w:id="258"/>
    <w:bookmarkStart w:id="259" w:name="double-entry-bookkeeping-for-co2"/>
    <w:p>
      <w:pPr>
        <w:pStyle w:val="Heading4"/>
      </w:pPr>
      <w:r>
        <w:t xml:space="preserve">10.17.2 Double-Entry Bookkeeping for CO2</w:t>
      </w:r>
    </w:p>
    <w:p>
      <w:pPr>
        <w:pStyle w:val="FirstParagraph"/>
      </w:pPr>
      <w:r>
        <w:t xml:space="preserve">This thesis proposes that carbon compliance requires the same architectural solution that financial accounting adopted centuries ago:</w:t>
      </w:r>
      <w:r>
        <w:t xml:space="preserve"> </w:t>
      </w:r>
      <w:r>
        <w:rPr>
          <w:bCs/>
          <w:b/>
        </w:rPr>
        <w:t xml:space="preserve">double-entry bookkeeping</w:t>
      </w:r>
      <w:r>
        <w:t xml:space="preserve">. Every compliance event produces a journal entry — debit or credit — in dual units (EUR and tCO2e):</w:t>
      </w:r>
    </w:p>
    <w:tbl>
      <w:tblPr>
        <w:tblStyle w:val="Table"/>
        <w:tblW w:type="pct" w:w="5000"/>
        <w:tblLook w:firstRow="1" w:lastRow="0" w:firstColumn="0" w:lastColumn="0" w:noHBand="0" w:noVBand="0" w:val="0020"/>
        <w:jc w:val="start"/>
      </w:tblPr>
      <w:tblGrid>
        <w:gridCol w:w="2383"/>
        <w:gridCol w:w="1752"/>
        <w:gridCol w:w="2383"/>
        <w:gridCol w:w="1401"/>
      </w:tblGrid>
      <w:tr>
        <w:trPr>
          <w:tblHeader w:val="true"/>
        </w:trPr>
        <w:tc>
          <w:tcPr/>
          <w:p>
            <w:pPr>
              <w:pStyle w:val="Compact"/>
              <w:jc w:val="left"/>
            </w:pPr>
            <w:r>
              <w:t xml:space="preserve">Compliance Event</w:t>
            </w:r>
          </w:p>
        </w:tc>
        <w:tc>
          <w:tcPr/>
          <w:p>
            <w:pPr>
              <w:pStyle w:val="Compact"/>
              <w:jc w:val="left"/>
            </w:pPr>
            <w:r>
              <w:t xml:space="preserve">Debit (liability)</w:t>
            </w:r>
          </w:p>
        </w:tc>
        <w:tc>
          <w:tcPr/>
          <w:p>
            <w:pPr>
              <w:pStyle w:val="Compact"/>
              <w:jc w:val="left"/>
            </w:pPr>
            <w:r>
              <w:t xml:space="preserve">Credit (asset)</w:t>
            </w:r>
          </w:p>
        </w:tc>
        <w:tc>
          <w:tcPr/>
          <w:p>
            <w:pPr>
              <w:pStyle w:val="Compact"/>
              <w:jc w:val="left"/>
            </w:pPr>
            <w:r>
              <w:t xml:space="preserve">Regulation</w:t>
            </w:r>
          </w:p>
        </w:tc>
      </w:tr>
      <w:tr>
        <w:tc>
          <w:tcPr/>
          <w:p>
            <w:pPr>
              <w:pStyle w:val="Compact"/>
              <w:jc w:val="left"/>
            </w:pPr>
            <w:r>
              <w:t xml:space="preserve">ETS allowance surrender</w:t>
            </w:r>
          </w:p>
        </w:tc>
        <w:tc>
          <w:tcPr/>
          <w:p>
            <w:pPr>
              <w:pStyle w:val="Compact"/>
              <w:jc w:val="left"/>
            </w:pPr>
            <w:r>
              <w:t xml:space="preserve">tCO2e emitted + EUR cost</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Free allocation received</w:t>
            </w:r>
          </w:p>
        </w:tc>
        <w:tc>
          <w:tcPr/>
          <w:p>
            <w:pPr>
              <w:pStyle w:val="Compact"/>
              <w:jc w:val="left"/>
            </w:pPr>
            <w:r>
              <w:t xml:space="preserve">—</w:t>
            </w:r>
          </w:p>
        </w:tc>
        <w:tc>
          <w:tcPr/>
          <w:p>
            <w:pPr>
              <w:pStyle w:val="Compact"/>
              <w:jc w:val="left"/>
            </w:pPr>
            <w:r>
              <w:t xml:space="preserve">tCO2e allocated</w:t>
            </w:r>
          </w:p>
        </w:tc>
        <w:tc>
          <w:tcPr/>
          <w:p>
            <w:pPr>
              <w:pStyle w:val="Compact"/>
              <w:jc w:val="left"/>
            </w:pPr>
            <w:r>
              <w:t xml:space="preserve">EU ETS</w:t>
            </w:r>
          </w:p>
        </w:tc>
      </w:tr>
      <w:tr>
        <w:tc>
          <w:tcPr/>
          <w:p>
            <w:pPr>
              <w:pStyle w:val="Compact"/>
              <w:jc w:val="left"/>
            </w:pPr>
            <w:r>
              <w:t xml:space="preserve">CBAM certificate purchase</w:t>
            </w:r>
          </w:p>
        </w:tc>
        <w:tc>
          <w:tcPr/>
          <w:p>
            <w:pPr>
              <w:pStyle w:val="Compact"/>
              <w:jc w:val="left"/>
            </w:pPr>
            <w:r>
              <w:t xml:space="preserve">EUR paid + tCO2e imported</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 origin carbon price deduction</w:t>
            </w:r>
          </w:p>
        </w:tc>
        <w:tc>
          <w:tcPr/>
          <w:p>
            <w:pPr>
              <w:pStyle w:val="Compact"/>
              <w:jc w:val="left"/>
            </w:pPr>
            <w:r>
              <w:t xml:space="preserve">—</w:t>
            </w:r>
          </w:p>
        </w:tc>
        <w:tc>
          <w:tcPr/>
          <w:p>
            <w:pPr>
              <w:pStyle w:val="Compact"/>
              <w:jc w:val="left"/>
            </w:pPr>
            <w:r>
              <w:t xml:space="preserve">EUR already paid in origin country</w:t>
            </w:r>
          </w:p>
        </w:tc>
        <w:tc>
          <w:tcPr/>
          <w:p>
            <w:pPr>
              <w:pStyle w:val="Compact"/>
              <w:jc w:val="left"/>
            </w:pPr>
            <w:r>
              <w:t xml:space="preserve">CBAM</w:t>
            </w:r>
          </w:p>
        </w:tc>
      </w:tr>
      <w:tr>
        <w:tc>
          <w:tcPr/>
          <w:p>
            <w:pPr>
              <w:pStyle w:val="Compact"/>
              <w:jc w:val="left"/>
            </w:pPr>
            <w:r>
              <w:t xml:space="preserve">Verified offset retirement</w:t>
            </w:r>
          </w:p>
        </w:tc>
        <w:tc>
          <w:tcPr/>
          <w:p>
            <w:pPr>
              <w:pStyle w:val="Compact"/>
              <w:jc w:val="left"/>
            </w:pPr>
            <w:r>
              <w:t xml:space="preserve">—</w:t>
            </w:r>
          </w:p>
        </w:tc>
        <w:tc>
          <w:tcPr/>
          <w:p>
            <w:pPr>
              <w:pStyle w:val="Compact"/>
              <w:jc w:val="left"/>
            </w:pPr>
            <w:r>
              <w:t xml:space="preserve">tCO2e offset</w:t>
            </w:r>
          </w:p>
        </w:tc>
        <w:tc>
          <w:tcPr/>
          <w:p>
            <w:pPr>
              <w:pStyle w:val="Compact"/>
              <w:jc w:val="left"/>
            </w:pPr>
            <w:r>
              <w:t xml:space="preserve">Voluntary / Taxonomy</w:t>
            </w:r>
          </w:p>
        </w:tc>
      </w:tr>
    </w:tbl>
    <w:p>
      <w:pPr>
        <w:pStyle w:val="BodyText"/>
      </w:pPr>
      <w:r>
        <w:t xml:space="preserve">The carbon balance sheet — total liabilities (debits) minus total assets (credits) — gives a CFO a</w:t>
      </w:r>
      <w:r>
        <w:t xml:space="preserve"> </w:t>
      </w:r>
      <w:r>
        <w:rPr>
          <w:bCs/>
          <w:b/>
        </w:rPr>
        <w:t xml:space="preserve">net carbon position</w:t>
      </w:r>
      <w:r>
        <w:t xml:space="preserve"> </w:t>
      </w:r>
      <w:r>
        <w:t xml:space="preserve">that is auditable, reconcilable, and machine-readable (XBRL/iXBRL).</w:t>
      </w:r>
    </w:p>
    <w:bookmarkEnd w:id="259"/>
    <w:bookmarkStart w:id="260" w:name="cross-regulation-reconciliation"/>
    <w:p>
      <w:pPr>
        <w:pStyle w:val="Heading4"/>
      </w:pPr>
      <w:r>
        <w:t xml:space="preserve">10.17.3 Cross-Regulation Reconciliation</w:t>
      </w:r>
    </w:p>
    <w:p>
      <w:pPr>
        <w:pStyle w:val="FirstParagraph"/>
      </w:pPr>
      <w:r>
        <w:t xml:space="preserve">The debit-credit ledger enables what no current tool provides:</w:t>
      </w:r>
      <w:r>
        <w:t xml:space="preserve"> </w:t>
      </w:r>
      <w:r>
        <w:rPr>
          <w:bCs/>
          <w:b/>
        </w:rPr>
        <w:t xml:space="preserve">cross-regulation reconciliation</w:t>
      </w:r>
      <w:r>
        <w:t xml:space="preserve">. When a steel mill’s ETS data and a construction company’s CBAM data flow through the same ledger, the system can verify that embedded emissions match actual production emissions. This eliminates the reliance on CBAM default values (which overestimate by 20-50%) and produces transaction-verified Scope 3 data with ±3% accuracy instead of the ±40% from spend-based estimation.</w:t>
      </w:r>
    </w:p>
    <w:p>
      <w:pPr>
        <w:pStyle w:val="BodyText"/>
      </w:pPr>
      <w:r>
        <w:t xml:space="preserve">This is also a</w:t>
      </w:r>
      <w:r>
        <w:t xml:space="preserve"> </w:t>
      </w:r>
      <w:r>
        <w:rPr>
          <w:bCs/>
          <w:b/>
        </w:rPr>
        <w:t xml:space="preserve">network effect</w:t>
      </w:r>
      <w:r>
        <w:t xml:space="preserve">: when Customer A’s verified emissions improve Customer B’s CBAM factor accuracy, both benefit. The more industries on the ledger, the more cross-vertical intelligence emerges.</w:t>
      </w:r>
    </w:p>
    <w:bookmarkEnd w:id="260"/>
    <w:bookmarkStart w:id="261" w:name="implementation-dws-7-phase-2.6"/>
    <w:p>
      <w:pPr>
        <w:pStyle w:val="Heading4"/>
      </w:pPr>
      <w:r>
        <w:t xml:space="preserve">10.17.4 Implementation: DWS 7 Phase 2.6</w:t>
      </w:r>
    </w:p>
    <w:p>
      <w:pPr>
        <w:pStyle w:val="FirstParagraph"/>
      </w:pPr>
      <w:r>
        <w:t xml:space="preserve">The DWS IQ platform already implements the in-memory debit-credit transform (</w:t>
      </w:r>
      <w:r>
        <w:rPr>
          <w:rStyle w:val="VerbatimChar"/>
        </w:rPr>
        <w:t xml:space="preserve">src/compliance/debit-credit-ledger.ts</w:t>
      </w:r>
      <w:r>
        <w:t xml:space="preserve">) shipping in V1. DWS 7 Phase 2.6 (May–July 2026) promotes this to a persistent carbon balance sheet with 8 planned PRs (093A–093H):</w:t>
      </w:r>
    </w:p>
    <w:p>
      <w:pPr>
        <w:numPr>
          <w:ilvl w:val="0"/>
          <w:numId w:val="1089"/>
        </w:numPr>
        <w:pStyle w:val="Compact"/>
      </w:pPr>
      <w:r>
        <w:rPr>
          <w:bCs/>
          <w:b/>
        </w:rPr>
        <w:t xml:space="preserve">Persistent carbon ledger</w:t>
      </w:r>
      <w:r>
        <w:t xml:space="preserve"> </w:t>
      </w:r>
      <w:r>
        <w:t xml:space="preserve">— immutable append-only table, corrections as reverse entries</w:t>
      </w:r>
    </w:p>
    <w:p>
      <w:pPr>
        <w:numPr>
          <w:ilvl w:val="0"/>
          <w:numId w:val="1089"/>
        </w:numPr>
        <w:pStyle w:val="Compact"/>
      </w:pPr>
      <w:r>
        <w:rPr>
          <w:bCs/>
          <w:b/>
        </w:rPr>
        <w:t xml:space="preserve">Dual-unit entries</w:t>
      </w:r>
      <w:r>
        <w:t xml:space="preserve"> </w:t>
      </w:r>
      <w:r>
        <w:t xml:space="preserve">— EUR + tCO2e on every entry, carbon price preserved at time of entry</w:t>
      </w:r>
    </w:p>
    <w:p>
      <w:pPr>
        <w:numPr>
          <w:ilvl w:val="0"/>
          <w:numId w:val="1089"/>
        </w:numPr>
        <w:pStyle w:val="Compact"/>
      </w:pPr>
      <w:r>
        <w:rPr>
          <w:bCs/>
          <w:b/>
        </w:rPr>
        <w:t xml:space="preserve">Chart of carbon accounts</w:t>
      </w:r>
      <w:r>
        <w:t xml:space="preserve"> </w:t>
      </w:r>
      <w:r>
        <w:t xml:space="preserve">— standardized account structure mapping to ESRS E1 scopes</w:t>
      </w:r>
    </w:p>
    <w:p>
      <w:pPr>
        <w:numPr>
          <w:ilvl w:val="0"/>
          <w:numId w:val="1089"/>
        </w:numPr>
        <w:pStyle w:val="Compact"/>
      </w:pPr>
      <w:r>
        <w:rPr>
          <w:bCs/>
          <w:b/>
        </w:rPr>
        <w:t xml:space="preserve">Cross-regulation reconciliation</w:t>
      </w:r>
      <w:r>
        <w:t xml:space="preserve"> </w:t>
      </w:r>
      <w:r>
        <w:t xml:space="preserve">— ETS ↔ CBAM ↔ CSRD via shared ledger entries</w:t>
      </w:r>
    </w:p>
    <w:p>
      <w:pPr>
        <w:numPr>
          <w:ilvl w:val="0"/>
          <w:numId w:val="1089"/>
        </w:numPr>
        <w:pStyle w:val="Compact"/>
      </w:pPr>
      <w:r>
        <w:rPr>
          <w:bCs/>
          <w:b/>
        </w:rPr>
        <w:t xml:space="preserve">Ledger-native scoring</w:t>
      </w:r>
      <w:r>
        <w:t xml:space="preserve"> </w:t>
      </w:r>
      <w:r>
        <w:t xml:space="preserve">— compliance score derived from ledger balance, not computed from scratch</w:t>
      </w:r>
    </w:p>
    <w:p>
      <w:pPr>
        <w:numPr>
          <w:ilvl w:val="0"/>
          <w:numId w:val="1089"/>
        </w:numPr>
        <w:pStyle w:val="Compact"/>
      </w:pPr>
      <w:r>
        <w:rPr>
          <w:bCs/>
          <w:b/>
        </w:rPr>
        <w:t xml:space="preserve">CFO dashboard</w:t>
      </w:r>
      <w:r>
        <w:t xml:space="preserve"> </w:t>
      </w:r>
      <w:r>
        <w:t xml:space="preserve">— balance sheet view with drill-down by regulation, scope, and entity</w:t>
      </w:r>
    </w:p>
    <w:p>
      <w:pPr>
        <w:numPr>
          <w:ilvl w:val="0"/>
          <w:numId w:val="1089"/>
        </w:numPr>
        <w:pStyle w:val="Compact"/>
      </w:pPr>
      <w:r>
        <w:rPr>
          <w:bCs/>
          <w:b/>
        </w:rPr>
        <w:t xml:space="preserve">ERP GL sync</w:t>
      </w:r>
      <w:r>
        <w:t xml:space="preserve"> </w:t>
      </w:r>
      <w:r>
        <w:t xml:space="preserve">— carbon entries pushed to SAP/IFS/Dynamics general ledger</w:t>
      </w:r>
    </w:p>
    <w:p>
      <w:pPr>
        <w:numPr>
          <w:ilvl w:val="0"/>
          <w:numId w:val="1089"/>
        </w:numPr>
        <w:pStyle w:val="Compact"/>
      </w:pPr>
      <w:r>
        <w:rPr>
          <w:bCs/>
          <w:b/>
        </w:rPr>
        <w:t xml:space="preserve">XBRL export</w:t>
      </w:r>
      <w:r>
        <w:t xml:space="preserve"> </w:t>
      </w:r>
      <w:r>
        <w:t xml:space="preserve">— machine-readable CSRD reports from ledger data</w:t>
      </w:r>
    </w:p>
    <w:bookmarkEnd w:id="261"/>
    <w:bookmarkStart w:id="262" w:name="X748721c776941c0882d5e0f7c33e37caa432074"/>
    <w:p>
      <w:pPr>
        <w:pStyle w:val="Heading4"/>
      </w:pPr>
      <w:r>
        <w:t xml:space="preserve">10.17.5 Open Source Input: Connectors as the Data Ingestion Layer</w:t>
      </w:r>
    </w:p>
    <w:p>
      <w:pPr>
        <w:pStyle w:val="FirstParagraph"/>
      </w:pPr>
      <w:r>
        <w:t xml:space="preserve">A carbon balance sheet is only as accurate as the data that enters it. The ledger architecture depends on</w:t>
      </w:r>
      <w:r>
        <w:t xml:space="preserve"> </w:t>
      </w:r>
      <w:r>
        <w:rPr>
          <w:bCs/>
          <w:b/>
        </w:rPr>
        <w:t xml:space="preserve">open source connectors</w:t>
      </w:r>
      <w:r>
        <w:t xml:space="preserve"> </w:t>
      </w:r>
      <w:r>
        <w:t xml:space="preserve">to ingest verified emissions data from heterogeneous industrial systems. Without standardized, auditable data pipelines, the double-entry model collapses into the same manual-entry problem it replaces.</w:t>
      </w:r>
    </w:p>
    <w:p>
      <w:pPr>
        <w:pStyle w:val="BodyText"/>
      </w:pPr>
      <w:r>
        <w:t xml:space="preserve">The DWS connector architecture follows the ERP integration patterns established in</w:t>
      </w:r>
      <w:r>
        <w:t xml:space="preserve"> </w:t>
      </w:r>
      <w:r>
        <w:rPr>
          <w:rStyle w:val="VerbatimChar"/>
        </w:rPr>
        <w:t xml:space="preserve">src/integrations/erp/</w:t>
      </w:r>
      <w:r>
        <w:t xml:space="preserve"> </w:t>
      </w:r>
      <w:r>
        <w:t xml:space="preserve">(Section 10.9), extending them to carbon-specific data sources:</w:t>
      </w:r>
    </w:p>
    <w:tbl>
      <w:tblPr>
        <w:tblStyle w:val="Table"/>
        <w:tblW w:type="pct" w:w="5000"/>
        <w:tblLook w:firstRow="1" w:lastRow="0" w:firstColumn="0" w:lastColumn="0" w:noHBand="0" w:noVBand="0" w:val="0020"/>
        <w:jc w:val="start"/>
      </w:tblPr>
      <w:tblGrid>
        <w:gridCol w:w="1096"/>
        <w:gridCol w:w="2436"/>
        <w:gridCol w:w="3168"/>
        <w:gridCol w:w="1218"/>
      </w:tblGrid>
      <w:tr>
        <w:trPr>
          <w:tblHeader w:val="true"/>
        </w:trPr>
        <w:tc>
          <w:tcPr/>
          <w:p>
            <w:pPr>
              <w:pStyle w:val="Compact"/>
              <w:jc w:val="left"/>
            </w:pPr>
            <w:r>
              <w:t xml:space="preserve">Connector Type</w:t>
            </w:r>
          </w:p>
        </w:tc>
        <w:tc>
          <w:tcPr/>
          <w:p>
            <w:pPr>
              <w:pStyle w:val="Compact"/>
              <w:jc w:val="left"/>
            </w:pPr>
            <w:r>
              <w:t xml:space="preserve">Source Systems</w:t>
            </w:r>
          </w:p>
        </w:tc>
        <w:tc>
          <w:tcPr/>
          <w:p>
            <w:pPr>
              <w:pStyle w:val="Compact"/>
              <w:jc w:val="left"/>
            </w:pPr>
            <w:r>
              <w:t xml:space="preserve">Data Flow</w:t>
            </w:r>
          </w:p>
        </w:tc>
        <w:tc>
          <w:tcPr/>
          <w:p>
            <w:pPr>
              <w:pStyle w:val="Compact"/>
              <w:jc w:val="left"/>
            </w:pPr>
            <w:r>
              <w:t xml:space="preserve">License Model</w:t>
            </w:r>
          </w:p>
        </w:tc>
      </w:tr>
      <w:tr>
        <w:tc>
          <w:tcPr/>
          <w:p>
            <w:pPr>
              <w:pStyle w:val="Compact"/>
              <w:jc w:val="left"/>
            </w:pPr>
            <w:r>
              <w:rPr>
                <w:bCs/>
                <w:b/>
              </w:rPr>
              <w:t xml:space="preserve">ERP connectors</w:t>
            </w:r>
          </w:p>
        </w:tc>
        <w:tc>
          <w:tcPr/>
          <w:p>
            <w:pPr>
              <w:pStyle w:val="Compact"/>
              <w:jc w:val="left"/>
            </w:pPr>
            <w:r>
              <w:t xml:space="preserve">SAP S/4HANA, IFS Cloud, Dynamics 365, Monitor, Visma, Jeeves</w:t>
            </w:r>
          </w:p>
        </w:tc>
        <w:tc>
          <w:tcPr/>
          <w:p>
            <w:pPr>
              <w:pStyle w:val="Compact"/>
              <w:jc w:val="left"/>
            </w:pPr>
            <w:r>
              <w:t xml:space="preserve">Production volumes, energy consumption, material inputs → ledger debit entries</w:t>
            </w:r>
          </w:p>
        </w:tc>
        <w:tc>
          <w:tcPr/>
          <w:p>
            <w:pPr>
              <w:pStyle w:val="Compact"/>
              <w:jc w:val="left"/>
            </w:pPr>
            <w:r>
              <w:t xml:space="preserve">Open source (MIT)</w:t>
            </w:r>
          </w:p>
        </w:tc>
      </w:tr>
      <w:tr>
        <w:tc>
          <w:tcPr/>
          <w:p>
            <w:pPr>
              <w:pStyle w:val="Compact"/>
              <w:jc w:val="left"/>
            </w:pPr>
            <w:r>
              <w:rPr>
                <w:bCs/>
                <w:b/>
              </w:rPr>
              <w:t xml:space="preserve">ETS/Registry connectors</w:t>
            </w:r>
          </w:p>
        </w:tc>
        <w:tc>
          <w:tcPr/>
          <w:p>
            <w:pPr>
              <w:pStyle w:val="Compact"/>
              <w:jc w:val="left"/>
            </w:pPr>
            <w:r>
              <w:t xml:space="preserve">EU Transaction Log (EUTL), national registries</w:t>
            </w:r>
          </w:p>
        </w:tc>
        <w:tc>
          <w:tcPr/>
          <w:p>
            <w:pPr>
              <w:pStyle w:val="Compact"/>
              <w:jc w:val="left"/>
            </w:pPr>
            <w:r>
              <w:t xml:space="preserve">Allowance balances, surrenders, free allocations → ledger credit/debit</w:t>
            </w:r>
          </w:p>
        </w:tc>
        <w:tc>
          <w:tcPr/>
          <w:p>
            <w:pPr>
              <w:pStyle w:val="Compact"/>
              <w:jc w:val="left"/>
            </w:pPr>
            <w:r>
              <w:t xml:space="preserve">Open source (MIT)</w:t>
            </w:r>
          </w:p>
        </w:tc>
      </w:tr>
      <w:tr>
        <w:tc>
          <w:tcPr/>
          <w:p>
            <w:pPr>
              <w:pStyle w:val="Compact"/>
              <w:jc w:val="left"/>
            </w:pPr>
            <w:r>
              <w:rPr>
                <w:bCs/>
                <w:b/>
              </w:rPr>
              <w:t xml:space="preserve">CBAM connectors</w:t>
            </w:r>
          </w:p>
        </w:tc>
        <w:tc>
          <w:tcPr/>
          <w:p>
            <w:pPr>
              <w:pStyle w:val="Compact"/>
              <w:jc w:val="left"/>
            </w:pPr>
            <w:r>
              <w:t xml:space="preserve">CBAM Transitional Registry, customs declarations</w:t>
            </w:r>
          </w:p>
        </w:tc>
        <w:tc>
          <w:tcPr/>
          <w:p>
            <w:pPr>
              <w:pStyle w:val="Compact"/>
              <w:jc w:val="left"/>
            </w:pPr>
            <w:r>
              <w:t xml:space="preserve">Imported goods embedded emissions, certificates purchased → ledger debit</w:t>
            </w:r>
          </w:p>
        </w:tc>
        <w:tc>
          <w:tcPr/>
          <w:p>
            <w:pPr>
              <w:pStyle w:val="Compact"/>
              <w:jc w:val="left"/>
            </w:pPr>
            <w:r>
              <w:t xml:space="preserve">Open source (MIT)</w:t>
            </w:r>
          </w:p>
        </w:tc>
      </w:tr>
      <w:tr>
        <w:tc>
          <w:tcPr/>
          <w:p>
            <w:pPr>
              <w:pStyle w:val="Compact"/>
              <w:jc w:val="left"/>
            </w:pPr>
            <w:r>
              <w:rPr>
                <w:bCs/>
                <w:b/>
              </w:rPr>
              <w:t xml:space="preserve">Emission factor feeds</w:t>
            </w:r>
          </w:p>
        </w:tc>
        <w:tc>
          <w:tcPr/>
          <w:p>
            <w:pPr>
              <w:pStyle w:val="Compact"/>
              <w:jc w:val="left"/>
            </w:pPr>
            <w:r>
              <w:t xml:space="preserve">EEA GHG Inventory, IPCC, EU ETS benchmarks</w:t>
            </w:r>
          </w:p>
        </w:tc>
        <w:tc>
          <w:tcPr/>
          <w:p>
            <w:pPr>
              <w:pStyle w:val="Compact"/>
              <w:jc w:val="left"/>
            </w:pPr>
            <w:r>
              <w:t xml:space="preserve">Validated factors for Scope 1/2/3 calculations</w:t>
            </w:r>
          </w:p>
        </w:tc>
        <w:tc>
          <w:tcPr/>
          <w:p>
            <w:pPr>
              <w:pStyle w:val="Compact"/>
              <w:jc w:val="left"/>
            </w:pPr>
            <w:r>
              <w:t xml:space="preserve">Open data + open source parser</w:t>
            </w:r>
          </w:p>
        </w:tc>
      </w:tr>
      <w:tr>
        <w:tc>
          <w:tcPr/>
          <w:p>
            <w:pPr>
              <w:pStyle w:val="Compact"/>
              <w:jc w:val="left"/>
            </w:pPr>
            <w:r>
              <w:rPr>
                <w:bCs/>
                <w:b/>
              </w:rPr>
              <w:t xml:space="preserve">IoT/edge connectors</w:t>
            </w:r>
          </w:p>
        </w:tc>
        <w:tc>
          <w:tcPr/>
          <w:p>
            <w:pPr>
              <w:pStyle w:val="Compact"/>
              <w:jc w:val="left"/>
            </w:pPr>
            <w:r>
              <w:t xml:space="preserve">NVIDIA Jetson Orin Nano, industrial sensors, energy meters</w:t>
            </w:r>
          </w:p>
        </w:tc>
        <w:tc>
          <w:tcPr/>
          <w:p>
            <w:pPr>
              <w:pStyle w:val="Compact"/>
              <w:jc w:val="left"/>
            </w:pPr>
            <w:r>
              <w:t xml:space="preserve">Real-time energy consumption, Scope 1 direct measurements → ledger debit</w:t>
            </w:r>
          </w:p>
        </w:tc>
        <w:tc>
          <w:tcPr/>
          <w:p>
            <w:pPr>
              <w:pStyle w:val="Compact"/>
              <w:jc w:val="left"/>
            </w:pPr>
            <w:r>
              <w:t xml:space="preserve">Open source (MIT)</w:t>
            </w:r>
          </w:p>
        </w:tc>
      </w:tr>
      <w:tr>
        <w:tc>
          <w:tcPr/>
          <w:p>
            <w:pPr>
              <w:pStyle w:val="Compact"/>
              <w:jc w:val="left"/>
            </w:pPr>
            <w:r>
              <w:rPr>
                <w:bCs/>
                <w:b/>
              </w:rPr>
              <w:t xml:space="preserve">ESG platform connectors</w:t>
            </w:r>
          </w:p>
        </w:tc>
        <w:tc>
          <w:tcPr/>
          <w:p>
            <w:pPr>
              <w:pStyle w:val="Compact"/>
              <w:jc w:val="left"/>
            </w:pPr>
            <w:r>
              <w:t xml:space="preserve">Worldfavor, PositionGreen, CDP</w:t>
            </w:r>
          </w:p>
        </w:tc>
        <w:tc>
          <w:tcPr/>
          <w:p>
            <w:pPr>
              <w:pStyle w:val="Compact"/>
              <w:jc w:val="left"/>
            </w:pPr>
            <w:r>
              <w:t xml:space="preserve">Third-party ESG scores, Scope 3 supplier data → ledger entries</w:t>
            </w:r>
          </w:p>
        </w:tc>
        <w:tc>
          <w:tcPr/>
          <w:p>
            <w:pPr>
              <w:pStyle w:val="Compact"/>
              <w:jc w:val="left"/>
            </w:pPr>
            <w:r>
              <w:t xml:space="preserve">Open source (MIT)</w:t>
            </w:r>
          </w:p>
        </w:tc>
      </w:tr>
    </w:tbl>
    <w:p>
      <w:pPr>
        <w:pStyle w:val="BodyText"/>
      </w:pPr>
      <w:r>
        <w:rPr>
          <w:bCs/>
          <w:b/>
        </w:rPr>
        <w:t xml:space="preserve">Why open source matters for compliance infrastructure:</w:t>
      </w:r>
    </w:p>
    <w:p>
      <w:pPr>
        <w:numPr>
          <w:ilvl w:val="0"/>
          <w:numId w:val="1090"/>
        </w:numPr>
      </w:pPr>
      <w:r>
        <w:rPr>
          <w:bCs/>
          <w:b/>
        </w:rPr>
        <w:t xml:space="preserve">Auditability:</w:t>
      </w:r>
      <w:r>
        <w:t xml:space="preserve"> </w:t>
      </w:r>
      <w:r>
        <w:t xml:space="preserve">Proprietary connectors are black boxes. When an auditor asks</w:t>
      </w:r>
      <w:r>
        <w:t xml:space="preserve"> </w:t>
      </w:r>
      <w:r>
        <w:t xml:space="preserve">“</w:t>
      </w:r>
      <w:r>
        <w:t xml:space="preserve">how did this emission factor enter the ledger?</w:t>
      </w:r>
      <w:r>
        <w:t xml:space="preserve">”</w:t>
      </w:r>
      <w:r>
        <w:t xml:space="preserve">, the answer must be inspectable source code — not a vendor’s API documentation. Open source connectors make the entire data path from source system to ledger entry transparent and reproducible.</w:t>
      </w:r>
    </w:p>
    <w:p>
      <w:pPr>
        <w:numPr>
          <w:ilvl w:val="0"/>
          <w:numId w:val="1090"/>
        </w:numPr>
      </w:pPr>
      <w:r>
        <w:rPr>
          <w:bCs/>
          <w:b/>
        </w:rPr>
        <w:t xml:space="preserve">Network effect acceleration:</w:t>
      </w:r>
      <w:r>
        <w:t xml:space="preserve"> </w:t>
      </w:r>
      <w:r>
        <w:t xml:space="preserve">The cross-vertical intelligence thesis (Section 10.17.3) depends on data flowing from many industries into one ledger. Open source connectors lower the adoption barrier — a steel mill’s IT team can deploy the SAP connector, verify the code, and contribute upstream improvements. Proprietary connectors create vendor lock-in that slows network growth.</w:t>
      </w:r>
    </w:p>
    <w:p>
      <w:pPr>
        <w:numPr>
          <w:ilvl w:val="0"/>
          <w:numId w:val="1090"/>
        </w:numPr>
      </w:pPr>
      <w:r>
        <w:rPr>
          <w:bCs/>
          <w:b/>
        </w:rPr>
        <w:t xml:space="preserve">Regulatory defensibility:</w:t>
      </w:r>
      <w:r>
        <w:t xml:space="preserve"> </w:t>
      </w:r>
      <w:r>
        <w:t xml:space="preserve">EU AI Act Article 12 requires logging of AI system operations. When AI agents generate ledger entries from connector data, the entire pipeline — connector code, transformation logic, agent decision — must be auditable. Open source satisfies this requirement by design.</w:t>
      </w:r>
    </w:p>
    <w:p>
      <w:pPr>
        <w:numPr>
          <w:ilvl w:val="0"/>
          <w:numId w:val="1090"/>
        </w:numPr>
      </w:pPr>
      <w:r>
        <w:rPr>
          <w:bCs/>
          <w:b/>
        </w:rPr>
        <w:t xml:space="preserve">Community validation:</w:t>
      </w:r>
      <w:r>
        <w:t xml:space="preserve"> </w:t>
      </w:r>
      <w:r>
        <w:t xml:space="preserve">Emission factor databases change annually. Open source connectors enable community-driven maintenance — when the EEA publishes updated GHG inventory data, any contributor can submit a PR updating the factor feed, and the change is reviewed in the open.</w:t>
      </w:r>
    </w:p>
    <w:p>
      <w:pPr>
        <w:pStyle w:val="FirstParagraph"/>
      </w:pPr>
      <w:r>
        <w:t xml:space="preserve">The connector layer transforms the carbon balance sheet from a single-company tool into a</w:t>
      </w:r>
      <w:r>
        <w:t xml:space="preserve"> </w:t>
      </w:r>
      <w:r>
        <w:rPr>
          <w:bCs/>
          <w:b/>
        </w:rPr>
        <w:t xml:space="preserve">multi-tenant compliance network</w:t>
      </w:r>
      <w:r>
        <w:t xml:space="preserve">. Each connector is a standardized adapter (input schema → journal entry) that plugs into the ledger’s append-only ingestion API. The open source model ensures that the largest EU companies requiring CSRD compliance (fewer than ~5,000 post-Omnibus, &gt;1,000 employees and &gt;€450M turnover) — and the far larger population of suppliers pulled in via Scope-3 value-chain reporting — can adopt the infrastructure without vendor dependency.</w:t>
      </w:r>
    </w:p>
    <w:bookmarkEnd w:id="262"/>
    <w:bookmarkStart w:id="263" w:name="research-contribution-8"/>
    <w:p>
      <w:pPr>
        <w:pStyle w:val="Heading4"/>
      </w:pPr>
      <w:r>
        <w:t xml:space="preserve">10.17.6 Research Contribution</w:t>
      </w:r>
    </w:p>
    <w:p>
      <w:pPr>
        <w:pStyle w:val="FirstParagraph"/>
      </w:pPr>
      <w:r>
        <w:t xml:space="preserve">This concluding section contributes three findings:</w:t>
      </w:r>
    </w:p>
    <w:p>
      <w:pPr>
        <w:numPr>
          <w:ilvl w:val="0"/>
          <w:numId w:val="1091"/>
        </w:numPr>
      </w:pPr>
      <w:r>
        <w:rPr>
          <w:bCs/>
          <w:b/>
        </w:rPr>
        <w:t xml:space="preserve">Architectural insight:</w:t>
      </w:r>
      <w:r>
        <w:t xml:space="preserve"> </w:t>
      </w:r>
      <w:r>
        <w:t xml:space="preserve">Carbon compliance is structurally isomorphic to financial accounting. The double-entry ledger is not a metaphor — it is the technically correct data structure for tracking carbon across multiple regulations, entities, and supply chains. This finding emerged from the practical implementation of the DWS compliance engine across 20 EU-regulated industries.</w:t>
      </w:r>
    </w:p>
    <w:p>
      <w:pPr>
        <w:numPr>
          <w:ilvl w:val="0"/>
          <w:numId w:val="1091"/>
        </w:numPr>
      </w:pPr>
      <w:r>
        <w:rPr>
          <w:bCs/>
          <w:b/>
        </w:rPr>
        <w:t xml:space="preserve">Cross-vertical intelligence thesis:</w:t>
      </w:r>
      <w:r>
        <w:t xml:space="preserve"> </w:t>
      </w:r>
      <w:r>
        <w:t xml:space="preserve">A multi-industry carbon ledger produces emergent intelligence that single-vertical tools cannot replicate. A steel mill’s ETS surrender correlates with a construction sector CSRD disclosure from the same supply chain. This correlation is only visible when both industries share one ledger format — validating the platform architecture described throughout this thesis.</w:t>
      </w:r>
    </w:p>
    <w:p>
      <w:pPr>
        <w:numPr>
          <w:ilvl w:val="0"/>
          <w:numId w:val="1091"/>
        </w:numPr>
      </w:pPr>
      <w:r>
        <w:rPr>
          <w:bCs/>
          <w:b/>
        </w:rPr>
        <w:t xml:space="preserve">Funding infrastructure, not features:</w:t>
      </w:r>
      <w:r>
        <w:t xml:space="preserve"> </w:t>
      </w:r>
      <w:r>
        <w:t xml:space="preserve">The carbon balance sheet represents the transition from</w:t>
      </w:r>
      <w:r>
        <w:t xml:space="preserve"> </w:t>
      </w:r>
      <w:r>
        <w:t xml:space="preserve">“</w:t>
      </w:r>
      <w:r>
        <w:t xml:space="preserve">compliance reporting tool</w:t>
      </w:r>
      <w:r>
        <w:t xml:space="preserve">”</w:t>
      </w:r>
      <w:r>
        <w:t xml:space="preserve"> </w:t>
      </w:r>
      <w:r>
        <w:t xml:space="preserve">to</w:t>
      </w:r>
      <w:r>
        <w:t xml:space="preserve"> </w:t>
      </w:r>
      <w:r>
        <w:t xml:space="preserve">“</w:t>
      </w:r>
      <w:r>
        <w:t xml:space="preserve">compliance infrastructure</w:t>
      </w:r>
      <w:r>
        <w:t xml:space="preserve">”</w:t>
      </w:r>
      <w:r>
        <w:t xml:space="preserve"> </w:t>
      </w:r>
      <w:r>
        <w:t xml:space="preserve">— the same distinction as between a spreadsheet and an ERP system. This architectural choice has strategic implications for enterprise stickiness (switching cost equivalent to changing your financial ledger), market timing (fewer than ~5,000 large EU companies mandated post-Omnibus, plus their value chains via Scope 3), and network effects (more industries on the ledger = more accurate cross-regulation data).</w:t>
      </w:r>
    </w:p>
    <w:p>
      <w:pPr>
        <w:pStyle w:val="FirstParagraph"/>
      </w:pPr>
      <w:r>
        <w:t xml:space="preserve">The Firehorse Product Manufacturing Operating Model, documented across the preceding 16 sections, provided the engineering foundation — harness architecture, multi-agent orchestration, edge deployment, and regulatory intelligence — required to build this carbon balance sheet infrastructure. The conclusion is that the platform’s competitive moat is not any single agent or regulation module, but the ledger that connects them all.</w:t>
      </w:r>
    </w:p>
    <w:bookmarkEnd w:id="263"/>
    <w:bookmarkEnd w:id="264"/>
    <w:bookmarkStart w:id="271" w:name="Xb4ae91a050c08ad4c62396846880f6708c37124"/>
    <w:p>
      <w:pPr>
        <w:pStyle w:val="Heading3"/>
      </w:pPr>
      <w:r>
        <w:t xml:space="preserve">10.18 LWM Sequencing Strategy — From Regulatory Intelligence to Physical AI</w:t>
      </w:r>
    </w:p>
    <w:bookmarkStart w:id="265" w:name="strategic-context"/>
    <w:p>
      <w:pPr>
        <w:pStyle w:val="Heading4"/>
      </w:pPr>
      <w:r>
        <w:t xml:space="preserve">10.18.1 Strategic Context</w:t>
      </w:r>
    </w:p>
    <w:p>
      <w:pPr>
        <w:pStyle w:val="FirstParagraph"/>
      </w:pPr>
      <w:r>
        <w:t xml:space="preserve">The Lifetime World Model (LWM) serves as the</w:t>
      </w:r>
      <w:r>
        <w:t xml:space="preserve"> </w:t>
      </w:r>
      <w:r>
        <w:t xml:space="preserve">“</w:t>
      </w:r>
      <w:r>
        <w:t xml:space="preserve">Memory</w:t>
      </w:r>
      <w:r>
        <w:t xml:space="preserve">”</w:t>
      </w:r>
      <w:r>
        <w:t xml:space="preserve"> </w:t>
      </w:r>
      <w:r>
        <w:t xml:space="preserve">layer in the Brain-Memory-Body-Hands architecture. However, investor and market analysis (March 2026) revealed a framing contradiction: the platform was simultaneously pitched as</w:t>
      </w:r>
      <w:r>
        <w:t xml:space="preserve"> </w:t>
      </w:r>
      <w:r>
        <w:t xml:space="preserve">“</w:t>
      </w:r>
      <w:r>
        <w:t xml:space="preserve">carbon balance sheet infrastructure</w:t>
      </w:r>
      <w:r>
        <w:t xml:space="preserve">”</w:t>
      </w:r>
      <w:r>
        <w:t xml:space="preserve"> </w:t>
      </w:r>
      <w:r>
        <w:t xml:space="preserve">(compliance SaaS),</w:t>
      </w:r>
      <w:r>
        <w:t xml:space="preserve"> </w:t>
      </w:r>
      <w:r>
        <w:t xml:space="preserve">“</w:t>
      </w:r>
      <w:r>
        <w:t xml:space="preserve">55B parameter Physical AI</w:t>
      </w:r>
      <w:r>
        <w:t xml:space="preserve">”</w:t>
      </w:r>
      <w:r>
        <w:t xml:space="preserve"> </w:t>
      </w:r>
      <w:r>
        <w:t xml:space="preserve">(world model), and</w:t>
      </w:r>
      <w:r>
        <w:t xml:space="preserve"> </w:t>
      </w:r>
      <w:r>
        <w:t xml:space="preserve">“</w:t>
      </w:r>
      <w:r>
        <w:t xml:space="preserve">autonomous healthcare fleet</w:t>
      </w:r>
      <w:r>
        <w:t xml:space="preserve">”</w:t>
      </w:r>
      <w:r>
        <w:t xml:space="preserve"> </w:t>
      </w:r>
      <w:r>
        <w:t xml:space="preserve">(robotics). Each story targets different investors at different stages and invites questions the codebase cannot yet answer.</w:t>
      </w:r>
    </w:p>
    <w:p>
      <w:pPr>
        <w:pStyle w:val="BodyText"/>
      </w:pPr>
      <w:r>
        <w:t xml:space="preserve">This section documents the resolution: a three-phase sequencing strategy where each phase funds and de-risks the next.</w:t>
      </w:r>
    </w:p>
    <w:bookmarkEnd w:id="265"/>
    <w:bookmarkStart w:id="266" w:name="the-three-phases"/>
    <w:p>
      <w:pPr>
        <w:pStyle w:val="Heading4"/>
      </w:pPr>
      <w:r>
        <w:t xml:space="preserve">10.18.2 The Three Phases</w:t>
      </w:r>
    </w:p>
    <w:p>
      <w:pPr>
        <w:pStyle w:val="FirstParagraph"/>
      </w:pPr>
      <w:r>
        <w:rPr>
          <w:bCs/>
          <w:b/>
        </w:rPr>
        <w:t xml:space="preserve">Phase 1 (Current — EUR 650K SAFE):</w:t>
      </w:r>
      <w:r>
        <w:t xml:space="preserve"> </w:t>
      </w:r>
      <w:r>
        <w:t xml:space="preserve">LWM = regulatory intelligence engine. 15,000+ EU regulatory documents indexed across 20 industries, 18 AI agents, carbon balance sheet with cross-regulation reconciliation (ETS ↔ CBAM ↔ CSRD ↔ Taxonomy). Revenue target: EUR 900K ARR. Ships DWS 7 with persistent carbon balance sheet (July 2026).</w:t>
      </w:r>
    </w:p>
    <w:p>
      <w:pPr>
        <w:pStyle w:val="BodyText"/>
      </w:pPr>
      <w:r>
        <w:rPr>
          <w:bCs/>
          <w:b/>
        </w:rPr>
        <w:t xml:space="preserve">Phase 2 (Post-SAFE — Helsinki Pilot):</w:t>
      </w:r>
      <w:r>
        <w:t xml:space="preserve"> </w:t>
      </w:r>
      <w:r>
        <w:t xml:space="preserve">LWM = regulatory intelligence + physical planning. LeWorldModel-style latent planning bolted onto the regulatory knowledge graph. KELA-backed healthcare fleet pilot on NVIDIA hardware (Acer GN-100). The carbon ledger provides constraint data for physical planning decisions.</w:t>
      </w:r>
    </w:p>
    <w:p>
      <w:pPr>
        <w:pStyle w:val="BodyText"/>
      </w:pPr>
      <w:r>
        <w:rPr>
          <w:bCs/>
          <w:b/>
        </w:rPr>
        <w:t xml:space="preserve">Phase 3 (Series A 2027):</w:t>
      </w:r>
      <w:r>
        <w:t xml:space="preserve"> </w:t>
      </w:r>
      <w:r>
        <w:t xml:space="preserve">LWM = full dual-use product. Carbon balance sheet + edge Physical AI across construction, healthcare, manufacturing, energy, and defence. The sequencing ensures each phase is funded by the previous one’s revenue.</w:t>
      </w:r>
    </w:p>
    <w:bookmarkEnd w:id="266"/>
    <w:bookmarkStart w:id="267" w:name="X0247d25fb087e0c2d85dd7e41541fd516eed067"/>
    <w:p>
      <w:pPr>
        <w:pStyle w:val="Heading4"/>
      </w:pPr>
      <w:r>
        <w:t xml:space="preserve">10.18.3 External Validation: LeWorldModel (arXiv:2603.19312)</w:t>
      </w:r>
    </w:p>
    <w:p>
      <w:pPr>
        <w:pStyle w:val="FirstParagraph"/>
      </w:pPr>
      <w:r>
        <w:t xml:space="preserve">In March 2026, Maes, Le Lidec, Scieur, LeCun, and Balestriero published LeWorldModel — the first Joint Embedding Predictive Architecture (JEPA) that trains stably end-to-end from raw pixels. Key findings relevant to LWM:</w:t>
      </w:r>
    </w:p>
    <w:p>
      <w:pPr>
        <w:numPr>
          <w:ilvl w:val="0"/>
          <w:numId w:val="1092"/>
        </w:numPr>
        <w:pStyle w:val="Compact"/>
      </w:pPr>
      <w:r>
        <w:rPr>
          <w:bCs/>
          <w:b/>
        </w:rPr>
        <w:t xml:space="preserve">Simplicity:</w:t>
      </w:r>
      <w:r>
        <w:t xml:space="preserve"> </w:t>
      </w:r>
      <w:r>
        <w:t xml:space="preserve">2 loss terms (prediction + SIGReg regularizer) replace 6+ hyperparameters, frozen encoders, stop-gradients, and EMA hacks</w:t>
      </w:r>
    </w:p>
    <w:p>
      <w:pPr>
        <w:numPr>
          <w:ilvl w:val="0"/>
          <w:numId w:val="1092"/>
        </w:numPr>
        <w:pStyle w:val="Compact"/>
      </w:pPr>
      <w:r>
        <w:rPr>
          <w:bCs/>
          <w:b/>
        </w:rPr>
        <w:t xml:space="preserve">Efficiency:</w:t>
      </w:r>
      <w:r>
        <w:t xml:space="preserve"> </w:t>
      </w:r>
      <w:r>
        <w:t xml:space="preserve">15M parameters, single GPU, ~1 second planning vs 47 seconds for DINO-WM, 200x fewer tokens</w:t>
      </w:r>
    </w:p>
    <w:p>
      <w:pPr>
        <w:numPr>
          <w:ilvl w:val="0"/>
          <w:numId w:val="1092"/>
        </w:numPr>
        <w:pStyle w:val="Compact"/>
      </w:pPr>
      <w:r>
        <w:rPr>
          <w:bCs/>
          <w:b/>
        </w:rPr>
        <w:t xml:space="preserve">Results:</w:t>
      </w:r>
      <w:r>
        <w:t xml:space="preserve"> </w:t>
      </w:r>
      <w:r>
        <w:t xml:space="preserve">96% success rate on PushT manipulation task (beats DINO-WM’s 92% even without proprioceptive inputs)</w:t>
      </w:r>
    </w:p>
    <w:p>
      <w:pPr>
        <w:pStyle w:val="FirstParagraph"/>
      </w:pPr>
      <w:r>
        <w:t xml:space="preserve">Concurrently, LeCun launched AMI Labs ($1.03B seed, March 2026) and Fei-Fei Li raised $1B for World Labs — $2B in three weeks for world model companies. This validates the category but does not validate Lifetime’s specific product. The honest framing: Lifetime builds domain-specific regulatory infrastructure on top of commodity AI, not general-purpose world models.</w:t>
      </w:r>
    </w:p>
    <w:bookmarkEnd w:id="267"/>
    <w:bookmarkStart w:id="268" w:name="phase-2-technical-gap-analysis"/>
    <w:p>
      <w:pPr>
        <w:pStyle w:val="Heading4"/>
      </w:pPr>
      <w:r>
        <w:t xml:space="preserve">10.18.4 Phase 2 Technical Gap Analysis</w:t>
      </w:r>
    </w:p>
    <w:p>
      <w:pPr>
        <w:pStyle w:val="FirstParagraph"/>
      </w:pPr>
      <w:r>
        <w:t xml:space="preserve">Three unsolved problems bridge Phase 1 to Phase 2:</w:t>
      </w:r>
    </w:p>
    <w:p>
      <w:pPr>
        <w:numPr>
          <w:ilvl w:val="0"/>
          <w:numId w:val="1093"/>
        </w:numPr>
      </w:pPr>
      <w:r>
        <w:rPr>
          <w:bCs/>
          <w:b/>
        </w:rPr>
        <w:t xml:space="preserve">Input modality gap:</w:t>
      </w:r>
      <w:r>
        <w:t xml:space="preserve"> </w:t>
      </w:r>
      <w:r>
        <w:t xml:space="preserve">LeWorldModel expects pixel observations. LWM Phase 1 operates on structured regulatory text. The most realistic bridge is a digital twin (OpenUSD scene representation) that encodes both physical layout and regulatory metadata.</w:t>
      </w:r>
    </w:p>
    <w:p>
      <w:pPr>
        <w:numPr>
          <w:ilvl w:val="0"/>
          <w:numId w:val="1093"/>
        </w:numPr>
      </w:pPr>
      <w:r>
        <w:rPr>
          <w:bCs/>
          <w:b/>
        </w:rPr>
        <w:t xml:space="preserve">Scale gap:</w:t>
      </w:r>
      <w:r>
        <w:t xml:space="preserve"> </w:t>
      </w:r>
      <w:r>
        <w:t xml:space="preserve">LeWorldModel tested on controlled simulation (PushT, Reacher). Industrial environments are uncontrolled, long-horizon, and sparse-reward. Whether latent planning scales to construction sites is research, not engineering.</w:t>
      </w:r>
    </w:p>
    <w:p>
      <w:pPr>
        <w:numPr>
          <w:ilvl w:val="0"/>
          <w:numId w:val="1093"/>
        </w:numPr>
      </w:pPr>
      <w:r>
        <w:rPr>
          <w:bCs/>
          <w:b/>
        </w:rPr>
        <w:t xml:space="preserve">Regulatory-physical integration:</w:t>
      </w:r>
      <w:r>
        <w:t xml:space="preserve"> </w:t>
      </w:r>
      <w:r>
        <w:t xml:space="preserve">How does a physical plan (crane movement, vehicle route) get validated against the carbon ledger before execution? The proposed architecture: physical planner proposes actions → regulatory engine validates against carbon budget → KYA governance gate enforces or blocks. KYA v1.4 (Firecracker MicroVM kill-switches) is the only Phase 2 component already built.</w:t>
      </w:r>
    </w:p>
    <w:p>
      <w:pPr>
        <w:pStyle w:val="FirstParagraph"/>
      </w:pPr>
      <w:r>
        <w:rPr>
          <w:bCs/>
          <w:b/>
        </w:rPr>
        <w:t xml:space="preserve">Key insight:</w:t>
      </w:r>
      <w:r>
        <w:t xml:space="preserve"> </w:t>
      </w:r>
      <w:r>
        <w:t xml:space="preserve">Phase 1 outputs (regulatory graph, carbon ledger, KYA governance) are Phase 2 inputs. The sequencing is not just a fundraising story — it is technically correct. Compliance data feeds physical planning. Not the other way around.</w:t>
      </w:r>
    </w:p>
    <w:bookmarkEnd w:id="268"/>
    <w:bookmarkStart w:id="269" w:name="X258de097a6f938c6924e770ba10f22f8a4dd897"/>
    <w:p>
      <w:pPr>
        <w:pStyle w:val="Heading4"/>
      </w:pPr>
      <w:r>
        <w:t xml:space="preserve">10.18.5 Market Positioning and Comparable Companies</w:t>
      </w:r>
    </w:p>
    <w:p>
      <w:pPr>
        <w:pStyle w:val="FirstParagraph"/>
      </w:pPr>
      <w:r>
        <w:t xml:space="preserve">Analysis of carbon compliance SaaS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Round</w:t>
            </w:r>
          </w:p>
        </w:tc>
        <w:tc>
          <w:tcPr/>
          <w:p>
            <w:pPr>
              <w:pStyle w:val="Compact"/>
              <w:jc w:val="left"/>
            </w:pPr>
            <w:r>
              <w:t xml:space="preserve">Revenue</w:t>
            </w:r>
          </w:p>
        </w:tc>
        <w:tc>
          <w:tcPr/>
          <w:p>
            <w:pPr>
              <w:pStyle w:val="Compact"/>
              <w:jc w:val="left"/>
            </w:pPr>
            <w:r>
              <w:t xml:space="preserve">Year</w:t>
            </w:r>
          </w:p>
        </w:tc>
      </w:tr>
      <w:tr>
        <w:tc>
          <w:tcPr/>
          <w:p>
            <w:pPr>
              <w:pStyle w:val="Compact"/>
              <w:jc w:val="left"/>
            </w:pPr>
            <w:r>
              <w:t xml:space="preserve">Persefoni</w:t>
            </w:r>
          </w:p>
        </w:tc>
        <w:tc>
          <w:tcPr/>
          <w:p>
            <w:pPr>
              <w:pStyle w:val="Compact"/>
              <w:jc w:val="left"/>
            </w:pPr>
            <w:r>
              <w:t xml:space="preserve">Series A ($9.7M)</w:t>
            </w:r>
          </w:p>
        </w:tc>
        <w:tc>
          <w:tcPr/>
          <w:p>
            <w:pPr>
              <w:pStyle w:val="Compact"/>
              <w:jc w:val="left"/>
            </w:pPr>
            <w:r>
              <w:t xml:space="preserve">$1.8M ARR</w:t>
            </w:r>
          </w:p>
        </w:tc>
        <w:tc>
          <w:tcPr/>
          <w:p>
            <w:pPr>
              <w:pStyle w:val="Compact"/>
              <w:jc w:val="left"/>
            </w:pPr>
            <w:r>
              <w:t xml:space="preserve">2021</w:t>
            </w:r>
          </w:p>
        </w:tc>
      </w:tr>
      <w:tr>
        <w:tc>
          <w:tcPr/>
          <w:p>
            <w:pPr>
              <w:pStyle w:val="Compact"/>
              <w:jc w:val="left"/>
            </w:pPr>
            <w:r>
              <w:t xml:space="preserve">Sweep</w:t>
            </w:r>
          </w:p>
        </w:tc>
        <w:tc>
          <w:tcPr/>
          <w:p>
            <w:pPr>
              <w:pStyle w:val="Compact"/>
              <w:jc w:val="left"/>
            </w:pPr>
            <w:r>
              <w:t xml:space="preserve">Series A ($22M)</w:t>
            </w:r>
          </w:p>
        </w:tc>
        <w:tc>
          <w:tcPr/>
          <w:p>
            <w:pPr>
              <w:pStyle w:val="Compact"/>
              <w:jc w:val="left"/>
            </w:pPr>
            <w:r>
              <w:t xml:space="preserve">Early revenue</w:t>
            </w:r>
          </w:p>
        </w:tc>
        <w:tc>
          <w:tcPr/>
          <w:p>
            <w:pPr>
              <w:pStyle w:val="Compact"/>
              <w:jc w:val="left"/>
            </w:pPr>
            <w:r>
              <w:t xml:space="preserve">2021</w:t>
            </w:r>
          </w:p>
        </w:tc>
      </w:tr>
      <w:tr>
        <w:tc>
          <w:tcPr/>
          <w:p>
            <w:pPr>
              <w:pStyle w:val="Compact"/>
              <w:jc w:val="left"/>
            </w:pPr>
            <w:r>
              <w:t xml:space="preserve">Workiva</w:t>
            </w:r>
          </w:p>
        </w:tc>
        <w:tc>
          <w:tcPr/>
          <w:p>
            <w:pPr>
              <w:pStyle w:val="Compact"/>
              <w:jc w:val="left"/>
            </w:pPr>
            <w:r>
              <w:t xml:space="preserve">IPO</w:t>
            </w:r>
          </w:p>
        </w:tc>
        <w:tc>
          <w:tcPr/>
          <w:p>
            <w:pPr>
              <w:pStyle w:val="Compact"/>
              <w:jc w:val="left"/>
            </w:pPr>
            <w:r>
              <w:t xml:space="preserve">~$100M ARR</w:t>
            </w:r>
          </w:p>
        </w:tc>
        <w:tc>
          <w:tcPr/>
          <w:p>
            <w:pPr>
              <w:pStyle w:val="Compact"/>
              <w:jc w:val="left"/>
            </w:pPr>
            <w:r>
              <w:t xml:space="preserve">2014</w:t>
            </w:r>
          </w:p>
        </w:tc>
      </w:tr>
      <w:tr>
        <w:tc>
          <w:tcPr/>
          <w:p>
            <w:pPr>
              <w:pStyle w:val="Compact"/>
              <w:jc w:val="left"/>
            </w:pPr>
            <w:r>
              <w:t xml:space="preserve">Lifetime</w:t>
            </w:r>
          </w:p>
        </w:tc>
        <w:tc>
          <w:tcPr/>
          <w:p>
            <w:pPr>
              <w:pStyle w:val="Compact"/>
              <w:jc w:val="left"/>
            </w:pPr>
            <w:r>
              <w:t xml:space="preserve">SAFE (EUR 650K)</w:t>
            </w:r>
          </w:p>
        </w:tc>
        <w:tc>
          <w:tcPr/>
          <w:p>
            <w:pPr>
              <w:pStyle w:val="Compact"/>
              <w:jc w:val="left"/>
            </w:pPr>
            <w:r>
              <w:t xml:space="preserve">EUR 84K ARR</w:t>
            </w:r>
          </w:p>
        </w:tc>
        <w:tc>
          <w:tcPr/>
          <w:p>
            <w:pPr>
              <w:pStyle w:val="Compact"/>
              <w:jc w:val="left"/>
            </w:pPr>
            <w:r>
              <w:t xml:space="preserve">2026</w:t>
            </w:r>
          </w:p>
        </w:tc>
      </w:tr>
    </w:tbl>
    <w:p>
      <w:pPr>
        <w:pStyle w:val="BodyText"/>
      </w:pPr>
      <w:r>
        <w:t xml:space="preserve">Lifetime’s EUR 3.8M cap is below early-stage carbon SaaS benchmarks. Persefoni raised at a higher implied valuation with less traction. Lifetime has more customers (6), a government payer (KELA), edge deployment (EUR 17K/year vs EUR 350K/year cloud), and a 7-year regulatory knowledge graph.</w:t>
      </w:r>
    </w:p>
    <w:bookmarkEnd w:id="269"/>
    <w:bookmarkStart w:id="270" w:name="research-contribution-9"/>
    <w:p>
      <w:pPr>
        <w:pStyle w:val="Heading4"/>
      </w:pPr>
      <w:r>
        <w:t xml:space="preserve">10.18.6 Research Contribution</w:t>
      </w:r>
    </w:p>
    <w:p>
      <w:pPr>
        <w:pStyle w:val="FirstParagraph"/>
      </w:pPr>
      <w:r>
        <w:t xml:space="preserve">This section contributes three findings:</w:t>
      </w:r>
    </w:p>
    <w:p>
      <w:pPr>
        <w:numPr>
          <w:ilvl w:val="0"/>
          <w:numId w:val="1094"/>
        </w:numPr>
      </w:pPr>
      <w:r>
        <w:rPr>
          <w:bCs/>
          <w:b/>
        </w:rPr>
        <w:t xml:space="preserve">Sequencing discipline:</w:t>
      </w:r>
      <w:r>
        <w:t xml:space="preserve"> </w:t>
      </w:r>
      <w:r>
        <w:t xml:space="preserve">The framing of a product should match its current capabilities, not its future vision. Presenting Phase 3 capabilities in a Phase 1 fundraise creates contradictions that informed investors will catch. The three-phase model demonstrates how startup storytelling can be honest and ambitious simultaneously.</w:t>
      </w:r>
    </w:p>
    <w:p>
      <w:pPr>
        <w:numPr>
          <w:ilvl w:val="0"/>
          <w:numId w:val="1094"/>
        </w:numPr>
      </w:pPr>
      <w:r>
        <w:rPr>
          <w:bCs/>
          <w:b/>
        </w:rPr>
        <w:t xml:space="preserve">Compliance-first world model thesis:</w:t>
      </w:r>
      <w:r>
        <w:t xml:space="preserve"> </w:t>
      </w:r>
      <w:r>
        <w:t xml:space="preserve">The insight that compliance data feeds physical planning (not the reverse) is a novel architectural contribution. A construction site digital twin has nothing to optimize without verified emissions data. A healthcare fleet robot has no billing path without KELA integration. This inverts the typical world model narrative (physics first, compliance later) and may generalize to other regulated industries.</w:t>
      </w:r>
    </w:p>
    <w:p>
      <w:pPr>
        <w:numPr>
          <w:ilvl w:val="0"/>
          <w:numId w:val="1094"/>
        </w:numPr>
      </w:pPr>
      <w:r>
        <w:rPr>
          <w:bCs/>
          <w:b/>
        </w:rPr>
        <w:t xml:space="preserve">Phase 2 technical scoping:</w:t>
      </w:r>
      <w:r>
        <w:t xml:space="preserve"> </w:t>
      </w:r>
      <w:r>
        <w:t xml:space="preserve">The three unsolved problems (input modality, scale, regulatory-physical integration) provide a concrete research agenda that connects LeWorldModel’s theoretical advances to industrial application. The digital twin bridge via OpenUSD is identified as the most realistic near-term path.</w:t>
      </w:r>
    </w:p>
    <w:bookmarkEnd w:id="270"/>
    <w:bookmarkEnd w:id="271"/>
    <w:bookmarkStart w:id="276" w:name="Xffdfef13a0852165795bac8c15daacb1d6dc62a"/>
    <w:p>
      <w:pPr>
        <w:pStyle w:val="Heading3"/>
      </w:pPr>
      <w:r>
        <w:t xml:space="preserve">10.19 Thesis Versioning Strategy: v3.30.50 Metropolia Freeze</w:t>
      </w:r>
    </w:p>
    <w:bookmarkStart w:id="272" w:name="motivation-3"/>
    <w:p>
      <w:pPr>
        <w:pStyle w:val="Heading4"/>
      </w:pPr>
      <w:r>
        <w:t xml:space="preserve">10.19.1 Motivation</w:t>
      </w:r>
    </w:p>
    <w:p>
      <w:pPr>
        <w:pStyle w:val="FirstParagraph"/>
      </w:pPr>
      <w:r>
        <w:t xml:space="preserve">By version 3.31, the master thesis had grown to 82 pages and 26,000+ words — nearly double the 40-50 page target for Metropolia submission. Rather than permanently losing detailed research content, a dual-version architecture was adopted.</w:t>
      </w:r>
    </w:p>
    <w:bookmarkEnd w:id="272"/>
    <w:bookmarkStart w:id="273" w:name="dual-version-architecture"/>
    <w:p>
      <w:pPr>
        <w:pStyle w:val="Heading4"/>
      </w:pPr>
      <w:r>
        <w:t xml:space="preserve">10.19.2 Dual-Version Architecture</w:t>
      </w:r>
    </w:p>
    <w:tbl>
      <w:tblPr>
        <w:tblStyle w:val="Table"/>
        <w:tblW w:type="pct" w:w="5000"/>
        <w:tblLook w:firstRow="1" w:lastRow="0" w:firstColumn="0" w:lastColumn="0" w:noHBand="0" w:noVBand="0" w:val="0020"/>
        <w:jc w:val="start"/>
      </w:tblPr>
      <w:tblGrid>
        <w:gridCol w:w="772"/>
        <w:gridCol w:w="2414"/>
        <w:gridCol w:w="482"/>
        <w:gridCol w:w="579"/>
        <w:gridCol w:w="3670"/>
      </w:tblGrid>
      <w:tr>
        <w:trPr>
          <w:tblHeader w:val="true"/>
        </w:trPr>
        <w:tc>
          <w:tcPr/>
          <w:p>
            <w:pPr>
              <w:pStyle w:val="Compact"/>
              <w:jc w:val="left"/>
            </w:pPr>
            <w:r>
              <w:t xml:space="preserve">Version</w:t>
            </w:r>
          </w:p>
        </w:tc>
        <w:tc>
          <w:tcPr/>
          <w:p>
            <w:pPr>
              <w:pStyle w:val="Compact"/>
              <w:jc w:val="left"/>
            </w:pPr>
            <w:r>
              <w:t xml:space="preserve">File</w:t>
            </w:r>
          </w:p>
        </w:tc>
        <w:tc>
          <w:tcPr/>
          <w:p>
            <w:pPr>
              <w:pStyle w:val="Compact"/>
              <w:jc w:val="left"/>
            </w:pPr>
            <w:r>
              <w:t xml:space="preserve">Pages</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FROZEN</w:t>
            </w:r>
          </w:p>
        </w:tc>
        <w:tc>
          <w:tcPr/>
          <w:p>
            <w:pPr>
              <w:pStyle w:val="Compact"/>
              <w:jc w:val="left"/>
            </w:pPr>
            <w:r>
              <w:t xml:space="preserve">Metropolia outgoing submission</w:t>
            </w:r>
          </w:p>
        </w:tc>
      </w:tr>
      <w:tr>
        <w:tc>
          <w:tcPr/>
          <w:p>
            <w:pPr>
              <w:pStyle w:val="Compact"/>
              <w:jc w:val="left"/>
            </w:pPr>
            <w:r>
              <w:t xml:space="preserve">v3.32+</w:t>
            </w:r>
          </w:p>
        </w:tc>
        <w:tc>
          <w:tcPr/>
          <w:p>
            <w:pPr>
              <w:pStyle w:val="Compact"/>
              <w:jc w:val="left"/>
            </w:pPr>
            <w:r>
              <w:rPr>
                <w:rStyle w:val="VerbatimChar"/>
              </w:rPr>
              <w:t xml:space="preserve">V3Thesis_EN.md</w:t>
            </w:r>
          </w:p>
        </w:tc>
        <w:tc>
          <w:tcPr/>
          <w:p>
            <w:pPr>
              <w:pStyle w:val="Compact"/>
              <w:jc w:val="left"/>
            </w:pPr>
            <w:r>
              <w:t xml:space="preserve">~82</w:t>
            </w:r>
          </w:p>
        </w:tc>
        <w:tc>
          <w:tcPr/>
          <w:p>
            <w:pPr>
              <w:pStyle w:val="Compact"/>
              <w:jc w:val="left"/>
            </w:pPr>
            <w:r>
              <w:t xml:space="preserve">Living</w:t>
            </w:r>
          </w:p>
        </w:tc>
        <w:tc>
          <w:tcPr/>
          <w:p>
            <w:pPr>
              <w:pStyle w:val="Compact"/>
              <w:jc w:val="left"/>
            </w:pPr>
            <w:r>
              <w:t xml:space="preserve">Complete research record</w:t>
            </w:r>
          </w:p>
        </w:tc>
      </w:tr>
      <w:tr>
        <w:tc>
          <w:tcPr/>
          <w:p>
            <w:pPr>
              <w:pStyle w:val="Compact"/>
              <w:jc w:val="left"/>
            </w:pPr>
            <w:r>
              <w:t xml:space="preserve">v3.2+</w:t>
            </w:r>
          </w:p>
        </w:tc>
        <w:tc>
          <w:tcPr/>
          <w:p>
            <w:pPr>
              <w:pStyle w:val="Compact"/>
              <w:jc w:val="left"/>
            </w:pPr>
            <w:r>
              <w:rPr>
                <w:rStyle w:val="VerbatimChar"/>
              </w:rPr>
              <w:t xml:space="preserve">PHD_FIREHORSE_EN.md</w:t>
            </w:r>
          </w:p>
        </w:tc>
        <w:tc>
          <w:tcPr/>
          <w:p>
            <w:pPr>
              <w:pStyle w:val="Compact"/>
              <w:jc w:val="left"/>
            </w:pPr>
            <w:r>
              <w:t xml:space="preserve">—</w:t>
            </w:r>
          </w:p>
        </w:tc>
        <w:tc>
          <w:tcPr/>
          <w:p>
            <w:pPr>
              <w:pStyle w:val="Compact"/>
              <w:jc w:val="left"/>
            </w:pPr>
            <w:r>
              <w:t xml:space="preserve">Living</w:t>
            </w:r>
          </w:p>
        </w:tc>
        <w:tc>
          <w:tcPr/>
          <w:p>
            <w:pPr>
              <w:pStyle w:val="Compact"/>
              <w:jc w:val="left"/>
            </w:pPr>
            <w:r>
              <w:t xml:space="preserve">Doctoral companion (detailed sections)</w:t>
            </w:r>
          </w:p>
        </w:tc>
      </w:tr>
    </w:tbl>
    <w:p>
      <w:pPr>
        <w:pStyle w:val="BodyText"/>
      </w:pPr>
      <w:r>
        <w:t xml:space="preserve">The v3.30.50 restructuring applied four transformations:</w:t>
      </w:r>
    </w:p>
    <w:p>
      <w:pPr>
        <w:numPr>
          <w:ilvl w:val="0"/>
          <w:numId w:val="1095"/>
        </w:numPr>
        <w:pStyle w:val="Compact"/>
      </w:pPr>
      <w:r>
        <w:rPr>
          <w:bCs/>
          <w:b/>
        </w:rPr>
        <w:t xml:space="preserve">Section 5 expansion</w:t>
      </w:r>
      <w:r>
        <w:t xml:space="preserve"> </w:t>
      </w:r>
      <w:r>
        <w:t xml:space="preserve">— From 0.7 pages to ~4 pages covering infrastructure deployment, agent architecture, coordination via Lifetime Scope Signals, evolution to 31 agents, customer onboarding results, and key metrics</w:t>
      </w:r>
    </w:p>
    <w:p>
      <w:pPr>
        <w:numPr>
          <w:ilvl w:val="0"/>
          <w:numId w:val="1095"/>
        </w:numPr>
        <w:pStyle w:val="Compact"/>
      </w:pPr>
      <w:r>
        <w:rPr>
          <w:bCs/>
          <w:b/>
        </w:rPr>
        <w:t xml:space="preserve">Section 10 consolidation</w:t>
      </w:r>
      <w:r>
        <w:t xml:space="preserve"> </w:t>
      </w:r>
      <w:r>
        <w:t xml:space="preserve">— Detailed sections 10.6-10.18 replaced with 10.6</w:t>
      </w:r>
      <w:r>
        <w:t xml:space="preserve"> </w:t>
      </w:r>
      <w:r>
        <w:t xml:space="preserve">“</w:t>
      </w:r>
      <w:r>
        <w:t xml:space="preserve">Extended Research Contributions (Summary)</w:t>
      </w:r>
      <w:r>
        <w:t xml:space="preserve">”</w:t>
      </w:r>
      <w:r>
        <w:t xml:space="preserve"> </w:t>
      </w:r>
      <w:r>
        <w:t xml:space="preserve">containing 1-paragraph summaries with PHD Firehorse cross-references</w:t>
      </w:r>
    </w:p>
    <w:p>
      <w:pPr>
        <w:numPr>
          <w:ilvl w:val="0"/>
          <w:numId w:val="1095"/>
        </w:numPr>
        <w:pStyle w:val="Compact"/>
      </w:pPr>
      <w:r>
        <w:rPr>
          <w:bCs/>
          <w:b/>
        </w:rPr>
        <w:t xml:space="preserve">Appendix trimming</w:t>
      </w:r>
      <w:r>
        <w:t xml:space="preserve"> </w:t>
      </w:r>
      <w:r>
        <w:t xml:space="preserve">— 8 appendices reduced to 4 (kept Solution Factory Canvas, LSS Protocol, Karpathy Principles, Glossary)</w:t>
      </w:r>
    </w:p>
    <w:p>
      <w:pPr>
        <w:numPr>
          <w:ilvl w:val="0"/>
          <w:numId w:val="1095"/>
        </w:numPr>
        <w:pStyle w:val="Compact"/>
      </w:pPr>
      <w:r>
        <w:rPr>
          <w:bCs/>
          <w:b/>
        </w:rPr>
        <w:t xml:space="preserve">Content preservation</w:t>
      </w:r>
      <w:r>
        <w:t xml:space="preserve"> </w:t>
      </w:r>
      <w:r>
        <w:t xml:space="preserve">— All removed content already exists in PHD Firehorse companion document</w:t>
      </w:r>
    </w:p>
    <w:bookmarkEnd w:id="273"/>
    <w:bookmarkStart w:id="274" w:name="versioning-rules"/>
    <w:p>
      <w:pPr>
        <w:pStyle w:val="Heading4"/>
      </w:pPr>
      <w:r>
        <w:t xml:space="preserve">10.19.3 Versioning Rules</w:t>
      </w:r>
    </w:p>
    <w:p>
      <w:pPr>
        <w:numPr>
          <w:ilvl w:val="0"/>
          <w:numId w:val="1096"/>
        </w:numPr>
        <w:pStyle w:val="Compact"/>
      </w:pPr>
      <w:r>
        <w:t xml:space="preserve">v3.30.50 files are</w:t>
      </w:r>
      <w:r>
        <w:t xml:space="preserve"> </w:t>
      </w:r>
      <w:r>
        <w:rPr>
          <w:bCs/>
          <w:b/>
        </w:rPr>
        <w:t xml:space="preserve">HIL-only</w:t>
      </w:r>
      <w:r>
        <w:t xml:space="preserve"> </w:t>
      </w:r>
      <w:r>
        <w:t xml:space="preserve">(Human-in-the-Loop) — no Claude Code edits after freeze</w:t>
      </w:r>
    </w:p>
    <w:p>
      <w:pPr>
        <w:numPr>
          <w:ilvl w:val="0"/>
          <w:numId w:val="1096"/>
        </w:numPr>
        <w:pStyle w:val="Compact"/>
      </w:pPr>
      <w:r>
        <w:t xml:space="preserve">The 82-page living document continues versioning normally (3.32, 3.33, …)</w:t>
      </w:r>
    </w:p>
    <w:p>
      <w:pPr>
        <w:numPr>
          <w:ilvl w:val="0"/>
          <w:numId w:val="1096"/>
        </w:numPr>
        <w:pStyle w:val="Compact"/>
      </w:pPr>
      <w:r>
        <w:t xml:space="preserve">PHD Firehorse continues independently (3.2, 3.3, …)</w:t>
      </w:r>
    </w:p>
    <w:p>
      <w:pPr>
        <w:numPr>
          <w:ilvl w:val="0"/>
          <w:numId w:val="1096"/>
        </w:numPr>
        <w:pStyle w:val="Compact"/>
      </w:pPr>
      <w:r>
        <w:t xml:space="preserve">Version updates to living documents should note if content also applies to the frozen version via copy-paste proposals</w:t>
      </w:r>
    </w:p>
    <w:bookmarkEnd w:id="274"/>
    <w:bookmarkStart w:id="275" w:name="research-contribution-10"/>
    <w:p>
      <w:pPr>
        <w:pStyle w:val="Heading4"/>
      </w:pPr>
      <w:r>
        <w:t xml:space="preserve">10.19.4 Research Contribution</w:t>
      </w:r>
    </w:p>
    <w:p>
      <w:pPr>
        <w:pStyle w:val="FirstParagraph"/>
      </w:pPr>
      <w:r>
        <w:rPr>
          <w:bCs/>
          <w:b/>
        </w:rPr>
        <w:t xml:space="preserve">Key Contribution #23:</w:t>
      </w:r>
      <w:r>
        <w:t xml:space="preserve"> </w:t>
      </w:r>
      <w:r>
        <w:t xml:space="preserve">The dual-version strategy demonstrates a practical solution for AI-assisted academic writing where research velocity exceeds submission format constraints. The 82-page living document preserves full research lineage (38 version entries, 22 key contributions), while the 50-page frozen version meets institutional requirements without losing intellectual property. This pattern may generalize to other fast-moving research projects using AI-assisted documentation.</w:t>
      </w:r>
    </w:p>
    <w:bookmarkEnd w:id="275"/>
    <w:bookmarkEnd w:id="276"/>
    <w:bookmarkStart w:id="283" w:name="X3f6265fb6545959661fa29af413e10addd1be2a"/>
    <w:p>
      <w:pPr>
        <w:pStyle w:val="Heading3"/>
      </w:pPr>
      <w:r>
        <w:t xml:space="preserve">10.20 April 2026 Evolution: Skills Paradigm, Lifetime Fleet Roadmap, 22nd Industry, and Founder→Team Transition</w:t>
      </w:r>
    </w:p>
    <w:p>
      <w:pPr>
        <w:pStyle w:val="FirstParagraph"/>
      </w:pPr>
      <w:r>
        <w:rPr>
          <w:iCs/>
          <w:i/>
        </w:rPr>
        <w:t xml:space="preserve">Source: field notes 2026-04-06 through 2026-04-19; PRs #1064, #1109, #1110, #1111, #1112, #1113, #1115, #1116, #1128; SOLO_FOUNDER_STATEMENT v1.2.</w:t>
      </w:r>
    </w:p>
    <w:bookmarkStart w:id="277" w:name="X55104cd22eceedc791d7344603ae34b8bbfd8f4"/>
    <w:p>
      <w:pPr>
        <w:pStyle w:val="Heading4"/>
      </w:pPr>
      <w:r>
        <w:t xml:space="preserve">10.20.1 Anthropic Skills Paradigm — External Validation of DWS Skill-First Architecture</w:t>
      </w:r>
    </w:p>
    <w:p>
      <w:pPr>
        <w:pStyle w:val="FirstParagraph"/>
      </w:pPr>
      <w:r>
        <w:t xml:space="preserve">On 2026-04-16, Anthropic published an essay titled</w:t>
      </w:r>
      <w:r>
        <w:t xml:space="preserve"> </w:t>
      </w:r>
      <w:r>
        <w:t xml:space="preserve">“</w:t>
      </w:r>
      <w:r>
        <w:t xml:space="preserve">Stop Building Agents, Start Building Skills</w:t>
      </w:r>
      <w:r>
        <w:t xml:space="preserve">”</w:t>
      </w:r>
      <w:r>
        <w:t xml:space="preserve"> </w:t>
      </w:r>
      <w:r>
        <w:t xml:space="preserve">(logged at</w:t>
      </w:r>
      <w:r>
        <w:t xml:space="preserve"> </w:t>
      </w:r>
      <w:r>
        <w:rPr>
          <w:rStyle w:val="VerbatimChar"/>
        </w:rPr>
        <w:t xml:space="preserve">docs/field-notes/2026-04-16-anthropic-skills-paradigm-stop-building-agents.md</w:t>
      </w:r>
      <w:r>
        <w:t xml:space="preserve">). The argument: monolithic agents over-consume context window capacity and degrade as tool counts grow; discrete, invocable skills (Claude Code Skills,</w:t>
      </w:r>
      <w:r>
        <w:t xml:space="preserve"> </w:t>
      </w:r>
      <w:r>
        <w:rPr>
          <w:rStyle w:val="VerbatimChar"/>
        </w:rPr>
        <w:t xml:space="preserve">.claude/commands/*.md</w:t>
      </w:r>
      <w:r>
        <w:t xml:space="preserve">) outperform agent frameworks at enterprise scale because each skill is loaded only when needed and is individually testable.</w:t>
      </w:r>
    </w:p>
    <w:p>
      <w:pPr>
        <w:pStyle w:val="BodyText"/>
      </w:pPr>
      <w:r>
        <w:t xml:space="preserve">This is the first major external validation of the architectural bet made in Section 10.13 (Claude Code Engineering Structure, Version 3.17, 02.03.2026) and Section 10.13.7 (Domain-Specific vs Generic AI Harness, Version 3.31, 31.03.2026). Specifically:</w:t>
      </w:r>
    </w:p>
    <w:tbl>
      <w:tblPr>
        <w:tblStyle w:val="Table"/>
        <w:tblW w:type="pct" w:w="5000"/>
        <w:tblLook w:firstRow="1" w:lastRow="0" w:firstColumn="0" w:lastColumn="0" w:noHBand="0" w:noVBand="0" w:val="0020"/>
        <w:jc w:val="start"/>
      </w:tblPr>
      <w:tblGrid>
        <w:gridCol w:w="4730"/>
        <w:gridCol w:w="2695"/>
        <w:gridCol w:w="495"/>
      </w:tblGrid>
      <w:tr>
        <w:trPr>
          <w:tblHeader w:val="true"/>
        </w:trPr>
        <w:tc>
          <w:tcPr/>
          <w:p>
            <w:pPr>
              <w:pStyle w:val="Compact"/>
              <w:jc w:val="left"/>
            </w:pPr>
            <w:r>
              <w:t xml:space="preserve">DWS Position (pre-April 2026)</w:t>
            </w:r>
          </w:p>
        </w:tc>
        <w:tc>
          <w:tcPr/>
          <w:p>
            <w:pPr>
              <w:pStyle w:val="Compact"/>
              <w:jc w:val="left"/>
            </w:pPr>
            <w:r>
              <w:t xml:space="preserve">Anthropic’s 2026-04-16 argument</w:t>
            </w:r>
          </w:p>
        </w:tc>
        <w:tc>
          <w:tcPr/>
          <w:p>
            <w:pPr>
              <w:pStyle w:val="Compact"/>
              <w:jc w:val="left"/>
            </w:pPr>
            <w:r>
              <w:t xml:space="preserve">Status</w:t>
            </w:r>
          </w:p>
        </w:tc>
      </w:tr>
      <w:tr>
        <w:tc>
          <w:tcPr/>
          <w:p>
            <w:pPr>
              <w:pStyle w:val="Compact"/>
              <w:jc w:val="left"/>
            </w:pPr>
            <w:r>
              <w:t xml:space="preserve">Skills as reusable workflow components (§10.13.3)</w:t>
            </w:r>
          </w:p>
        </w:tc>
        <w:tc>
          <w:tcPr/>
          <w:p>
            <w:pPr>
              <w:pStyle w:val="Compact"/>
              <w:jc w:val="left"/>
            </w:pPr>
            <w:r>
              <w:t xml:space="preserve">Skills over agents at scale</w:t>
            </w:r>
          </w:p>
        </w:tc>
        <w:tc>
          <w:tcPr/>
          <w:p>
            <w:pPr>
              <w:pStyle w:val="Compact"/>
              <w:jc w:val="left"/>
            </w:pPr>
            <w:r>
              <w:t xml:space="preserve">Validated</w:t>
            </w:r>
          </w:p>
        </w:tc>
      </w:tr>
      <w:tr>
        <w:tc>
          <w:tcPr/>
          <w:p>
            <w:pPr>
              <w:pStyle w:val="Compact"/>
              <w:jc w:val="left"/>
            </w:pPr>
            <w:r>
              <w:rPr>
                <w:rStyle w:val="VerbatimChar"/>
              </w:rPr>
              <w:t xml:space="preserve">.claude/commands/*.md</w:t>
            </w:r>
            <w:r>
              <w:t xml:space="preserve"> </w:t>
            </w:r>
            <w:r>
              <w:t xml:space="preserve">as product interface (§10.13.6)</w:t>
            </w:r>
          </w:p>
        </w:tc>
        <w:tc>
          <w:tcPr/>
          <w:p>
            <w:pPr>
              <w:pStyle w:val="Compact"/>
              <w:jc w:val="left"/>
            </w:pPr>
            <w:r>
              <w:t xml:space="preserve">Discrete invocables beat monoliths</w:t>
            </w:r>
          </w:p>
        </w:tc>
        <w:tc>
          <w:tcPr/>
          <w:p>
            <w:pPr>
              <w:pStyle w:val="Compact"/>
              <w:jc w:val="left"/>
            </w:pPr>
            <w:r>
              <w:t xml:space="preserve">Validated</w:t>
            </w:r>
          </w:p>
        </w:tc>
      </w:tr>
      <w:tr>
        <w:tc>
          <w:tcPr/>
          <w:p>
            <w:pPr>
              <w:pStyle w:val="Compact"/>
              <w:jc w:val="left"/>
            </w:pPr>
            <w:r>
              <w:t xml:space="preserve">Agent-first product rule — every product needs a skill (CLAUDE.md §</w:t>
            </w:r>
            <w:r>
              <w:t xml:space="preserve">“</w:t>
            </w:r>
            <w:r>
              <w:t xml:space="preserve">Build for Agents</w:t>
            </w:r>
            <w:r>
              <w:t xml:space="preserve">”</w:t>
            </w:r>
            <w:r>
              <w:t xml:space="preserve">)</w:t>
            </w:r>
          </w:p>
        </w:tc>
        <w:tc>
          <w:tcPr/>
          <w:p>
            <w:pPr>
              <w:pStyle w:val="Compact"/>
              <w:jc w:val="left"/>
            </w:pPr>
            <w:r>
              <w:t xml:space="preserve">Skills are the API surface</w:t>
            </w:r>
          </w:p>
        </w:tc>
        <w:tc>
          <w:tcPr/>
          <w:p>
            <w:pPr>
              <w:pStyle w:val="Compact"/>
              <w:jc w:val="left"/>
            </w:pPr>
            <w:r>
              <w:t xml:space="preserve">Validated</w:t>
            </w:r>
          </w:p>
        </w:tc>
      </w:tr>
      <w:tr>
        <w:tc>
          <w:tcPr/>
          <w:p>
            <w:pPr>
              <w:pStyle w:val="Compact"/>
              <w:jc w:val="left"/>
            </w:pPr>
            <w:r>
              <w:t xml:space="preserve">Domain-specific depth &gt; breadth (§10.13.7)</w:t>
            </w:r>
          </w:p>
        </w:tc>
        <w:tc>
          <w:tcPr/>
          <w:p>
            <w:pPr>
              <w:pStyle w:val="Compact"/>
              <w:jc w:val="left"/>
            </w:pPr>
            <w:r>
              <w:t xml:space="preserve">Generic 136-skill frameworks fail on token budget</w:t>
            </w:r>
          </w:p>
        </w:tc>
        <w:tc>
          <w:tcPr/>
          <w:p>
            <w:pPr>
              <w:pStyle w:val="Compact"/>
              <w:jc w:val="left"/>
            </w:pPr>
            <w:r>
              <w:t xml:space="preserve">Validated</w:t>
            </w:r>
          </w:p>
        </w:tc>
      </w:tr>
    </w:tbl>
    <w:p>
      <w:pPr>
        <w:pStyle w:val="BodyText"/>
      </w:pPr>
      <w:r>
        <w:rPr>
          <w:bCs/>
          <w:b/>
        </w:rPr>
        <w:t xml:space="preserve">Skill library growth since v3.31 (31.03.2026):</w:t>
      </w:r>
      <w:r>
        <w:t xml:space="preserve"> </w:t>
      </w:r>
      <w:r>
        <w:t xml:space="preserve">+3 production skills —</w:t>
      </w:r>
      <w:r>
        <w:t xml:space="preserve"> </w:t>
      </w:r>
      <w:r>
        <w:rPr>
          <w:rStyle w:val="VerbatimChar"/>
        </w:rPr>
        <w:t xml:space="preserve">/regulatory-radar</w:t>
      </w:r>
      <w:r>
        <w:t xml:space="preserve"> </w:t>
      </w:r>
      <w:r>
        <w:t xml:space="preserve">(EU regulation pipeline scanner),</w:t>
      </w:r>
      <w:r>
        <w:t xml:space="preserve"> </w:t>
      </w:r>
      <w:r>
        <w:rPr>
          <w:rStyle w:val="VerbatimChar"/>
        </w:rPr>
        <w:t xml:space="preserve">/investor-outreach</w:t>
      </w:r>
      <w:r>
        <w:t xml:space="preserve"> </w:t>
      </w:r>
      <w:r>
        <w:t xml:space="preserve">(draft/triage/track investor INTRO notes),</w:t>
      </w:r>
      <w:r>
        <w:t xml:space="preserve"> </w:t>
      </w:r>
      <w:r>
        <w:rPr>
          <w:rStyle w:val="VerbatimChar"/>
        </w:rPr>
        <w:t xml:space="preserve">/multilingual</w:t>
      </w:r>
      <w:r>
        <w:t xml:space="preserve"> </w:t>
      </w:r>
      <w:r>
        <w:t xml:space="preserve">(EU language bar generator for onelifetime.world and dws10.com). Total 24+ production skills with 4 blocking discipline gates.</w:t>
      </w:r>
    </w:p>
    <w:p>
      <w:pPr>
        <w:pStyle w:val="BodyText"/>
      </w:pPr>
      <w:r>
        <w:rPr>
          <w:bCs/>
          <w:b/>
        </w:rPr>
        <w:t xml:space="preserve">Research contribution:</w:t>
      </w:r>
      <w:r>
        <w:t xml:space="preserve"> </w:t>
      </w:r>
      <w:r>
        <w:t xml:space="preserve">The skills-first architecture is no longer a hypothesis under evaluation — it is the emerging industry consensus. For a one-person founder team operating in a regulated domain, the skill library also functions as an</w:t>
      </w:r>
      <w:r>
        <w:t xml:space="preserve"> </w:t>
      </w:r>
      <w:r>
        <w:rPr>
          <w:bCs/>
          <w:b/>
        </w:rPr>
        <w:t xml:space="preserve">on-ramp for co-founders and partners</w:t>
      </w:r>
      <w:r>
        <w:t xml:space="preserve">: each skill is a documented, testable unit of institutional knowledge that a new contributor can exercise without reading the full codebase.</w:t>
      </w:r>
    </w:p>
    <w:bookmarkEnd w:id="277"/>
    <w:bookmarkStart w:id="278" w:name="X64fbd3dc6bb8d3f19fa52f0e4a571fe1c405574"/>
    <w:p>
      <w:pPr>
        <w:pStyle w:val="Heading4"/>
      </w:pPr>
      <w:r>
        <w:t xml:space="preserve">10.20.2 Lifetime Fleet Roadmap Crystallization —</w:t>
      </w:r>
      <w:r>
        <w:t xml:space="preserve"> </w:t>
      </w:r>
      <w:r>
        <w:t xml:space="preserve">“</w:t>
      </w:r>
      <w:r>
        <w:t xml:space="preserve">Hands</w:t>
      </w:r>
      <w:r>
        <w:t xml:space="preserve">”</w:t>
      </w:r>
      <w:r>
        <w:t xml:space="preserve"> </w:t>
      </w:r>
      <w:r>
        <w:t xml:space="preserve">Layer Graduates from Spec to Timeline</w:t>
      </w:r>
    </w:p>
    <w:p>
      <w:pPr>
        <w:pStyle w:val="FirstParagraph"/>
      </w:pPr>
      <w:r>
        <w:t xml:space="preserve">The Brain-Memory-Body-Hands architecture (CLAUDE.md §</w:t>
      </w:r>
      <w:r>
        <w:t xml:space="preserve">“</w:t>
      </w:r>
      <w:r>
        <w:t xml:space="preserve">Project Overview</w:t>
      </w:r>
      <w:r>
        <w:t xml:space="preserve">”</w:t>
      </w:r>
      <w:r>
        <w:t xml:space="preserve">) listed Lifetime Fleet (</w:t>
      </w:r>
      <w:r>
        <w:t xml:space="preserve">“</w:t>
      </w:r>
      <w:r>
        <w:t xml:space="preserve">Hands</w:t>
      </w:r>
      <w:r>
        <w:t xml:space="preserve">”</w:t>
      </w:r>
      <w:r>
        <w:t xml:space="preserve">) as</w:t>
      </w:r>
      <w:r>
        <w:t xml:space="preserve"> </w:t>
      </w:r>
      <w:r>
        <w:rPr>
          <w:iCs/>
          <w:i/>
        </w:rPr>
        <w:t xml:space="preserve">“</w:t>
      </w:r>
      <w:r>
        <w:rPr>
          <w:iCs/>
          <w:i/>
        </w:rPr>
        <w:t xml:space="preserve">specification phase</w:t>
      </w:r>
      <w:r>
        <w:rPr>
          <w:iCs/>
          <w:i/>
        </w:rPr>
        <w:t xml:space="preserve">”</w:t>
      </w:r>
      <w:r>
        <w:t xml:space="preserve"> </w:t>
      </w:r>
      <w:r>
        <w:t xml:space="preserve">for the entire life of this thesis. In April 2026 this changed. Two field notes crystallize the roadmap:</w:t>
      </w:r>
    </w:p>
    <w:p>
      <w:pPr>
        <w:numPr>
          <w:ilvl w:val="0"/>
          <w:numId w:val="1097"/>
        </w:numPr>
        <w:pStyle w:val="Compact"/>
      </w:pPr>
      <w:r>
        <w:rPr>
          <w:rStyle w:val="VerbatimChar"/>
          <w:bCs/>
          <w:b/>
        </w:rPr>
        <w:t xml:space="preserve">docs/field-notes/2026-04-15-finland-drone-strategy-lifetime-fleet.md</w:t>
      </w:r>
      <w:r>
        <w:t xml:space="preserve"> </w:t>
      </w:r>
      <w:r>
        <w:t xml:space="preserve">— Alignment of Lifetime Fleet with Finland’s Drone Strategy 2030. Positions DWS as the governance + compliance layer for Finnish industrial drones (agriculture, forestry, infrastructure, defence) using the same KYA/Aegis/Firehorse inventory already built for the platform.</w:t>
      </w:r>
    </w:p>
    <w:p>
      <w:pPr>
        <w:numPr>
          <w:ilvl w:val="0"/>
          <w:numId w:val="1097"/>
        </w:numPr>
        <w:pStyle w:val="Compact"/>
      </w:pPr>
      <w:r>
        <w:rPr>
          <w:rStyle w:val="VerbatimChar"/>
          <w:bCs/>
          <w:b/>
        </w:rPr>
        <w:t xml:space="preserve">docs/field-notes/2026-04-19-drone-app-baltic-timeline-research.md</w:t>
      </w:r>
      <w:r>
        <w:t xml:space="preserve"> </w:t>
      </w:r>
      <w:r>
        <w:t xml:space="preserve">— Baltic-first MVP timeline: 12–16 weeks to a shippable drone application, reusing existing KYA governance (L1–L5), OpenSandbox agent isolation, and the Shufti IDV integration. No new hardware R&amp;D cycle required.</w:t>
      </w:r>
    </w:p>
    <w:p>
      <w:pPr>
        <w:pStyle w:val="FirstParagraph"/>
      </w:pPr>
      <w:r>
        <w:rPr>
          <w:bCs/>
          <w:b/>
        </w:rPr>
        <w:t xml:space="preserve">Why this matters for the thesis:</w:t>
      </w:r>
      <w:r>
        <w:t xml:space="preserve"> </w:t>
      </w:r>
      <w:r>
        <w:t xml:space="preserve">Section 10.18 (LWM Sequencing Strategy, Version 3.30) framed the Brain-Memory-Body-Hands stack as</w:t>
      </w:r>
      <w:r>
        <w:t xml:space="preserve"> </w:t>
      </w:r>
      <w:r>
        <w:rPr>
          <w:iCs/>
          <w:i/>
        </w:rPr>
        <w:t xml:space="preserve">compliance → fleet → Series A</w:t>
      </w:r>
      <w:r>
        <w:t xml:space="preserve">. The April 2026 field notes convert</w:t>
      </w:r>
      <w:r>
        <w:t xml:space="preserve"> </w:t>
      </w:r>
      <w:r>
        <w:t xml:space="preserve">“</w:t>
      </w:r>
      <w:r>
        <w:t xml:space="preserve">fleet</w:t>
      </w:r>
      <w:r>
        <w:t xml:space="preserve">”</w:t>
      </w:r>
      <w:r>
        <w:t xml:space="preserve"> </w:t>
      </w:r>
      <w:r>
        <w:t xml:space="preserve">from a Phase 2 aspiration to a concrete Baltic MVP with reuse-first economics. The compliance-first world-model thesis is now testable on a specific hardware class in a specific geography within one calendar quarter.</w:t>
      </w:r>
    </w:p>
    <w:bookmarkEnd w:id="278"/>
    <w:bookmarkStart w:id="279" w:name="Xe52a794bdd8a726ce7f08e3c909e0f9d68362fb"/>
    <w:p>
      <w:pPr>
        <w:pStyle w:val="Heading4"/>
      </w:pPr>
      <w:r>
        <w:t xml:space="preserve">10.20.3 DWS IQ 7 Datacentre Compliance Agent — 22nd Industry and the Green Hydrogen Additionality Mandate</w:t>
      </w:r>
    </w:p>
    <w:p>
      <w:pPr>
        <w:pStyle w:val="FirstParagraph"/>
      </w:pPr>
      <w:r>
        <w:t xml:space="preserve">Two new field notes add a 22nd industry to the platform:</w:t>
      </w:r>
    </w:p>
    <w:p>
      <w:pPr>
        <w:numPr>
          <w:ilvl w:val="0"/>
          <w:numId w:val="1098"/>
        </w:numPr>
        <w:pStyle w:val="Compact"/>
      </w:pPr>
      <w:r>
        <w:rPr>
          <w:rStyle w:val="VerbatimChar"/>
          <w:bCs/>
          <w:b/>
        </w:rPr>
        <w:t xml:space="preserve">docs/field-notes/2026-04-18-eu-green-hydrogen-additionality-finland-datacentres.md</w:t>
      </w:r>
      <w:r>
        <w:t xml:space="preserve"> </w:t>
      </w:r>
      <w:r>
        <w:t xml:space="preserve">— EU RFNBO Delegated Regulation 2023/1184 (additionality, temporal correlation, geographical correlation) applied to Finnish datacentres. Datacentres claiming renewable-hydrogen-backed operations must prove the hydrogen meets all three additionality tests.</w:t>
      </w:r>
    </w:p>
    <w:p>
      <w:pPr>
        <w:numPr>
          <w:ilvl w:val="0"/>
          <w:numId w:val="1098"/>
        </w:numPr>
        <w:pStyle w:val="Compact"/>
      </w:pPr>
      <w:r>
        <w:rPr>
          <w:rStyle w:val="VerbatimChar"/>
          <w:bCs/>
          <w:b/>
        </w:rPr>
        <w:t xml:space="preserve">docs/DWS_IQ_7_DATACENTRE_COMPLIANCE_AGENT_PRD_v0.1.md</w:t>
      </w:r>
      <w:r>
        <w:t xml:space="preserve"> </w:t>
      </w:r>
      <w:r>
        <w:t xml:space="preserve">(and later v0.2 locking Ops Manager as V0 buyer) — Agent specification targeting hyperscaler + colocation operators in Finland (Microsoft, Google, Amazon, Equinix, Digita). Ops Manager ICP validated with a buyer-persona validation script.</w:t>
      </w:r>
    </w:p>
    <w:p>
      <w:pPr>
        <w:pStyle w:val="FirstParagraph"/>
      </w:pPr>
      <w:r>
        <w:rPr>
          <w:bCs/>
          <w:b/>
        </w:rPr>
        <w:t xml:space="preserve">Regulatory contribution to Section 10.17 (Carbon Balance Sheet):</w:t>
      </w:r>
      <w:r>
        <w:t xml:space="preserve"> </w:t>
      </w:r>
      <w:r>
        <w:t xml:space="preserve">Datacentres are the first industry where the ledger must reconcile</w:t>
      </w:r>
      <w:r>
        <w:t xml:space="preserve"> </w:t>
      </w:r>
      <w:r>
        <w:rPr>
          <w:iCs/>
          <w:i/>
        </w:rPr>
        <w:t xml:space="preserve">both</w:t>
      </w:r>
      <w:r>
        <w:t xml:space="preserve"> </w:t>
      </w:r>
      <w:r>
        <w:t xml:space="preserve">electricity-side accounting (ETS Scope 2) and fuel-side accounting (RFNBO hydrogen additionality). This extends the double-entry carbon ledger from the cement/steel/construction verticals originally analysed to a data-intensive service vertical — stressing the cross-regulation reconciliation claim with a qualitatively different emission profile.</w:t>
      </w:r>
    </w:p>
    <w:bookmarkEnd w:id="279"/>
    <w:bookmarkStart w:id="280" w:name="Xb29a3383c35ba8692cb75a4852c600dcd88508a"/>
    <w:p>
      <w:pPr>
        <w:pStyle w:val="Heading4"/>
      </w:pPr>
      <w:r>
        <w:t xml:space="preserve">10.20.4 Regulatory Stack Expansion: NIS2 + CER (Hybrid Threats)</w:t>
      </w:r>
    </w:p>
    <w:p>
      <w:pPr>
        <w:pStyle w:val="FirstParagraph"/>
      </w:pPr>
      <w:r>
        <w:t xml:space="preserve">The CORE Resilience Model blog post (onelifetime.world/posts/core-resilience-hybrid-threats.html, 2026-04-13) and the Hybridiosaamiskeskus hallitus turvallisuusvastuu 8.5.2026 field note expand DWS’s regulatory coverage beyond climate regulation:</w:t>
      </w:r>
    </w:p>
    <w:tbl>
      <w:tblPr>
        <w:tblStyle w:val="Table"/>
        <w:tblW w:type="pct" w:w="5000"/>
        <w:tblLook w:firstRow="1" w:lastRow="0" w:firstColumn="0" w:lastColumn="0" w:noHBand="0" w:noVBand="0" w:val="0020"/>
        <w:jc w:val="start"/>
      </w:tblPr>
      <w:tblGrid>
        <w:gridCol w:w="2892"/>
        <w:gridCol w:w="3236"/>
        <w:gridCol w:w="1790"/>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Coverage status</w:t>
            </w:r>
          </w:p>
        </w:tc>
      </w:tr>
      <w:tr>
        <w:tc>
          <w:tcPr/>
          <w:p>
            <w:pPr>
              <w:pStyle w:val="Compact"/>
              <w:jc w:val="left"/>
            </w:pPr>
            <w:r>
              <w:t xml:space="preserve">ETS, CBAM, CSRD, Taxonomy, EED, Fit-for-55</w:t>
            </w:r>
          </w:p>
        </w:tc>
        <w:tc>
          <w:tcPr/>
          <w:p>
            <w:pPr>
              <w:pStyle w:val="Compact"/>
              <w:jc w:val="left"/>
            </w:pPr>
            <w:r>
              <w:t xml:space="preserve">Climate/energy</w:t>
            </w:r>
          </w:p>
        </w:tc>
        <w:tc>
          <w:tcPr/>
          <w:p>
            <w:pPr>
              <w:pStyle w:val="Compact"/>
              <w:jc w:val="left"/>
            </w:pPr>
            <w:r>
              <w:t xml:space="preserve">Production (Section 10.17)</w:t>
            </w:r>
          </w:p>
        </w:tc>
      </w:tr>
      <w:tr>
        <w:tc>
          <w:tcPr/>
          <w:p>
            <w:pPr>
              <w:pStyle w:val="Compact"/>
              <w:jc w:val="left"/>
            </w:pPr>
            <w:r>
              <w:t xml:space="preserve">EU AI Act Art 12</w:t>
            </w:r>
          </w:p>
        </w:tc>
        <w:tc>
          <w:tcPr/>
          <w:p>
            <w:pPr>
              <w:pStyle w:val="Compact"/>
              <w:jc w:val="left"/>
            </w:pPr>
            <w:r>
              <w:t xml:space="preserve">AI governance/logging</w:t>
            </w:r>
          </w:p>
        </w:tc>
        <w:tc>
          <w:tcPr/>
          <w:p>
            <w:pPr>
              <w:pStyle w:val="Compact"/>
              <w:jc w:val="left"/>
            </w:pPr>
            <w:r>
              <w:t xml:space="preserve">Production (Section 10.13)</w:t>
            </w:r>
          </w:p>
        </w:tc>
      </w:tr>
      <w:tr>
        <w:tc>
          <w:tcPr/>
          <w:p>
            <w:pPr>
              <w:pStyle w:val="Compact"/>
              <w:jc w:val="left"/>
            </w:pPr>
            <w:r>
              <w:rPr>
                <w:bCs/>
                <w:b/>
              </w:rPr>
              <w:t xml:space="preserve">NIS2</w:t>
            </w:r>
            <w:r>
              <w:t xml:space="preserve"> </w:t>
            </w:r>
            <w:r>
              <w:t xml:space="preserve">(Directive 2022/2555)</w:t>
            </w:r>
          </w:p>
        </w:tc>
        <w:tc>
          <w:tcPr/>
          <w:p>
            <w:pPr>
              <w:pStyle w:val="Compact"/>
              <w:jc w:val="left"/>
            </w:pPr>
            <w:r>
              <w:t xml:space="preserve">Cybersecurity of essential &amp; important entities</w:t>
            </w:r>
          </w:p>
        </w:tc>
        <w:tc>
          <w:tcPr/>
          <w:p>
            <w:pPr>
              <w:pStyle w:val="Compact"/>
              <w:jc w:val="left"/>
            </w:pPr>
            <w:r>
              <w:rPr>
                <w:bCs/>
                <w:b/>
              </w:rPr>
              <w:t xml:space="preserve">Added April 2026</w:t>
            </w:r>
          </w:p>
        </w:tc>
      </w:tr>
      <w:tr>
        <w:tc>
          <w:tcPr/>
          <w:p>
            <w:pPr>
              <w:pStyle w:val="Compact"/>
              <w:jc w:val="left"/>
            </w:pPr>
            <w:r>
              <w:rPr>
                <w:bCs/>
                <w:b/>
              </w:rPr>
              <w:t xml:space="preserve">CER</w:t>
            </w:r>
            <w:r>
              <w:t xml:space="preserve"> </w:t>
            </w:r>
            <w:r>
              <w:t xml:space="preserve">(Directive 2022/2557)</w:t>
            </w:r>
          </w:p>
        </w:tc>
        <w:tc>
          <w:tcPr/>
          <w:p>
            <w:pPr>
              <w:pStyle w:val="Compact"/>
              <w:jc w:val="left"/>
            </w:pPr>
            <w:r>
              <w:t xml:space="preserve">Critical Entities Resilience (physical + cyber)</w:t>
            </w:r>
          </w:p>
        </w:tc>
        <w:tc>
          <w:tcPr/>
          <w:p>
            <w:pPr>
              <w:pStyle w:val="Compact"/>
              <w:jc w:val="left"/>
            </w:pPr>
            <w:r>
              <w:rPr>
                <w:bCs/>
                <w:b/>
              </w:rPr>
              <w:t xml:space="preserve">Added April 2026</w:t>
            </w:r>
          </w:p>
        </w:tc>
      </w:tr>
    </w:tbl>
    <w:p>
      <w:pPr>
        <w:pStyle w:val="BodyText"/>
      </w:pPr>
      <w:r>
        <w:t xml:space="preserve">The Aegis product (</w:t>
      </w:r>
      <w:r>
        <w:rPr>
          <w:rStyle w:val="VerbatimChar"/>
        </w:rPr>
        <w:t xml:space="preserve">dws10.com/products/aegis.html</w:t>
      </w:r>
      <w:r>
        <w:t xml:space="preserve">, hackathon demo PR #1128) is re-positioned as the NIS2/CER wedge: sovereign security governance for critical infrastructure operators (SNCF France infrastructure surveillance field note 2026-04-14 validates the vertical). This is the first time DWS IQ 6 covers non-climate EU regulation — a material extension of the platform’s compliance scope.</w:t>
      </w:r>
    </w:p>
    <w:bookmarkEnd w:id="280"/>
    <w:bookmarkStart w:id="281" w:name="Xf2a4d90a4ff0af74f75747240d184d5ff07a319"/>
    <w:p>
      <w:pPr>
        <w:pStyle w:val="Heading4"/>
      </w:pPr>
      <w:r>
        <w:t xml:space="preserve">10.20.5 Founder→Team Transition and the Investor Outreach Workflow</w:t>
      </w:r>
    </w:p>
    <w:p>
      <w:pPr>
        <w:pStyle w:val="FirstParagraph"/>
      </w:pPr>
      <w:r>
        <w:t xml:space="preserve">Sections 10.7 (BYOA) and 10.11 (CEO Automation Agent Suite) framed DWS IQ 6 as a one-person-operated platform where AI-assisted tooling substitutes for headcount. April 2026 marks the deliberate transition from solo founder to team:</w:t>
      </w:r>
    </w:p>
    <w:p>
      <w:pPr>
        <w:numPr>
          <w:ilvl w:val="0"/>
          <w:numId w:val="1099"/>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Single source of truth narrative for Series A / SAFE investor conversations. Locks the solo-founder-with-AI-team thesis that the thesis itself documents.</w:t>
      </w:r>
    </w:p>
    <w:p>
      <w:pPr>
        <w:numPr>
          <w:ilvl w:val="0"/>
          <w:numId w:val="1099"/>
        </w:numPr>
        <w:pStyle w:val="Compact"/>
      </w:pPr>
      <w:r>
        <w:rPr>
          <w:bCs/>
          <w:b/>
        </w:rPr>
        <w:t xml:space="preserve">Anthony Maurin CTO co-builder track</w:t>
      </w:r>
      <w:r>
        <w:t xml:space="preserve"> </w:t>
      </w:r>
      <w:r>
        <w:t xml:space="preserve">(field note 2026-04-19</w:t>
      </w:r>
      <w:r>
        <w:t xml:space="preserve"> </w:t>
      </w:r>
      <w:r>
        <w:rPr>
          <w:iCs/>
          <w:i/>
        </w:rPr>
        <w:t xml:space="preserve">CTO LinkedIn search launched</w:t>
      </w:r>
      <w:r>
        <w:t xml:space="preserve">) — First named co-builder. Equity sequencing tightened against investor reactivation catalyst (Perissich).</w:t>
      </w:r>
    </w:p>
    <w:p>
      <w:pPr>
        <w:numPr>
          <w:ilvl w:val="0"/>
          <w:numId w:val="1099"/>
        </w:numPr>
        <w:pStyle w:val="Compact"/>
      </w:pPr>
      <w:r>
        <w:rPr>
          <w:rStyle w:val="VerbatimChar"/>
          <w:bCs/>
          <w:b/>
        </w:rPr>
        <w:t xml:space="preserve">/investor-outreach</w:t>
      </w:r>
      <w:r>
        <w:rPr>
          <w:bCs/>
          <w:b/>
        </w:rPr>
        <w:t xml:space="preserve"> </w:t>
      </w:r>
      <w:r>
        <w:rPr>
          <w:bCs/>
          <w:b/>
        </w:rPr>
        <w:t xml:space="preserve">skill</w:t>
      </w:r>
      <w:r>
        <w:t xml:space="preserve"> </w:t>
      </w:r>
      <w:r>
        <w:t xml:space="preserve">(PR #1109,</w:t>
      </w:r>
      <w:r>
        <w:t xml:space="preserve"> </w:t>
      </w:r>
      <w:r>
        <w:rPr>
          <w:rStyle w:val="VerbatimChar"/>
        </w:rPr>
        <w:t xml:space="preserve">.claude/commands/investor-outreach.md</w:t>
      </w:r>
      <w:r>
        <w:t xml:space="preserve">) — Reproducible workflow for drafting, triaging, and tracking investor INTRO notes. 10+ named notes drafted in the 2-week window: 42CAP (Wilke), Plug and Play Paris (Laouiti), Ingrisano, Perissich, Kefalogiannis, von Euen, Yomutbayev, Zawadzinski.</w:t>
      </w:r>
    </w:p>
    <w:p>
      <w:pPr>
        <w:pStyle w:val="FirstParagraph"/>
      </w:pPr>
      <w:r>
        <w:rPr>
          <w:bCs/>
          <w:b/>
        </w:rPr>
        <w:t xml:space="preserve">Research contribution:</w:t>
      </w:r>
      <w:r>
        <w:t xml:space="preserve"> </w:t>
      </w:r>
      <w:r>
        <w:t xml:space="preserve">The solo-founder-with-AI-team hypothesis is not abandoned — it is</w:t>
      </w:r>
      <w:r>
        <w:t xml:space="preserve"> </w:t>
      </w:r>
      <w:r>
        <w:rPr>
          <w:iCs/>
          <w:i/>
        </w:rPr>
        <w:t xml:space="preserve">staged</w:t>
      </w:r>
      <w:r>
        <w:t xml:space="preserve">. The platform must be usable by one person at t=0 (this thesis’s documented state) but must also absorb a small co-founding team without the platform’s thesis collapsing. The</w:t>
      </w:r>
      <w:r>
        <w:t xml:space="preserve"> </w:t>
      </w:r>
      <w:r>
        <w:rPr>
          <w:rStyle w:val="VerbatimChar"/>
        </w:rPr>
        <w:t xml:space="preserve">/investor-outreach</w:t>
      </w:r>
      <w:r>
        <w:t xml:space="preserve"> </w:t>
      </w:r>
      <w:r>
        <w:t xml:space="preserve">skill is a concrete mechanism: the investor pipeline itself is now a DWS IQ workflow, not tacit founder knowledge.</w:t>
      </w:r>
    </w:p>
    <w:bookmarkEnd w:id="281"/>
    <w:bookmarkStart w:id="282" w:name="research-contribution-11"/>
    <w:p>
      <w:pPr>
        <w:pStyle w:val="Heading4"/>
      </w:pPr>
      <w:r>
        <w:t xml:space="preserve">10.20.6 Research Contribution</w:t>
      </w:r>
    </w:p>
    <w:p>
      <w:pPr>
        <w:pStyle w:val="FirstParagraph"/>
      </w:pPr>
      <w:r>
        <w:rPr>
          <w:bCs/>
          <w:b/>
        </w:rPr>
        <w:t xml:space="preserve">Key Contribution #25 — Skills Paradigm Validated by Industry Consensus:</w:t>
      </w:r>
      <w:r>
        <w:t xml:space="preserve"> </w:t>
      </w:r>
      <w:r>
        <w:t xml:space="preserve">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The DWS IQ 6 skill library (24+ production skills, 4 discipline gates) is the emerging industry pattern rather than a DWS-specific bet.</w:t>
      </w:r>
    </w:p>
    <w:p>
      <w:pPr>
        <w:pStyle w:val="BodyText"/>
      </w:pPr>
      <w:r>
        <w:rPr>
          <w:bCs/>
          <w:b/>
        </w:rPr>
        <w:t xml:space="preserve">Key Contribution #26 — Lifetime Fleet Crystallization:</w:t>
      </w:r>
      <w:r>
        <w:t xml:space="preserve"> </w:t>
      </w:r>
      <w:r>
        <w:t xml:space="preserve">The Brain-Memory-Body-Hands stack is now testable end-to-end. Lifetime Fleet graduates from</w:t>
      </w:r>
      <w:r>
        <w:t xml:space="preserve"> </w:t>
      </w:r>
      <w:r>
        <w:t xml:space="preserve">“</w:t>
      </w:r>
      <w:r>
        <w:t xml:space="preserve">specification phase</w:t>
      </w:r>
      <w:r>
        <w:t xml:space="preserve">”</w:t>
      </w:r>
      <w:r>
        <w:t xml:space="preserve"> </w:t>
      </w:r>
      <w:r>
        <w:t xml:space="preserve">to a 12–16 week Baltic-first MVP (2026-04-19) with full reuse of the KYA/Aegis/Firehorse governance stack. The compliance-first world-model thesis (§10.18) is no longer a Phase 2 abstraction.</w:t>
      </w:r>
    </w:p>
    <w:p>
      <w:pPr>
        <w:pStyle w:val="BodyText"/>
      </w:pPr>
      <w:r>
        <w:rPr>
          <w:bCs/>
          <w:b/>
        </w:rPr>
        <w:t xml:space="preserve">Key Contribution #27 — 22nd Industry via Green Hydrogen Additionality:</w:t>
      </w:r>
      <w:r>
        <w:t xml:space="preserve"> </w:t>
      </w:r>
      <w:r>
        <w:t xml:space="preserve">The Datacentre Compliance Agent (RFNBO Delegated Regulation 2023/1184) extends the double-entry carbon ledger (§10.17) to a qualitatively different vertical (data-intensive services, not heavy industry). The regulatory stack now covers NIS2 + CER in addition to climate regulation — the first cross-domain extension of the platform’s EU regulatory coverage.</w:t>
      </w:r>
    </w:p>
    <w:p>
      <w:pPr>
        <w:pStyle w:val="BodyText"/>
      </w:pPr>
      <w:r>
        <w:rPr>
          <w:bCs/>
          <w:b/>
        </w:rPr>
        <w:t xml:space="preserve">Key Contribution #28 — Founder→Team Transition as Platform Feature:</w:t>
      </w:r>
      <w:r>
        <w:t xml:space="preserve"> </w:t>
      </w:r>
      <w:r>
        <w:t xml:space="preserve">The solo-founder-with-AI-team thesis is staged rather than asserted. The</w:t>
      </w:r>
      <w:r>
        <w:t xml:space="preserve"> </w:t>
      </w:r>
      <w:r>
        <w:rPr>
          <w:rStyle w:val="VerbatimChar"/>
        </w:rPr>
        <w:t xml:space="preserve">/investor-outreach</w:t>
      </w:r>
      <w:r>
        <w:t xml:space="preserve"> </w:t>
      </w:r>
      <w:r>
        <w:t xml:space="preserve">skill and the SOLO_FOUNDER_STATEMENT single-source-of-truth pattern make investor outreach a DWS IQ workflow itself. This validates the platform’s own thesis: if the platform cannot run its own fundraising as a reproducible skill, it cannot claim to replicate solution-factory work for customers.</w:t>
      </w:r>
    </w:p>
    <w:bookmarkEnd w:id="282"/>
    <w:bookmarkEnd w:id="283"/>
    <w:bookmarkStart w:id="292" w:name="X77ddb91e7fdb68b40cc1db7b9a0417293ce1dc7"/>
    <w:p>
      <w:pPr>
        <w:pStyle w:val="Heading3"/>
      </w:pPr>
      <w:r>
        <w:t xml:space="preserve">10.21 Doctoral Track Targeting: KYA Foundation, DWS 7 Objectives, and Dual-Use Expansion</w:t>
      </w:r>
    </w:p>
    <w:bookmarkStart w:id="284" w:name="X0c656941d5f8d2e3b791fcbed61171dec2a1671"/>
    <w:p>
      <w:pPr>
        <w:pStyle w:val="Heading4"/>
      </w:pPr>
      <w:r>
        <w:t xml:space="preserve">10.21.1 KYA toward an Agentic AI Foundation Standard</w:t>
      </w:r>
    </w:p>
    <w:p>
      <w:pPr>
        <w:pStyle w:val="FirstParagraph"/>
      </w:pPr>
      <w:r>
        <w:t xml:space="preserve">In this update, KYA (Know Your Agent) is explicitly positioned beyond internal governance toward an</w:t>
      </w:r>
      <w:r>
        <w:t xml:space="preserve"> </w:t>
      </w:r>
      <w:r>
        <w:rPr>
          <w:bCs/>
          <w:b/>
        </w:rPr>
        <w:t xml:space="preserve">Agentic AI Foundation</w:t>
      </w:r>
      <w:r>
        <w:t xml:space="preserve"> </w:t>
      </w:r>
      <w:r>
        <w:t xml:space="preserve">standard candidate. The target scope includes identity binding, runtime control, audit traceability, kill-switch governance, and sovereignty controls for regulated agentic systems.</w:t>
      </w:r>
    </w:p>
    <w:bookmarkEnd w:id="284"/>
    <w:bookmarkStart w:id="285" w:name="X48461b96bf4a38ed3dd57f4301b56a548448b05"/>
    <w:p>
      <w:pPr>
        <w:pStyle w:val="Heading4"/>
      </w:pPr>
      <w:r>
        <w:t xml:space="preserve">10.21.2 DWS 7 Objectives as Empirical Research Frame</w:t>
      </w:r>
    </w:p>
    <w:p>
      <w:pPr>
        <w:pStyle w:val="FirstParagraph"/>
      </w:pPr>
      <w:r>
        <w:t xml:space="preserve">DWS 7 is defined as the operational validation frame for:</w:t>
      </w:r>
    </w:p>
    <w:p>
      <w:pPr>
        <w:numPr>
          <w:ilvl w:val="0"/>
          <w:numId w:val="1100"/>
        </w:numPr>
        <w:pStyle w:val="Compact"/>
      </w:pPr>
      <w:r>
        <w:t xml:space="preserve">persistent carbon-ledger infrastructure,</w:t>
      </w:r>
    </w:p>
    <w:p>
      <w:pPr>
        <w:numPr>
          <w:ilvl w:val="0"/>
          <w:numId w:val="1100"/>
        </w:numPr>
        <w:pStyle w:val="Compact"/>
      </w:pPr>
      <w:r>
        <w:t xml:space="preserve">production-grade KYA governance evidence chains,</w:t>
      </w:r>
    </w:p>
    <w:p>
      <w:pPr>
        <w:numPr>
          <w:ilvl w:val="0"/>
          <w:numId w:val="1100"/>
        </w:numPr>
        <w:pStyle w:val="Compact"/>
      </w:pPr>
      <w:r>
        <w:t xml:space="preserve">sovereignty segmentation across product layers (Aegis / Sovereign Infra / Connect),</w:t>
      </w:r>
    </w:p>
    <w:p>
      <w:pPr>
        <w:numPr>
          <w:ilvl w:val="0"/>
          <w:numId w:val="1100"/>
        </w:numPr>
        <w:pStyle w:val="Compact"/>
      </w:pPr>
      <w:r>
        <w:t xml:space="preserve">partner-channel integration with Siemens and NVIDIA Connect ecosystems.</w:t>
      </w:r>
    </w:p>
    <w:bookmarkEnd w:id="285"/>
    <w:bookmarkStart w:id="286" w:name="X4699dbcf452dd5ea1b2fa42cc5bebfe7930b074"/>
    <w:p>
      <w:pPr>
        <w:pStyle w:val="Heading4"/>
      </w:pPr>
      <w:r>
        <w:t xml:space="preserve">10.21.3 Hydrogen-Economy Continuity (DWS 5 -&gt; DWS 7)</w:t>
      </w:r>
    </w:p>
    <w:p>
      <w:pPr>
        <w:pStyle w:val="FirstParagraph"/>
      </w:pPr>
      <w:r>
        <w:t xml:space="preserve">Hydrogen economy requirements are formalized as a continuity thread from DWS 5 into DWS 7. RFNBO additionality logic, temporal correlation, and geographical correlation are treated as long-horizon regulatory constraints feeding platform architecture decisions.</w:t>
      </w:r>
    </w:p>
    <w:bookmarkEnd w:id="286"/>
    <w:bookmarkStart w:id="287" w:name="Xe1b12a92e1c53d08cb4663e1a46e174a15ae808"/>
    <w:p>
      <w:pPr>
        <w:pStyle w:val="Heading4"/>
      </w:pPr>
      <w:r>
        <w:t xml:space="preserve">10.21.4 Third Research Stream: Dual-Use Industries</w:t>
      </w:r>
    </w:p>
    <w:p>
      <w:pPr>
        <w:pStyle w:val="FirstParagraph"/>
      </w:pPr>
      <w:r>
        <w:t xml:space="preserve">The third stream is explicitly focused on dual-use industries (industrial + defence). Ongoing Nokia Defence discussions are recorded as part of the funding-and-pilot path for this stream.</w:t>
      </w:r>
    </w:p>
    <w:bookmarkEnd w:id="287"/>
    <w:bookmarkStart w:id="288" w:name="X4f5d6f7db936289d749397065e96e1698498be9"/>
    <w:p>
      <w:pPr>
        <w:pStyle w:val="Heading4"/>
      </w:pPr>
      <w:r>
        <w:t xml:space="preserve">10.21.5 Sovereignty Segmentation of Product Tiers (Core Figure)</w:t>
      </w:r>
    </w:p>
    <w:p>
      <w:pPr>
        <w:pStyle w:val="FirstParagraph"/>
      </w:pPr>
    </w:p>
    <w:p>
      <w:pPr>
        <w:pStyle w:val="BodyText"/>
      </w:pPr>
      <w:r>
        <w:t xml:space="preserve">Analytical role of the segmentation:</w:t>
      </w:r>
    </w:p>
    <w:p>
      <w:pPr>
        <w:numPr>
          <w:ilvl w:val="0"/>
          <w:numId w:val="1101"/>
        </w:numPr>
        <w:pStyle w:val="Compact"/>
      </w:pPr>
      <w:r>
        <w:rPr>
          <w:bCs/>
          <w:b/>
        </w:rPr>
        <w:t xml:space="preserve">Aegis:</w:t>
      </w:r>
      <w:r>
        <w:t xml:space="preserve"> </w:t>
      </w:r>
      <w:r>
        <w:t xml:space="preserve">critical-infrastructure security governance</w:t>
      </w:r>
    </w:p>
    <w:p>
      <w:pPr>
        <w:numPr>
          <w:ilvl w:val="0"/>
          <w:numId w:val="1101"/>
        </w:numPr>
        <w:pStyle w:val="Compact"/>
      </w:pPr>
      <w:r>
        <w:rPr>
          <w:bCs/>
          <w:b/>
        </w:rPr>
        <w:t xml:space="preserve">Sovereign Infra:</w:t>
      </w:r>
      <w:r>
        <w:t xml:space="preserve"> </w:t>
      </w:r>
      <w:r>
        <w:t xml:space="preserve">EU-sovereign deployment layer for regulated operators</w:t>
      </w:r>
    </w:p>
    <w:p>
      <w:pPr>
        <w:numPr>
          <w:ilvl w:val="0"/>
          <w:numId w:val="1101"/>
        </w:numPr>
        <w:pStyle w:val="Compact"/>
      </w:pPr>
      <w:r>
        <w:rPr>
          <w:bCs/>
          <w:b/>
        </w:rPr>
        <w:t xml:space="preserve">Connect:</w:t>
      </w:r>
      <w:r>
        <w:t xml:space="preserve"> </w:t>
      </w:r>
      <w:r>
        <w:t xml:space="preserve">global integration and distribution layer</w:t>
      </w:r>
    </w:p>
    <w:bookmarkEnd w:id="288"/>
    <w:bookmarkStart w:id="289" w:name="collaboration-anchors"/>
    <w:p>
      <w:pPr>
        <w:pStyle w:val="Heading4"/>
      </w:pPr>
      <w:r>
        <w:t xml:space="preserve">10.21.6 Collaboration Anchors</w:t>
      </w:r>
    </w:p>
    <w:p>
      <w:pPr>
        <w:pStyle w:val="FirstParagraph"/>
      </w:pPr>
      <w:r>
        <w:t xml:space="preserve">Siemens collaboration is anchored to digital-twin and industrial IoT data pathways. NVIDIA Connect collaboration is anchored to inference architecture, edge acceleration, and partner-led go-to-market channels.</w:t>
      </w:r>
    </w:p>
    <w:bookmarkEnd w:id="289"/>
    <w:bookmarkStart w:id="290" w:name="X170af2d183620e678abc5e690c0905d6d687438"/>
    <w:p>
      <w:pPr>
        <w:pStyle w:val="Heading4"/>
      </w:pPr>
      <w:r>
        <w:t xml:space="preserve">10.21.7 Supervisor Feedback and Response Structure</w:t>
      </w:r>
    </w:p>
    <w:p>
      <w:pPr>
        <w:pStyle w:val="FirstParagraph"/>
      </w:pPr>
      <w:r>
        <w:t xml:space="preserve">Kari Smolander’s guidance (2-year commitment limit, research-community socialization, 3-5 peer-reviewed papers plus synthesis thesis) is integrated into the plan. The response structure is aligned to four requested elements:</w:t>
      </w:r>
    </w:p>
    <w:p>
      <w:pPr>
        <w:numPr>
          <w:ilvl w:val="0"/>
          <w:numId w:val="1102"/>
        </w:numPr>
        <w:pStyle w:val="Compact"/>
      </w:pPr>
      <w:r>
        <w:t xml:space="preserve">research problem,</w:t>
      </w:r>
    </w:p>
    <w:p>
      <w:pPr>
        <w:numPr>
          <w:ilvl w:val="0"/>
          <w:numId w:val="1102"/>
        </w:numPr>
        <w:pStyle w:val="Compact"/>
      </w:pPr>
      <w:r>
        <w:t xml:space="preserve">research objectives,</w:t>
      </w:r>
    </w:p>
    <w:p>
      <w:pPr>
        <w:numPr>
          <w:ilvl w:val="0"/>
          <w:numId w:val="1102"/>
        </w:numPr>
        <w:pStyle w:val="Compact"/>
      </w:pPr>
      <w:r>
        <w:t xml:space="preserve">preliminary methods,</w:t>
      </w:r>
    </w:p>
    <w:p>
      <w:pPr>
        <w:numPr>
          <w:ilvl w:val="0"/>
          <w:numId w:val="1102"/>
        </w:numPr>
        <w:pStyle w:val="Compact"/>
      </w:pPr>
      <w:r>
        <w:t xml:space="preserve">execution staging and publication path.</w:t>
      </w:r>
    </w:p>
    <w:p>
      <w:pPr>
        <w:pStyle w:val="FirstParagraph"/>
      </w:pPr>
      <w:r>
        <w:t xml:space="preserve">This creates a concrete basis for the next supervisory meeting.</w:t>
      </w:r>
    </w:p>
    <w:bookmarkEnd w:id="290"/>
    <w:bookmarkStart w:id="291" w:name="X7a927fc66479ba5745bc7eaa609eff204a37dc4"/>
    <w:p>
      <w:pPr>
        <w:pStyle w:val="Heading4"/>
      </w:pPr>
      <w:r>
        <w:t xml:space="preserve">10.21.8 Open-Source Standard Path and Publication Phasing</w:t>
      </w:r>
    </w:p>
    <w:p>
      <w:pPr>
        <w:pStyle w:val="FirstParagraph"/>
      </w:pPr>
      <w:r>
        <w:t xml:space="preserve">Based on the Boardy exchange, the research program now records an explicit standardization strategy:</w:t>
      </w:r>
    </w:p>
    <w:p>
      <w:pPr>
        <w:numPr>
          <w:ilvl w:val="0"/>
          <w:numId w:val="1103"/>
        </w:numPr>
        <w:pStyle w:val="Compact"/>
      </w:pPr>
      <w:r>
        <w:rPr>
          <w:bCs/>
          <w:b/>
        </w:rPr>
        <w:t xml:space="preserve">Article 1 (2026):</w:t>
      </w:r>
      <w:r>
        <w:t xml:space="preserve"> </w:t>
      </w:r>
      <w:r>
        <w:t xml:space="preserve">“</w:t>
      </w:r>
      <w:r>
        <w:t xml:space="preserve">KYA Standard: An Open Source Governance Framework for Agentic AI in EU-Regulated Industries</w:t>
      </w:r>
      <w:r>
        <w:t xml:space="preserve">”</w:t>
      </w:r>
      <w:r>
        <w:t xml:space="preserve"> </w:t>
      </w:r>
      <w:r>
        <w:t xml:space="preserve">— proposal track toward Agentic AI Foundation / Linux Foundation + conference submission.</w:t>
      </w:r>
    </w:p>
    <w:p>
      <w:pPr>
        <w:numPr>
          <w:ilvl w:val="0"/>
          <w:numId w:val="1103"/>
        </w:numPr>
        <w:pStyle w:val="Compact"/>
      </w:pPr>
      <w:r>
        <w:rPr>
          <w:bCs/>
          <w:b/>
        </w:rPr>
        <w:t xml:space="preserve">Article 2 (2027):</w:t>
      </w:r>
      <w:r>
        <w:t xml:space="preserve"> </w:t>
      </w:r>
      <w:r>
        <w:t xml:space="preserve">scalability of MCP + A2A architecture across regulated verticals (journal-targeted).</w:t>
      </w:r>
    </w:p>
    <w:p>
      <w:pPr>
        <w:numPr>
          <w:ilvl w:val="0"/>
          <w:numId w:val="1103"/>
        </w:numPr>
        <w:pStyle w:val="Compact"/>
      </w:pPr>
      <w:r>
        <w:rPr>
          <w:bCs/>
          <w:b/>
        </w:rPr>
        <w:t xml:space="preserve">Articles 3-4 (2028):</w:t>
      </w:r>
      <w:r>
        <w:t xml:space="preserve"> </w:t>
      </w:r>
      <w:r>
        <w:t xml:space="preserve">empirical findings from production/customer environments.</w:t>
      </w:r>
    </w:p>
    <w:p>
      <w:pPr>
        <w:numPr>
          <w:ilvl w:val="0"/>
          <w:numId w:val="1103"/>
        </w:numPr>
        <w:pStyle w:val="Compact"/>
      </w:pPr>
      <w:r>
        <w:rPr>
          <w:bCs/>
          <w:b/>
        </w:rPr>
        <w:t xml:space="preserve">Synthesis phase (2028-2029):</w:t>
      </w:r>
      <w:r>
        <w:t xml:space="preserve"> </w:t>
      </w:r>
      <w:r>
        <w:t xml:space="preserve">introductory thesis volume + dissertation compilation.</w:t>
      </w:r>
    </w:p>
    <w:p>
      <w:pPr>
        <w:pStyle w:val="FirstParagraph"/>
      </w:pPr>
      <w:r>
        <w:t xml:space="preserve">Status clarification (21.04.2026):</w:t>
      </w:r>
    </w:p>
    <w:p>
      <w:pPr>
        <w:numPr>
          <w:ilvl w:val="0"/>
          <w:numId w:val="1104"/>
        </w:numPr>
        <w:pStyle w:val="Compact"/>
      </w:pPr>
      <w:r>
        <w:t xml:space="preserve">KYA open-source proposal has not been sent yet.</w:t>
      </w:r>
    </w:p>
    <w:p>
      <w:pPr>
        <w:numPr>
          <w:ilvl w:val="0"/>
          <w:numId w:val="1104"/>
        </w:numPr>
        <w:pStyle w:val="Compact"/>
      </w:pPr>
      <w:r>
        <w:t xml:space="preserve">NIST submission has not been sent yet.</w:t>
      </w:r>
    </w:p>
    <w:p>
      <w:pPr>
        <w:numPr>
          <w:ilvl w:val="0"/>
          <w:numId w:val="1104"/>
        </w:numPr>
        <w:pStyle w:val="Compact"/>
      </w:pPr>
      <w:r>
        <w:t xml:space="preserve">Paths are complementary; this cycle prioritizes open-source adoption first.</w:t>
      </w:r>
    </w:p>
    <w:p>
      <w:pPr>
        <w:pStyle w:val="FirstParagraph"/>
      </w:pPr>
      <w:r>
        <w:t xml:space="preserve">Additionally, the EIC Step 1 package (5-page proposal, 10-slide deck, 3-minute video script) is documented as a commercialization-facing narrative layer that supports Article 1 positioning, without replacing the peer-reviewed publication pathway.</w:t>
      </w:r>
    </w:p>
    <w:p>
      <w:r>
        <w:pict>
          <v:rect style="width:0;height:1.5pt" o:hralign="center" o:hrstd="t" o:hr="t"/>
        </w:pict>
      </w:r>
    </w:p>
    <w:bookmarkEnd w:id="291"/>
    <w:bookmarkEnd w:id="292"/>
    <w:bookmarkStart w:id="300" w:name="Xfe7a1c1d11c0a784faf7b9667fd4c53a99cca0d"/>
    <w:p>
      <w:pPr>
        <w:pStyle w:val="Heading3"/>
      </w:pPr>
      <w:r>
        <w:t xml:space="preserve">10.22 DWS Skilled Taxonomy: Three Tiers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(§10.20.1);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w:t>
      </w:r>
    </w:p>
    <w:bookmarkStart w:id="293" w:name="motivation-4"/>
    <w:p>
      <w:pPr>
        <w:pStyle w:val="Heading4"/>
      </w:pPr>
      <w:r>
        <w:t xml:space="preserve">10.22.1 Motivation</w:t>
      </w:r>
    </w:p>
    <w:p>
      <w:pPr>
        <w:pStyle w:val="FirstParagraph"/>
      </w:pPr>
      <w:r>
        <w:t xml:space="preserve">The earlier</w:t>
      </w:r>
      <w:r>
        <w:t xml:space="preserve"> </w:t>
      </w:r>
      <w:r>
        <w:t xml:space="preserve">“</w:t>
      </w:r>
      <w:r>
        <w:t xml:space="preserve">GodAgent</w:t>
      </w:r>
      <w:r>
        <w:t xml:space="preserve">”</w:t>
      </w:r>
      <w:r>
        <w:t xml:space="preserve"> </w:t>
      </w:r>
      <w:r>
        <w:t xml:space="preserve">branding (introduced during the V3 platform build, see §10.13 and</w:t>
      </w:r>
      <w:r>
        <w:t xml:space="preserve"> </w:t>
      </w:r>
      <w:r>
        <w:rPr>
          <w:rStyle w:val="VerbatimChar"/>
        </w:rPr>
        <w:t xml:space="preserve">docs/Deputy-Agents-Architecture.md</w:t>
      </w:r>
      <w:r>
        <w:t xml:space="preserve">) conflated three distinct referents — a brand promise (capability acquired through skills), a technical specification (industry-scoped AI agent extending a base compliance layer), and a user-interface category (the enumerable list shown to buyers and operators). The conflation was tolerable during early-stage development but became a positioning liability once the Anthropic Skills paradigm (§10.20.1) validated</w:t>
      </w:r>
      <w:r>
        <w:t xml:space="preserve"> </w:t>
      </w:r>
      <w:r>
        <w:t xml:space="preserve">“</w:t>
      </w:r>
      <w:r>
        <w:t xml:space="preserve">skill-first</w:t>
      </w:r>
      <w:r>
        <w:t xml:space="preserve">”</w:t>
      </w:r>
      <w:r>
        <w:t xml:space="preserve"> </w:t>
      </w:r>
      <w:r>
        <w:t xml:space="preserve">as the industry-consensus architecture. A naming taxonomy is therefore introduced to replace the single</w:t>
      </w:r>
      <w:r>
        <w:t xml:space="preserve"> </w:t>
      </w:r>
      <w:r>
        <w:t xml:space="preserve">“</w:t>
      </w:r>
      <w:r>
        <w:t xml:space="preserve">GodAgent</w:t>
      </w:r>
      <w:r>
        <w:t xml:space="preserve">”</w:t>
      </w:r>
      <w:r>
        <w:t xml:space="preserve"> </w:t>
      </w:r>
      <w:r>
        <w:t xml:space="preserve">label with register-specific terms, and — more importantly — to generalise the pattern beyond agents to workflows and jurisdictions.</w:t>
      </w:r>
    </w:p>
    <w:bookmarkEnd w:id="293"/>
    <w:bookmarkStart w:id="294" w:name="three-tier-pattern"/>
    <w:p>
      <w:pPr>
        <w:pStyle w:val="Heading4"/>
      </w:pPr>
      <w:r>
        <w:t xml:space="preserve">10.22.2 Three-Tier Pattern</w:t>
      </w:r>
    </w:p>
    <w:p>
      <w:pPr>
        <w:pStyle w:val="FirstParagraph"/>
      </w:pPr>
      <w:r>
        <w:t xml:space="preserve">The taxonomy defines a single three-tier pattern applied to every capability axis where DWS offers depth:</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The three tiers separate marketing, documentation, and interface registers under a shared mental model. The three terms refer to the same underlying artefact at each axis; the register changes with the surface.</w:t>
      </w:r>
    </w:p>
    <w:bookmarkEnd w:id="294"/>
    <w:bookmarkStart w:id="295" w:name="three-active-axes-april-2026"/>
    <w:p>
      <w:pPr>
        <w:pStyle w:val="Heading4"/>
      </w:pPr>
      <w:r>
        <w:t xml:space="preserve">10.22.3 Three Active Axes (April 2026)</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Agents.</w:t>
      </w:r>
      <w:r>
        <w:t xml:space="preserve"> </w:t>
      </w:r>
      <w:r>
        <w:t xml:space="preserve">Industry-scoped AI agents that extend the base Athena EU-compliance layer with sector-specific knowledge (steel, cement, chemicals, construction, datacentres, and the 20+ industries documented in §10.6–10.8).</w:t>
      </w:r>
    </w:p>
    <w:p>
      <w:pPr>
        <w:pStyle w:val="BodyText"/>
      </w:pPr>
      <w:r>
        <w:rPr>
          <w:bCs/>
          <w:b/>
        </w:rPr>
        <w:t xml:space="preserve">Workflows.</w:t>
      </w:r>
      <w:r>
        <w:t xml:space="preserve"> </w:t>
      </w:r>
      <w:r>
        <w:t xml:space="preserve">Deterministic compositions of agents triggered by schedule or event — the skill invocation layer from §10.13.3.</w:t>
      </w:r>
      <w:r>
        <w:t xml:space="preserve"> </w:t>
      </w:r>
      <w:r>
        <w:t xml:space="preserve">“</w:t>
      </w:r>
      <w:r>
        <w:t xml:space="preserve">Autonomous</w:t>
      </w:r>
      <w:r>
        <w:t xml:space="preserve">”</w:t>
      </w:r>
      <w:r>
        <w:t xml:space="preserve"> </w:t>
      </w:r>
      <w:r>
        <w:t xml:space="preserve">is added to the brand tier because workflows execute without a human in the loop, whereas agents are invoked.</w:t>
      </w:r>
    </w:p>
    <w:p>
      <w:pPr>
        <w:pStyle w:val="BodyText"/>
      </w:pPr>
      <w:r>
        <w:rPr>
          <w:bCs/>
          <w:b/>
        </w:rPr>
        <w:t xml:space="preserve">Jurisdictions.</w:t>
      </w:r>
      <w:r>
        <w:t xml:space="preserve"> </w:t>
      </w:r>
      <w:r>
        <w:t xml:space="preserve">The regulatory surfaces the platform is skilled in — currently EU (AI Act, GDPR, CBAM, ETS, CSRD, ESRS, EPBD), with US and Aiven mapped on the data-residency architecture (see</w:t>
      </w:r>
      <w:r>
        <w:t xml:space="preserve"> </w:t>
      </w:r>
      <w:r>
        <w:rPr>
          <w:rStyle w:val="VerbatimChar"/>
        </w:rPr>
        <w:t xml:space="preserve">docs/CLOUD_ENVIRONMENTS.md</w:t>
      </w:r>
      <w:r>
        <w:t xml:space="preserve">). The spec tier adds</w:t>
      </w:r>
      <w:r>
        <w:t xml:space="preserve"> </w:t>
      </w:r>
      <w:r>
        <w:t xml:space="preserve">“</w:t>
      </w:r>
      <w:r>
        <w:t xml:space="preserve">Regulatory</w:t>
      </w:r>
      <w:r>
        <w:t xml:space="preserve">”</w:t>
      </w:r>
      <w:r>
        <w:t xml:space="preserve"> </w:t>
      </w:r>
      <w:r>
        <w:t xml:space="preserve">because a jurisdiction is defined by its regulatory surface, not its geography alone.</w:t>
      </w:r>
    </w:p>
    <w:bookmarkEnd w:id="295"/>
    <w:bookmarkStart w:id="296" w:name="extensibility"/>
    <w:p>
      <w:pPr>
        <w:pStyle w:val="Heading4"/>
      </w:pPr>
      <w:r>
        <w:t xml:space="preserve">10.22.4 Extensibility</w:t>
      </w:r>
    </w:p>
    <w:p>
      <w:pPr>
        <w:pStyle w:val="FirstParagraph"/>
      </w:pPr>
      <w:r>
        <w:t xml:space="preserve">When DWS adds a new capability axis (e.g., Datasets, Models, Regulations, Reports), it is named</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and added as a new column to the taxonomy table. Parallel brand words are disallowed; the pattern is deliberately monotone to prevent the register-conflation problem the earlier</w:t>
      </w:r>
      <w:r>
        <w:t xml:space="preserve"> </w:t>
      </w:r>
      <w:r>
        <w:t xml:space="preserve">“</w:t>
      </w:r>
      <w:r>
        <w:t xml:space="preserve">GodAgent</w:t>
      </w:r>
      <w:r>
        <w:t xml:space="preserve">”</w:t>
      </w:r>
      <w:r>
        <w:t xml:space="preserve"> </w:t>
      </w:r>
      <w:r>
        <w:t xml:space="preserve">label caused.</w:t>
      </w:r>
    </w:p>
    <w:bookmarkEnd w:id="296"/>
    <w:bookmarkStart w:id="297" w:name="count-dynamism"/>
    <w:p>
      <w:pPr>
        <w:pStyle w:val="Heading4"/>
      </w:pPr>
      <w:r>
        <w:t xml:space="preserve">10.22.5 Count Dynamism</w:t>
      </w:r>
    </w:p>
    <w:p>
      <w:pPr>
        <w:pStyle w:val="FirstParagraph"/>
      </w:pPr>
      <w:r>
        <w:t xml:space="preserve">The number of entries in each axis changes over time (e.g., the 22nd industry introduced via the Datacentre Compliance Agent, §10.20.3; the skill library expanding from 6 to 21 to 24+ between v3.31 and v3.34). Hard-coded counts in brand copy are therefore an anti-pattern. Three patterns are acceptable:</w:t>
      </w:r>
    </w:p>
    <w:p>
      <w:pPr>
        <w:numPr>
          <w:ilvl w:val="0"/>
          <w:numId w:val="1105"/>
        </w:numPr>
        <w:pStyle w:val="Compact"/>
      </w:pPr>
      <w:r>
        <w:rPr>
          <w:bCs/>
          <w:b/>
        </w:rPr>
        <w:t xml:space="preserve">Open-ended counts</w:t>
      </w:r>
      <w:r>
        <w:t xml:space="preserve"> </w:t>
      </w:r>
      <w:r>
        <w:t xml:space="preserve">in platform copy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the</w:t>
      </w:r>
      <w:r>
        <w:t xml:space="preserve"> </w:t>
      </w:r>
      <w:r>
        <w:rPr>
          <w:rStyle w:val="VerbatimChar"/>
        </w:rPr>
        <w:t xml:space="preserve">+</w:t>
      </w:r>
      <w:r>
        <w:t xml:space="preserve"> </w:t>
      </w:r>
      <w:r>
        <w:t xml:space="preserve">absorbs growth.</w:t>
      </w:r>
    </w:p>
    <w:p>
      <w:pPr>
        <w:numPr>
          <w:ilvl w:val="0"/>
          <w:numId w:val="1105"/>
        </w:numPr>
        <w:pStyle w:val="Compact"/>
      </w:pPr>
      <w:r>
        <w:rPr>
          <w:bCs/>
          <w:b/>
        </w:rPr>
        <w:t xml:space="preserve">Registry-anchored references</w:t>
      </w:r>
      <w:r>
        <w:t xml:space="preserve"> </w:t>
      </w:r>
      <w:r>
        <w:t xml:space="preserve">in documents —</w:t>
      </w:r>
      <w:r>
        <w:t xml:space="preserve"> </w:t>
      </w:r>
      <w:r>
        <w:t xml:space="preserve">“</w:t>
      </w:r>
      <w:r>
        <w:t xml:space="preserve">see the Industrial Specialist Agent registry in</w:t>
      </w:r>
      <w:r>
        <w:t xml:space="preserve"> </w:t>
      </w:r>
      <w:r>
        <w:rPr>
          <w:rStyle w:val="VerbatimChar"/>
        </w:rPr>
        <w:t xml:space="preserve">docs/Deputy-Agents-Architecture.md</w:t>
      </w:r>
      <w:r>
        <w:t xml:space="preserve"> </w:t>
      </w:r>
      <w:r>
        <w:t xml:space="preserve">§3</w:t>
      </w:r>
      <w:r>
        <w:t xml:space="preserve">”</w:t>
      </w:r>
      <w:r>
        <w:t xml:space="preserve">; no number in prose.</w:t>
      </w:r>
    </w:p>
    <w:p>
      <w:pPr>
        <w:numPr>
          <w:ilvl w:val="0"/>
          <w:numId w:val="1105"/>
        </w:numPr>
        <w:pStyle w:val="Compact"/>
      </w:pPr>
      <w:r>
        <w:rPr>
          <w:bCs/>
          <w:b/>
        </w:rPr>
        <w:t xml:space="preserve">Product-scoped counts</w:t>
      </w:r>
      <w:r>
        <w:t xml:space="preserve"> </w:t>
      </w:r>
      <w:r>
        <w:t xml:space="preserve">in SKU copy —</w:t>
      </w:r>
      <w:r>
        <w:t xml:space="preserve"> </w:t>
      </w:r>
      <w:r>
        <w:t xml:space="preserve">“</w:t>
      </w:r>
      <w:r>
        <w:t xml:space="preserve">Climate Intelligence ships with 8 Skilled Agents</w:t>
      </w:r>
      <w:r>
        <w:t xml:space="preserve">”</w:t>
      </w:r>
      <w:r>
        <w:t xml:space="preserve">; acceptable but treated as part of the SKU specification in</w:t>
      </w:r>
      <w:r>
        <w:t xml:space="preserve"> </w:t>
      </w:r>
      <w:r>
        <w:rPr>
          <w:rStyle w:val="VerbatimChar"/>
        </w:rPr>
        <w:t xml:space="preserve">products.json</w:t>
      </w:r>
      <w:r>
        <w:t xml:space="preserve">, not as free-floating copy.</w:t>
      </w:r>
    </w:p>
    <w:bookmarkEnd w:id="297"/>
    <w:bookmarkStart w:id="298" w:name="exclusions"/>
    <w:p>
      <w:pPr>
        <w:pStyle w:val="Heading4"/>
      </w:pPr>
      <w:r>
        <w:t xml:space="preserve">10.22.6 Exclusions</w:t>
      </w:r>
    </w:p>
    <w:p>
      <w:pPr>
        <w:pStyle w:val="FirstParagraph"/>
      </w:pPr>
      <w:r>
        <w:t xml:space="preserve">Three scopes are explicitly excluded from the rename:</w:t>
      </w:r>
    </w:p>
    <w:p>
      <w:pPr>
        <w:numPr>
          <w:ilvl w:val="0"/>
          <w:numId w:val="1106"/>
        </w:numPr>
        <w:pStyle w:val="Compact"/>
      </w:pPr>
      <w:r>
        <w:rPr>
          <w:bCs/>
          <w:b/>
        </w:rPr>
        <w:t xml:space="preserve">Docker and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iptables rules described in</w:t>
      </w:r>
      <w:r>
        <w:t xml:space="preserve"> </w:t>
      </w:r>
      <w:r>
        <w:rPr>
          <w:rStyle w:val="VerbatimChar"/>
        </w:rPr>
        <w:t xml:space="preserve">docs/Deputy-Agents-Architecture.md</w:t>
      </w:r>
      <w:r>
        <w:t xml:space="preserve"> </w:t>
      </w:r>
      <w:r>
        <w:t xml:space="preserve">§2.4–2.6) remain unchanged. Renaming these would require a coordinated infra migration, not a documentation change.</w:t>
      </w:r>
    </w:p>
    <w:p>
      <w:pPr>
        <w:numPr>
          <w:ilvl w:val="0"/>
          <w:numId w:val="1106"/>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(two words,</w:t>
      </w:r>
      <w:r>
        <w:t xml:space="preserve"> </w:t>
      </w:r>
      <w:r>
        <w:rPr>
          <w:rStyle w:val="VerbatimChar"/>
        </w:rPr>
        <w:t xml:space="preserve">onelifetime.world</w:t>
      </w:r>
      <w:r>
        <w:t xml:space="preserve"> </w:t>
      </w:r>
      <w:r>
        <w:t xml:space="preserve">Pantheon storyboard, Greek-mythology agent characters — Zeus, Athena, etc.) is a distinct brand identity (§10.13 Climate IQ Pantheon naming convention) and remains unchanged.</w:t>
      </w:r>
    </w:p>
    <w:p>
      <w:pPr>
        <w:numPr>
          <w:ilvl w:val="0"/>
          <w:numId w:val="1106"/>
        </w:numPr>
        <w:pStyle w:val="Compact"/>
      </w:pPr>
      <w:r>
        <w:rPr>
          <w:bCs/>
          <w:b/>
        </w:rPr>
        <w:t xml:space="preserve">Historical records</w:t>
      </w:r>
      <w:r>
        <w:t xml:space="preserve"> </w:t>
      </w:r>
      <w:r>
        <w:t xml:space="preserve">(field notes,</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dated project-cost folders) are point-in-time records and are not retroactively edited.</w:t>
      </w:r>
    </w:p>
    <w:bookmarkEnd w:id="298"/>
    <w:bookmarkStart w:id="299" w:name="research-contribution-12"/>
    <w:p>
      <w:pPr>
        <w:pStyle w:val="Heading4"/>
      </w:pPr>
      <w:r>
        <w:t xml:space="preserve">10.22.7 Research Contribution</w:t>
      </w:r>
    </w:p>
    <w:p>
      <w:pPr>
        <w:pStyle w:val="FirstParagraph"/>
      </w:pPr>
      <w:r>
        <w:t xml:space="preserve">The taxonomy is not merely a naming convention; it documents a design principle. Agentic product branding is multi-register, and a single label cannot serve brand, specification, and UI simultaneously without diluting each register. For EU-regulated industrial platforms — where audit-grade precision (spec register) and buyer-legible copy (brand register) must both survive compliance review, and where the nav-level category label is a buying decision made in seconds — a three-tier taxonomy decomposes a branding problem that Silicon Valley consumer platforms can evade with a single trade name. Extending the pattern across three orthogonal axes (agents, workflows, jurisdictions) demonstrates that the tiering generalises beyond the specific case of</w:t>
      </w:r>
      <w:r>
        <w:t xml:space="preserve"> </w:t>
      </w:r>
      <w:r>
        <w:t xml:space="preserve">“</w:t>
      </w:r>
      <w:r>
        <w:t xml:space="preserve">what we call our agents</w:t>
      </w:r>
      <w:r>
        <w:t xml:space="preserve">”</w:t>
      </w:r>
      <w:r>
        <w:t xml:space="preserve"> </w:t>
      </w:r>
      <w:r>
        <w:t xml:space="preserve">to any capability axis where DWS sells depth.</w:t>
      </w:r>
    </w:p>
    <w:p>
      <w:pPr>
        <w:pStyle w:val="BodyText"/>
      </w:pPr>
      <w:r>
        <w:rPr>
          <w:bCs/>
          <w:b/>
        </w:rPr>
        <w:t xml:space="preserve">Key Contribution #31 — Three-Tier Skilled Taxonomy for Regulated-Industry AI Platforms:</w:t>
      </w:r>
      <w:r>
        <w:t xml:space="preserve"> </w:t>
      </w:r>
      <w:r>
        <w:t xml:space="preserve">A brand / specification / UI taxonomy (Skilled / Industrial Specialist / Industry) is proposed as a design pattern for agent platforms that must simultaneously address brand, documentation, and interface audiences in EU-regulated industries. The pattern generalises across capability axes (agents, workflows, jurisdictions, and future axes) under a monotone</w:t>
      </w:r>
      <w:r>
        <w:t xml:space="preserve"> </w:t>
      </w:r>
      <w:r>
        <w:rPr>
          <w:rStyle w:val="VerbatimChar"/>
        </w:rPr>
        <w:t xml:space="preserve">Skilled &lt;Axis&gt;</w:t>
      </w:r>
      <w:r>
        <w:t xml:space="preserve"> </w:t>
      </w:r>
      <w:r>
        <w:t xml:space="preserve">pattern, avoiding the conflation that single-label conventions impose on platforms where each register is subject to different compliance constraints.</w:t>
      </w:r>
    </w:p>
    <w:p>
      <w:r>
        <w:pict>
          <v:rect style="width:0;height:1.5pt" o:hralign="center" o:hrstd="t" o:hr="t"/>
        </w:pict>
      </w:r>
    </w:p>
    <w:bookmarkEnd w:id="299"/>
    <w:bookmarkEnd w:id="300"/>
    <w:bookmarkStart w:id="308" w:name="Xe83162b5c540d5392c7c3cb92605c79fe18dc9a"/>
    <w:p>
      <w:pPr>
        <w:pStyle w:val="Heading3"/>
      </w:pPr>
      <w:r>
        <w:t xml:space="preserve">10.23 Three-Capital Accumulation Model: Token Capital, Human Capital, and Control Room Capital as Durable Assets of the DWS IQ 6 Operating Model</w:t>
      </w:r>
    </w:p>
    <w:bookmarkStart w:id="301" w:name="context-and-motivation"/>
    <w:p>
      <w:pPr>
        <w:pStyle w:val="Heading4"/>
      </w:pPr>
      <w:r>
        <w:t xml:space="preserve">10.23.1 Context and Motivation</w:t>
      </w:r>
    </w:p>
    <w:p>
      <w:pPr>
        <w:pStyle w:val="FirstParagraph"/>
      </w:pPr>
      <w:r>
        <w:t xml:space="preserve">The seven months from October 2025 through approximately May 2026 constituted the most intensive Human-in-the-Loop (HIL) phase of the DWS IQ 6 operating model. In June 2026, an observable phase transition occurred: the system reached a level of operational maturity where the operator’s primary role shifted from reviewing individual outputs to setting and maintaining the architectural policies that govern output generation. The gym returned to the daily schedule.</w:t>
      </w:r>
    </w:p>
    <w:p>
      <w:pPr>
        <w:pStyle w:val="BodyText"/>
      </w:pPr>
      <w:r>
        <w:t xml:space="preserve">This section documents the implementation evidence for what the PhD thesis (§14.25) frames theoretically as the three-capital accumulation model:</w:t>
      </w:r>
      <w:r>
        <w:t xml:space="preserve"> </w:t>
      </w:r>
      <w:r>
        <w:rPr>
          <w:bCs/>
          <w:b/>
        </w:rPr>
        <w:t xml:space="preserve">token capital</w:t>
      </w:r>
      <w:r>
        <w:t xml:space="preserve">,</w:t>
      </w:r>
      <w:r>
        <w:t xml:space="preserve"> </w:t>
      </w:r>
      <w:r>
        <w:rPr>
          <w:bCs/>
          <w:b/>
        </w:rPr>
        <w:t xml:space="preserve">human capital</w:t>
      </w:r>
      <w:r>
        <w:t xml:space="preserve">, and</w:t>
      </w:r>
      <w:r>
        <w:t xml:space="preserve"> </w:t>
      </w:r>
      <w:r>
        <w:rPr>
          <w:bCs/>
          <w:b/>
        </w:rPr>
        <w:t xml:space="preserve">Control Room capital</w:t>
      </w:r>
      <w:r>
        <w:t xml:space="preserve">. All three accumulated simultaneously during the HIL phase. This section covers the implementation facts; the market-signal framing (Satya Nadella’s Build 2026 vocabulary) and competitive analysis live in §14.25 per the §1.4 master-vs-PhD scope rule.</w:t>
      </w:r>
    </w:p>
    <w:bookmarkEnd w:id="301"/>
    <w:bookmarkStart w:id="302" w:name="X856be6b608e9493c830b859845254a22f7df7d2"/>
    <w:p>
      <w:pPr>
        <w:pStyle w:val="Heading4"/>
      </w:pPr>
      <w:r>
        <w:t xml:space="preserve">10.23.2 Token Capital — Measured Inventory (June 2026)</w:t>
      </w:r>
    </w:p>
    <w:p>
      <w:pPr>
        <w:pStyle w:val="FirstParagraph"/>
      </w:pPr>
      <w:r>
        <w:t xml:space="preserve">Token capital is the reusable organisational asset produced by sustained AI-assisted operations. It is not the token spend; it is the durable output that survives session boundaries and persists in codified form.</w:t>
      </w:r>
    </w:p>
    <w:p>
      <w:pPr>
        <w:pStyle w:val="BodyText"/>
      </w:pPr>
      <w:r>
        <w:rPr>
          <w:bCs/>
          <w:b/>
        </w:rPr>
        <w:t xml:space="preserve">Measured inventory as of June 2026:</w:t>
      </w:r>
    </w:p>
    <w:tbl>
      <w:tblPr>
        <w:tblStyle w:val="Table"/>
        <w:tblW w:type="pct" w:w="5000"/>
        <w:tblLook w:firstRow="1" w:lastRow="0" w:firstColumn="0" w:lastColumn="0" w:noHBand="0" w:noVBand="0" w:val="0020"/>
        <w:jc w:val="start"/>
      </w:tblPr>
      <w:tblGrid>
        <w:gridCol w:w="1803"/>
        <w:gridCol w:w="627"/>
        <w:gridCol w:w="2587"/>
        <w:gridCol w:w="2901"/>
      </w:tblGrid>
      <w:tr>
        <w:trPr>
          <w:tblHeader w:val="true"/>
        </w:trPr>
        <w:tc>
          <w:tcPr/>
          <w:p>
            <w:pPr>
              <w:pStyle w:val="Compact"/>
              <w:jc w:val="left"/>
            </w:pPr>
            <w:r>
              <w:t xml:space="preserve">Asset class</w:t>
            </w:r>
          </w:p>
        </w:tc>
        <w:tc>
          <w:tcPr/>
          <w:p>
            <w:pPr>
              <w:pStyle w:val="Compact"/>
              <w:jc w:val="left"/>
            </w:pPr>
            <w:r>
              <w:t xml:space="preserve">Count</w:t>
            </w:r>
          </w:p>
        </w:tc>
        <w:tc>
          <w:tcPr/>
          <w:p>
            <w:pPr>
              <w:pStyle w:val="Compact"/>
              <w:jc w:val="left"/>
            </w:pPr>
            <w:r>
              <w:t xml:space="preserve">Location</w:t>
            </w:r>
          </w:p>
        </w:tc>
        <w:tc>
          <w:tcPr/>
          <w:p>
            <w:pPr>
              <w:pStyle w:val="Compact"/>
              <w:jc w:val="left"/>
            </w:pPr>
            <w:r>
              <w:t xml:space="preserve">Reuse mechanism</w:t>
            </w:r>
          </w:p>
        </w:tc>
      </w:tr>
      <w:tr>
        <w:tc>
          <w:tcPr/>
          <w:p>
            <w:pPr>
              <w:pStyle w:val="Compact"/>
              <w:jc w:val="left"/>
            </w:pPr>
            <w:r>
              <w:t xml:space="preserve">Skill files</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Slash-invocable from any session</w:t>
            </w:r>
          </w:p>
        </w:tc>
      </w:tr>
      <w:tr>
        <w:tc>
          <w:tcPr/>
          <w:p>
            <w:pPr>
              <w:pStyle w:val="Compact"/>
              <w:jc w:val="left"/>
            </w:pPr>
            <w:r>
              <w:t xml:space="preserve">Field notes</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Searchable institutional memory</w:t>
            </w:r>
          </w:p>
        </w:tc>
      </w:tr>
      <w:tr>
        <w:tc>
          <w:tcPr/>
          <w:p>
            <w:pPr>
              <w:pStyle w:val="Compact"/>
              <w:jc w:val="left"/>
            </w:pPr>
            <w:r>
              <w:t xml:space="preserve">Agent configurations</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with Article 12 logging</w:t>
            </w:r>
          </w:p>
        </w:tc>
      </w:tr>
      <w:tr>
        <w:tc>
          <w:tcPr/>
          <w:p>
            <w:pPr>
              <w:pStyle w:val="Compact"/>
              <w:jc w:val="left"/>
            </w:pPr>
            <w:r>
              <w:t xml:space="preserve">Standards documents</w:t>
            </w:r>
          </w:p>
        </w:tc>
        <w:tc>
          <w:tcPr/>
          <w:p>
            <w:pPr>
              <w:pStyle w:val="Compact"/>
              <w:jc w:val="left"/>
            </w:pPr>
            <w:r>
              <w:t xml:space="preserve">10+</w:t>
            </w:r>
          </w:p>
        </w:tc>
        <w:tc>
          <w:tcPr/>
          <w:p>
            <w:pPr>
              <w:pStyle w:val="Compact"/>
              <w:jc w:val="left"/>
            </w:pPr>
            <w:r>
              <w:t xml:space="preserve">Root-level</w:t>
            </w:r>
            <w:r>
              <w:t xml:space="preserve"> </w:t>
            </w:r>
            <w:r>
              <w:rPr>
                <w:rStyle w:val="VerbatimChar"/>
              </w:rPr>
              <w:t xml:space="preserve">DWS_*.md</w:t>
            </w:r>
          </w:p>
        </w:tc>
        <w:tc>
          <w:tcPr/>
          <w:p>
            <w:pPr>
              <w:pStyle w:val="Compact"/>
              <w:jc w:val="left"/>
            </w:pPr>
            <w:r>
              <w:t xml:space="preserve">Routing table in CLAUDE.md</w:t>
            </w:r>
          </w:p>
        </w:tc>
      </w:tr>
      <w:tr>
        <w:tc>
          <w:tcPr/>
          <w:p>
            <w:pPr>
              <w:pStyle w:val="Compact"/>
              <w:jc w:val="left"/>
            </w:pPr>
            <w:r>
              <w:t xml:space="preserve">Validated hooks</w:t>
            </w:r>
          </w:p>
        </w:tc>
        <w:tc>
          <w:tcPr/>
          <w:p>
            <w:pPr>
              <w:pStyle w:val="Compact"/>
              <w:jc w:val="left"/>
            </w:pPr>
            <w:r>
              <w:t xml:space="preserve">Multiple</w:t>
            </w:r>
          </w:p>
        </w:tc>
        <w:tc>
          <w:tcPr/>
          <w:p>
            <w:pPr>
              <w:pStyle w:val="Compact"/>
              <w:jc w:val="left"/>
            </w:pPr>
            <w:r>
              <w:rPr>
                <w:rStyle w:val="VerbatimChar"/>
              </w:rPr>
              <w:t xml:space="preserve">.claude/hooks/</w:t>
            </w:r>
          </w:p>
        </w:tc>
        <w:tc>
          <w:tcPr/>
          <w:p>
            <w:pPr>
              <w:pStyle w:val="Compact"/>
              <w:jc w:val="left"/>
            </w:pPr>
            <w:r>
              <w:t xml:space="preserve">Session-start, pre-commit, audit</w:t>
            </w:r>
          </w:p>
        </w:tc>
      </w:tr>
      <w:tr>
        <w:tc>
          <w:tcPr/>
          <w:p>
            <w:pPr>
              <w:pStyle w:val="Compact"/>
              <w:jc w:val="left"/>
            </w:pPr>
            <w:r>
              <w:t xml:space="preserve">Cron/automation entries</w:t>
            </w:r>
          </w:p>
        </w:tc>
        <w:tc>
          <w:tcPr/>
          <w:p>
            <w:pPr>
              <w:pStyle w:val="Compact"/>
              <w:jc w:val="left"/>
            </w:pPr>
            <w:r>
              <w:t xml:space="preserve">Multiple</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Scheduler-registered, runs unattended</w:t>
            </w:r>
          </w:p>
        </w:tc>
      </w:tr>
    </w:tbl>
    <w:p>
      <w:pPr>
        <w:pStyle w:val="BodyText"/>
      </w:pPr>
      <w:r>
        <w:t xml:space="preserve">The CLAUDE.md rule</w:t>
      </w:r>
      <w:r>
        <w:t xml:space="preserve"> </w:t>
      </w:r>
      <w:r>
        <w:t xml:space="preserve">“</w:t>
      </w:r>
      <w:r>
        <w:t xml:space="preserve">Asked Twice = Failure</w:t>
      </w:r>
      <w:r>
        <w:t xml:space="preserve">”</w:t>
      </w:r>
      <w:r>
        <w:t xml:space="preserve"> </w:t>
      </w:r>
      <w:r>
        <w:t xml:space="preserve">operationalises the accumulation mechanism: each manually-completed judgment that closes a skill loop removes that decision permanently from the operator’s recurring attention. The skills corpus is the primary measurable output of this ratchet.</w:t>
      </w:r>
    </w:p>
    <w:p>
      <w:pPr>
        <w:pStyle w:val="BodyText"/>
      </w:pPr>
      <w:r>
        <w:rPr>
          <w:bCs/>
          <w:b/>
        </w:rPr>
        <w:t xml:space="preserve">Key implementation pattern:</w:t>
      </w:r>
      <w:r>
        <w:t xml:space="preserve"> </w:t>
      </w:r>
      <w:r>
        <w:t xml:space="preserve">Skills are parameterised procedures, not domain scripts. A skill describes the process (</w:t>
      </w:r>
      <w:r>
        <w:rPr>
          <w:rStyle w:val="VerbatimChar"/>
        </w:rPr>
        <w:t xml:space="preserve">/compliance-check INDUSTRY=steel</w:t>
      </w:r>
      <w:r>
        <w:t xml:space="preserve">); the invocation supplies the context. This is what distinguishes token capital from stored conversation history — it is executable, not archival.</w:t>
      </w:r>
    </w:p>
    <w:bookmarkEnd w:id="302"/>
    <w:bookmarkStart w:id="303" w:name="X0b326ce0267766d71ab85b7fa1670509d70276c"/>
    <w:p>
      <w:pPr>
        <w:pStyle w:val="Heading4"/>
      </w:pPr>
      <w:r>
        <w:t xml:space="preserve">10.23.3 Human Capital — The HIL Phase as a Training Programme</w:t>
      </w:r>
    </w:p>
    <w:p>
      <w:pPr>
        <w:pStyle w:val="FirstParagraph"/>
      </w:pPr>
      <w:r>
        <w:t xml:space="preserve">The seven-month HIL phase functioned, in retrospect, as an intensive and domain-specific training programme. The operator was not replaced; the operator’s expertise profile changed substantially.</w:t>
      </w:r>
    </w:p>
    <w:p>
      <w:pPr>
        <w:pStyle w:val="BodyText"/>
      </w:pPr>
      <w:r>
        <w:rPr>
          <w:bCs/>
          <w:b/>
        </w:rPr>
        <w:t xml:space="preserve">Capabilities deepened during the HIL phase:</w:t>
      </w:r>
    </w:p>
    <w:p>
      <w:pPr>
        <w:numPr>
          <w:ilvl w:val="0"/>
          <w:numId w:val="1107"/>
        </w:numPr>
        <w:pStyle w:val="Compact"/>
      </w:pPr>
      <w:r>
        <w:rPr>
          <w:bCs/>
          <w:b/>
        </w:rPr>
        <w:t xml:space="preserve">Agent output pattern recognition</w:t>
      </w:r>
      <w:r>
        <w:t xml:space="preserve"> </w:t>
      </w:r>
      <w:r>
        <w:t xml:space="preserve">— ability to identify failure signatures (hallucination type, scope creep, standard routing errors) from the first paragraph of output without full review</w:t>
      </w:r>
    </w:p>
    <w:p>
      <w:pPr>
        <w:numPr>
          <w:ilvl w:val="0"/>
          <w:numId w:val="1107"/>
        </w:numPr>
        <w:pStyle w:val="Compact"/>
      </w:pPr>
      <w:r>
        <w:rPr>
          <w:bCs/>
          <w:b/>
        </w:rPr>
        <w:t xml:space="preserve">Prompt calibration intuition</w:t>
      </w:r>
      <w:r>
        <w:t xml:space="preserve"> </w:t>
      </w:r>
      <w:r>
        <w:t xml:space="preserve">— ability to diagnose system-prompt underspecification from output signature, rather than through trial-and-error iteration</w:t>
      </w:r>
    </w:p>
    <w:p>
      <w:pPr>
        <w:numPr>
          <w:ilvl w:val="0"/>
          <w:numId w:val="1107"/>
        </w:numPr>
        <w:pStyle w:val="Compact"/>
      </w:pPr>
      <w:r>
        <w:rPr>
          <w:bCs/>
          <w:b/>
        </w:rPr>
        <w:t xml:space="preserve">Architectural judgment on delegation</w:t>
      </w:r>
      <w:r>
        <w:t xml:space="preserve"> </w:t>
      </w:r>
      <w:r>
        <w:t xml:space="preserve">— ability to set evidence-based thresholds for which agent actions require review versus which can be trusted to run unattended</w:t>
      </w:r>
    </w:p>
    <w:p>
      <w:pPr>
        <w:numPr>
          <w:ilvl w:val="0"/>
          <w:numId w:val="1107"/>
        </w:numPr>
        <w:pStyle w:val="Compact"/>
      </w:pPr>
      <w:r>
        <w:rPr>
          <w:bCs/>
          <w:b/>
        </w:rPr>
        <w:t xml:space="preserve">Failure mode literacy</w:t>
      </w:r>
      <w:r>
        <w:t xml:space="preserve"> </w:t>
      </w:r>
      <w:r>
        <w:t xml:space="preserve">— domain-specific knowledge of which tasks carry which failure modes, enabling targeted review rather than uniform review</w:t>
      </w:r>
    </w:p>
    <w:p>
      <w:pPr>
        <w:numPr>
          <w:ilvl w:val="0"/>
          <w:numId w:val="1107"/>
        </w:numPr>
        <w:pStyle w:val="Compact"/>
      </w:pPr>
      <w:r>
        <w:rPr>
          <w:bCs/>
          <w:b/>
        </w:rPr>
        <w:t xml:space="preserve">Skills taxonomy fluency</w:t>
      </w:r>
      <w:r>
        <w:t xml:space="preserve"> </w:t>
      </w:r>
      <w:r>
        <w:t xml:space="preserve">— the ability to recognise, in real time, when a judgment task is recurring and therefore should be codified rather than repeated</w:t>
      </w:r>
    </w:p>
    <w:p>
      <w:pPr>
        <w:pStyle w:val="FirstParagraph"/>
      </w:pPr>
      <w:r>
        <w:t xml:space="preserve">This expertise is tacit and embodied. It cannot be replicated by hiring someone who did not participate in the HIL phase. It is human capital in the strict sense: it is attached to the operator, compounds through application, and does not depreciate with tool changes.</w:t>
      </w:r>
    </w:p>
    <w:bookmarkEnd w:id="303"/>
    <w:bookmarkStart w:id="304" w:name="X0584e3b7d4fc413be36ff9b26715f5e8fb020b2"/>
    <w:p>
      <w:pPr>
        <w:pStyle w:val="Heading4"/>
      </w:pPr>
      <w:r>
        <w:t xml:space="preserve">10.23.4 Control Room Capital — Deployed Infrastructure (June 2026)</w:t>
      </w:r>
    </w:p>
    <w:p>
      <w:pPr>
        <w:pStyle w:val="FirstParagraph"/>
      </w:pPr>
      <w:r>
        <w:t xml:space="preserve">The DWS Control Room architecture (as defined in</w:t>
      </w:r>
      <w:r>
        <w:t xml:space="preserve"> </w:t>
      </w:r>
      <w:r>
        <w:rPr>
          <w:rStyle w:val="VerbatimChar"/>
        </w:rPr>
        <w:t xml:space="preserve">docs/Lyhenteet.md</w:t>
      </w:r>
      <w:r>
        <w:t xml:space="preserve"> </w:t>
      </w:r>
      <w:r>
        <w:t xml:space="preserve">and</w:t>
      </w:r>
      <w:r>
        <w:t xml:space="preserve"> </w:t>
      </w:r>
      <w:r>
        <w:rPr>
          <w:rStyle w:val="VerbatimChar"/>
        </w:rPr>
        <w:t xml:space="preserve">docs/Deputy-Agents-Architecture.md §9</w:t>
      </w:r>
      <w:r>
        <w:t xml:space="preserve">) is the edge layer of the hybrid architecture:</w:t>
      </w:r>
    </w:p>
    <w:p>
      <w:pPr>
        <w:numPr>
          <w:ilvl w:val="0"/>
          <w:numId w:val="1108"/>
        </w:numPr>
        <w:pStyle w:val="Compact"/>
      </w:pPr>
      <w:r>
        <w:rPr>
          <w:bCs/>
          <w:b/>
        </w:rPr>
        <w:t xml:space="preserve">Control Room</w:t>
      </w:r>
      <w:r>
        <w:t xml:space="preserve"> </w:t>
      </w:r>
      <w:r>
        <w:t xml:space="preserve">— edge layer, real-time observations, HIL approval gates, interrupt/override, Article 12 audit trail, target latency &lt; 100 ms</w:t>
      </w:r>
    </w:p>
    <w:p>
      <w:pPr>
        <w:numPr>
          <w:ilvl w:val="0"/>
          <w:numId w:val="1108"/>
        </w:numPr>
        <w:pStyle w:val="Compact"/>
      </w:pPr>
      <w:r>
        <w:rPr>
          <w:bCs/>
          <w:b/>
        </w:rPr>
        <w:t xml:space="preserve">Situation Room</w:t>
      </w:r>
      <w:r>
        <w:t xml:space="preserve"> </w:t>
      </w:r>
      <w:r>
        <w:t xml:space="preserve">— cloud layer, strategic aggregation, deep analytics, ERP/BIM/IoT integration, compliance reporting</w:t>
      </w:r>
    </w:p>
    <w:p>
      <w:pPr>
        <w:pStyle w:val="FirstParagraph"/>
      </w:pPr>
      <w:r>
        <w:rPr>
          <w:bCs/>
          <w:b/>
        </w:rPr>
        <w:t xml:space="preserve">Control Room Capital accumulated during the HIL phase:</w:t>
      </w:r>
    </w:p>
    <w:tbl>
      <w:tblPr>
        <w:tblStyle w:val="Table"/>
        <w:tblW w:type="pct" w:w="5000"/>
        <w:tblLook w:firstRow="1" w:lastRow="0" w:firstColumn="0" w:lastColumn="0" w:noHBand="0" w:noVBand="0" w:val="0020"/>
        <w:jc w:val="start"/>
      </w:tblPr>
      <w:tblGrid>
        <w:gridCol w:w="2383"/>
        <w:gridCol w:w="1691"/>
        <w:gridCol w:w="3844"/>
      </w:tblGrid>
      <w:tr>
        <w:trPr>
          <w:tblHeader w:val="true"/>
        </w:trPr>
        <w:tc>
          <w:tcPr/>
          <w:p>
            <w:pPr>
              <w:pStyle w:val="Compact"/>
              <w:jc w:val="left"/>
            </w:pPr>
            <w:r>
              <w:t xml:space="preserve">Asset</w:t>
            </w:r>
          </w:p>
        </w:tc>
        <w:tc>
          <w:tcPr/>
          <w:p>
            <w:pPr>
              <w:pStyle w:val="Compact"/>
              <w:jc w:val="left"/>
            </w:pPr>
            <w:r>
              <w:t xml:space="preserve">Status (June 2026)</w:t>
            </w:r>
          </w:p>
        </w:tc>
        <w:tc>
          <w:tcPr/>
          <w:p>
            <w:pPr>
              <w:pStyle w:val="Compact"/>
              <w:jc w:val="left"/>
            </w:pPr>
            <w:r>
              <w:t xml:space="preserve">Evidence</w:t>
            </w:r>
          </w:p>
        </w:tc>
      </w:tr>
      <w:tr>
        <w:tc>
          <w:tcPr/>
          <w:p>
            <w:pPr>
              <w:pStyle w:val="Compact"/>
              <w:jc w:val="left"/>
            </w:pPr>
            <w:r>
              <w:t xml:space="preserve">Edge compute nodes</w:t>
            </w:r>
          </w:p>
        </w:tc>
        <w:tc>
          <w:tcPr/>
          <w:p>
            <w:pPr>
              <w:pStyle w:val="Compact"/>
              <w:jc w:val="left"/>
            </w:pPr>
            <w:r>
              <w:t xml:space="preserve">Deployed</w:t>
            </w:r>
          </w:p>
        </w:tc>
        <w:tc>
          <w:tcPr/>
          <w:p>
            <w:pPr>
              <w:pStyle w:val="Compact"/>
              <w:jc w:val="left"/>
            </w:pPr>
            <w:r>
              <w:t xml:space="preserve">Acer Veriton GN100, DGX Spark, NVIDIA Jetson tiers</w:t>
            </w:r>
          </w:p>
        </w:tc>
      </w:tr>
      <w:tr>
        <w:tc>
          <w:tcPr/>
          <w:p>
            <w:pPr>
              <w:pStyle w:val="Compact"/>
              <w:jc w:val="left"/>
            </w:pPr>
            <w:r>
              <w:t xml:space="preserve">Classification thresholds</w:t>
            </w:r>
          </w:p>
        </w:tc>
        <w:tc>
          <w:tcPr/>
          <w:p>
            <w:pPr>
              <w:pStyle w:val="Compact"/>
              <w:jc w:val="left"/>
            </w:pPr>
            <w:r>
              <w:t xml:space="preserve">Empirically calibrated</w:t>
            </w:r>
          </w:p>
        </w:tc>
        <w:tc>
          <w:tcPr/>
          <w:p>
            <w:pPr>
              <w:pStyle w:val="Compact"/>
              <w:jc w:val="left"/>
            </w:pPr>
            <w:r>
              <w:t xml:space="preserve">Field notes: 2026-03-01, 2026-03-13, 2026-03-29</w:t>
            </w:r>
          </w:p>
        </w:tc>
      </w:tr>
      <w:tr>
        <w:tc>
          <w:tcPr/>
          <w:p>
            <w:pPr>
              <w:pStyle w:val="Compact"/>
              <w:jc w:val="left"/>
            </w:pPr>
            <w:r>
              <w:t xml:space="preserve">HIL approval gate configuration</w:t>
            </w:r>
          </w:p>
        </w:tc>
        <w:tc>
          <w:tcPr/>
          <w:p>
            <w:pPr>
              <w:pStyle w:val="Compact"/>
              <w:jc w:val="left"/>
            </w:pPr>
            <w:r>
              <w:t xml:space="preserve">Tested in production</w:t>
            </w:r>
          </w:p>
        </w:tc>
        <w:tc>
          <w:tcPr/>
          <w:p>
            <w:pPr>
              <w:pStyle w:val="Compact"/>
              <w:jc w:val="left"/>
            </w:pPr>
            <w:r>
              <w:t xml:space="preserve">CLAUDE.md auto-mode hooks, hook audit logs</w:t>
            </w:r>
          </w:p>
        </w:tc>
      </w:tr>
      <w:tr>
        <w:tc>
          <w:tcPr/>
          <w:p>
            <w:pPr>
              <w:pStyle w:val="Compact"/>
              <w:jc w:val="left"/>
            </w:pPr>
            <w:r>
              <w:t xml:space="preserve">Article 12 audit trail</w:t>
            </w:r>
          </w:p>
        </w:tc>
        <w:tc>
          <w:tcPr/>
          <w:p>
            <w:pPr>
              <w:pStyle w:val="Compact"/>
              <w:jc w:val="left"/>
            </w:pPr>
            <w:r>
              <w:t xml:space="preserve">Populated</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table</w:t>
            </w:r>
          </w:p>
        </w:tc>
      </w:tr>
      <w:tr>
        <w:tc>
          <w:tcPr/>
          <w:p>
            <w:pPr>
              <w:pStyle w:val="Compact"/>
              <w:jc w:val="left"/>
            </w:pPr>
            <w:r>
              <w:t xml:space="preserve">Exception-pattern library</w:t>
            </w:r>
          </w:p>
        </w:tc>
        <w:tc>
          <w:tcPr/>
          <w:p>
            <w:pPr>
              <w:pStyle w:val="Compact"/>
              <w:jc w:val="left"/>
            </w:pPr>
            <w:r>
              <w:t xml:space="preserve">Documented</w:t>
            </w:r>
          </w:p>
        </w:tc>
        <w:tc>
          <w:tcPr/>
          <w:p>
            <w:pPr>
              <w:pStyle w:val="Compact"/>
              <w:jc w:val="left"/>
            </w:pPr>
            <w:r>
              <w:t xml:space="preserve">Field note corpus,</w:t>
            </w:r>
            <w:r>
              <w:t xml:space="preserve"> </w:t>
            </w:r>
            <w:r>
              <w:rPr>
                <w:rStyle w:val="VerbatimChar"/>
              </w:rPr>
              <w:t xml:space="preserve">.claude/hooks/README.md</w:t>
            </w:r>
          </w:p>
        </w:tc>
      </w:tr>
      <w:tr>
        <w:tc>
          <w:tcPr/>
          <w:p>
            <w:pPr>
              <w:pStyle w:val="Compact"/>
              <w:jc w:val="left"/>
            </w:pPr>
            <w:r>
              <w:t xml:space="preserve">Multi-provider routing</w:t>
            </w:r>
          </w:p>
        </w:tc>
        <w:tc>
          <w:tcPr/>
          <w:p>
            <w:pPr>
              <w:pStyle w:val="Compact"/>
              <w:jc w:val="left"/>
            </w:pPr>
            <w:r>
              <w:t xml:space="preserve">Validated</w:t>
            </w:r>
          </w:p>
        </w:tc>
        <w:tc>
          <w:tcPr/>
          <w:p>
            <w:pPr>
              <w:pStyle w:val="Compact"/>
              <w:jc w:val="left"/>
            </w:pPr>
            <w:r>
              <w:t xml:space="preserve">Groq / Baseten / OpenAI / Scaleway / DGX Spark</w:t>
            </w:r>
          </w:p>
        </w:tc>
      </w:tr>
    </w:tbl>
    <w:p>
      <w:pPr>
        <w:pStyle w:val="BodyText"/>
      </w:pPr>
      <w:r>
        <w:t xml:space="preserve">The distinction between Control Room capital and Control Room infrastructure: the infrastructure is the hardware and software (capex + opex). The capital is the calibrated operational knowledge embedded in that infrastructure — thresholds that have been empirically validated under production load, failure modes that have been observed and documented, HIL gates that have been tested for false-positive rate. This cannot be reproduced from documentation alone; it requires the operational history.</w:t>
      </w:r>
    </w:p>
    <w:bookmarkEnd w:id="304"/>
    <w:bookmarkStart w:id="305" w:name="X94c4b43006fd9a238020347a48f6c99f834f216"/>
    <w:p>
      <w:pPr>
        <w:pStyle w:val="Heading4"/>
      </w:pPr>
      <w:r>
        <w:t xml:space="preserve">10.23.5 The HIL → HIC Transition as an Engineering Milestone</w:t>
      </w:r>
    </w:p>
    <w:p>
      <w:pPr>
        <w:pStyle w:val="FirstParagraph"/>
      </w:pPr>
      <w:r>
        <w:t xml:space="preserve">The HIL → HIC transition is not a product management decision. It has specific engineering preconditions that can be verified:</w:t>
      </w:r>
    </w:p>
    <w:p>
      <w:pPr>
        <w:numPr>
          <w:ilvl w:val="0"/>
          <w:numId w:val="1109"/>
        </w:numPr>
      </w:pPr>
      <w:r>
        <w:rPr>
          <w:bCs/>
          <w:b/>
        </w:rPr>
        <w:t xml:space="preserve">Token capital threshold:</w:t>
      </w:r>
      <w:r>
        <w:t xml:space="preserve"> </w:t>
      </w:r>
      <w:r>
        <w:t xml:space="preserve">The skills corpus is sufficient that the majority of recurring judgment tasks are handled by skills without operator intervention. Measurable: ratio of skill-invoked decisions to ad-hoc decisions per week.</w:t>
      </w:r>
    </w:p>
    <w:p>
      <w:pPr>
        <w:numPr>
          <w:ilvl w:val="0"/>
          <w:numId w:val="1109"/>
        </w:numPr>
      </w:pPr>
      <w:r>
        <w:rPr>
          <w:bCs/>
          <w:b/>
        </w:rPr>
        <w:t xml:space="preserve">Human capital threshold:</w:t>
      </w:r>
      <w:r>
        <w:t xml:space="preserve"> </w:t>
      </w:r>
      <w:r>
        <w:t xml:space="preserve">The operator can identify failure signatures at the signature level — i.e., before a full review of the output. Measurable: average time-to-diagnosis for known failure modes.</w:t>
      </w:r>
    </w:p>
    <w:p>
      <w:pPr>
        <w:numPr>
          <w:ilvl w:val="0"/>
          <w:numId w:val="1109"/>
        </w:numPr>
      </w:pPr>
      <w:r>
        <w:rPr>
          <w:bCs/>
          <w:b/>
        </w:rPr>
        <w:t xml:space="preserve">Control Room capital threshold:</w:t>
      </w:r>
      <w:r>
        <w:t xml:space="preserve"> </w:t>
      </w:r>
      <w:r>
        <w:t xml:space="preserve">The automated system can be trusted to hold the production load for a working day without per-output review. Measurable: number of unreviewed automated decisions per day that required no subsequent correction.</w:t>
      </w:r>
    </w:p>
    <w:p>
      <w:pPr>
        <w:pStyle w:val="FirstParagraph"/>
      </w:pPr>
      <w:r>
        <w:t xml:space="preserve">The June 2026 observation — the gym returning to the schedule — is the operational manifestation of all three thresholds being crossed simultaneously across the majority of domains in the DWS IQ 6 system.</w:t>
      </w:r>
    </w:p>
    <w:p>
      <w:pPr>
        <w:pStyle w:val="BodyText"/>
      </w:pPr>
      <w:r>
        <w:rPr>
          <w:bCs/>
          <w:b/>
        </w:rPr>
        <w:t xml:space="preserve">Domains still in HIL (June 2026):</w:t>
      </w:r>
      <w:r>
        <w:t xml:space="preserve"> </w:t>
      </w:r>
      <w:r>
        <w:t xml:space="preserve">Security posture changes, supabase migration authoring, and any agent output touching financial or legal fields (consistent with the Varsavsky review-queue principle documented in</w:t>
      </w:r>
      <w:r>
        <w:t xml:space="preserve"> </w:t>
      </w:r>
      <w:r>
        <w:rPr>
          <w:rStyle w:val="VerbatimChar"/>
        </w:rPr>
        <w:t xml:space="preserve">docs/field-notes/2026-05-08-varsavsky-agent-accountability-intelligence-cheap.md</w:t>
      </w:r>
      <w:r>
        <w:t xml:space="preserve">).</w:t>
      </w:r>
    </w:p>
    <w:bookmarkEnd w:id="305"/>
    <w:bookmarkStart w:id="306" w:name="research-contribution-13"/>
    <w:p>
      <w:pPr>
        <w:pStyle w:val="Heading4"/>
      </w:pPr>
      <w:r>
        <w:t xml:space="preserve">10.23.6 Research Contribution</w:t>
      </w:r>
    </w:p>
    <w:p>
      <w:pPr>
        <w:pStyle w:val="FirstParagraph"/>
      </w:pPr>
      <w:r>
        <w:t xml:space="preserve">The three-capital model (since superseded by the 4P Capital Classes), grounded in seven months of production HIL operations, provides three implementation-level contributions:</w:t>
      </w:r>
    </w:p>
    <w:p>
      <w:pPr>
        <w:numPr>
          <w:ilvl w:val="0"/>
          <w:numId w:val="1110"/>
        </w:numPr>
      </w:pPr>
      <w:r>
        <w:rPr>
          <w:bCs/>
          <w:b/>
        </w:rPr>
        <w:t xml:space="preserve">A measurable definition of the HIL → HIC transition</w:t>
      </w:r>
      <w:r>
        <w:t xml:space="preserve"> </w:t>
      </w:r>
      <w:r>
        <w:t xml:space="preserve">— specific per-domain preconditions (token capital threshold, human capital threshold, Control Room capital threshold) that can be instrumented and tracked, giving the transition an engineering definition rather than a management intuition.</w:t>
      </w:r>
    </w:p>
    <w:p>
      <w:pPr>
        <w:numPr>
          <w:ilvl w:val="0"/>
          <w:numId w:val="1110"/>
        </w:numPr>
      </w:pPr>
      <w:r>
        <w:rPr>
          <w:bCs/>
          <w:b/>
        </w:rPr>
        <w:t xml:space="preserve">A skills corpus as the primary KPI of agentic operating-model maturity</w:t>
      </w:r>
      <w:r>
        <w:t xml:space="preserve"> </w:t>
      </w:r>
      <w:r>
        <w:t xml:space="preserve">— the size, coverage, and invocation rate of the</w:t>
      </w:r>
      <w:r>
        <w:t xml:space="preserve"> </w:t>
      </w:r>
      <w:r>
        <w:rPr>
          <w:rStyle w:val="VerbatimChar"/>
        </w:rPr>
        <w:t xml:space="preserve">skills/</w:t>
      </w:r>
      <w:r>
        <w:t xml:space="preserve"> </w:t>
      </w:r>
      <w:r>
        <w:t xml:space="preserve">corpus is a more operationally meaningful maturity indicator than agent headcount, model capability, or token spend.</w:t>
      </w:r>
    </w:p>
    <w:p>
      <w:pPr>
        <w:numPr>
          <w:ilvl w:val="0"/>
          <w:numId w:val="1110"/>
        </w:numPr>
      </w:pPr>
      <w:r>
        <w:rPr>
          <w:bCs/>
          <w:b/>
        </w:rPr>
        <w:t xml:space="preserve">The HIL phase as a planned capital formation programme</w:t>
      </w:r>
      <w:r>
        <w:t xml:space="preserve"> </w:t>
      </w:r>
      <w:r>
        <w:t xml:space="preserve">— reframing the seven-month HIL phase from a cost to an investment in three simultaneous capital forms changes how the phase should be resourced, measured, and communicated to stakeholders.</w:t>
      </w:r>
    </w:p>
    <w:p>
      <w:pPr>
        <w:pStyle w:val="FirstParagraph"/>
      </w:pPr>
      <w:r>
        <w:rPr>
          <w:bCs/>
          <w:b/>
        </w:rPr>
        <w:t xml:space="preserve">Key Contribution #32 — Three-Capital Accumulation Model: Implementation Evidence from Seven Months of Production HIL Operations:</w:t>
      </w:r>
      <w:r>
        <w:t xml:space="preserve"> </w:t>
      </w:r>
      <w:r>
        <w:t xml:space="preserve">The DWS IQ 6 production record (October 2025 – June 2026) provides the first empirical, multi-month implementation evidence for the theoretical three-capital model developed in §14.25 and since superseded by the 4P Capital Classes. The token capital inventory (30+ skills, 150+ field notes, 50-agent foundry with Article 12 logging), the documented human capital deepening (pattern recognition, prompt calibration intuition, architectural judgment, failure mode literacy), and the Control Room capital (calibrated thresholds, validated HIL gates, populated Article 12 audit trail, tested multi-provider routing) together constitute a measurable baseline for what a production agentic operating model accumulates over a seven-month HIL phase. The contribution provides: (a) a set of per-capital measurable indicators that operationalise the theoretical model; (b) an engineering definition of the HIL → HIC transition with domain-specific preconditions; (c) the skills corpus as the primary KPI of agentic operating-model maturity. This contribution is positioned at the implementation horizon (current product scope) and is empirically grounded — the June 2026 transition event is a documented operational observable, not a projected milestone.</w:t>
      </w:r>
    </w:p>
    <w:p>
      <w:r>
        <w:pict>
          <v:rect style="width:0;height:1.5pt" o:hralign="center" o:hrstd="t" o:hr="t"/>
        </w:pict>
      </w:r>
    </w:p>
    <w:bookmarkEnd w:id="306"/>
    <w:bookmarkStart w:id="307" w:name="Xb7a89fe7de2b858f173b025ff8d5f6136b5a00b"/>
    <w:p>
      <w:pPr>
        <w:pStyle w:val="Heading4"/>
      </w:pPr>
      <w:r>
        <w:t xml:space="preserve">10.23.7 Mapping the Four Capital Classes to the Architecture</w:t>
      </w:r>
    </w:p>
    <w:p>
      <w:pPr>
        <w:pStyle w:val="FirstParagraph"/>
      </w:pPr>
      <w:r>
        <w:t xml:space="preserve">§14.26 in the PhD thesis (PHD_FIREHORSE_EN.md) formalised the 4P Capital Classes as the canonical extension of the §14.25 three-capital model: Prompt (formerly Token), People (formerly Human), Plant (formerly Control Room), and Perception (new — the governed world-model and closed control loop). This section maps each of the four classes to the DWS IQ 6 architecture components documented elsewhere in this master’s thesis.</w:t>
      </w:r>
    </w:p>
    <w:p>
      <w:pPr>
        <w:pStyle w:val="BodyText"/>
      </w:pPr>
      <w:r>
        <w:rPr>
          <w:bCs/>
          <w:b/>
        </w:rPr>
        <w:t xml:space="preserve">Architecture mapping table:</w:t>
      </w:r>
    </w:p>
    <w:tbl>
      <w:tblPr>
        <w:tblStyle w:val="Table"/>
        <w:tblW w:type="pct" w:w="5000"/>
        <w:tblLook w:firstRow="1" w:lastRow="0" w:firstColumn="0" w:lastColumn="0" w:noHBand="0" w:noVBand="0" w:val="0020"/>
        <w:jc w:val="start"/>
      </w:tblPr>
      <w:tblGrid>
        <w:gridCol w:w="354"/>
        <w:gridCol w:w="784"/>
        <w:gridCol w:w="5870"/>
        <w:gridCol w:w="910"/>
      </w:tblGrid>
      <w:tr>
        <w:trPr>
          <w:tblHeader w:val="true"/>
        </w:trPr>
        <w:tc>
          <w:tcPr/>
          <w:p>
            <w:pPr>
              <w:pStyle w:val="Compact"/>
              <w:jc w:val="left"/>
            </w:pPr>
            <w:r>
              <w:t xml:space="preserve">Capital Class</w:t>
            </w:r>
          </w:p>
        </w:tc>
        <w:tc>
          <w:tcPr/>
          <w:p>
            <w:pPr>
              <w:pStyle w:val="Compact"/>
              <w:jc w:val="left"/>
            </w:pPr>
            <w:r>
              <w:t xml:space="preserve">Brain-Memory-Body-Hands layer</w:t>
            </w:r>
          </w:p>
        </w:tc>
        <w:tc>
          <w:tcPr/>
          <w:p>
            <w:pPr>
              <w:pStyle w:val="Compact"/>
              <w:jc w:val="left"/>
            </w:pPr>
            <w:r>
              <w:t xml:space="preserve">DWS IQ 6 component</w:t>
            </w:r>
          </w:p>
        </w:tc>
        <w:tc>
          <w:tcPr/>
          <w:p>
            <w:pPr>
              <w:pStyle w:val="Compact"/>
              <w:jc w:val="left"/>
            </w:pPr>
            <w:r>
              <w:t xml:space="preserve">Thesis cross-reference</w:t>
            </w:r>
          </w:p>
        </w:tc>
      </w:tr>
      <w:tr>
        <w:tc>
          <w:tcPr/>
          <w:p>
            <w:pPr>
              <w:pStyle w:val="Compact"/>
              <w:jc w:val="left"/>
            </w:pPr>
            <w:r>
              <w:rPr>
                <w:bCs/>
                <w:b/>
              </w:rPr>
              <w:t xml:space="preserve">Prompt</w:t>
            </w:r>
          </w:p>
        </w:tc>
        <w:tc>
          <w:tcPr/>
          <w:p>
            <w:pPr>
              <w:pStyle w:val="Compact"/>
              <w:jc w:val="left"/>
            </w:pPr>
            <w:r>
              <w:t xml:space="preserve">Brain (intelligence)</w:t>
            </w:r>
          </w:p>
        </w:tc>
        <w:tc>
          <w:tcPr/>
          <w:p>
            <w:pPr>
              <w:pStyle w:val="Compact"/>
              <w:jc w:val="left"/>
            </w:pPr>
            <w:r>
              <w:t xml:space="preserve">SOUL.md, system prompts, validated skills corpus (</w:t>
            </w:r>
            <w:r>
              <w:rPr>
                <w:rStyle w:val="VerbatimChar"/>
              </w:rPr>
              <w:t xml:space="preserve">skills/</w:t>
            </w:r>
            <w:r>
              <w:t xml:space="preserve">), agent configs (</w:t>
            </w:r>
            <w:r>
              <w:rPr>
                <w:rStyle w:val="VerbatimChar"/>
              </w:rPr>
              <w:t xml:space="preserve">src/agents/</w:t>
            </w:r>
            <w:r>
              <w:t xml:space="preserve">), eval datasets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People</w:t>
            </w:r>
          </w:p>
        </w:tc>
        <w:tc>
          <w:tcPr/>
          <w:p>
            <w:pPr>
              <w:pStyle w:val="Compact"/>
              <w:jc w:val="left"/>
            </w:pPr>
            <w:r>
              <w:t xml:space="preserve">Memory (judgment)</w:t>
            </w:r>
          </w:p>
        </w:tc>
        <w:tc>
          <w:tcPr/>
          <w:p>
            <w:pPr>
              <w:pStyle w:val="Compact"/>
              <w:jc w:val="left"/>
            </w:pPr>
            <w:r>
              <w:t xml:space="preserve">Operator expertise deepened through HIL phase; skills taxonomy (§10.23.3); HIL → HIC transition observable</w:t>
            </w:r>
          </w:p>
        </w:tc>
        <w:tc>
          <w:tcPr/>
          <w:p>
            <w:pPr>
              <w:pStyle w:val="Compact"/>
              <w:jc w:val="left"/>
            </w:pPr>
            <w:r>
              <w:t xml:space="preserve">§10.23.3, §10.23.5</w:t>
            </w:r>
          </w:p>
        </w:tc>
      </w:tr>
      <w:tr>
        <w:tc>
          <w:tcPr/>
          <w:p>
            <w:pPr>
              <w:pStyle w:val="Compact"/>
              <w:jc w:val="left"/>
            </w:pPr>
            <w:r>
              <w:rPr>
                <w:bCs/>
                <w:b/>
              </w:rPr>
              <w:t xml:space="preserve">Plant</w:t>
            </w:r>
          </w:p>
        </w:tc>
        <w:tc>
          <w:tcPr/>
          <w:p>
            <w:pPr>
              <w:pStyle w:val="Compact"/>
              <w:jc w:val="left"/>
            </w:pPr>
            <w:r>
              <w:t xml:space="preserve">Body (infrastructure)</w:t>
            </w:r>
          </w:p>
        </w:tc>
        <w:tc>
          <w:tcPr/>
          <w:p>
            <w:pPr>
              <w:pStyle w:val="Compact"/>
              <w:jc w:val="left"/>
            </w:pPr>
            <w:r>
              <w:t xml:space="preserve">Control Room + Situation Room two-room stack — deployable at site</w:t>
            </w:r>
            <w:r>
              <w:t xml:space="preserve"> </w:t>
            </w:r>
            <w:r>
              <w:rPr>
                <w:bCs/>
                <w:b/>
              </w:rPr>
              <w:t xml:space="preserve">or inside a Lifetime Fleet vehicle</w:t>
            </w:r>
            <w:r>
              <w:t xml:space="preserve">; NVIDIA Jetson / Acer GN100 / DGX Spark edge compute; Article 12 logging pipeline; validated inference configs; tested failover</w:t>
            </w:r>
          </w:p>
        </w:tc>
        <w:tc>
          <w:tcPr/>
          <w:p>
            <w:pPr>
              <w:pStyle w:val="Compact"/>
              <w:jc w:val="left"/>
            </w:pPr>
            <w:r>
              <w:t xml:space="preserve">§10.10, §10.10.6.1, §10.15</w:t>
            </w:r>
          </w:p>
        </w:tc>
      </w:tr>
      <w:tr>
        <w:tc>
          <w:tcPr/>
          <w:p>
            <w:pPr>
              <w:pStyle w:val="Compact"/>
              <w:jc w:val="left"/>
            </w:pPr>
            <w:r>
              <w:rPr>
                <w:bCs/>
                <w:b/>
              </w:rPr>
              <w:t xml:space="preserve">Perception</w:t>
            </w:r>
          </w:p>
        </w:tc>
        <w:tc>
          <w:tcPr/>
          <w:p>
            <w:pPr>
              <w:pStyle w:val="Compact"/>
              <w:jc w:val="left"/>
            </w:pPr>
            <w:r>
              <w:t xml:space="preserve">Hands (actuation + world model)</w:t>
            </w:r>
          </w:p>
        </w:tc>
        <w:tc>
          <w:tcPr/>
          <w:p>
            <w:pPr>
              <w:pStyle w:val="Compact"/>
              <w:jc w:val="left"/>
            </w:pPr>
            <w:r>
              <w:t xml:space="preserve">Lifetime World Model (</w:t>
            </w:r>
            <w:r>
              <w:rPr>
                <w:rStyle w:val="VerbatimChar"/>
              </w:rPr>
              <w:t xml:space="preserve">ONTOLOGY.md</w:t>
            </w:r>
            <w:r>
              <w:t xml:space="preserve">); agent memory (§10.10.7); Article 12 lineage log; closed sense → decide → act loop with HIL/HIC gate</w:t>
            </w:r>
          </w:p>
        </w:tc>
        <w:tc>
          <w:tcPr/>
          <w:p>
            <w:pPr>
              <w:pStyle w:val="Compact"/>
              <w:jc w:val="left"/>
            </w:pPr>
            <w:r>
              <w:t xml:space="preserve">§10.18, §10.10.7</w:t>
            </w:r>
          </w:p>
        </w:tc>
      </w:tr>
    </w:tbl>
    <w:p>
      <w:pPr>
        <w:pStyle w:val="BodyText"/>
      </w:pPr>
      <w:r>
        <w:rPr>
          <w:bCs/>
          <w:b/>
        </w:rPr>
        <w:t xml:space="preserve">Renaming note:</w:t>
      </w:r>
      <w:r>
        <w:t xml:space="preserve"> </w:t>
      </w:r>
      <w:r>
        <w:t xml:space="preserve">The 4P canon deprecates the standalone</w:t>
      </w:r>
      <w:r>
        <w:t xml:space="preserve"> </w:t>
      </w:r>
      <w:r>
        <w:t xml:space="preserve">“</w:t>
      </w:r>
      <w:r>
        <w:t xml:space="preserve">Token / Human / Control Room Capital</w:t>
      </w:r>
      <w:r>
        <w:t xml:space="preserve">”</w:t>
      </w:r>
      <w:r>
        <w:t xml:space="preserve"> </w:t>
      </w:r>
      <w:r>
        <w:t xml:space="preserve">naming as primary terms in new copy. The §10.23.2 / §10.23.3 / §10.23.4 sections retain those names as the origin documentation; this section introduces the 4P aliases.</w:t>
      </w:r>
    </w:p>
    <w:p>
      <w:pPr>
        <w:pStyle w:val="BodyText"/>
      </w:pPr>
      <w:r>
        <w:rPr>
          <w:bCs/>
          <w:b/>
        </w:rPr>
        <w:t xml:space="preserve">GTM wedge — the land-and-expand pattern.</w:t>
      </w:r>
      <w:r>
        <w:t xml:space="preserve"> </w:t>
      </w:r>
      <w:r>
        <w:t xml:space="preserve">The architecture mapping has an operational implication for first-customer deployments. Because Perception Capital compounds only if the deployment footprint grows, the first DWS IQ deployment is deliberately</w:t>
      </w:r>
      <w:r>
        <w:t xml:space="preserve"> </w:t>
      </w:r>
      <w:r>
        <w:rPr>
          <w:bCs/>
          <w:b/>
        </w:rPr>
        <w:t xml:space="preserve">isolated and harmless</w:t>
      </w:r>
      <w:r>
        <w:t xml:space="preserve">: a single agent reading existing logs, one Control Room edge node at a sub-site the customer team has not previously had compute on, one report the team could not produce before. The first win earns the right to a second without requiring the customer team to reorganise around the new tool. This is the implementation-level answer to the industrial incumbent resistance documented in §14.26.4 of the PhD thesis.</w:t>
      </w:r>
    </w:p>
    <w:p>
      <w:pPr>
        <w:pStyle w:val="BodyText"/>
      </w:pPr>
      <w:r>
        <w:rPr>
          <w:bCs/>
          <w:b/>
        </w:rPr>
        <w:t xml:space="preserve">Key Contribution #33 — Four-Capital (4P) Architecture Mapping: Prompt, People, Plant, Perception in DWS IQ 6:</w:t>
      </w:r>
      <w:r>
        <w:t xml:space="preserve"> </w:t>
      </w:r>
      <w:r>
        <w:t xml:space="preserve">The mapping of the 4P canonical capital classes to the DWS IQ 6 Brain-Memory-Body-Hands architecture supplies the implementation-layer evidence that the theoretical extension in PhD §14.26 corresponds to existing, deployed components. Each capital class has a measurable architectural footprint: Prompt Capital is the</w:t>
      </w:r>
      <w:r>
        <w:t xml:space="preserve"> </w:t>
      </w:r>
      <w:r>
        <w:rPr>
          <w:rStyle w:val="VerbatimChar"/>
        </w:rPr>
        <w:t xml:space="preserve">skills/</w:t>
      </w:r>
      <w:r>
        <w:t xml:space="preserve"> </w:t>
      </w:r>
      <w:r>
        <w:t xml:space="preserve">corpus and eval datasets (§10.16); People Capital is the seven-month HIL record and the HIL → HIC transition observable (§10.23.3/§10.23.5); Plant Capital is the two-room edge stack, including mobile deployment inside a Lifetime Fleet vehicle (§10.10/§10.15); Perception Capital is the Lifetime World Model, agent memory pipeline, and Article 12 lineage log with the closed sense → decide → act loop (§10.18/§10.10.7). The GTM land-and-expand pattern follows directly from the Perception Capital accumulation mechanism: the first deployment is isolated and harmless, earns the next gate, and the governed world model that accumulates behind it is the moat. This contribution is positioned at the implementation horizon (current product scope), cross-referenced to PhD §14.26 (theory) and §14.27 (Kaukopää / Enso historical case). Companion artefacts:</w:t>
      </w:r>
      <w:r>
        <w:t xml:space="preserve"> </w:t>
      </w:r>
      <w:r>
        <w:rPr>
          <w:rStyle w:val="VerbatimChar"/>
        </w:rPr>
        <w:t xml:space="preserve">docs/field-notes/2026-06-19-token-capital-human-capital-control-room-capital.md</w:t>
      </w:r>
      <w:r>
        <w:t xml:space="preserve"> </w:t>
      </w:r>
      <w:r>
        <w:t xml:space="preserve">(v2.0, 4P canon),</w:t>
      </w:r>
      <w:r>
        <w:t xml:space="preserve"> </w:t>
      </w:r>
      <w:r>
        <w:rPr>
          <w:rStyle w:val="VerbatimChar"/>
        </w:rPr>
        <w:t xml:space="preserve">DWS_BRAND_STANDARD.md</w:t>
      </w:r>
      <w:r>
        <w:t xml:space="preserve"> </w:t>
      </w:r>
      <w:r>
        <w:t xml:space="preserve">§23.</w:t>
      </w:r>
    </w:p>
    <w:p>
      <w:r>
        <w:pict>
          <v:rect style="width:0;height:1.5pt" o:hralign="center" o:hrstd="t" o:hr="t"/>
        </w:pict>
      </w:r>
    </w:p>
    <w:bookmarkEnd w:id="307"/>
    <w:bookmarkEnd w:id="308"/>
    <w:bookmarkStart w:id="321" w:name="X035343df090b4320fc94df62c99c12c4e54431b"/>
    <w:p>
      <w:pPr>
        <w:pStyle w:val="Heading3"/>
      </w:pPr>
      <w:r>
        <w:t xml:space="preserve">10.24 Capability Ontology and Three-Pillar Consulting GTM — From Agent Taxonomy to Enterprise Delivery</w:t>
      </w:r>
    </w:p>
    <w:bookmarkStart w:id="309" w:name="motivation-5"/>
    <w:p>
      <w:pPr>
        <w:pStyle w:val="Heading4"/>
      </w:pPr>
      <w:r>
        <w:t xml:space="preserve">10.24.1 Motivation</w:t>
      </w:r>
    </w:p>
    <w:p>
      <w:pPr>
        <w:pStyle w:val="FirstParagraph"/>
      </w:pPr>
      <w:r>
        <w:t xml:space="preserve">By June 2026, the DWS IQ 6 agent population had grown to 58+ registered agents across multiple subsystems, with 18 additional capability areas identified during enterprise consulting engagement preparation. The flat agent inventory — while functionally complete — lacked a taxonomic structure that enterprise customers could navigate. Two product engineering challenges emerged simultaneously:</w:t>
      </w:r>
    </w:p>
    <w:p>
      <w:pPr>
        <w:numPr>
          <w:ilvl w:val="0"/>
          <w:numId w:val="1111"/>
        </w:numPr>
      </w:pPr>
      <w:r>
        <w:rPr>
          <w:bCs/>
          <w:b/>
        </w:rPr>
        <w:t xml:space="preserve">Ontological.</w:t>
      </w:r>
      <w:r>
        <w:t xml:space="preserve"> </w:t>
      </w:r>
      <w:r>
        <w:t xml:space="preserve">The 10 capability categories that had organically formed around agent clusters were not merely a grouping convenience — they mapped to the LWM knowledge graph classes. Exposing this structure explicitly would allow customers to reason about coverage gaps.</w:t>
      </w:r>
    </w:p>
    <w:p>
      <w:pPr>
        <w:numPr>
          <w:ilvl w:val="0"/>
          <w:numId w:val="1111"/>
        </w:numPr>
      </w:pPr>
      <w:r>
        <w:rPr>
          <w:bCs/>
          <w:b/>
        </w:rPr>
        <w:t xml:space="preserve">Political.</w:t>
      </w:r>
      <w:r>
        <w:t xml:space="preserve"> </w:t>
      </w:r>
      <w:r>
        <w:t xml:space="preserve">Enterprise customers had historically employed 72+ human consulting roles (Cloud Ready Teams, 2024 edition). Framing the 80+ agent capabilities as</w:t>
      </w:r>
      <w:r>
        <w:t xml:space="preserve"> </w:t>
      </w:r>
      <w:r>
        <w:t xml:space="preserve">“</w:t>
      </w:r>
      <w:r>
        <w:t xml:space="preserve">replacements for roles</w:t>
      </w:r>
      <w:r>
        <w:t xml:space="preserve">”</w:t>
      </w:r>
      <w:r>
        <w:t xml:space="preserve"> </w:t>
      </w:r>
      <w:r>
        <w:t xml:space="preserve">would trigger job-loss anxieties and procurement resistance. The engineering challenge was to present capability without threatening identity.</w:t>
      </w:r>
    </w:p>
    <w:bookmarkEnd w:id="309"/>
    <w:bookmarkStart w:id="310" w:name="Xf0116f03a4671a1d6b317f74ce1c4519c365155"/>
    <w:p>
      <w:pPr>
        <w:pStyle w:val="Heading4"/>
      </w:pPr>
      <w:r>
        <w:t xml:space="preserve">10.24.2 Capability Ontology — 10 LWM Knowledge Graph Classes</w:t>
      </w:r>
    </w:p>
    <w:p>
      <w:pPr>
        <w:pStyle w:val="FirstParagraph"/>
      </w:pPr>
      <w:r>
        <w:t xml:space="preserve">The 80+ agent capabilities were organised into 10 ontology classes derived from the Lifetime World Model’s knowledge graph structure:</w:t>
      </w:r>
    </w:p>
    <w:tbl>
      <w:tblPr>
        <w:tblStyle w:val="Table"/>
        <w:tblW w:type="pct" w:w="5000"/>
        <w:tblLook w:firstRow="1" w:lastRow="0" w:firstColumn="0" w:lastColumn="0" w:noHBand="0" w:noVBand="0" w:val="0020"/>
        <w:jc w:val="start"/>
      </w:tblPr>
      <w:tblGrid>
        <w:gridCol w:w="240"/>
        <w:gridCol w:w="1520"/>
        <w:gridCol w:w="1520"/>
        <w:gridCol w:w="4640"/>
      </w:tblGrid>
      <w:tr>
        <w:trPr>
          <w:tblHeader w:val="true"/>
        </w:trPr>
        <w:tc>
          <w:tcPr/>
          <w:p>
            <w:pPr>
              <w:pStyle w:val="Compact"/>
              <w:jc w:val="left"/>
            </w:pPr>
            <w:r>
              <w:t xml:space="preserve">#</w:t>
            </w:r>
          </w:p>
        </w:tc>
        <w:tc>
          <w:tcPr/>
          <w:p>
            <w:pPr>
              <w:pStyle w:val="Compact"/>
              <w:jc w:val="left"/>
            </w:pPr>
            <w:r>
              <w:t xml:space="preserve">Ontology Class (FI)</w:t>
            </w:r>
          </w:p>
        </w:tc>
        <w:tc>
          <w:tcPr/>
          <w:p>
            <w:pPr>
              <w:pStyle w:val="Compact"/>
              <w:jc w:val="left"/>
            </w:pPr>
            <w:r>
              <w:t xml:space="preserve">Ontology Class (EN)</w:t>
            </w:r>
          </w:p>
        </w:tc>
        <w:tc>
          <w:tcPr/>
          <w:p>
            <w:pPr>
              <w:pStyle w:val="Compact"/>
              <w:jc w:val="left"/>
            </w:pPr>
            <w:r>
              <w:t xml:space="preserve">Example Capabilities</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Consulting</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Regulation</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Industry</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Orchestration</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Field Operations</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Sales</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Management</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System</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Defence</w:t>
            </w:r>
          </w:p>
        </w:tc>
        <w:tc>
          <w:tcPr/>
          <w:p>
            <w:pPr>
              <w:pStyle w:val="Compact"/>
              <w:jc w:val="left"/>
            </w:pPr>
            <w:r>
              <w:t xml:space="preserve">Aegis Platform,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Transformation</w:t>
            </w:r>
          </w:p>
        </w:tc>
        <w:tc>
          <w:tcPr/>
          <w:p>
            <w:pPr>
              <w:pStyle w:val="Compact"/>
              <w:jc w:val="left"/>
            </w:pPr>
            <w:r>
              <w:t xml:space="preserve">Disruption Response, HR Systems, Service Desk</w:t>
            </w:r>
          </w:p>
        </w:tc>
      </w:tr>
    </w:tbl>
    <w:p>
      <w:pPr>
        <w:pStyle w:val="BodyText"/>
      </w:pPr>
      <w:r>
        <w:t xml:space="preserve">The ontology is not a flat list but a knowledge graph: each class has directed edges to the classes it depends on (e.g., Regulation → Data Management for evidence pipelines; Industry → Orchestration for multi-agent workflows). This graph structure is the same LWM topology that the Perception Capital (§10.23.7) accumulates — the ontology is the Perception Capital’s schema.</w:t>
      </w:r>
    </w:p>
    <w:bookmarkEnd w:id="310"/>
    <w:bookmarkStart w:id="311" w:name="capability-not-role-framing"/>
    <w:p>
      <w:pPr>
        <w:pStyle w:val="Heading4"/>
      </w:pPr>
      <w:r>
        <w:t xml:space="preserve">10.24.3 Capability-Not-Role Framing</w:t>
      </w:r>
    </w:p>
    <w:p>
      <w:pPr>
        <w:pStyle w:val="FirstParagraph"/>
      </w:pPr>
      <w:r>
        <w:t xml:space="preserve">The 62 existing agents plus 18 newly identified capability areas were explicitly framed as</w:t>
      </w:r>
      <w:r>
        <w:t xml:space="preserve"> </w:t>
      </w:r>
      <w:r>
        <w:rPr>
          <w:iCs/>
          <w:i/>
        </w:rPr>
        <w:t xml:space="preserve">capabilities</w:t>
      </w:r>
      <w:r>
        <w:t xml:space="preserve">, not job titles. The operating principle:</w:t>
      </w:r>
      <w:r>
        <w:t xml:space="preserve"> </w:t>
      </w:r>
      <w:r>
        <w:t xml:space="preserve">“</w:t>
      </w:r>
      <w:r>
        <w:t xml:space="preserve">DWS ei korvaa yrityksen henkilöstöä. DWS tuo kyvykkyyttä</w:t>
      </w:r>
      <w:r>
        <w:t xml:space="preserve">”</w:t>
      </w:r>
      <w:r>
        <w:t xml:space="preserve"> </w:t>
      </w:r>
      <w:r>
        <w:t xml:space="preserve">(DWS does not replace the customer’s staff. DWS brings capability). This framing decision has three engineering consequences:</w:t>
      </w:r>
    </w:p>
    <w:p>
      <w:pPr>
        <w:numPr>
          <w:ilvl w:val="0"/>
          <w:numId w:val="1112"/>
        </w:numPr>
        <w:pStyle w:val="Compact"/>
      </w:pPr>
      <w:r>
        <w:rPr>
          <w:bCs/>
          <w:b/>
        </w:rPr>
        <w:t xml:space="preserve">Procurement path.</w:t>
      </w:r>
      <w:r>
        <w:t xml:space="preserve"> </w:t>
      </w:r>
      <w:r>
        <w:t xml:space="preserve">Capability procurement does not trigger workforce consultation obligations under Finnish co-determination law (YT-laki).</w:t>
      </w:r>
    </w:p>
    <w:p>
      <w:pPr>
        <w:numPr>
          <w:ilvl w:val="0"/>
          <w:numId w:val="1112"/>
        </w:numPr>
        <w:pStyle w:val="Compact"/>
      </w:pPr>
      <w:r>
        <w:rPr>
          <w:bCs/>
          <w:b/>
        </w:rPr>
        <w:t xml:space="preserve">Adoption pattern.</w:t>
      </w:r>
      <w:r>
        <w:t xml:space="preserve"> </w:t>
      </w:r>
      <w:r>
        <w:t xml:space="preserve">A capability augments an existing role holder rather than displacing them — the GTM land-and-expand pattern (§10.23.7) applies at the individual contributor level.</w:t>
      </w:r>
    </w:p>
    <w:p>
      <w:pPr>
        <w:numPr>
          <w:ilvl w:val="0"/>
          <w:numId w:val="1112"/>
        </w:numPr>
        <w:pStyle w:val="Compact"/>
      </w:pPr>
      <w:r>
        <w:rPr>
          <w:bCs/>
          <w:b/>
        </w:rPr>
        <w:t xml:space="preserve">Catalogue structure.</w:t>
      </w:r>
      <w:r>
        <w:t xml:space="preserve"> </w:t>
      </w:r>
      <w:r>
        <w:t xml:space="preserve">The capability catalogue grows continuously rather than being versioned as a fixed headcount.</w:t>
      </w:r>
    </w:p>
    <w:bookmarkEnd w:id="311"/>
    <w:bookmarkStart w:id="312" w:name="three-pillar-consulting-model"/>
    <w:p>
      <w:pPr>
        <w:pStyle w:val="Heading4"/>
      </w:pPr>
      <w:r>
        <w:t xml:space="preserve">10.24.4 Three-Pillar Consulting Model</w:t>
      </w:r>
    </w:p>
    <w:p>
      <w:pPr>
        <w:pStyle w:val="FirstParagraph"/>
      </w:pPr>
      <w:r>
        <w:t xml:space="preserve">The capability ontology required a delivery framework. The consulting engagement model crystallised into three pillars:</w:t>
      </w:r>
    </w:p>
    <w:p>
      <w:pPr>
        <w:numPr>
          <w:ilvl w:val="0"/>
          <w:numId w:val="1113"/>
        </w:numPr>
        <w:pStyle w:val="Compact"/>
      </w:pPr>
      <w:r>
        <w:rPr>
          <w:bCs/>
          <w:b/>
        </w:rPr>
        <w:t xml:space="preserve">Pillar 1 — Capability Training.</w:t>
      </w:r>
      <w:r>
        <w:t xml:space="preserve"> </w:t>
      </w:r>
      <w:r>
        <w:t xml:space="preserve">Train the customer’s team to use the 80+ agent capabilities within their existing workflows.</w:t>
      </w:r>
    </w:p>
    <w:p>
      <w:pPr>
        <w:numPr>
          <w:ilvl w:val="0"/>
          <w:numId w:val="1113"/>
        </w:numPr>
        <w:pStyle w:val="Compact"/>
      </w:pPr>
      <w:r>
        <w:rPr>
          <w:bCs/>
          <w:b/>
        </w:rPr>
        <w:t xml:space="preserve">Pillar 2 — Industry-Specific Compliance Workflow Development.</w:t>
      </w:r>
      <w:r>
        <w:t xml:space="preserve"> </w:t>
      </w:r>
      <w:r>
        <w:t xml:space="preserve">Develop and deploy industry-specific intelligent compliance workflows to production. This pillar operationalises the LWM Sequencing Strategy (§10.18) at the customer level.</w:t>
      </w:r>
    </w:p>
    <w:p>
      <w:pPr>
        <w:numPr>
          <w:ilvl w:val="0"/>
          <w:numId w:val="1113"/>
        </w:numPr>
        <w:pStyle w:val="Compact"/>
      </w:pPr>
      <w:r>
        <w:rPr>
          <w:bCs/>
          <w:b/>
        </w:rPr>
        <w:t xml:space="preserve">Pillar 3 — Disruption-Free Project Continuity.</w:t>
      </w:r>
      <w:r>
        <w:t xml:space="preserve"> </w:t>
      </w:r>
      <w:r>
        <w:t xml:space="preserve">Ensure the project proceeds without interruptions, using the Keskeytyslaskuri (interruption cost calculator at lifetime.fi/laskuri/) to quantify context-rebuilding cost, momentum loss, and key-person risk.</w:t>
      </w:r>
    </w:p>
    <w:p>
      <w:pPr>
        <w:pStyle w:val="FirstParagraph"/>
      </w:pPr>
      <w:r>
        <w:t xml:space="preserve">The three pillars map directly to the 4P capital model (§10.23.7): Pillar 1 builds People Capital, Pillar 2 builds Prompt + Perception Capital, Pillar 3 protects Plant Capital continuity.</w:t>
      </w:r>
    </w:p>
    <w:bookmarkEnd w:id="312"/>
    <w:bookmarkStart w:id="313" w:name="aegis-defence-capability-correction"/>
    <w:p>
      <w:pPr>
        <w:pStyle w:val="Heading4"/>
      </w:pPr>
      <w:r>
        <w:t xml:space="preserve">10.24.5 Aegis Defence Capability Correction</w:t>
      </w:r>
    </w:p>
    <w:p>
      <w:pPr>
        <w:pStyle w:val="FirstParagraph"/>
      </w:pPr>
      <w:r>
        <w:t xml:space="preserve">During handbook preparation, investigation of ArgusAgent’s actual capabilities revealed that the previously claimed</w:t>
      </w:r>
      <w:r>
        <w:t xml:space="preserve"> </w:t>
      </w:r>
      <w:r>
        <w:t xml:space="preserve">“</w:t>
      </w:r>
      <w:r>
        <w:t xml:space="preserve">drone detection</w:t>
      </w:r>
      <w:r>
        <w:t xml:space="preserve">”</w:t>
      </w:r>
      <w:r>
        <w:t xml:space="preserve"> </w:t>
      </w:r>
      <w:r>
        <w:t xml:space="preserve">was not implemented. The honest capability profile is SAR (Synthetic Aperture Radar) orbital target detection via ICEYE partnership — change detection on satellite imagery, not real-time airborne surveillance. The Aegis Defence section was rewritten across all sales and consulting documents with 5 verified workflows:</w:t>
      </w:r>
    </w:p>
    <w:p>
      <w:pPr>
        <w:numPr>
          <w:ilvl w:val="0"/>
          <w:numId w:val="1114"/>
        </w:numPr>
        <w:pStyle w:val="Compact"/>
      </w:pPr>
      <w:r>
        <w:t xml:space="preserve">SAR orbital target detection + change detection</w:t>
      </w:r>
    </w:p>
    <w:p>
      <w:pPr>
        <w:numPr>
          <w:ilvl w:val="0"/>
          <w:numId w:val="1114"/>
        </w:numPr>
        <w:pStyle w:val="Compact"/>
      </w:pPr>
      <w:r>
        <w:t xml:space="preserve">NIS2 + CER + Cyber Resilience Act compliance monitoring</w:t>
      </w:r>
    </w:p>
    <w:p>
      <w:pPr>
        <w:numPr>
          <w:ilvl w:val="0"/>
          <w:numId w:val="1114"/>
        </w:numPr>
        <w:pStyle w:val="Compact"/>
      </w:pPr>
      <w:r>
        <w:t xml:space="preserve">Export control compliance (EU Regulation 2021/821 dual-use)</w:t>
      </w:r>
    </w:p>
    <w:p>
      <w:pPr>
        <w:numPr>
          <w:ilvl w:val="0"/>
          <w:numId w:val="1114"/>
        </w:numPr>
        <w:pStyle w:val="Compact"/>
      </w:pPr>
      <w:r>
        <w:t xml:space="preserve">Sovereign climate compatibility assessment for dual-use industries</w:t>
      </w:r>
    </w:p>
    <w:p>
      <w:pPr>
        <w:numPr>
          <w:ilvl w:val="0"/>
          <w:numId w:val="1114"/>
        </w:numPr>
        <w:pStyle w:val="Compact"/>
      </w:pPr>
      <w:r>
        <w:t xml:space="preserve">Critical supply chain monitoring (Critical Raw Materials Act, EU Chips Act)</w:t>
      </w:r>
    </w:p>
    <w:p>
      <w:pPr>
        <w:pStyle w:val="FirstParagraph"/>
      </w:pPr>
      <w:r>
        <w:t xml:space="preserve">This correction demonstrates the Rule 12 engineering discipline (</w:t>
      </w:r>
      <w:r>
        <w:t xml:space="preserve">“</w:t>
      </w:r>
      <w:r>
        <w:t xml:space="preserve">Fail loud</w:t>
      </w:r>
      <w:r>
        <w:t xml:space="preserve">”</w:t>
      </w:r>
      <w:r>
        <w:t xml:space="preserve">) applied to product marketing.</w:t>
      </w:r>
    </w:p>
    <w:bookmarkEnd w:id="313"/>
    <w:bookmarkStart w:id="314" w:name="X80442ef017dd2681f1e186e00109bfcf47cbd93"/>
    <w:p>
      <w:pPr>
        <w:pStyle w:val="Heading4"/>
      </w:pPr>
      <w:r>
        <w:t xml:space="preserve">10.24.6 Implementation Evidence — lifetime.fi Website Deployment</w:t>
      </w:r>
    </w:p>
    <w:p>
      <w:pPr>
        <w:pStyle w:val="FirstParagraph"/>
      </w:pPr>
      <w:r>
        <w:t xml:space="preserve">The three-pillar consulting model was deployed to the lifetime.fi production website, replacing the previous generic consulting services section. The implementation uses the existing</w:t>
      </w:r>
      <w:r>
        <w:t xml:space="preserve"> </w:t>
      </w:r>
      <w:r>
        <w:rPr>
          <w:rStyle w:val="VerbatimChar"/>
        </w:rPr>
        <w:t xml:space="preserve">.industry-agent-chip</w:t>
      </w:r>
      <w:r>
        <w:t xml:space="preserve"> </w:t>
      </w:r>
      <w:r>
        <w:t xml:space="preserve">CSS component library to render the 10 ontology classes as interactive chips, with three platform cards (gold/green/blue top borders) presenting each pillar. The deployment was dual-folder mirrored (lifetime.fi/ → landing-pages/lifetime-fi/) per DWS operational standard.</w:t>
      </w:r>
    </w:p>
    <w:bookmarkEnd w:id="314"/>
    <w:bookmarkStart w:id="320" w:name="research-contribution-14"/>
    <w:p>
      <w:pPr>
        <w:pStyle w:val="Heading4"/>
      </w:pPr>
      <w:r>
        <w:t xml:space="preserve">10.24.7 Research Contribution</w:t>
      </w:r>
    </w:p>
    <w:p>
      <w:pPr>
        <w:pStyle w:val="FirstParagraph"/>
      </w:pPr>
      <w:r>
        <w:rPr>
          <w:bCs/>
          <w:b/>
        </w:rPr>
        <w:t xml:space="preserve">Key Contribution #39 — Capability Ontology and Three-Pillar Consulting GTM:</w:t>
      </w:r>
      <w:r>
        <w:t xml:space="preserve"> </w:t>
      </w:r>
      <w:r>
        <w:t xml:space="preserve">The 10-class LWM-derived ontology organises 80+ agent capabilities into a knowledge graph structure that is simultaneously the product taxonomy, the GTM catalogue, and the Perception Capital schema. The three-pillar delivery model (train → develop → protect) maps to the 4P capital accumulation pathway (People → Prompt+Perception → Plant), providing the first implementation-level answer to how an agentic platform’s consulting arm should be structured for regulated-industry customers. The</w:t>
      </w:r>
      <w:r>
        <w:t xml:space="preserve"> </w:t>
      </w:r>
      <w:r>
        <w:t xml:space="preserve">“</w:t>
      </w:r>
      <w:r>
        <w:t xml:space="preserve">capability-not-role</w:t>
      </w:r>
      <w:r>
        <w:t xml:space="preserve">”</w:t>
      </w:r>
      <w:r>
        <w:t xml:space="preserve"> </w:t>
      </w:r>
      <w:r>
        <w:t xml:space="preserve">framing resolves the political tension between agent capability marketing and enterprise workforce sensitivities — a design pattern applicable to any B2B agentic platform selling into industries with co-determination obligations. Companion artefact:</w:t>
      </w:r>
      <w:r>
        <w:t xml:space="preserve"> </w:t>
      </w:r>
      <w:r>
        <w:rPr>
          <w:rStyle w:val="VerbatimChar"/>
        </w:rPr>
        <w:t xml:space="preserve">docs/KONSULTOINNIN_KASIKIRJA_2026.md</w:t>
      </w:r>
      <w:r>
        <w:t xml:space="preserve"> </w:t>
      </w:r>
      <w:r>
        <w:t xml:space="preserve">v1.5 (Consultant Handbook 2026, bilingual FI/EN).</w:t>
      </w:r>
    </w:p>
    <w:p>
      <w:r>
        <w:pict>
          <v:rect style="width:0;height:1.5pt" o:hralign="center" o:hrstd="t" o:hr="t"/>
        </w:pict>
      </w:r>
    </w:p>
    <w:p>
      <w:pPr>
        <w:pStyle w:val="FirstParagraph"/>
      </w:pPr>
      <w:r>
        <w:rPr>
          <w:bCs/>
          <w:b/>
        </w:rPr>
        <w:t xml:space="preserve">Document Information:</w:t>
      </w:r>
    </w:p>
    <w:p>
      <w:pPr>
        <w:pStyle w:val="BodyText"/>
      </w:pPr>
      <w:r>
        <w:rPr>
          <w:bCs/>
          <w:b/>
        </w:rPr>
        <w:t xml:space="preserve">Title:</w:t>
      </w:r>
      <w:r>
        <w:t xml:space="preserve"> </w:t>
      </w:r>
      <w:r>
        <w:t xml:space="preserve">Firehorse Product Manufacturing Operating Model: Hybrid AI-Edge Architecture for Climate-Intelligent Industrial Platforms</w:t>
      </w:r>
      <w:r>
        <w:t xml:space="preserve"> </w:t>
      </w:r>
      <w:r>
        <w:rPr>
          <w:bCs/>
          <w:b/>
        </w:rPr>
        <w:t xml:space="preserve">Author:</w:t>
      </w:r>
      <w:r>
        <w:t xml:space="preserve"> </w:t>
      </w:r>
      <w:r>
        <w:t xml:space="preserve">Risto Anton Päärni</w:t>
      </w:r>
      <w:r>
        <w:t xml:space="preserve"> </w:t>
      </w:r>
      <w:r>
        <w:rPr>
          <w:bCs/>
          <w:b/>
        </w:rPr>
        <w:t xml:space="preserve">Institution:</w:t>
      </w:r>
      <w:r>
        <w:t xml:space="preserve"> </w:t>
      </w:r>
      <w:r>
        <w:t xml:space="preserve">Metropolia University of Applied Sciences</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Status:</w:t>
      </w:r>
      <w:r>
        <w:t xml:space="preserve"> </w:t>
      </w:r>
      <w:r>
        <w:t xml:space="preserve">DRAFT - V3.72 (Capability Ontology and Three-Pillar Consulting GTM; Consultant Handbook 2026 as companion artefact)</w:t>
      </w:r>
      <w:r>
        <w:t xml:space="preserve"> </w:t>
      </w:r>
      <w:r>
        <w:rPr>
          <w:bCs/>
          <w:b/>
        </w:rPr>
        <w:t xml:space="preserve">Version:</w:t>
      </w:r>
      <w:r>
        <w:t xml:space="preserve"> </w:t>
      </w:r>
      <w:r>
        <w:t xml:space="preserve">3.72</w:t>
      </w:r>
      <w:r>
        <w:t xml:space="preserve"> </w:t>
      </w:r>
      <w:r>
        <w:rPr>
          <w:bCs/>
          <w:b/>
        </w:rPr>
        <w:t xml:space="preserve">Last Modified:</w:t>
      </w:r>
      <w:r>
        <w:t xml:space="preserve"> </w:t>
      </w:r>
      <w:r>
        <w:t xml:space="preserve">28.06.2026</w:t>
      </w:r>
      <w:r>
        <w:t xml:space="preserve"> </w:t>
      </w:r>
      <w:r>
        <w:rPr>
          <w:bCs/>
          <w:b/>
        </w:rPr>
        <w:t xml:space="preserve">V1.0 Release Target:</w:t>
      </w:r>
      <w:r>
        <w:t xml:space="preserve"> </w:t>
      </w:r>
      <w:r>
        <w:t xml:space="preserve">23 February 2026</w:t>
      </w:r>
    </w:p>
    <w:p>
      <w:pPr>
        <w:pStyle w:val="BodyText"/>
      </w:pPr>
      <w:r>
        <w:rPr>
          <w:bCs/>
          <w:b/>
        </w:rPr>
        <w:t xml:space="preserve">Languages:</w:t>
      </w:r>
      <w:r>
        <w:t xml:space="preserve"> </w:t>
      </w:r>
      <w:r>
        <w:t xml:space="preserve">English, Suomi</w:t>
      </w:r>
      <w:r>
        <w:t xml:space="preserve"> </w:t>
      </w:r>
      <w:r>
        <w:rPr>
          <w:bCs/>
          <w:b/>
        </w:rPr>
        <w:t xml:space="preserve">Related Documents:</w:t>
      </w:r>
    </w:p>
    <w:p>
      <w:pPr>
        <w:numPr>
          <w:ilvl w:val="0"/>
          <w:numId w:val="1115"/>
        </w:numPr>
        <w:pStyle w:val="Compact"/>
      </w:pPr>
      <w:hyperlink r:id="rId315">
        <w:r>
          <w:rPr>
            <w:rStyle w:val="Hyperlink"/>
          </w:rPr>
          <w:t xml:space="preserve">Finnish Version</w:t>
        </w:r>
      </w:hyperlink>
    </w:p>
    <w:p>
      <w:pPr>
        <w:numPr>
          <w:ilvl w:val="0"/>
          <w:numId w:val="1115"/>
        </w:numPr>
        <w:pStyle w:val="Compact"/>
      </w:pPr>
      <w:hyperlink r:id="rId316">
        <w:r>
          <w:rPr>
            <w:rStyle w:val="Hyperlink"/>
          </w:rPr>
          <w:t xml:space="preserve">Agent Signal Instructions</w:t>
        </w:r>
      </w:hyperlink>
    </w:p>
    <w:p>
      <w:pPr>
        <w:numPr>
          <w:ilvl w:val="0"/>
          <w:numId w:val="1115"/>
        </w:numPr>
        <w:pStyle w:val="Compact"/>
      </w:pPr>
      <w:hyperlink r:id="rId317">
        <w:r>
          <w:rPr>
            <w:rStyle w:val="Hyperlink"/>
          </w:rPr>
          <w:t xml:space="preserve">AgentFoundry Architecture</w:t>
        </w:r>
      </w:hyperlink>
    </w:p>
    <w:p>
      <w:pPr>
        <w:numPr>
          <w:ilvl w:val="0"/>
          <w:numId w:val="1115"/>
        </w:numPr>
        <w:pStyle w:val="Compact"/>
      </w:pPr>
      <w:hyperlink r:id="rId318">
        <w:r>
          <w:rPr>
            <w:rStyle w:val="Hyperlink"/>
          </w:rPr>
          <w:t xml:space="preserve">LWM Training Manual</w:t>
        </w:r>
      </w:hyperlink>
    </w:p>
    <w:p>
      <w:pPr>
        <w:numPr>
          <w:ilvl w:val="0"/>
          <w:numId w:val="1115"/>
        </w:numPr>
        <w:pStyle w:val="Compact"/>
      </w:pPr>
      <w:hyperlink r:id="rId319">
        <w:r>
          <w:rPr>
            <w:rStyle w:val="Hyperlink"/>
          </w:rPr>
          <w:t xml:space="preserve">System Administrator Manual</w:t>
        </w:r>
      </w:hyperlink>
    </w:p>
    <w:bookmarkEnd w:id="320"/>
    <w:bookmarkEnd w:id="321"/>
    <w:bookmarkStart w:id="322" w:name="X95b9ef3735812884c58a442b581b56a06aef0da"/>
    <w:p>
      <w:pPr>
        <w:pStyle w:val="Heading3"/>
      </w:pPr>
      <w:r>
        <w:t xml:space="preserve">10.26 Cryptographic Review of the Verified-Done Attestation Signing Path: Two Findings, and Falsification as a Test-Quality Gate</w:t>
      </w:r>
    </w:p>
    <w:p>
      <w:pPr>
        <w:pStyle w:val="FirstParagraph"/>
      </w:pPr>
      <w:r>
        <w:rPr>
          <w:bCs/>
          <w:b/>
        </w:rPr>
        <w:t xml:space="preserve">Implementation under review.</w:t>
      </w:r>
      <w:r>
        <w:t xml:space="preserve"> </w:t>
      </w:r>
      <w:r>
        <w:t xml:space="preserve">The verified-done attestation signing path (KYA §14.7.1) was implemented as</w:t>
      </w:r>
      <w:r>
        <w:t xml:space="preserve"> </w:t>
      </w:r>
      <w:r>
        <w:rPr>
          <w:rStyle w:val="VerbatimChar"/>
        </w:rPr>
        <w:t xml:space="preserve">src/identity/attestation-signing.ts</w:t>
      </w:r>
      <w:r>
        <w:t xml:space="preserve">, delivering EdDSA detached-JWS proofs over W3C Verifiable Credential attestations, with an accompanying store, issuance orchestration and evidence-chain writer. The suite carried 47 passing tests, a clean</w:t>
      </w:r>
      <w:r>
        <w:t xml:space="preserve"> </w:t>
      </w:r>
      <w:r>
        <w:rPr>
          <w:rStyle w:val="VerbatimChar"/>
        </w:rPr>
        <w:t xml:space="preserve">tsc --noEmit</w:t>
      </w:r>
      <w:r>
        <w:t xml:space="preserve">, and clean formatting. A deliberate dependency decision is recorded:</w:t>
      </w:r>
      <w:r>
        <w:t xml:space="preserve"> </w:t>
      </w:r>
      <w:r>
        <w:rPr>
          <w:bCs/>
          <w:b/>
        </w:rPr>
        <w:t xml:space="preserve">Ed25519 via Node’s built-in</w:t>
      </w:r>
      <w:r>
        <w:rPr>
          <w:bCs/>
          <w:b/>
        </w:rPr>
        <w:t xml:space="preserve"> </w:t>
      </w:r>
      <w:r>
        <w:rPr>
          <w:rStyle w:val="VerbatimChar"/>
          <w:bCs/>
          <w:b/>
        </w:rPr>
        <w:t xml:space="preserve">node:crypto</w:t>
      </w:r>
      <w:r>
        <w:rPr>
          <w:bCs/>
          <w:b/>
        </w:rPr>
        <w:t xml:space="preserve"> </w:t>
      </w:r>
      <w:r>
        <w:rPr>
          <w:bCs/>
          <w:b/>
        </w:rPr>
        <w:t xml:space="preserve">rather than the</w:t>
      </w:r>
      <w:r>
        <w:rPr>
          <w:bCs/>
          <w:b/>
        </w:rPr>
        <w:t xml:space="preserve"> </w:t>
      </w:r>
      <w:r>
        <w:rPr>
          <w:rStyle w:val="VerbatimChar"/>
          <w:bCs/>
          <w:b/>
        </w:rPr>
        <w:t xml:space="preserve">jose</w:t>
      </w:r>
      <w:r>
        <w:rPr>
          <w:bCs/>
          <w:b/>
        </w:rPr>
        <w:t xml:space="preserve"> </w:t>
      </w:r>
      <w:r>
        <w:rPr>
          <w:bCs/>
          <w:b/>
        </w:rPr>
        <w:t xml:space="preserve">library</w:t>
      </w:r>
      <w:r>
        <w:t xml:space="preserve">, on the reasoning that a product whose value proposition is a narrow trusted computing base should not widen that base with a third-party package in order to sign its own sovereignty claims.</w:t>
      </w:r>
    </w:p>
    <w:p>
      <w:pPr>
        <w:pStyle w:val="BodyText"/>
      </w:pPr>
      <w:r>
        <w:rPr>
          <w:bCs/>
          <w:b/>
        </w:rPr>
        <w:t xml:space="preserve">Finding F1 (HIGH) — the signature did not cover the proof options.</w:t>
      </w:r>
      <w:r>
        <w:t xml:space="preserve"> </w:t>
      </w:r>
      <w:r>
        <w:t xml:space="preserve">The signing-bytes function stripped the entire</w:t>
      </w:r>
      <w:r>
        <w:t xml:space="preserve"> </w:t>
      </w:r>
      <w:r>
        <w:rPr>
          <w:rStyle w:val="VerbatimChar"/>
        </w:rPr>
        <w:t xml:space="preserve">proof</w:t>
      </w:r>
      <w:r>
        <w:t xml:space="preserve"> </w:t>
      </w:r>
      <w:r>
        <w:t xml:space="preserve">block from the credential before signing. Consequently</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and</w:t>
      </w:r>
      <w:r>
        <w:t xml:space="preserve"> </w:t>
      </w:r>
      <w:r>
        <w:rPr>
          <w:rStyle w:val="VerbatimChar"/>
        </w:rPr>
        <w:t xml:space="preserve">proof.type</w:t>
      </w:r>
      <w:r>
        <w:t xml:space="preserve"> </w:t>
      </w:r>
      <w:r>
        <w:t xml:space="preserve">could each be modified after signing and the credential would still verify. Two consequences follow directly:</w:t>
      </w:r>
    </w:p>
    <w:p>
      <w:pPr>
        <w:numPr>
          <w:ilvl w:val="0"/>
          <w:numId w:val="1116"/>
        </w:numPr>
        <w:pStyle w:val="Compact"/>
      </w:pPr>
      <w:r>
        <w:rPr>
          <w:bCs/>
          <w:b/>
        </w:rPr>
        <w:t xml:space="preserve">The timestamp of an EU AI Act Article 12 evidence artifact was unprotected.</w:t>
      </w:r>
      <w:r>
        <w:t xml:space="preserve"> </w:t>
      </w:r>
      <w:r>
        <w:t xml:space="preserve">An evidence record whose date can be altered without detection does not function as evidence.</w:t>
      </w:r>
    </w:p>
    <w:p>
      <w:pPr>
        <w:numPr>
          <w:ilvl w:val="0"/>
          <w:numId w:val="1116"/>
        </w:numPr>
        <w:pStyle w:val="Compact"/>
      </w:pPr>
      <w:r>
        <w:rPr>
          <w:bCs/>
          <w:b/>
        </w:rPr>
        <w:t xml:space="preserve">Trust-anchor selection from unsigned data.</w:t>
      </w:r>
      <w:r>
        <w:t xml:space="preserve"> </w:t>
      </w:r>
      <w:r>
        <w:t xml:space="preserve">The design specifies resolving the issuer key from a</w:t>
      </w:r>
      <w:r>
        <w:t xml:space="preserve"> </w:t>
      </w:r>
      <w:r>
        <w:rPr>
          <w:rStyle w:val="VerbatimChar"/>
        </w:rPr>
        <w:t xml:space="preserve">did:web</w:t>
      </w:r>
      <w:r>
        <w:t xml:space="preserve"> </w:t>
      </w:r>
      <w:r>
        <w:t xml:space="preserve">verification method. A verifier implementing that flow would read</w:t>
      </w:r>
      <w:r>
        <w:t xml:space="preserve"> </w:t>
      </w:r>
      <w:r>
        <w:rPr>
          <w:rStyle w:val="VerbatimChar"/>
        </w:rPr>
        <w:t xml:space="preserve">proof.verificationMethod</w:t>
      </w:r>
      <w:r>
        <w:t xml:space="preserve"> </w:t>
      </w:r>
      <w:r>
        <w:t xml:space="preserve">— an unsigned, modifiable field — to decide which key to trust. The signed</w:t>
      </w:r>
      <w:r>
        <w:t xml:space="preserve"> </w:t>
      </w:r>
      <w:r>
        <w:rPr>
          <w:rStyle w:val="VerbatimChar"/>
        </w:rPr>
        <w:t xml:space="preserve">issuer</w:t>
      </w:r>
      <w:r>
        <w:t xml:space="preserve"> </w:t>
      </w:r>
      <w:r>
        <w:t xml:space="preserve">field provides the defence, but neither the code nor its documentation required binding one to the other.</w:t>
      </w:r>
    </w:p>
    <w:p>
      <w:pPr>
        <w:pStyle w:val="FirstParagraph"/>
      </w:pPr>
      <w:r>
        <w:rPr>
          <w:bCs/>
          <w:b/>
        </w:rPr>
        <w:t xml:space="preserve">Root cause in test design, not in cryptographic knowledge.</w:t>
      </w:r>
      <w:r>
        <w:t xml:space="preserve"> </w:t>
      </w:r>
      <w:r>
        <w:t xml:space="preserve">The eight existing signing tests included a tamper case — but it tampered the credential</w:t>
      </w:r>
      <w:r>
        <w:t xml:space="preserve"> </w:t>
      </w:r>
      <w:r>
        <w:rPr>
          <w:iCs/>
          <w:i/>
        </w:rPr>
        <w:t xml:space="preserve">subject</w:t>
      </w:r>
      <w:r>
        <w:t xml:space="preserve">, which is inside the signed payload and therefore correctly rejected. No test tampered the</w:t>
      </w:r>
      <w:r>
        <w:t xml:space="preserve"> </w:t>
      </w:r>
      <w:r>
        <w:rPr>
          <w:iCs/>
          <w:i/>
        </w:rPr>
        <w:t xml:space="preserve">proof block</w:t>
      </w:r>
      <w:r>
        <w:t xml:space="preserve">, because such a test would have passed verification and failed its own assertion. The suite was well-constructed for the properties it tested and structurally blind to the defect.</w:t>
      </w:r>
    </w:p>
    <w:p>
      <w:pPr>
        <w:pStyle w:val="BodyText"/>
      </w:pPr>
      <w:r>
        <w:rPr>
          <w:bCs/>
          <w:b/>
        </w:rPr>
        <w:t xml:space="preserve">Remediation.</w:t>
      </w:r>
      <w:r>
        <w:t xml:space="preserve"> </w:t>
      </w:r>
      <w:r>
        <w:t xml:space="preserve">The proof options — every proof field except</w:t>
      </w:r>
      <w:r>
        <w:t xml:space="preserve"> </w:t>
      </w:r>
      <w:r>
        <w:rPr>
          <w:rStyle w:val="VerbatimChar"/>
        </w:rPr>
        <w:t xml:space="preserve">proofValue</w:t>
      </w:r>
      <w:r>
        <w:t xml:space="preserve"> </w:t>
      </w:r>
      <w:r>
        <w:t xml:space="preserve">— are now bound into the canonical signing payload on both the signing and verifying paths, following the W3C Data Integrity pattern of canonicalising proof options together with the document. Any post-signing modification of the proof metadata now alters the payload and fails the signature.</w:t>
      </w:r>
    </w:p>
    <w:p>
      <w:pPr>
        <w:pStyle w:val="BodyText"/>
      </w:pPr>
      <w:r>
        <w:rPr>
          <w:bCs/>
          <w:b/>
        </w:rPr>
        <w:t xml:space="preserve">Finding F3 (MEDIUM) — key-type assertion.</w:t>
      </w:r>
      <w:r>
        <w:t xml:space="preserve"> </w:t>
      </w:r>
      <w:r>
        <w:t xml:space="preserve">The environment loader accepted any private key PEM; a non-Ed25519 key loaded successfully and failed later inside the signing call with an opaque error, while the JOSE header had already asserted</w:t>
      </w:r>
      <w:r>
        <w:t xml:space="preserve"> </w:t>
      </w:r>
      <w:r>
        <w:rPr>
          <w:rStyle w:val="VerbatimChar"/>
        </w:rPr>
        <w:t xml:space="preserve">alg: 'EdDSA'</w:t>
      </w:r>
      <w:r>
        <w:t xml:space="preserve">. The loader now asserts</w:t>
      </w:r>
      <w:r>
        <w:t xml:space="preserve"> </w:t>
      </w:r>
      <w:r>
        <w:rPr>
          <w:rStyle w:val="VerbatimChar"/>
        </w:rPr>
        <w:t xml:space="preserve">asymmetricKeyType === 'ed25519'</w:t>
      </w:r>
      <w:r>
        <w:t xml:space="preserve"> </w:t>
      </w:r>
      <w:r>
        <w:t xml:space="preserve">and throws. The asymmetry is deliberate and follows the fail-loud discipline: an</w:t>
      </w:r>
      <w:r>
        <w:t xml:space="preserve"> </w:t>
      </w:r>
      <w:r>
        <w:rPr>
          <w:bCs/>
          <w:b/>
        </w:rPr>
        <w:t xml:space="preserve">unconfigured</w:t>
      </w:r>
      <w:r>
        <w:t xml:space="preserve"> </w:t>
      </w:r>
      <w:r>
        <w:t xml:space="preserve">signer returns</w:t>
      </w:r>
      <w:r>
        <w:t xml:space="preserve"> </w:t>
      </w:r>
      <w:r>
        <w:rPr>
          <w:rStyle w:val="VerbatimChar"/>
        </w:rPr>
        <w:t xml:space="preserve">null</w:t>
      </w:r>
      <w:r>
        <w:t xml:space="preserve">, leaving the unsigned path valid, whereas a</w:t>
      </w:r>
      <w:r>
        <w:t xml:space="preserve"> </w:t>
      </w:r>
      <w:r>
        <w:rPr>
          <w:bCs/>
          <w:b/>
        </w:rPr>
        <w:t xml:space="preserve">misconfigured</w:t>
      </w:r>
      <w:r>
        <w:t xml:space="preserve"> </w:t>
      </w:r>
      <w:r>
        <w:t xml:space="preserve">signer raises. Configuration absence is a state; configuration error is a fault.</w:t>
      </w:r>
    </w:p>
    <w:p>
      <w:pPr>
        <w:pStyle w:val="BodyText"/>
      </w:pPr>
      <w:r>
        <w:rPr>
          <w:bCs/>
          <w:b/>
        </w:rPr>
        <w:t xml:space="preserve">Methodological contribution — falsification as a test-quality gate.</w:t>
      </w:r>
      <w:r>
        <w:t xml:space="preserve"> </w:t>
      </w:r>
      <w:r>
        <w:t xml:space="preserve">The four regression tests added with the fix were not accepted on the basis that they passed. The corrected source was reverted, the suite re-run, and the four new tests</w:t>
      </w:r>
      <w:r>
        <w:t xml:space="preserve"> </w:t>
      </w:r>
      <w:r>
        <w:rPr>
          <w:bCs/>
          <w:b/>
        </w:rPr>
        <w:t xml:space="preserve">confirmed to fail against the original defective implementation</w:t>
      </w:r>
      <w:r>
        <w:t xml:space="preserve"> </w:t>
      </w:r>
      <w:r>
        <w:t xml:space="preserve">before being accepted; the eight pre-existing signing tests passed in</w:t>
      </w:r>
      <w:r>
        <w:t xml:space="preserve"> </w:t>
      </w:r>
      <w:r>
        <w:rPr>
          <w:iCs/>
          <w:i/>
        </w:rPr>
        <w:t xml:space="preserve">both</w:t>
      </w:r>
      <w:r>
        <w:t xml:space="preserve"> </w:t>
      </w:r>
      <w:r>
        <w:t xml:space="preserve">states. This yields a generalisable engineering criterion:</w:t>
      </w:r>
      <w:r>
        <w:t xml:space="preserve"> </w:t>
      </w:r>
      <w:r>
        <w:rPr>
          <w:bCs/>
          <w:b/>
        </w:rPr>
        <w:t xml:space="preserve">a test that passes both before and after a fix carries no information about that fix.</w:t>
      </w:r>
      <w:r>
        <w:t xml:space="preserve"> </w:t>
      </w:r>
      <w:r>
        <w:t xml:space="preserve">Applied as a gate, it distinguishes regression tests from decorative ones, and in this case it supplied the empirical explanation for why a competent 47-test suite failed to detect a high-severity flaw. Final state: 51 tests passing, type-check and formatting clean.</w:t>
      </w:r>
    </w:p>
    <w:p>
      <w:pPr>
        <w:pStyle w:val="BodyText"/>
      </w:pPr>
      <w:r>
        <w:rPr>
          <w:bCs/>
          <w:b/>
        </w:rPr>
        <w:t xml:space="preserve">Related implementation finding.</w:t>
      </w:r>
      <w:r>
        <w:t xml:space="preserve"> </w:t>
      </w:r>
      <w:r>
        <w:t xml:space="preserve">Review of the attestation storage schema showed the credential record anchored to the accountable human with no tenant column, while the mandate evidence table carried a nullable organisation identifier. The portable record constituting an agent’s track record was therefore bound to an individual rather than to the organisation on whose authority and data it was earned, so trust history would not survive personnel departure. Because signing makes a record durable, correcting the anchor was sequenced as a</w:t>
      </w:r>
      <w:r>
        <w:t xml:space="preserve"> </w:t>
      </w:r>
      <w:r>
        <w:rPr>
          <w:bCs/>
          <w:b/>
        </w:rPr>
        <w:t xml:space="preserve">precondition to enabling signatures</w:t>
      </w:r>
      <w:r>
        <w:t xml:space="preserve"> </w:t>
      </w:r>
      <w:r>
        <w:t xml:space="preserve">rather than as parallel work: signing a mis-anchored attestation converts a repairable schema defect into a permanent one.</w:t>
      </w:r>
    </w:p>
    <w:bookmarkEnd w:id="322"/>
    <w:bookmarkStart w:id="327" w:name="Xf077a3ed1b2edc1670e32ae6cf6371fbb55281f"/>
    <w:p>
      <w:pPr>
        <w:pStyle w:val="Heading3"/>
      </w:pPr>
      <w:r>
        <w:t xml:space="preserve">10.27 The Artifact–Legitimacy Gap: Frontier-Model Velocity, the KYA Case, and the Design Principle It Yields for a Compliance-Intelligence Platform</w:t>
      </w:r>
    </w:p>
    <w:p>
      <w:pPr>
        <w:pStyle w:val="FirstParagraph"/>
      </w:pPr>
      <w:r>
        <w:rPr>
          <w:bCs/>
          <w:b/>
        </w:rPr>
        <w:t xml:space="preserve">The problem, stated once.</w:t>
      </w:r>
      <w:r>
        <w:t xml:space="preserve"> </w:t>
      </w:r>
      <w:r>
        <w:t xml:space="preserve">Building with frontier models through Claude Code compresses the production of a technically complete artifact from months to hours. It does not compress — and structurally cannot — the institutional processes that make that artifact</w:t>
      </w:r>
      <w:r>
        <w:t xml:space="preserve"> </w:t>
      </w:r>
      <w:r>
        <w:rPr>
          <w:iCs/>
          <w:i/>
        </w:rPr>
        <w:t xml:space="preserve">legitimate</w:t>
      </w:r>
      <w:r>
        <w:t xml:space="preserve">: adversarial review by parties with competing commercial interests, independent implementation, formal acceptance by a standards body, and legal review in each jurisdiction of operation.</w:t>
      </w:r>
      <w:r>
        <w:t xml:space="preserve"> </w:t>
      </w:r>
      <w:r>
        <w:rPr>
          <w:bCs/>
          <w:b/>
        </w:rPr>
        <w:t xml:space="preserve">The artifact is finished long before it is legitimate.</w:t>
      </w:r>
      <w:r>
        <w:t xml:space="preserve"> </w:t>
      </w:r>
      <w:r>
        <w:t xml:space="preserve">This is the single largest practical problem encountered in this engineering programme, and it is not a tooling defect. It is a consequence of the tooling working.</w:t>
      </w:r>
    </w:p>
    <w:p>
      <w:pPr>
        <w:pStyle w:val="BodyText"/>
      </w:pPr>
      <w:r>
        <w:rPr>
          <w:bCs/>
          <w:b/>
        </w:rPr>
        <w:t xml:space="preserve">The second-order effect is the dangerous one.</w:t>
      </w:r>
      <w:r>
        <w:t xml:space="preserve"> </w:t>
      </w:r>
      <w:r>
        <w:t xml:space="preserve">Historically, the</w:t>
      </w:r>
      <w:r>
        <w:t xml:space="preserve"> </w:t>
      </w:r>
      <w:r>
        <w:rPr>
          <w:iCs/>
          <w:i/>
        </w:rPr>
        <w:t xml:space="preserve">quality</w:t>
      </w:r>
      <w:r>
        <w:t xml:space="preserve"> </w:t>
      </w:r>
      <w:r>
        <w:t xml:space="preserve">of a specification was evidence of the</w:t>
      </w:r>
      <w:r>
        <w:t xml:space="preserve"> </w:t>
      </w:r>
      <w:r>
        <w:rPr>
          <w:iCs/>
          <w:i/>
        </w:rPr>
        <w:t xml:space="preserve">process</w:t>
      </w:r>
      <w:r>
        <w:t xml:space="preserve"> </w:t>
      </w:r>
      <w:r>
        <w:t xml:space="preserve">behind it. RFC 2119 conformance language, a version-and-history block, a conformance section, an IPR-aware licence — no individual produced these in an afternoon, so their presence reliably implied a working group, review rounds, and elapsed time.</w:t>
      </w:r>
      <w:r>
        <w:t xml:space="preserve"> </w:t>
      </w:r>
      <w:r>
        <w:rPr>
          <w:bCs/>
          <w:b/>
        </w:rPr>
        <w:t xml:space="preserve">Frontier models break that correlation.</w:t>
      </w:r>
      <w:r>
        <w:t xml:space="preserve"> </w:t>
      </w:r>
      <w:r>
        <w:t xml:space="preserve">Fluency is no longer evidence of process. Yet every reader — buyer, auditor, regulator, and the author themselves — still uses fluency as a proxy for legitimacy. The proxy is now invalid, and its failure mode is asymmetric:</w:t>
      </w:r>
      <w:r>
        <w:t xml:space="preserve"> </w:t>
      </w:r>
      <w:r>
        <w:rPr>
          <w:bCs/>
          <w:b/>
        </w:rPr>
        <w:t xml:space="preserve">the author over-claims without intending to</w:t>
      </w:r>
      <w:r>
        <w:t xml:space="preserve">, because the artifact silently asserts a provenance its production never had.</w:t>
      </w:r>
    </w:p>
    <w:bookmarkStart w:id="323" w:name="the-kya-case"/>
    <w:p>
      <w:pPr>
        <w:pStyle w:val="Heading4"/>
      </w:pPr>
      <w:r>
        <w:t xml:space="preserve">10.27.1 The KYA case</w:t>
      </w:r>
    </w:p>
    <w:p>
      <w:pPr>
        <w:pStyle w:val="FirstParagraph"/>
      </w:pPr>
      <w:r>
        <w:t xml:space="preserve">The programme’s own governance document is the worked example, and the sequence is documented rather than reconstructed.</w:t>
      </w:r>
    </w:p>
    <w:p>
      <w:pPr>
        <w:pStyle w:val="BodyText"/>
      </w:pPr>
      <w:r>
        <w:t xml:space="preserve">A specification was produced to publication quality and titled</w:t>
      </w:r>
      <w:r>
        <w:t xml:space="preserve"> </w:t>
      </w:r>
      <w:r>
        <w:rPr>
          <w:bCs/>
          <w:b/>
        </w:rPr>
        <w:t xml:space="preserve">“</w:t>
      </w:r>
      <w:r>
        <w:rPr>
          <w:bCs/>
          <w:b/>
        </w:rPr>
        <w:t xml:space="preserve">KYA Open Standard v1.5</w:t>
      </w:r>
      <w:r>
        <w:rPr>
          <w:bCs/>
          <w:b/>
        </w:rPr>
        <w:t xml:space="preserve">”</w:t>
      </w:r>
      <w:r>
        <w:t xml:space="preserve">. Assessed against four gates — two or more independent implementations; a conformance suite an implementation can fail; acceptance by a recognised body or genuine multi-party adoption; and change control outliving the authoring organisation — it met</w:t>
      </w:r>
      <w:r>
        <w:t xml:space="preserve"> </w:t>
      </w:r>
      <w:r>
        <w:rPr>
          <w:bCs/>
          <w:b/>
        </w:rPr>
        <w:t xml:space="preserve">zero of four</w:t>
      </w:r>
      <w:r>
        <w:t xml:space="preserve">. It was retitled</w:t>
      </w:r>
      <w:r>
        <w:t xml:space="preserve"> </w:t>
      </w:r>
      <w:r>
        <w:rPr>
          <w:bCs/>
          <w:b/>
        </w:rPr>
        <w:t xml:space="preserve">“</w:t>
      </w:r>
      <w:r>
        <w:rPr>
          <w:bCs/>
          <w:b/>
        </w:rPr>
        <w:t xml:space="preserve">KYA Specification v1.5</w:t>
      </w:r>
      <w:r>
        <w:rPr>
          <w:bCs/>
          <w:b/>
        </w:rPr>
        <w:t xml:space="preserve">”</w:t>
      </w:r>
      <w:r>
        <w:t xml:space="preserve"> </w:t>
      </w:r>
      <w:r>
        <w:t xml:space="preserve">on 24.07.2026 after the categorical question was put directly:</w:t>
      </w:r>
      <w:r>
        <w:t xml:space="preserve"> </w:t>
      </w:r>
      <w:r>
        <w:rPr>
          <w:iCs/>
          <w:i/>
        </w:rPr>
        <w:t xml:space="preserve">has any body processed this?</w:t>
      </w:r>
    </w:p>
    <w:p>
      <w:pPr>
        <w:pStyle w:val="BodyText"/>
      </w:pPr>
      <w:r>
        <w:t xml:space="preserve">Nothing about the document’s technical content was wrong. It was implementable, internally consistent, and honest in its individual claims. What was wrong was the</w:t>
      </w:r>
      <w:r>
        <w:t xml:space="preserve"> </w:t>
      </w:r>
      <w:r>
        <w:rPr>
          <w:bCs/>
          <w:b/>
        </w:rPr>
        <w:t xml:space="preserve">category</w:t>
      </w:r>
      <w:r>
        <w:t xml:space="preserve"> </w:t>
      </w:r>
      <w:r>
        <w:t xml:space="preserve">the title asserted, and the artifact’s fluency was precisely what made that assertion credible.</w:t>
      </w:r>
    </w:p>
    <w:p>
      <w:pPr>
        <w:pStyle w:val="BodyText"/>
      </w:pPr>
      <w:r>
        <w:t xml:space="preserve">The decisive observation follows:</w:t>
      </w:r>
    </w:p>
    <w:p>
      <w:pPr>
        <w:pStyle w:val="BlockText"/>
      </w:pPr>
      <w:r>
        <w:rPr>
          <w:bCs/>
          <w:b/>
        </w:rPr>
        <w:t xml:space="preserve">The same engineering capacity that produced v1.5 in a single session can produce v1.6, v2.0, and v3.0. The version number accelerates; the legitimacy does not move at all.</w:t>
      </w:r>
      <w:r>
        <w:t xml:space="preserve"> </w:t>
      </w:r>
      <w:r>
        <w:t xml:space="preserve">Technical iteration cannot convert a specification into a standard, because what is missing is not technical.</w:t>
      </w:r>
    </w:p>
    <w:p>
      <w:pPr>
        <w:pStyle w:val="FirstParagraph"/>
      </w:pPr>
      <w:r>
        <w:rPr>
          <w:bCs/>
          <w:b/>
        </w:rPr>
        <w:t xml:space="preserve">And the gap can widen rather than merely persist.</w:t>
      </w:r>
      <w:r>
        <w:t xml:space="preserve"> </w:t>
      </w:r>
      <w:r>
        <w:t xml:space="preserve">Stating that legitimacy</w:t>
      </w:r>
      <w:r>
        <w:t xml:space="preserve"> </w:t>
      </w:r>
      <w:r>
        <w:t xml:space="preserve">“</w:t>
      </w:r>
      <w:r>
        <w:t xml:space="preserve">does not move</w:t>
      </w:r>
      <w:r>
        <w:t xml:space="preserve">”</w:t>
      </w:r>
      <w:r>
        <w:t xml:space="preserve"> </w:t>
      </w:r>
      <w:r>
        <w:t xml:space="preserve">understates the risk. A standards body’s acceptance criteria are formed by consensus among parties with divergent commercial interests; a solo-authored artifact optimises instead for internal coherence, because internal coherence is the only constraint its author can feel. Each unreviewed iteration therefore improves the document against the wrong objective function, and may drift</w:t>
      </w:r>
      <w:r>
        <w:t xml:space="preserve"> </w:t>
      </w:r>
      <w:r>
        <w:rPr>
          <w:iCs/>
          <w:i/>
        </w:rPr>
        <w:t xml:space="preserve">further</w:t>
      </w:r>
      <w:r>
        <w:t xml:space="preserve"> </w:t>
      </w:r>
      <w:r>
        <w:t xml:space="preserve">from what a body would accept while appearing, by every internally visible measure, to improve.</w:t>
      </w:r>
      <w:r>
        <w:t xml:space="preserve"> </w:t>
      </w:r>
      <w:r>
        <w:rPr>
          <w:bCs/>
          <w:b/>
        </w:rPr>
        <w:t xml:space="preserve">Unreviewed iteration does not merely fail to accrue legitimacy; it can accumulate reconciliation debt.</w:t>
      </w:r>
      <w:r>
        <w:t xml:space="preserve"> </w:t>
      </w:r>
      <w:r>
        <w:t xml:space="preserve">The version that is technically best is not necessarily the version closest to adoptable, and nothing inside the authoring organisation distinguishes the two.</w:t>
      </w:r>
    </w:p>
    <w:bookmarkEnd w:id="323"/>
    <w:bookmarkStart w:id="324" w:name="Xd26d0e994e72d53ea14283e00e0de11f7b1f8ea"/>
    <w:p>
      <w:pPr>
        <w:pStyle w:val="Heading4"/>
      </w:pPr>
      <w:r>
        <w:t xml:space="preserve">10.27.2 Three jurisdictions make the gap measurable</w:t>
      </w:r>
    </w:p>
    <w:p>
      <w:pPr>
        <w:pStyle w:val="FirstParagraph"/>
      </w:pPr>
      <w:r>
        <w:t xml:space="preserve">Extending KYA across the EU, United States and Singapore sharpens the point from an observation into a constraint. Each jurisdiction runs a different, non-compressible clock, and one of them</w:t>
      </w:r>
      <w:r>
        <w:t xml:space="preserve"> </w:t>
      </w:r>
      <w:r>
        <w:rPr>
          <w:bCs/>
          <w:b/>
        </w:rPr>
        <w:t xml:space="preserve">cannot be entered on the author’s initiative at all</w:t>
      </w:r>
      <w:r>
        <w:t xml:space="preserve">: under EU AI Act Article 40, harmonised standards are produced by CEN/CENELEC in response to a standardisation request from the European Commission. No amount of engineering throughput opens that door.</w:t>
      </w:r>
    </w:p>
    <w:p>
      <w:pPr>
        <w:pStyle w:val="BodyText"/>
      </w:pPr>
      <w:r>
        <w:t xml:space="preserve">The architectural consequence — one jurisdiction-neutral core plus per-jurisdiction conformance</w:t>
      </w:r>
      <w:r>
        <w:t xml:space="preserve"> </w:t>
      </w:r>
      <w:r>
        <w:rPr>
          <w:bCs/>
          <w:b/>
        </w:rPr>
        <w:t xml:space="preserve">profiles</w:t>
      </w:r>
      <w:r>
        <w:t xml:space="preserve">, never three forked specifications — is documented at</w:t>
      </w:r>
      <w:r>
        <w:t xml:space="preserve"> </w:t>
      </w:r>
      <w:r>
        <w:rPr>
          <w:rStyle w:val="VerbatimChar"/>
        </w:rPr>
        <w:t xml:space="preserve">standards/kya-open/SPEC.md</w:t>
      </w:r>
      <w:r>
        <w:t xml:space="preserve"> </w:t>
      </w:r>
      <w:r>
        <w:t xml:space="preserve">§10. The epistemic consequence is the sentence this section exists to record:</w:t>
      </w:r>
    </w:p>
    <w:p>
      <w:pPr>
        <w:pStyle w:val="BlockText"/>
      </w:pPr>
      <w:r>
        <w:rPr>
          <w:bCs/>
          <w:b/>
        </w:rPr>
        <w:t xml:space="preserve">DWS can technically build better KYA versions indefinitely. In practice they remain specifications — and across three jurisdictions, three profiles of one specification.</w:t>
      </w:r>
      <w:r>
        <w:t xml:space="preserve"> </w:t>
      </w:r>
      <w:r>
        <w:t xml:space="preserve">The profiles cannot even be validated without in-jurisdiction legal review, which is a second process the engineering cannot absorb.</w:t>
      </w:r>
    </w:p>
    <w:bookmarkEnd w:id="324"/>
    <w:bookmarkStart w:id="325" w:name="the-implemented-countermeasure"/>
    <w:p>
      <w:pPr>
        <w:pStyle w:val="Heading4"/>
      </w:pPr>
      <w:r>
        <w:t xml:space="preserve">10.27.3 The implemented countermeasure</w:t>
      </w:r>
    </w:p>
    <w:p>
      <w:pPr>
        <w:pStyle w:val="FirstParagraph"/>
      </w:pPr>
      <w:r>
        <w:rPr>
          <w:rStyle w:val="VerbatimChar"/>
        </w:rPr>
        <w:t xml:space="preserve">DWS_LEARNING_STANDARD.md</w:t>
      </w:r>
      <w:r>
        <w:t xml:space="preserve"> </w:t>
      </w:r>
      <w:r>
        <w:t xml:space="preserve">is the mechanism, not a policy statement. Its §10 supplies what an accelerated engineering process lacks by default:</w:t>
      </w:r>
    </w:p>
    <w:tbl>
      <w:tblPr>
        <w:tblStyle w:val="Table"/>
        <w:tblW w:type="pct" w:w="5000"/>
        <w:tblLook w:firstRow="1" w:lastRow="0" w:firstColumn="0" w:lastColumn="0" w:noHBand="0" w:noVBand="0" w:val="0020"/>
        <w:jc w:val="start"/>
      </w:tblPr>
      <w:tblGrid>
        <w:gridCol w:w="1748"/>
        <w:gridCol w:w="6171"/>
      </w:tblGrid>
      <w:tr>
        <w:trPr>
          <w:tblHeader w:val="true"/>
        </w:trPr>
        <w:tc>
          <w:tcPr/>
          <w:p>
            <w:pPr>
              <w:pStyle w:val="Compact"/>
              <w:jc w:val="left"/>
            </w:pPr>
            <w:r>
              <w:t xml:space="preserve">Mechanism</w:t>
            </w:r>
          </w:p>
        </w:tc>
        <w:tc>
          <w:tcPr/>
          <w:p>
            <w:pPr>
              <w:pStyle w:val="Compact"/>
              <w:jc w:val="left"/>
            </w:pPr>
            <w:r>
              <w:t xml:space="preserve">What it constrains</w:t>
            </w:r>
          </w:p>
        </w:tc>
      </w:tr>
      <w:tr>
        <w:tc>
          <w:tcPr/>
          <w:p>
            <w:pPr>
              <w:pStyle w:val="Compact"/>
              <w:jc w:val="left"/>
            </w:pPr>
            <w:r>
              <w:t xml:space="preserve">§10.3 Reversibility classification</w:t>
            </w:r>
          </w:p>
        </w:tc>
        <w:tc>
          <w:tcPr/>
          <w:p>
            <w:pPr>
              <w:pStyle w:val="Compact"/>
              <w:jc w:val="left"/>
            </w:pPr>
            <w:r>
              <w:t xml:space="preserve">Separates two-way doors from ONE-WAY DOORS; sign / publish / send / delete / hand-to-counterparty are one-way by default</w:t>
            </w:r>
          </w:p>
        </w:tc>
      </w:tr>
      <w:tr>
        <w:tc>
          <w:tcPr/>
          <w:p>
            <w:pPr>
              <w:pStyle w:val="Compact"/>
              <w:jc w:val="left"/>
            </w:pPr>
            <w:r>
              <w:t xml:space="preserve">§10.3.1 The cooling gap</w:t>
            </w:r>
          </w:p>
        </w:tc>
        <w:tc>
          <w:tcPr/>
          <w:p>
            <w:pPr>
              <w:pStyle w:val="Compact"/>
              <w:jc w:val="left"/>
            </w:pPr>
            <w:r>
              <w:rPr>
                <w:bCs/>
                <w:b/>
              </w:rPr>
              <w:t xml:space="preserve">Nothing irreversible ships in the session that conceived it</w:t>
            </w:r>
            <w:r>
              <w:t xml:space="preserve"> </w:t>
            </w:r>
            <w:r>
              <w:t xml:space="preserve">— a deliberate gap between decision and act</w:t>
            </w:r>
          </w:p>
        </w:tc>
      </w:tr>
      <w:tr>
        <w:tc>
          <w:tcPr/>
          <w:p>
            <w:pPr>
              <w:pStyle w:val="Compact"/>
              <w:jc w:val="left"/>
            </w:pPr>
            <w:r>
              <w:t xml:space="preserve">§10.4 Verified vs propagated</w:t>
            </w:r>
          </w:p>
        </w:tc>
        <w:tc>
          <w:tcPr/>
          <w:p>
            <w:pPr>
              <w:pStyle w:val="Compact"/>
              <w:jc w:val="left"/>
            </w:pPr>
            <w:r>
              <w:t xml:space="preserve">Forces the evidentiary basis of a decision to be labelled at the point of decision, not in a footnote</w:t>
            </w:r>
          </w:p>
        </w:tc>
      </w:tr>
      <w:tr>
        <w:tc>
          <w:tcPr/>
          <w:p>
            <w:pPr>
              <w:pStyle w:val="Compact"/>
              <w:jc w:val="left"/>
            </w:pPr>
            <w:r>
              <w:t xml:space="preserve">§10.1 / §10.6</w:t>
            </w:r>
          </w:p>
        </w:tc>
        <w:tc>
          <w:tcPr/>
          <w:p>
            <w:pPr>
              <w:pStyle w:val="Compact"/>
              <w:jc w:val="left"/>
            </w:pPr>
            <w:r>
              <w:t xml:space="preserve">A six-field decision format with a mandatory recommendation, capped at four decisions per session</w:t>
            </w:r>
          </w:p>
        </w:tc>
      </w:tr>
      <w:tr>
        <w:tc>
          <w:tcPr/>
          <w:p>
            <w:pPr>
              <w:pStyle w:val="Compact"/>
              <w:jc w:val="left"/>
            </w:pPr>
            <w:r>
              <w:t xml:space="preserve">§4 Five-step HIC Learning Outcome</w:t>
            </w:r>
          </w:p>
        </w:tc>
        <w:tc>
          <w:tcPr/>
          <w:p>
            <w:pPr>
              <w:pStyle w:val="Compact"/>
              <w:jc w:val="left"/>
            </w:pPr>
            <w:r>
              <w:t xml:space="preserve">The EU AI Act Article 14 intervention point at session granularity</w:t>
            </w:r>
          </w:p>
        </w:tc>
      </w:tr>
    </w:tbl>
    <w:p>
      <w:pPr>
        <w:pStyle w:val="BodyText"/>
      </w:pPr>
      <w:r>
        <w:t xml:space="preserve">Read together, the Learning Standard functions as a</w:t>
      </w:r>
      <w:r>
        <w:t xml:space="preserve"> </w:t>
      </w:r>
      <w:r>
        <w:rPr>
          <w:bCs/>
          <w:b/>
        </w:rPr>
        <w:t xml:space="preserve">rate limiter on legitimacy claims</w:t>
      </w:r>
      <w:r>
        <w:t xml:space="preserve">, installed inside an engineering process that has none natively. Its necessity is itself evidence for the thesis of this section: had artifact production and artifact legitimation run at comparable speeds, no such mechanism would have been required.</w:t>
      </w:r>
    </w:p>
    <w:bookmarkEnd w:id="325"/>
    <w:bookmarkStart w:id="326" w:name="X202978e42c72db9104192bc57d2e21180172b37"/>
    <w:p>
      <w:pPr>
        <w:pStyle w:val="Heading4"/>
      </w:pPr>
      <w:r>
        <w:t xml:space="preserve">10.27.4 The design principle for the DWS product platform</w:t>
      </w:r>
    </w:p>
    <w:p>
      <w:pPr>
        <w:pStyle w:val="FirstParagraph"/>
      </w:pPr>
      <w:r>
        <w:t xml:space="preserve">The commercial conclusion follows directly, and it shapes what the platform sells to enterprises.</w:t>
      </w:r>
    </w:p>
    <w:p>
      <w:pPr>
        <w:numPr>
          <w:ilvl w:val="0"/>
          <w:numId w:val="1117"/>
        </w:numPr>
        <w:pStyle w:val="Compact"/>
      </w:pPr>
      <w:r>
        <w:rPr>
          <w:bCs/>
          <w:b/>
        </w:rPr>
        <w:t xml:space="preserve">Default to internal.</w:t>
      </w:r>
      <w:r>
        <w:t xml:space="preserve"> </w:t>
      </w:r>
      <w:r>
        <w:t xml:space="preserve">A specification is an</w:t>
      </w:r>
      <w:r>
        <w:t xml:space="preserve"> </w:t>
      </w:r>
      <w:r>
        <w:rPr>
          <w:bCs/>
          <w:b/>
        </w:rPr>
        <w:t xml:space="preserve">internal working artifact</w:t>
      </w:r>
      <w:r>
        <w:t xml:space="preserve"> </w:t>
      </w:r>
      <w:r>
        <w:t xml:space="preserve">until it earns external validation through the appropriate gate for the jurisdiction it targets. The platform’s posture is not to publish faster but to</w:t>
      </w:r>
      <w:r>
        <w:t xml:space="preserve"> </w:t>
      </w:r>
      <w:r>
        <w:rPr>
          <w:bCs/>
          <w:b/>
        </w:rPr>
        <w:t xml:space="preserve">earn adoption at the pace each body requires</w:t>
      </w:r>
      <w:r>
        <w:t xml:space="preserve"> </w:t>
      </w:r>
      <w:r>
        <w:t xml:space="preserve">— a pace the platform does not set and cannot compress. This is the governing default; the four principles below operate under it.</w:t>
      </w:r>
    </w:p>
    <w:p>
      <w:pPr>
        <w:numPr>
          <w:ilvl w:val="0"/>
          <w:numId w:val="1117"/>
        </w:numPr>
        <w:pStyle w:val="Compact"/>
      </w:pPr>
      <w:r>
        <w:rPr>
          <w:bCs/>
          <w:b/>
        </w:rPr>
        <w:t xml:space="preserve">Sell evidence, not verdicts.</w:t>
      </w:r>
      <w:r>
        <w:t xml:space="preserve"> </w:t>
      </w:r>
      <w:r>
        <w:t xml:space="preserve">Evidence artifacts are producible at machine speed; conformity</w:t>
      </w:r>
      <w:r>
        <w:t xml:space="preserve"> </w:t>
      </w:r>
      <w:r>
        <w:rPr>
          <w:iCs/>
          <w:i/>
        </w:rPr>
        <w:t xml:space="preserve">verdicts</w:t>
      </w:r>
      <w:r>
        <w:t xml:space="preserve"> </w:t>
      </w:r>
      <w:r>
        <w:t xml:space="preserve">require institutions that are not. Platform output should therefore be checkable material an auditor, regulator or counterparty evaluates — never an assertion that compliance obtains. This principle was applied concretely to public copy in the same period:</w:t>
      </w:r>
      <w:r>
        <w:t xml:space="preserve"> </w:t>
      </w:r>
      <w:r>
        <w:rPr>
          <w:iCs/>
          <w:i/>
        </w:rPr>
        <w:t xml:space="preserve">“</w:t>
      </w:r>
      <w:r>
        <w:rPr>
          <w:iCs/>
          <w:i/>
        </w:rPr>
        <w:t xml:space="preserve">court-defensible provenance</w:t>
      </w:r>
      <w:r>
        <w:rPr>
          <w:iCs/>
          <w:i/>
        </w:rPr>
        <w:t xml:space="preserve">”</w:t>
      </w:r>
      <w:r>
        <w:t xml:space="preserve"> </w:t>
      </w:r>
      <w:r>
        <w:t xml:space="preserve">became</w:t>
      </w:r>
      <w:r>
        <w:t xml:space="preserve"> </w:t>
      </w:r>
      <w:r>
        <w:rPr>
          <w:iCs/>
          <w:i/>
        </w:rPr>
        <w:t xml:space="preserve">“</w:t>
      </w:r>
      <w:r>
        <w:rPr>
          <w:iCs/>
          <w:i/>
        </w:rPr>
        <w:t xml:space="preserve">provenance designed against Article 12 record-keeping</w:t>
      </w:r>
      <w:r>
        <w:rPr>
          <w:iCs/>
          <w:i/>
        </w:rPr>
        <w:t xml:space="preserve">”</w:t>
      </w:r>
      <w:r>
        <w:t xml:space="preserve">, and</w:t>
      </w:r>
      <w:r>
        <w:t xml:space="preserve"> </w:t>
      </w:r>
      <w:r>
        <w:rPr>
          <w:iCs/>
          <w:i/>
        </w:rPr>
        <w:t xml:space="preserve">“</w:t>
      </w:r>
      <w:r>
        <w:rPr>
          <w:iCs/>
          <w:i/>
        </w:rPr>
        <w:t xml:space="preserve">KYA becomes the EU AI Act compliance layer</w:t>
      </w:r>
      <w:r>
        <w:rPr>
          <w:iCs/>
          <w:i/>
        </w:rPr>
        <w:t xml:space="preserve">”</w:t>
      </w:r>
      <w:r>
        <w:t xml:space="preserve"> </w:t>
      </w:r>
      <w:r>
        <w:t xml:space="preserve">gained the explicit statement that it does not by itself make a deployment compliant.</w:t>
      </w:r>
    </w:p>
    <w:p>
      <w:pPr>
        <w:numPr>
          <w:ilvl w:val="0"/>
          <w:numId w:val="1117"/>
        </w:numPr>
        <w:pStyle w:val="Compact"/>
      </w:pPr>
      <w:r>
        <w:rPr>
          <w:bCs/>
          <w:b/>
        </w:rPr>
        <w:t xml:space="preserve">Every claim carries its phase.</w:t>
      </w:r>
      <w:r>
        <w:t xml:space="preserve"> </w:t>
      </w:r>
      <w:r>
        <w:t xml:space="preserve">Maturity labelling travels</w:t>
      </w:r>
      <w:r>
        <w:t xml:space="preserve"> </w:t>
      </w:r>
      <w:r>
        <w:rPr>
          <w:bCs/>
          <w:b/>
        </w:rPr>
        <w:t xml:space="preserve">adjacent to the claim</w:t>
      </w:r>
      <w:r>
        <w:t xml:space="preserve"> </w:t>
      </w:r>
      <w:r>
        <w:t xml:space="preserve">— same sentence, same card — not on a separate status page. A phase label three scrolls away is the same over-claim with extra steps.</w:t>
      </w:r>
    </w:p>
    <w:p>
      <w:pPr>
        <w:numPr>
          <w:ilvl w:val="0"/>
          <w:numId w:val="1117"/>
        </w:numPr>
        <w:pStyle w:val="Compact"/>
      </w:pPr>
      <w:r>
        <w:rPr>
          <w:bCs/>
          <w:b/>
        </w:rPr>
        <w:t xml:space="preserve">Profiles, not forks.</w:t>
      </w:r>
      <w:r>
        <w:t xml:space="preserve"> </w:t>
      </w:r>
      <w:r>
        <w:t xml:space="preserve">Jurisdictional divergence is handled by parameterising one core, never by shipping three products. Three products drift; one core with three profiles preserves the portable credential that is the entire point.</w:t>
      </w:r>
    </w:p>
    <w:p>
      <w:pPr>
        <w:numPr>
          <w:ilvl w:val="0"/>
          <w:numId w:val="1117"/>
        </w:numPr>
        <w:pStyle w:val="Compact"/>
      </w:pPr>
      <w:r>
        <w:rPr>
          <w:bCs/>
          <w:b/>
        </w:rPr>
        <w:t xml:space="preserve">Build the rate limiter into the product, not only the process.</w:t>
      </w:r>
      <w:r>
        <w:t xml:space="preserve"> </w:t>
      </w:r>
      <w:r>
        <w:t xml:space="preserve">If this programme’s own engineering required a cooling gap, an enterprise assembling agentic compliance workflows requires one more urgently, having neither the context nor the authorship to notice the gap unaided. Making it structurally difficult to emit a compliance claim faster than its supporting evidence accrues is a</w:t>
      </w:r>
      <w:r>
        <w:t xml:space="preserve"> </w:t>
      </w:r>
      <w:r>
        <w:rPr>
          <w:bCs/>
          <w:b/>
        </w:rPr>
        <w:t xml:space="preserve">product feature</w:t>
      </w:r>
      <w:r>
        <w:t xml:space="preserve">, not an internal discipline.</w:t>
      </w:r>
    </w:p>
    <w:p>
      <w:pPr>
        <w:pStyle w:val="FirstParagraph"/>
      </w:pPr>
      <w:r>
        <w:rPr>
          <w:bCs/>
          <w:b/>
        </w:rPr>
        <w:t xml:space="preserve">Why this is a commercial position rather than a limitation.</w:t>
      </w:r>
      <w:r>
        <w:t xml:space="preserve"> </w:t>
      </w:r>
      <w:r>
        <w:t xml:space="preserve">Enterprises in regulated industries are the population the artifact–legitimacy gap damages most, because in their case an over-claim does not merely embarrass — it becomes a regulatory finding. Generative tooling has made a polished compliance document universally available; what has become scarce, in the same movement, is the ability to say</w:t>
      </w:r>
      <w:r>
        <w:t xml:space="preserve"> </w:t>
      </w:r>
      <w:r>
        <w:rPr>
          <w:bCs/>
          <w:b/>
        </w:rPr>
        <w:t xml:space="preserve">which parts of it are load-bearing</w:t>
      </w:r>
      <w:r>
        <w:t xml:space="preserve">. That discrimination — evidence separated from assertion, verified separated from propagated, phase stated with the claim — is precisely what compliance intelligence means as a product, and it is what DWS IQ offers enterprises.</w:t>
      </w:r>
    </w:p>
    <w:p>
      <w:pPr>
        <w:pStyle w:val="BodyText"/>
      </w:pPr>
      <w:r>
        <w:rPr>
          <w:bCs/>
          <w:b/>
        </w:rPr>
        <w:t xml:space="preserve">Key Contributions:</w:t>
      </w:r>
    </w:p>
    <w:p>
      <w:pPr>
        <w:numPr>
          <w:ilvl w:val="0"/>
          <w:numId w:val="1118"/>
        </w:numPr>
        <w:pStyle w:val="Compact"/>
      </w:pPr>
      <w:r>
        <w:t xml:space="preserve">Lifetime Scope Signals Protocol — Novel multi-agent coordination framework</w:t>
      </w:r>
    </w:p>
    <w:p>
      <w:pPr>
        <w:numPr>
          <w:ilvl w:val="0"/>
          <w:numId w:val="1118"/>
        </w:numPr>
        <w:pStyle w:val="Compact"/>
      </w:pPr>
      <w:r>
        <w:t xml:space="preserve">Solution Factory Model — Replicable industrial AI platform blueprint</w:t>
      </w:r>
    </w:p>
    <w:p>
      <w:pPr>
        <w:numPr>
          <w:ilvl w:val="0"/>
          <w:numId w:val="1118"/>
        </w:numPr>
        <w:pStyle w:val="Compact"/>
      </w:pPr>
      <w:r>
        <w:t xml:space="preserve">AI-Assisted Development — Cursor Pro and Claude Code Max enabling rapid 15-week MVP</w:t>
      </w:r>
    </w:p>
    <w:p>
      <w:pPr>
        <w:numPr>
          <w:ilvl w:val="0"/>
          <w:numId w:val="1118"/>
        </w:numPr>
        <w:pStyle w:val="Compact"/>
      </w:pPr>
      <w:r>
        <w:t xml:space="preserve">Phased Deployment Framework — Building trust for AI in regulated industries</w:t>
      </w:r>
    </w:p>
    <w:p>
      <w:pPr>
        <w:numPr>
          <w:ilvl w:val="0"/>
          <w:numId w:val="1118"/>
        </w:numPr>
        <w:pStyle w:val="Compact"/>
      </w:pPr>
      <w:r>
        <w:t xml:space="preserve">DWS10.com E-Commerce Validation — Google Merchant Center + Revolut Business</w:t>
      </w:r>
    </w:p>
    <w:p>
      <w:pPr>
        <w:numPr>
          <w:ilvl w:val="0"/>
          <w:numId w:val="1118"/>
        </w:numPr>
        <w:pStyle w:val="Compact"/>
      </w:pPr>
      <w:r>
        <w:t xml:space="preserve">HIL Learning Pipeline — Daily human-AI feedback loop</w:t>
      </w:r>
    </w:p>
    <w:p>
      <w:pPr>
        <w:numPr>
          <w:ilvl w:val="0"/>
          <w:numId w:val="1118"/>
        </w:numPr>
        <w:pStyle w:val="Compact"/>
      </w:pPr>
      <w:r>
        <w:t xml:space="preserve">Automated PR Workflow — Dual-model AI review replacing manual code review</w:t>
      </w:r>
    </w:p>
    <w:p>
      <w:pPr>
        <w:numPr>
          <w:ilvl w:val="0"/>
          <w:numId w:val="1118"/>
        </w:numPr>
        <w:pStyle w:val="Compact"/>
      </w:pPr>
      <w:r>
        <w:t xml:space="preserve">DWS7 Agent Modernization — Agentic loops, tool use, MCP server, Build for Agents principle</w:t>
      </w:r>
    </w:p>
    <w:p>
      <w:pPr>
        <w:numPr>
          <w:ilvl w:val="0"/>
          <w:numId w:val="1118"/>
        </w:numPr>
        <w:pStyle w:val="Compact"/>
      </w:pPr>
      <w:r>
        <w:t xml:space="preserve">OpenSandbox Edge Integration — Stage 1.5 agent sandboxing on Acer Veriton GN100; EMPO² agent memory alignment (arXiv:2602.23008)</w:t>
      </w:r>
    </w:p>
    <w:p>
      <w:pPr>
        <w:numPr>
          <w:ilvl w:val="0"/>
          <w:numId w:val="1118"/>
        </w:numPr>
        <w:pStyle w:val="Compact"/>
      </w:pPr>
      <w:r>
        <w:t xml:space="preserve">CEO Automation Agent Suite — Captain Briefing, LinkedIn Scheduler, EU Regulation Monitor; validates Solution Factory replicability for revenue-critical workflows</w:t>
      </w:r>
    </w:p>
    <w:p>
      <w:pPr>
        <w:numPr>
          <w:ilvl w:val="0"/>
          <w:numId w:val="1118"/>
        </w:numPr>
        <w:pStyle w:val="Compact"/>
      </w:pPr>
      <w:r>
        <w:t xml:space="preserve">Multi-Partner AI Ecosystem — NVIDIA, Siemens, ABB, xAI, Mistral; multi-LLM router resolving EU AI Act sovereignty tension in practice</w:t>
      </w:r>
    </w:p>
    <w:p>
      <w:pPr>
        <w:numPr>
          <w:ilvl w:val="0"/>
          <w:numId w:val="1118"/>
        </w:numPr>
        <w:pStyle w:val="Compact"/>
      </w:pPr>
      <w:r>
        <w:t xml:space="preserve">Climate IQ Pantheon — 13-agent Greek/Roman god system (6 orchestrators + 7 industry specialists) with SOUL.md identity pattern, prompt injection security, EU AI Act Article 12 logging, and marketing wedge personas</w:t>
      </w:r>
    </w:p>
    <w:p>
      <w:pPr>
        <w:numPr>
          <w:ilvl w:val="0"/>
          <w:numId w:val="1118"/>
        </w:numPr>
        <w:pStyle w:val="Compact"/>
      </w:pPr>
      <w:r>
        <w:t xml:space="preserve">Claude Code Engineering Structure — CLAUDE.md as project memory, Skills as reusable workflow components, Hooks for automated quality enforcement; demonstrates AI workflow design as software engineering discipline</w:t>
      </w:r>
    </w:p>
    <w:p>
      <w:pPr>
        <w:numPr>
          <w:ilvl w:val="0"/>
          <w:numId w:val="1118"/>
        </w:numPr>
        <w:pStyle w:val="Compact"/>
      </w:pPr>
      <w:r>
        <w:t xml:space="preserve">Learn Thinking — Reflective learning framework: thesis as living document, daily Learn/ folder reflection loop, extension of Build-Measure-Learn cycle for AI-assisted product development</w:t>
      </w:r>
    </w:p>
    <w:p>
      <w:pPr>
        <w:numPr>
          <w:ilvl w:val="0"/>
          <w:numId w:val="1118"/>
        </w:numPr>
        <w:pStyle w:val="Compact"/>
      </w:pPr>
      <w:r>
        <w:t xml:space="preserve">MCP Hub Orchestration + Three-Interface Rule — Four production workflow patterns (Fan-Out, Sequential, Reflection, Pipeline) with documented endpoints; Skills/CLI as mandatory agent interfaces ensuring every agent is accessible to humans, AI systems, and development workflows</w:t>
      </w:r>
    </w:p>
    <w:p>
      <w:pPr>
        <w:numPr>
          <w:ilvl w:val="0"/>
          <w:numId w:val="1118"/>
        </w:numPr>
        <w:pStyle w:val="Compact"/>
      </w:pPr>
      <w:r>
        <w:t xml:space="preserve">Customer-Facing MVP Features — Three production features transitioning DWS IQ from developer tooling to customer-ready SaaS: (a) Self-service API Key Management with SHA-256 hashing and scope-based access, (b) Usage Metering with 3-tier billing enforcement (Free/Pro/Enterprise) and dashboard progress bars, (c) Compliance Report Export with CSV/JSON download and recurring schedule support. Validates Solution Factory productization hypothesis — platform is market-ready for regulated EU industries</w:t>
      </w:r>
    </w:p>
    <w:p>
      <w:pPr>
        <w:numPr>
          <w:ilvl w:val="0"/>
          <w:numId w:val="1118"/>
        </w:numPr>
        <w:pStyle w:val="Compact"/>
      </w:pPr>
      <w:r>
        <w:t xml:space="preserve">Agent System Hardening — Production reliability restoration: 6 TypeScript compilation errors fixed across 5 subsystems, SandboxContext type alignment, MCP/HIL route wiring, locale-deterministic number formatting, dependency hygiene; demonstrates integration debt patterns in multi-agent systems</w:t>
      </w:r>
    </w:p>
    <w:p>
      <w:pPr>
        <w:numPr>
          <w:ilvl w:val="0"/>
          <w:numId w:val="1118"/>
        </w:numPr>
        <w:pStyle w:val="Compact"/>
      </w:pPr>
      <w:r>
        <w:t xml:space="preserve">PostgreSQL Columnar HTAP Architecture — Single-database HTAP via pg_duckdb + TimescaleDB on Aiven EU; DWS Data Standard creation governing storage engines, extension registry, retention policies, and EU regulatory compliance (GDPR, EU AI Act Art 12, NIS2, CSRD, EU Data Act); 4-phase rollout from table partitioning to lakehouse integration</w:t>
      </w:r>
    </w:p>
    <w:p>
      <w:pPr>
        <w:numPr>
          <w:ilvl w:val="0"/>
          <w:numId w:val="1118"/>
        </w:numPr>
        <w:pStyle w:val="Compact"/>
      </w:pPr>
      <w:r>
        <w:t xml:space="preserve">Two-Tier HTAP Architecture — Aiven-first mandate locks TimescaleDB 2.25.x Hypercore as approved standard for managed production (10-100× analytics, 98% compression); pg_duckdb (50-600× OLAP) relegated to edge device only due to Aiven whitelist; GN100 edge PostgreSQL deployed with full extension stack for ad-hoc analytics</w:t>
      </w:r>
    </w:p>
    <w:p>
      <w:pPr>
        <w:numPr>
          <w:ilvl w:val="0"/>
          <w:numId w:val="1118"/>
        </w:numPr>
        <w:pStyle w:val="Compact"/>
      </w:pPr>
      <w:r>
        <w:t xml:space="preserve">Harness Engineering — Analysis of OpenAI’s 8 harness engineering principles against DWS IQ 6 architecture; empirical finding that harness improvements alone yield 52.8%→66.5% benchmark gains (model unchanged); DWS’s L0-L6 six-layer architecture as formal harness framework; EU regulation requires fundamentally different harness (traceability + human-in-the-loop vs Silicon Valley speed optimization)</w:t>
      </w:r>
    </w:p>
    <w:p>
      <w:pPr>
        <w:numPr>
          <w:ilvl w:val="0"/>
          <w:numId w:val="1118"/>
        </w:numPr>
        <w:pStyle w:val="Compact"/>
      </w:pPr>
      <w:r>
        <w:t xml:space="preserve">Carbon Balance Sheet — Conclusion that EU climate compliance (ETS, CBAM, CSRD, Taxonomy) is structurally isomorphic to financial accounting; double-entry bookkeeping for CO2 with dual-unit entries (EUR + tCO2e); cross-regulation reconciliation via shared ledger entries; cross-vertical intelligence thesis (multi-industry ledger produces emergent data no single-vertical tool can replicate); DWS 7 Phase 2.6 implementation plan (8 PRs, persistent ledger, CFO dashboard, ERP GL sync, XBRL export)</w:t>
      </w:r>
    </w:p>
    <w:p>
      <w:pPr>
        <w:numPr>
          <w:ilvl w:val="0"/>
          <w:numId w:val="1118"/>
        </w:numPr>
        <w:pStyle w:val="Compact"/>
      </w:pPr>
      <w:r>
        <w:t xml:space="preserve">LWM Sequencing Strategy — Three-phase sequencing (compliance→fleet→Series A) resolving investor narrative contradictions; LeWorldModel (arXiv:2603.19312) external validation of JEPA world models; Phase 2 technical gap analysis identifying three unsolved problems (input modality, scale, regulatory-physical integration); compliance-first world model thesis (compliance data feeds physical planning, not the reverse); Persefoni/Sweep market comparables positioning EUR 3.8M cap below carbon SaaS benchmarks</w:t>
      </w:r>
    </w:p>
    <w:p>
      <w:pPr>
        <w:numPr>
          <w:ilvl w:val="0"/>
          <w:numId w:val="1118"/>
        </w:numPr>
        <w:pStyle w:val="Compact"/>
      </w:pPr>
      <w:r>
        <w:t xml:space="preserve">Domain-Specific vs Generic AI Harness — Competitive analysis against everything-claude-code (120k stars, 136 skills); six differentiators documented (domain specificity, six-layer architecture, hard gates, trust boundary zones, gstack workflow, agent-first product rule); token budget analysis demonstrating depth outperforms breadth for regulated domains; skills inventory growth from 6 to 21 production skills with 4 blocking discipline gates; validates harness engineering thesis (Section 10.16)</w:t>
      </w:r>
    </w:p>
    <w:p>
      <w:pPr>
        <w:numPr>
          <w:ilvl w:val="0"/>
          <w:numId w:val="1118"/>
        </w:numPr>
        <w:pStyle w:val="Compact"/>
      </w:pPr>
      <w:r>
        <w:t xml:space="preserve">Thesis Versioning Strategy — Dual-version architecture: v3.30.50 frozen 50-page Metropolia outgoing + 82-page living document continues; demonstrates practical solution for AI-assisted academic writing where research velocity exceeds submission format constraints; preserves full research lineage while meeting institutional requirements</w:t>
      </w:r>
    </w:p>
    <w:p>
      <w:pPr>
        <w:numPr>
          <w:ilvl w:val="0"/>
          <w:numId w:val="1118"/>
        </w:numPr>
        <w:pStyle w:val="Compact"/>
      </w:pPr>
      <w:r>
        <w:t xml:space="preserve">Skills Paradigm Validated by Industry Consensus — 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24+ production skills with 4 discipline gates now represent industry consensus rather than a DWS-specific bet</w:t>
      </w:r>
    </w:p>
    <w:p>
      <w:pPr>
        <w:numPr>
          <w:ilvl w:val="0"/>
          <w:numId w:val="1118"/>
        </w:numPr>
        <w:pStyle w:val="Compact"/>
      </w:pPr>
      <w:r>
        <w:t xml:space="preserve">Lifetime Fleet Crystallization — Brain-Memory-Body-Hands stack is testable end-to-end: Finland Drone Strategy 2030 alignment + Baltic-first 12–16 week MVP graduate the</w:t>
      </w:r>
      <w:r>
        <w:t xml:space="preserve"> </w:t>
      </w:r>
      <w:r>
        <w:t xml:space="preserve">“</w:t>
      </w:r>
      <w:r>
        <w:t xml:space="preserve">Hands</w:t>
      </w:r>
      <w:r>
        <w:t xml:space="preserve">”</w:t>
      </w:r>
      <w:r>
        <w:t xml:space="preserve"> </w:t>
      </w:r>
      <w:r>
        <w:t xml:space="preserve">layer from specification to concrete hardware timeline with full reuse of KYA/Aegis/Firehorse governance; compliance-first world-model thesis (§10.18) becomes a near-term engineering milestone</w:t>
      </w:r>
    </w:p>
    <w:p>
      <w:pPr>
        <w:numPr>
          <w:ilvl w:val="0"/>
          <w:numId w:val="1118"/>
        </w:numPr>
        <w:pStyle w:val="Compact"/>
      </w:pPr>
      <w:r>
        <w:t xml:space="preserve">22nd Industry via Green Hydrogen Additionality — DWS IQ 7 Datacentre Compliance Agent applies RFNBO Delegated Regulation 2023/1184 (additionality, temporal correlation, geographical correlation) to Finnish datacentres; extends double-entry carbon ledger (§10.17) to data-intensive services and adds NIS2 + CER coverage alongside climate regulation — the first cross-domain extension of platform regulatory scope</w:t>
      </w:r>
    </w:p>
    <w:p>
      <w:pPr>
        <w:numPr>
          <w:ilvl w:val="0"/>
          <w:numId w:val="1118"/>
        </w:numPr>
        <w:pStyle w:val="Compact"/>
      </w:pPr>
      <w:r>
        <w:t xml:space="preserve">Founder→Team Transition as Platform Feature — SOLO_FOUNDER_STATEMENT v1.2 + Anthony Maurin CTO co-builder sequencing +</w:t>
      </w:r>
      <w:r>
        <w:t xml:space="preserve"> </w:t>
      </w:r>
      <w:r>
        <w:rPr>
          <w:rStyle w:val="VerbatimChar"/>
        </w:rPr>
        <w:t xml:space="preserve">/investor-outreach</w:t>
      </w:r>
      <w:r>
        <w:t xml:space="preserve"> </w:t>
      </w:r>
      <w:r>
        <w:t xml:space="preserve">skill (10+ INTRO notes drafted) make investor outreach a reproducible DWS IQ workflow rather than tacit founder knowledge; validates the platform’s own solution-factory claim</w:t>
      </w:r>
    </w:p>
    <w:p>
      <w:pPr>
        <w:numPr>
          <w:ilvl w:val="0"/>
          <w:numId w:val="1118"/>
        </w:numPr>
        <w:pStyle w:val="Compact"/>
      </w:pPr>
      <w:r>
        <w:t xml:space="preserve">KYA Agentic AI Foundation Targeting with Dual-Use Expansion — KYA is elevated toward a general foundational standard for agent trust/governance; DWS 7 is framed as the empirical environment unifying hydrogen-economy continuity (DWS 5 -&gt; DWS 7), sovereignty segmentation (Aegis/Sovereign Infra/Connect), Nokia Defence dual-use track, and Siemens/NVIDIA Connect collaboration anchors</w:t>
      </w:r>
    </w:p>
    <w:p>
      <w:pPr>
        <w:numPr>
          <w:ilvl w:val="0"/>
          <w:numId w:val="1118"/>
        </w:numPr>
        <w:pStyle w:val="Compact"/>
      </w:pPr>
      <w:r>
        <w:t xml:space="preserve">KYA Open-Source Standard Path with Article 1 Lock — explicit standardization route added (Agentic AI Foundation / Linux Foundation), NIST path status recorded (not submitted), and 2026-2029 publication phasing integrated with EIC Step 1 communication assets</w:t>
      </w:r>
    </w:p>
    <w:p>
      <w:pPr>
        <w:numPr>
          <w:ilvl w:val="0"/>
          <w:numId w:val="1118"/>
        </w:numPr>
        <w:pStyle w:val="Compact"/>
      </w:pPr>
      <w:r>
        <w:t xml:space="preserve">Three-Tier Skilled Taxonomy — brand / specification / UI taxonomy (Skilled / Industrial Specialist / Industry) as design pattern for EU-regulated agent platforms; monotone</w:t>
      </w:r>
      <w:r>
        <w:t xml:space="preserve"> </w:t>
      </w:r>
      <w:r>
        <w:rPr>
          <w:rStyle w:val="VerbatimChar"/>
        </w:rPr>
        <w:t xml:space="preserve">Skilled &lt;Axis&gt;</w:t>
      </w:r>
      <w:r>
        <w:t xml:space="preserve"> </w:t>
      </w:r>
      <w:r>
        <w:t xml:space="preserve">pattern across agents, workflows, jurisdictions</w:t>
      </w:r>
    </w:p>
    <w:p>
      <w:pPr>
        <w:numPr>
          <w:ilvl w:val="0"/>
          <w:numId w:val="1118"/>
        </w:numPr>
        <w:pStyle w:val="Compact"/>
      </w:pPr>
      <w:r>
        <w:t xml:space="preserve">Three-Capital Accumulation Model — Implementation evidence from 7-month HIL phase: token capital (30+ skills, 150+ field notes, 50-agent foundry), human capital (pattern recognition, calibration), Control Room capital (thresholds, Article 12 audit); defines HIL → HIC transition</w:t>
      </w:r>
    </w:p>
    <w:p>
      <w:pPr>
        <w:numPr>
          <w:ilvl w:val="0"/>
          <w:numId w:val="1118"/>
        </w:numPr>
        <w:pStyle w:val="Compact"/>
      </w:pPr>
      <w:r>
        <w:t xml:space="preserve">Four-Capital (4P) Architecture Mapping — Prompt, People, Plant, Perception mapped to DWS IQ 6 Brain-Memory-Body-Hands; GTM land-and-expand pattern from Perception Capital accumulation</w:t>
      </w:r>
    </w:p>
    <w:p>
      <w:pPr>
        <w:numPr>
          <w:ilvl w:val="0"/>
          <w:numId w:val="1118"/>
        </w:numPr>
        <w:pStyle w:val="Compact"/>
      </w:pPr>
      <w:r>
        <w:t xml:space="preserve">Capability Ontology and Three-Pillar Consulting GTM — 10 LWM knowledge graph classes organising 80+ agent capabilities; three-pillar delivery model (train → develop → protect) mapping to 4P capital pathway;</w:t>
      </w:r>
      <w:r>
        <w:t xml:space="preserve"> </w:t>
      </w:r>
      <w:r>
        <w:t xml:space="preserve">“</w:t>
      </w:r>
      <w:r>
        <w:t xml:space="preserve">capability-not-role</w:t>
      </w:r>
      <w:r>
        <w:t xml:space="preserve">”</w:t>
      </w:r>
      <w:r>
        <w:t xml:space="preserve"> </w:t>
      </w:r>
      <w:r>
        <w:t xml:space="preserve">framing for B2B agentic platforms; companion artefact:</w:t>
      </w:r>
      <w:r>
        <w:t xml:space="preserve"> </w:t>
      </w:r>
      <w:r>
        <w:rPr>
          <w:rStyle w:val="VerbatimChar"/>
        </w:rPr>
        <w:t xml:space="preserve">docs/KONSULTOINNIN_KASIKIRJA_2026.md</w:t>
      </w:r>
      <w:r>
        <w:t xml:space="preserve"> </w:t>
      </w:r>
      <w:r>
        <w:t xml:space="preserve">v1.5</w:t>
      </w:r>
    </w:p>
    <w:p>
      <w:pPr>
        <w:pStyle w:val="FirstParagraph"/>
      </w:pPr>
      <w:r>
        <w:rPr>
          <w:bCs/>
          <w:b/>
        </w:rPr>
        <w:t xml:space="preserve">License:</w:t>
      </w:r>
      <w:r>
        <w:t xml:space="preserve"> </w:t>
      </w:r>
      <w:r>
        <w:t xml:space="preserve">Proprietary - Lifetime Oy</w:t>
      </w:r>
      <w:r>
        <w:t xml:space="preserve"> </w:t>
      </w:r>
      <w:r>
        <w:rPr>
          <w:bCs/>
          <w:b/>
        </w:rPr>
        <w:t xml:space="preserve">Contact:</w:t>
      </w:r>
      <w:r>
        <w:t xml:space="preserve"> </w:t>
      </w:r>
      <w:r>
        <w:t xml:space="preserve">risto@lifetime.fi</w:t>
      </w:r>
    </w:p>
    <w:p>
      <w:r>
        <w:pict>
          <v:rect style="width:0;height:1.5pt" o:hralign="center" o:hrstd="t" o:hr="t"/>
        </w:pict>
      </w:r>
    </w:p>
    <w:bookmarkEnd w:id="326"/>
    <w:bookmarkEnd w:id="327"/>
    <w:bookmarkEnd w:id="328"/>
    <w:bookmarkStart w:id="332" w:name="Xf76f02197654b50ad1c69730f6ce4333114a861"/>
    <w:p>
      <w:pPr>
        <w:pStyle w:val="Heading2"/>
      </w:pPr>
      <w:r>
        <w:t xml:space="preserve">10.16 EU AI Act Article 50 Content Marking — Implementation</w:t>
      </w:r>
    </w:p>
    <w:bookmarkStart w:id="329" w:name="motivation-6"/>
    <w:p>
      <w:pPr>
        <w:pStyle w:val="Heading3"/>
      </w:pPr>
      <w:r>
        <w:t xml:space="preserve">10.16.1 Motivation</w:t>
      </w:r>
    </w:p>
    <w:p>
      <w:pPr>
        <w:pStyle w:val="FirstParagraph"/>
      </w:pPr>
      <w:r>
        <w:t xml:space="preserve">On 2 August 2026 the AI Office and national market surveillance authorities began enforcing the AI Act, and the Article 50 transparency obligations entered application. DWS publishes AI-generated media on its own public surfaces, which places it in the Article 50(4)</w:t>
      </w:r>
      <w:r>
        <w:t xml:space="preserve"> </w:t>
      </w:r>
      <w:r>
        <w:rPr>
          <w:bCs/>
          <w:b/>
        </w:rPr>
        <w:t xml:space="preserve">deployer</w:t>
      </w:r>
      <w:r>
        <w:t xml:space="preserve"> </w:t>
      </w:r>
      <w:r>
        <w:t xml:space="preserve">role: deepfakes and AI-generated text on matters of public interest published without human review must carry a clear and perceivable label. The obligation is not deferred — unlike the Article 50(2) provider marking duty, which the AI Omnibus defers to December 2026 for generative systems placed on the market before 2 August 2026, deepfake labelling received no equivalent grace period.</w:t>
      </w:r>
    </w:p>
    <w:p>
      <w:pPr>
        <w:pStyle w:val="BodyText"/>
      </w:pPr>
      <w:r>
        <w:t xml:space="preserve">An audit of every public DWS surface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identified the exposed assets: two AI-generated presenter videos and four AI-generated persona portraits.</w:t>
      </w:r>
    </w:p>
    <w:bookmarkEnd w:id="329"/>
    <w:bookmarkStart w:id="330" w:name="Xbc040206af05a4f3ecc073bbcb4f2312fd22f8e"/>
    <w:p>
      <w:pPr>
        <w:pStyle w:val="Heading3"/>
      </w:pPr>
      <w:r>
        <w:t xml:space="preserve">10.16.2 Implementation: the mark is composited into the media, not the page</w:t>
      </w:r>
    </w:p>
    <w:p>
      <w:pPr>
        <w:pStyle w:val="FirstParagraph"/>
      </w:pPr>
      <w:r>
        <w:t xml:space="preserve">The first implementation attempt placed the EU</w:t>
      </w:r>
      <w:r>
        <w:t xml:space="preserve"> </w:t>
      </w:r>
      <w:r>
        <w:rPr>
          <w:bCs/>
          <w:b/>
        </w:rPr>
        <w:t xml:space="preserve">AI GENERATED</w:t>
      </w:r>
      <w:r>
        <w:t xml:space="preserve"> </w:t>
      </w:r>
      <w:r>
        <w:t xml:space="preserve">icon as an HTML/CSS overlay positioned above the</w:t>
      </w:r>
      <w:r>
        <w:t xml:space="preserve"> </w:t>
      </w:r>
      <w:r>
        <w:rPr>
          <w:rStyle w:val="VerbatimChar"/>
        </w:rPr>
        <w:t xml:space="preserve">&lt;video&gt;</w:t>
      </w:r>
      <w:r>
        <w:t xml:space="preserve"> </w:t>
      </w:r>
      <w:r>
        <w:t xml:space="preserve">element. This satisfies perceivability while the visitor is on the page and fails the moment the artefact leaves it: a downloaded or re-shared copy carries no label, because the label was a property of the page rather than of the media.</w:t>
      </w:r>
    </w:p>
    <w:p>
      <w:pPr>
        <w:pStyle w:val="BodyText"/>
      </w:pPr>
      <w:r>
        <w:t xml:space="preserve">The shipped implementation composites the icon into the video frames before publication, using an</w:t>
      </w:r>
      <w:r>
        <w:t xml:space="preserve"> </w:t>
      </w:r>
      <w:r>
        <w:rPr>
          <w:rStyle w:val="VerbatimChar"/>
        </w:rPr>
        <w:t xml:space="preserve">ffmpeg</w:t>
      </w:r>
      <w:r>
        <w:t xml:space="preserve"> </w:t>
      </w:r>
      <w:r>
        <w:t xml:space="preserve">overlay filter (icon scaled to ~22% of frame width, bottom-right, 24 px margin, present for the full duration), then derives the poster frame and the VP9/WebM fallback from the already-marked master so every delivered representation carries the mark. Each composite was verified visually — a frame extracted and inspected — before publication, rather than assumed from a successful exit code.</w:t>
      </w:r>
    </w:p>
    <w:p>
      <w:pPr>
        <w:pStyle w:val="BodyText"/>
      </w:pPr>
      <w:r>
        <w:t xml:space="preserve">The persona portraits were resolved differently. Because the AI-persona team section was being replaced by real named industry roles, the section was</w:t>
      </w:r>
      <w:r>
        <w:t xml:space="preserve"> </w:t>
      </w:r>
      <w:r>
        <w:rPr>
          <w:bCs/>
          <w:b/>
        </w:rPr>
        <w:t xml:space="preserve">retired</w:t>
      </w:r>
      <w:r>
        <w:t xml:space="preserve"> </w:t>
      </w:r>
      <w:r>
        <w:t xml:space="preserve">rather than labelled: removing the assets eliminated the exposure without investing marking effort in content scheduled for deletion. This is recorded because it is a general result — where exposed content is already slated for replacement, retirement dominates labelling on both cost and honesty.</w:t>
      </w:r>
    </w:p>
    <w:bookmarkEnd w:id="330"/>
    <w:bookmarkStart w:id="331" w:name="the-engineering-rule-this-produced"/>
    <w:p>
      <w:pPr>
        <w:pStyle w:val="Heading3"/>
      </w:pPr>
      <w:r>
        <w:t xml:space="preserve">10.16.3 The engineering rule this produced</w:t>
      </w:r>
    </w:p>
    <w:p>
      <w:pPr>
        <w:pStyle w:val="BlockText"/>
      </w:pPr>
      <w:r>
        <w:t xml:space="preserve">A transparency marking implemented at the presentation layer is not a marking; it is a caption.</w:t>
      </w:r>
    </w:p>
    <w:p>
      <w:pPr>
        <w:pStyle w:val="FirstParagraph"/>
      </w:pPr>
      <w:r>
        <w:t xml:space="preserve">Article 50’s placement requirement is, in engineering terms, a demand for</w:t>
      </w:r>
      <w:r>
        <w:t xml:space="preserve"> </w:t>
      </w:r>
      <w:r>
        <w:rPr>
          <w:bCs/>
          <w:b/>
        </w:rPr>
        <w:t xml:space="preserve">provenance that survives egress</w:t>
      </w:r>
      <w:r>
        <w:t xml:space="preserve"> </w:t>
      </w:r>
      <w:r>
        <w:t xml:space="preserve">— the same property C2PA content credentials assert for media and the same property the Article 12 evidence chain requires of agent logs. A label that lives in the rendering context cannot satisfy it. Any marking implementation must therefore be evaluated against the question</w:t>
      </w:r>
      <w:r>
        <w:t xml:space="preserve"> </w:t>
      </w:r>
      <w:r>
        <w:rPr>
          <w:iCs/>
          <w:i/>
        </w:rPr>
        <w:t xml:space="preserve">“</w:t>
      </w:r>
      <w:r>
        <w:rPr>
          <w:iCs/>
          <w:i/>
        </w:rPr>
        <w:t xml:space="preserve">does this survive download and re-share?</w:t>
      </w:r>
      <w:r>
        <w:rPr>
          <w:iCs/>
          <w:i/>
        </w:rPr>
        <w:t xml:space="preserve">”</w:t>
      </w:r>
      <w:r>
        <w:t xml:space="preserve">, and only in-media compositing (or a cryptographically bound sidecar the consuming surface is obliged to honour) passes.</w:t>
      </w:r>
    </w:p>
    <w:p>
      <w:pPr>
        <w:pStyle w:val="BodyText"/>
      </w:pPr>
      <w:r>
        <w:t xml:space="preserve">The corresponding operational finding is that</w:t>
      </w:r>
      <w:r>
        <w:t xml:space="preserve"> </w:t>
      </w:r>
      <w:r>
        <w:rPr>
          <w:bCs/>
          <w:b/>
        </w:rPr>
        <w:t xml:space="preserve">deployer-side labelling, not provider-side watermarking, is the near-term binding constraint</w:t>
      </w:r>
      <w:r>
        <w:t xml:space="preserve">: the half of Article 50 that is cheap to implement and immediately verifiable by a regulator is the half with no grace period.</w:t>
      </w:r>
    </w:p>
    <w:p>
      <w:pPr>
        <w:pStyle w:val="BodyText"/>
      </w:pPr>
      <w:r>
        <w:rPr>
          <w:iCs/>
          <w:i/>
        </w:rPr>
        <w:t xml:space="preserve">Field note:</w:t>
      </w:r>
      <w:r>
        <w:rPr>
          <w:iCs/>
          <w:i/>
        </w:rPr>
        <w:t xml:space="preserve"> </w:t>
      </w:r>
      <w:r>
        <w:rPr>
          <w:rStyle w:val="VerbatimChar"/>
          <w:iCs/>
          <w:i/>
        </w:rPr>
        <w:t xml:space="preserve">docs/field-notes/2026-07-31-article-50-transparency-marking-audit.md</w:t>
      </w:r>
      <w:r>
        <w:rPr>
          <w:iCs/>
          <w:i/>
        </w:rPr>
        <w:t xml:space="preserve"> </w:t>
      </w:r>
      <w:r>
        <w:rPr>
          <w:iCs/>
          <w:i/>
        </w:rPr>
        <w:t xml:space="preserve">and</w:t>
      </w:r>
      <w:r>
        <w:rPr>
          <w:iCs/>
          <w:i/>
        </w:rPr>
        <w:t xml:space="preserve"> </w:t>
      </w:r>
      <w:r>
        <w:rPr>
          <w:rStyle w:val="VerbatimChar"/>
          <w:iCs/>
          <w:i/>
        </w:rPr>
        <w:t xml:space="preserve">docs/field-notes/2026-08-01-persona-retirement-and-reveal.md</w:t>
      </w:r>
      <w:r>
        <w:rPr>
          <w:iCs/>
          <w:i/>
        </w:rPr>
        <w:t xml:space="preserve">. Scientific restatement and the obligation–capability analysis: PHD_FIREHORSE §14.46 (Key Contribution #51).</w:t>
      </w:r>
    </w:p>
    <w:p>
      <w:r>
        <w:pict>
          <v:rect style="width:0;height:1.5pt" o:hralign="center" o:hrstd="t" o:hr="t"/>
        </w:pict>
      </w:r>
    </w:p>
    <w:bookmarkEnd w:id="331"/>
    <w:bookmarkEnd w:id="332"/>
    <w:bookmarkStart w:id="336" w:name="X3a17b2053d7b63791f6db13e6a0a658c6b5ea99"/>
    <w:p>
      <w:pPr>
        <w:pStyle w:val="Heading2"/>
      </w:pPr>
      <w:r>
        <w:t xml:space="preserve">10.17 Extending Article 50(4) Labelling to AI-Drafted and Machine-Translated Text</w:t>
      </w:r>
    </w:p>
    <w:bookmarkStart w:id="333" w:name="motivation-7"/>
    <w:p>
      <w:pPr>
        <w:pStyle w:val="Heading3"/>
      </w:pPr>
      <w:r>
        <w:t xml:space="preserve">10.17.1 Motivation</w:t>
      </w:r>
    </w:p>
    <w:p>
      <w:pPr>
        <w:pStyle w:val="FirstParagraph"/>
      </w:pPr>
      <w:r>
        <w:t xml:space="preserve">§10.16 addressed AI-generated media. On 6 August 2026 a five-language field-note post (EN/FI/SV/DE/FR) was drafted, approved, and published —</w:t>
      </w:r>
      <w:r>
        <w:t xml:space="preserve"> </w:t>
      </w:r>
      <w:r>
        <w:rPr>
          <w:rStyle w:val="VerbatimChar"/>
        </w:rPr>
        <w:t xml:space="preserve">onelifetime.world/posts/arvonluonnin-ajurit-2026*.html</w:t>
      </w:r>
      <w:r>
        <w:t xml:space="preserve">, mapping directly to the value-creation-drivers content of</w:t>
      </w:r>
      <w:r>
        <w:t xml:space="preserve"> </w:t>
      </w:r>
      <w:r>
        <w:rPr>
          <w:rStyle w:val="VerbatimChar"/>
        </w:rPr>
        <w:t xml:space="preserve">docs/KONSULTOINNIN_KASIKIRJA_2026.md</w:t>
      </w:r>
      <w:r>
        <w:t xml:space="preserve"> </w:t>
      </w:r>
      <w:r>
        <w:t xml:space="preserve">§2.1/§2.2. The EN and FI variants were agent-drafted; SV, DE and FR were produced by an external LLM (Google Gemini) on HIC instruction and adapted into the page templates. No variant had a named human reviewer before publication, and all five carry regulatory content in the body text itself (Article 12/50 dates, CBAM, ETS2, KYA-S1). This raised the question §10.16 left open for text rather than media: does the same deployer duty, and the same design rule, apply?</w:t>
      </w:r>
    </w:p>
    <w:bookmarkEnd w:id="333"/>
    <w:bookmarkStart w:id="334" w:name="X22617c256bdb5bef1030221fc57e53dca8dd6e9"/>
    <w:p>
      <w:pPr>
        <w:pStyle w:val="Heading3"/>
      </w:pPr>
      <w:r>
        <w:t xml:space="preserve">10.17.2 Implementation: default-on labelling as a build-time invariant</w:t>
      </w:r>
    </w:p>
    <w:p>
      <w:pPr>
        <w:pStyle w:val="FirstParagraph"/>
      </w:pPr>
      <w:r>
        <w:rPr>
          <w:rStyle w:val="VerbatimChar"/>
        </w:rPr>
        <w:t xml:space="preserve">DWS_BLOG_STANDARD.md</w:t>
      </w:r>
      <w:r>
        <w:t xml:space="preserve"> </w:t>
      </w:r>
      <w:r>
        <w:t xml:space="preserve">§3.2.1 already specified a stricter-than-statutory four-condition test for removing a label (named reviewer, demonstrated amend/reject authority, publicly reachable contact, explicit removal action) — written after §10.16’s media work, never yet exercised against a live publish. This session was the first test:</w:t>
      </w:r>
      <w:r>
        <w:t xml:space="preserve"> </w:t>
      </w:r>
      <w:r>
        <w:rPr>
          <w:rStyle w:val="VerbatimChar"/>
        </w:rPr>
        <w:t xml:space="preserve">scripts/build-arvonluonnin-ajurit-post.mjs</w:t>
      </w:r>
      <w:r>
        <w:t xml:space="preserve"> </w:t>
      </w:r>
      <w:r>
        <w:t xml:space="preserve">renders all five approved drafts (</w:t>
      </w:r>
      <w:r>
        <w:rPr>
          <w:rStyle w:val="VerbatimChar"/>
        </w:rPr>
        <w:t xml:space="preserve">docs/blog-drafts/arvonluonnin-ajurit-2026*.md</w:t>
      </w:r>
      <w:r>
        <w:t xml:space="preserve">) to HTML and unconditionally injects a per-language</w:t>
      </w:r>
      <w:r>
        <w:t xml:space="preserve"> </w:t>
      </w:r>
      <w:r>
        <w:rPr>
          <w:rStyle w:val="VerbatimChar"/>
        </w:rPr>
        <w:t xml:space="preserve">&lt;aside class="ai-notice"&gt;</w:t>
      </w:r>
      <w:r>
        <w:t xml:space="preserve"> </w:t>
      </w:r>
      <w:r>
        <w:t xml:space="preserve">immediately after</w:t>
      </w:r>
      <w:r>
        <w:t xml:space="preserve"> </w:t>
      </w:r>
      <w:r>
        <w:rPr>
          <w:rStyle w:val="VerbatimChar"/>
        </w:rPr>
        <w:t xml:space="preserve">&lt;/header&gt;</w:t>
      </w:r>
      <w:r>
        <w:t xml:space="preserve">, before the article body — sourced from a per-language notice table in the script rather than authored per post. None of the four removal conditions had been met for any of the five pages at publish time, so all five ship with the notice.</w:t>
      </w:r>
    </w:p>
    <w:p>
      <w:pPr>
        <w:pStyle w:val="BodyText"/>
      </w:pPr>
      <w:r>
        <w:t xml:space="preserve">One implementation detail mattered in practice: the HIC’s own conversational approval of the drafts (satisfying the Rule 13 / §3.3 publication gate) was initially treated as if it also cleared the labelling question. It does not. The publication gate asks</w:t>
      </w:r>
      <w:r>
        <w:t xml:space="preserve"> </w:t>
      </w:r>
      <w:r>
        <w:t xml:space="preserve">“</w:t>
      </w:r>
      <w:r>
        <w:t xml:space="preserve">did a human read and approve this text before it ships</w:t>
      </w:r>
      <w:r>
        <w:t xml:space="preserve">”</w:t>
      </w:r>
      <w:r>
        <w:t xml:space="preserve">; the labelling gate asks</w:t>
      </w:r>
      <w:r>
        <w:t xml:space="preserve"> </w:t>
      </w:r>
      <w:r>
        <w:t xml:space="preserve">“</w:t>
      </w:r>
      <w:r>
        <w:t xml:space="preserve">is there a named, publicly-reachable, accountable reviewer credited on this specific page.</w:t>
      </w:r>
      <w:r>
        <w:t xml:space="preserve">”</w:t>
      </w:r>
      <w:r>
        <w:t xml:space="preserve"> </w:t>
      </w:r>
      <w:r>
        <w:t xml:space="preserve">The first happened; the second did not. Both drafts and the build script were corrected to keep the notice on for all five pages rather than assume the conversational approval discharged the labelling duty.</w:t>
      </w:r>
    </w:p>
    <w:bookmarkEnd w:id="334"/>
    <w:bookmarkStart w:id="335" w:name="the-engineering-rule-this-produced-1"/>
    <w:p>
      <w:pPr>
        <w:pStyle w:val="Heading3"/>
      </w:pPr>
      <w:r>
        <w:t xml:space="preserve">10.17.3 The engineering rule this produced</w:t>
      </w:r>
    </w:p>
    <w:p>
      <w:pPr>
        <w:pStyle w:val="BlockText"/>
      </w:pPr>
      <w:r>
        <w:t xml:space="preserve">A publication-approval gate and a content-provenance labelling gate are not the same instrument, even when the same person operates both in the same conversation.</w:t>
      </w:r>
    </w:p>
    <w:p>
      <w:pPr>
        <w:pStyle w:val="FirstParagraph"/>
      </w:pPr>
      <w:r>
        <w:t xml:space="preserve">The corollary of §10.16’s compositing rule (</w:t>
      </w:r>
      <w:r>
        <w:t xml:space="preserve">“</w:t>
      </w:r>
      <w:r>
        <w:t xml:space="preserve">mark the artefact, not the page</w:t>
      </w:r>
      <w:r>
        <w:t xml:space="preserve">”</w:t>
      </w:r>
      <w:r>
        <w:t xml:space="preserve">) for a multi-language text pipeline is:</w:t>
      </w:r>
      <w:r>
        <w:t xml:space="preserve"> </w:t>
      </w:r>
      <w:r>
        <w:rPr>
          <w:bCs/>
          <w:b/>
        </w:rPr>
        <w:t xml:space="preserve">attach the label at build time from a table, not at authoring time by memory.</w:t>
      </w:r>
      <w:r>
        <w:t xml:space="preserve"> </w:t>
      </w:r>
      <w:r>
        <w:t xml:space="preserve">A human author asked to remember a label on five separately-drafted pages will forget it on at least one; a build script that cannot render a page without consulting the notice table cannot forget. This is the same move as compositing the EU icon into video frames — moving the invariant from human memory into the artefact-producing pipeline.</w:t>
      </w:r>
    </w:p>
    <w:p>
      <w:pPr>
        <w:pStyle w:val="BodyText"/>
      </w:pPr>
      <w:r>
        <w:rPr>
          <w:iCs/>
          <w:i/>
        </w:rPr>
        <w:t xml:space="preserve">Companion artefact:</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registered</w:t>
      </w:r>
      <w:r>
        <w:rPr>
          <w:iCs/>
          <w:i/>
        </w:rPr>
        <w:t xml:space="preserve"> </w:t>
      </w:r>
      <w:r>
        <w:rPr>
          <w:rStyle w:val="VerbatimChar"/>
          <w:iCs/>
          <w:i/>
        </w:rPr>
        <w:t xml:space="preserve">docs/BLOG_STANDARD.md</w:t>
      </w:r>
      <w:r>
        <w:rPr>
          <w:iCs/>
          <w:i/>
        </w:rPr>
        <w:t xml:space="preserve"> </w:t>
      </w:r>
      <w:r>
        <w:rPr>
          <w:iCs/>
          <w:i/>
        </w:rPr>
        <w:t xml:space="preserve">§3 (#49–53). Scientific restatement and the obligation–capability analysis: PHD_FIREHORSE §14.48 (Key Contribution #53).</w:t>
      </w:r>
    </w:p>
    <w:p>
      <w:r>
        <w:pict>
          <v:rect style="width:0;height:1.5pt" o:hralign="center" o:hrstd="t" o:hr="t"/>
        </w:pict>
      </w:r>
    </w:p>
    <w:bookmarkEnd w:id="335"/>
    <w:bookmarkEnd w:id="336"/>
    <w:bookmarkStart w:id="376" w:name="X59a2e25a4123114666acfc8d83777fc16ea9645"/>
    <w:p>
      <w:pPr>
        <w:pStyle w:val="Heading2"/>
      </w:pPr>
      <w:r>
        <w:t xml:space="preserve">Bibliography (Oxford Notes-Bibliography Style) — v3.61</w:t>
      </w:r>
    </w:p>
    <w:p>
      <w:pPr>
        <w:pStyle w:val="FirstParagraph"/>
      </w:pPr>
      <w:r>
        <w:t xml:space="preserve">Added in v3.61 (28.05.2026) to enumerate the canonical sources cited by the chapters of this master’s thesis. Citation style is Oxford notes-bibliography: each footnote</w:t>
      </w:r>
      <w:r>
        <w:t xml:space="preserve"> </w:t>
      </w:r>
      <w:r>
        <w:rPr>
          <w:rStyle w:val="VerbatimChar"/>
        </w:rPr>
        <w:t xml:space="preserve">[^N]</w:t>
      </w:r>
      <w:r>
        <w:t xml:space="preserve"> </w:t>
      </w:r>
      <w:r>
        <w:t xml:space="preserve">denotes one source; the chapter index that follows the list shows which chapter relies on which footnote. Chapters not listed in the index do not cite these sources.</w:t>
      </w:r>
    </w:p>
    <w:bookmarkStart w:id="362" w:name="chapter-by-chapter-reference-index"/>
    <w:p>
      <w:pPr>
        <w:pStyle w:val="Heading3"/>
      </w:pPr>
      <w:r>
        <w:t xml:space="preserve">Chapter-by-chapter reference index</w:t>
      </w:r>
    </w:p>
    <w:p>
      <w:pPr>
        <w:pStyle w:val="BlockText"/>
      </w:pPr>
      <w:r>
        <w:rPr>
          <w:bCs/>
          <w:b/>
        </w:rPr>
        <w:t xml:space="preserve">Referenced sources by chapter.</w:t>
      </w:r>
      <w:r>
        <w:t xml:space="preserve"> </w:t>
      </w:r>
      <w:r>
        <w:t xml:space="preserve">Chapters relying on one or more of the footnotes below are listed here so the reader can resolve every in-text reference without scanning the full document.</w:t>
      </w:r>
    </w:p>
    <w:tbl>
      <w:tblPr>
        <w:tblStyle w:val="Table"/>
        <w:tblW w:type="pct" w:w="5000"/>
        <w:tblLook w:firstRow="1" w:lastRow="0" w:firstColumn="0" w:lastColumn="0" w:noHBand="0" w:noVBand="0" w:val="0020"/>
        <w:jc w:val="start"/>
      </w:tblPr>
      <w:tblGrid>
        <w:gridCol w:w="4889"/>
        <w:gridCol w:w="3030"/>
      </w:tblGrid>
      <w:tr>
        <w:trPr>
          <w:tblHeader w:val="true"/>
        </w:trPr>
        <w:tc>
          <w:tcPr/>
          <w:p>
            <w:pPr>
              <w:pStyle w:val="Compact"/>
              <w:jc w:val="left"/>
            </w:pPr>
            <w:r>
              <w:t xml:space="preserve">Chapter</w:t>
            </w:r>
          </w:p>
        </w:tc>
        <w:tc>
          <w:tcPr/>
          <w:p>
            <w:pPr>
              <w:pStyle w:val="Compact"/>
              <w:jc w:val="left"/>
            </w:pPr>
            <w:r>
              <w:t xml:space="preserve">Footnotes cited</w:t>
            </w:r>
          </w:p>
        </w:tc>
      </w:tr>
      <w:tr>
        <w:tc>
          <w:tcPr/>
          <w:p>
            <w:pPr>
              <w:pStyle w:val="Compact"/>
              <w:jc w:val="left"/>
            </w:pPr>
            <w:r>
              <w:t xml:space="preserve">Sovereignty segmentation discussion (Aegis / Sovereign Infra / Connect)</w:t>
            </w:r>
          </w:p>
        </w:tc>
        <w:tc>
          <w:tcPr/>
          <w:p>
            <w:pPr>
              <w:pStyle w:val="Compact"/>
              <w:jc w:val="left"/>
            </w:pPr>
            <w:r>
              <w:rPr>
                <w:rStyle w:val="FootnoteReference"/>
              </w:rPr>
              <w:footnoteReference w:id="337"/>
            </w:r>
            <w:r>
              <w:t xml:space="preserve">,</w:t>
            </w:r>
            <w:r>
              <w:t xml:space="preserve"> </w:t>
            </w: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1"/>
            </w:r>
            <w:r>
              <w:t xml:space="preserve">,</w:t>
            </w:r>
            <w:r>
              <w:t xml:space="preserve"> </w:t>
            </w:r>
            <w:r>
              <w:rPr>
                <w:rStyle w:val="FootnoteReference"/>
              </w:rPr>
              <w:footnoteReference w:id="342"/>
            </w:r>
            <w:r>
              <w:t xml:space="preserve">,</w:t>
            </w:r>
            <w:r>
              <w:t xml:space="preserve"> </w:t>
            </w:r>
            <w:r>
              <w:rPr>
                <w:rStyle w:val="FootnoteReference"/>
              </w:rPr>
              <w:footnoteReference w:id="343"/>
            </w:r>
            <w:r>
              <w:t xml:space="preserve">,</w:t>
            </w:r>
            <w:r>
              <w:t xml:space="preserve"> </w:t>
            </w:r>
            <w:r>
              <w:rPr>
                <w:rStyle w:val="FootnoteReference"/>
              </w:rPr>
              <w:footnoteReference w:id="344"/>
            </w:r>
          </w:p>
        </w:tc>
      </w:tr>
      <w:tr>
        <w:tc>
          <w:tcPr/>
          <w:p>
            <w:pPr>
              <w:pStyle w:val="Compact"/>
              <w:jc w:val="left"/>
            </w:pPr>
            <w:r>
              <w:t xml:space="preserve">KYA Partner Ecosystem (Appendix H equivalent) and trust-stack chapter</w:t>
            </w:r>
          </w:p>
        </w:tc>
        <w:tc>
          <w:tcPr/>
          <w:p>
            <w:pPr>
              <w:pStyle w:val="Compact"/>
              <w:jc w:val="left"/>
            </w:pPr>
            <w:r>
              <w:rPr>
                <w:rStyle w:val="FootnoteReference"/>
              </w:rPr>
              <w:footnoteReference w:id="346"/>
            </w:r>
            <w:r>
              <w:t xml:space="preserve">,</w:t>
            </w:r>
            <w:r>
              <w:t xml:space="preserve"> </w:t>
            </w:r>
            <w:r>
              <w:rPr>
                <w:rStyle w:val="FootnoteReference"/>
              </w:rPr>
              <w:footnoteReference w:id="347"/>
            </w:r>
          </w:p>
        </w:tc>
      </w:tr>
      <w:tr>
        <w:tc>
          <w:tcPr/>
          <w:p>
            <w:pPr>
              <w:pStyle w:val="Compact"/>
              <w:jc w:val="left"/>
            </w:pPr>
            <w:r>
              <w:t xml:space="preserve">Pilot / case-study chapter (Outokumpu Tier-1)</w:t>
            </w:r>
          </w:p>
        </w:tc>
        <w:tc>
          <w:tcPr/>
          <w:p>
            <w:pPr>
              <w:pStyle w:val="Compact"/>
              <w:jc w:val="left"/>
            </w:pPr>
            <w:r>
              <w:rPr>
                <w:rStyle w:val="FootnoteReference"/>
              </w:rPr>
              <w:footnoteReference w:id="348"/>
            </w:r>
          </w:p>
        </w:tc>
      </w:tr>
      <w:tr>
        <w:tc>
          <w:tcPr/>
          <w:p>
            <w:pPr>
              <w:pStyle w:val="Compact"/>
              <w:jc w:val="left"/>
            </w:pPr>
            <w:r>
              <w:t xml:space="preserve">Domain compliance chapter (construction multi-jurisdiction)</w:t>
            </w:r>
          </w:p>
        </w:tc>
        <w:tc>
          <w:tcPr/>
          <w:p>
            <w:pPr>
              <w:pStyle w:val="Compact"/>
              <w:jc w:val="left"/>
            </w:pPr>
            <w:r>
              <w:rPr>
                <w:rStyle w:val="FootnoteReference"/>
              </w:rPr>
              <w:footnoteReference w:id="349"/>
            </w:r>
          </w:p>
        </w:tc>
      </w:tr>
      <w:tr>
        <w:tc>
          <w:tcPr/>
          <w:p>
            <w:pPr>
              <w:pStyle w:val="Compact"/>
              <w:jc w:val="left"/>
            </w:pPr>
            <w:r>
              <w:t xml:space="preserve">Partnerships chapter (xAI etc.)</w:t>
            </w:r>
          </w:p>
        </w:tc>
        <w:tc>
          <w:tcPr/>
          <w:p>
            <w:pPr>
              <w:pStyle w:val="Compact"/>
              <w:jc w:val="left"/>
            </w:pPr>
            <w:r>
              <w:rPr>
                <w:rStyle w:val="FootnoteReference"/>
              </w:rPr>
              <w:footnoteReference w:id="350"/>
            </w:r>
            <w:r>
              <w:t xml:space="preserve">,</w:t>
            </w:r>
            <w:r>
              <w:t xml:space="preserve"> </w:t>
            </w:r>
            <w:r>
              <w:rPr>
                <w:rStyle w:val="FootnoteReference"/>
              </w:rPr>
              <w:footnoteReference w:id="351"/>
            </w:r>
          </w:p>
        </w:tc>
      </w:tr>
      <w:tr>
        <w:tc>
          <w:tcPr/>
          <w:p>
            <w:pPr>
              <w:pStyle w:val="Compact"/>
              <w:jc w:val="left"/>
            </w:pPr>
            <w:r>
              <w:t xml:space="preserve">Quantum / cryptography chapter</w:t>
            </w:r>
          </w:p>
        </w:tc>
        <w:tc>
          <w:tcPr/>
          <w:p>
            <w:pPr>
              <w:pStyle w:val="Compact"/>
              <w:jc w:val="left"/>
            </w:pPr>
            <w:r>
              <w:rPr>
                <w:rStyle w:val="FootnoteReference"/>
              </w:rPr>
              <w:footnoteReference w:id="352"/>
            </w:r>
            <w:r>
              <w:t xml:space="preserve">,</w:t>
            </w:r>
            <w:r>
              <w:t xml:space="preserve"> </w:t>
            </w:r>
            <w:r>
              <w:rPr>
                <w:rStyle w:val="FootnoteReference"/>
              </w:rPr>
              <w:footnoteReference w:id="353"/>
            </w:r>
            <w:r>
              <w:t xml:space="preserve">,</w:t>
            </w:r>
            <w:r>
              <w:t xml:space="preserve"> </w:t>
            </w:r>
            <w:r>
              <w:rPr>
                <w:rStyle w:val="FootnoteReference"/>
              </w:rPr>
              <w:footnoteReference w:id="355"/>
            </w:r>
            <w:r>
              <w:t xml:space="preserve">,</w:t>
            </w:r>
            <w:r>
              <w:t xml:space="preserve"> </w:t>
            </w:r>
            <w:r>
              <w:rPr>
                <w:rStyle w:val="FootnoteReference"/>
              </w:rPr>
              <w:footnoteReference w:id="357"/>
            </w:r>
          </w:p>
        </w:tc>
      </w:tr>
      <w:tr>
        <w:tc>
          <w:tcPr/>
          <w:p>
            <w:pPr>
              <w:pStyle w:val="Compact"/>
              <w:jc w:val="left"/>
            </w:pPr>
            <w:r>
              <w:t xml:space="preserve">Regulatory chapter (EU AI Act, eIDAS 2.0, EU Data Act)</w:t>
            </w:r>
          </w:p>
        </w:tc>
        <w:tc>
          <w:tcPr/>
          <w:p>
            <w:pPr>
              <w:pStyle w:val="Compact"/>
              <w:jc w:val="left"/>
            </w:pPr>
            <w:r>
              <w:rPr>
                <w:rStyle w:val="FootnoteReference"/>
              </w:rPr>
              <w:footnoteReference w:id="359"/>
            </w:r>
            <w:r>
              <w:t xml:space="preserve">,</w:t>
            </w:r>
            <w:r>
              <w:t xml:space="preserve"> </w:t>
            </w:r>
            <w:r>
              <w:rPr>
                <w:rStyle w:val="FootnoteReference"/>
              </w:rPr>
              <w:footnoteReference w:id="360"/>
            </w:r>
            <w:r>
              <w:t xml:space="preserve">,</w:t>
            </w:r>
            <w:r>
              <w:t xml:space="preserve"> </w:t>
            </w:r>
            <w:r>
              <w:rPr>
                <w:rStyle w:val="FootnoteReference"/>
              </w:rPr>
              <w:footnoteReference w:id="361"/>
            </w:r>
          </w:p>
        </w:tc>
      </w:tr>
    </w:tbl>
    <w:bookmarkEnd w:id="362"/>
    <w:bookmarkStart w:id="363" w:name="footnote-bibliography"/>
    <w:p>
      <w:pPr>
        <w:pStyle w:val="Heading3"/>
      </w:pPr>
      <w:r>
        <w:t xml:space="preserve">Footnote bibliography</w:t>
      </w:r>
    </w:p>
    <w:bookmarkEnd w:id="363"/>
    <w:bookmarkStart w:id="370" w:name="Xbb829561309baa2ae1ac17cca571f56b8a58cc9"/>
    <w:p>
      <w:pPr>
        <w:pStyle w:val="Heading3"/>
      </w:pPr>
      <w:r>
        <w:t xml:space="preserve">10.25 Polyglot Observability in Production: Aspire Dashboard Adoption and the Silent-Telemetry Incident</w:t>
      </w:r>
    </w:p>
    <w:bookmarkStart w:id="364" w:name="context-and-decision-path"/>
    <w:p>
      <w:pPr>
        <w:pStyle w:val="Heading4"/>
      </w:pPr>
      <w:r>
        <w:t xml:space="preserve">10.25.1 Context and Decision Path</w:t>
      </w:r>
    </w:p>
    <w:p>
      <w:pPr>
        <w:pStyle w:val="FirstParagraph"/>
      </w:pPr>
      <w:r>
        <w:t xml:space="preserve">The April 2026 tooling analysis (</w:t>
      </w:r>
      <w:r>
        <w:rPr>
          <w:rStyle w:val="VerbatimChar"/>
        </w:rPr>
        <w:t xml:space="preserve">docs/field-notes/2026-04-10-aspire-13-2-isolated-mode.md</w:t>
      </w:r>
      <w:r>
        <w:t xml:space="preserve">) evaluated three adoption options for Microsoft’s Aspire observability stack on the DGX Spark sovereign-edge device: (1) dashboard-only — run the standalone Aspire Dashboard container as a language-agnostic OTLP receiver; (2) full AppHost + ServiceDefaults orchestration; (3) defer. Option 1 was selected and deployed:</w:t>
      </w:r>
      <w:r>
        <w:t xml:space="preserve"> </w:t>
      </w:r>
      <w:r>
        <w:rPr>
          <w:rStyle w:val="VerbatimChar"/>
        </w:rPr>
        <w:t xml:space="preserve">mcr.microsoft.com/dotnet/aspire-dashboard:13.3.5</w:t>
      </w:r>
      <w:r>
        <w:t xml:space="preserve"> </w:t>
      </w:r>
      <w:r>
        <w:t xml:space="preserve">(version-pinned, never</w:t>
      </w:r>
      <w:r>
        <w:t xml:space="preserve"> </w:t>
      </w:r>
      <w:r>
        <w:rPr>
          <w:rStyle w:val="VerbatimChar"/>
        </w:rPr>
        <w:t xml:space="preserve">:latest</w:t>
      </w:r>
      <w:r>
        <w:t xml:space="preserve">) in</w:t>
      </w:r>
      <w:r>
        <w:t xml:space="preserve"> </w:t>
      </w:r>
      <w:r>
        <w:rPr>
          <w:rStyle w:val="VerbatimChar"/>
        </w:rPr>
        <w:t xml:space="preserve">infrastructure/dgx-spark/docker-compose.yml</w:t>
      </w:r>
      <w:r>
        <w:t xml:space="preserve">. The determining factors were that the dashboard accepts standard OTLP telemetry from any language — the DWS IQ 6 stack is TypeScript (backend, agents) and Python (Firehorse) — and that dashboard-only adoption requires no .NET toolchain on the edge device.</w:t>
      </w:r>
    </w:p>
    <w:bookmarkEnd w:id="364"/>
    <w:bookmarkStart w:id="365" w:name="implementation-inventory"/>
    <w:p>
      <w:pPr>
        <w:pStyle w:val="Heading4"/>
      </w:pPr>
      <w:r>
        <w:t xml:space="preserve">10.25.2 Implementation Inventory</w:t>
      </w:r>
    </w:p>
    <w:p>
      <w:pPr>
        <w:pStyle w:val="FirstParagraph"/>
      </w:pPr>
      <w:r>
        <w:t xml:space="preserve">The observability layer as deployed consists of:</w:t>
      </w:r>
    </w:p>
    <w:p>
      <w:pPr>
        <w:numPr>
          <w:ilvl w:val="0"/>
          <w:numId w:val="1119"/>
        </w:numPr>
        <w:pStyle w:val="Compact"/>
      </w:pPr>
      <w:r>
        <w:rPr>
          <w:rStyle w:val="VerbatimChar"/>
          <w:bCs/>
          <w:b/>
        </w:rPr>
        <w:t xml:space="preserve">src/observability/otel.ts</w:t>
      </w:r>
      <w:r>
        <w:t xml:space="preserve"> </w:t>
      </w:r>
      <w:r>
        <w:t xml:space="preserve">— opt-in OpenTelemetry SDK initialization. If</w:t>
      </w:r>
      <w:r>
        <w:t xml:space="preserve"> </w:t>
      </w:r>
      <w:r>
        <w:rPr>
          <w:rStyle w:val="VerbatimChar"/>
        </w:rPr>
        <w:t xml:space="preserve">OTEL_EXPORTER_OTLP_ENDPOINT</w:t>
      </w:r>
      <w:r>
        <w:t xml:space="preserve"> </w:t>
      </w:r>
      <w:r>
        <w:t xml:space="preserve">is unset, no provider registers and every tracing helper degrades to a no-op; nothing leaves the host until the operator sets the endpoint (sovereignty-by-default). Graceful flush on SIGTERM/SIGINT.</w:t>
      </w:r>
    </w:p>
    <w:p>
      <w:pPr>
        <w:numPr>
          <w:ilvl w:val="0"/>
          <w:numId w:val="1119"/>
        </w:numPr>
        <w:pStyle w:val="Compact"/>
      </w:pPr>
      <w:r>
        <w:rPr>
          <w:rStyle w:val="VerbatimChar"/>
          <w:bCs/>
          <w:b/>
        </w:rPr>
        <w:t xml:space="preserve">src/observability/tracing.ts</w:t>
      </w:r>
      <w:r>
        <w:t xml:space="preserve"> </w:t>
      </w:r>
      <w:r>
        <w:t xml:space="preserve">— span helpers at the four points that matter for postmortems:</w:t>
      </w:r>
      <w:r>
        <w:t xml:space="preserve"> </w:t>
      </w:r>
      <w:r>
        <w:rPr>
          <w:rStyle w:val="VerbatimChar"/>
        </w:rPr>
        <w:t xml:space="preserve">withAgentSpan</w:t>
      </w:r>
      <w:r>
        <w:t xml:space="preserve"> </w:t>
      </w:r>
      <w:r>
        <w:t xml:space="preserve">(one root span per agent execution),</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 call, emitting OpenTelemetry</w:t>
      </w:r>
      <w:r>
        <w:t xml:space="preserve"> </w:t>
      </w:r>
      <w:r>
        <w:rPr>
          <w:bCs/>
          <w:b/>
        </w:rPr>
        <w:t xml:space="preserve">GenAI semantic-convention</w:t>
      </w:r>
      <w:r>
        <w:t xml:space="preserve"> </w:t>
      </w:r>
      <w:r>
        <w:t xml:space="preserve">attributes:</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finish reasons), and</w:t>
      </w:r>
      <w:r>
        <w:t xml:space="preserve"> </w:t>
      </w:r>
      <w:r>
        <w:rPr>
          <w:rStyle w:val="VerbatimChar"/>
        </w:rPr>
        <w:t xml:space="preserve">withToolSpan</w:t>
      </w:r>
      <w:r>
        <w:t xml:space="preserve"> </w:t>
      </w:r>
      <w:r>
        <w:t xml:space="preserve">(per tool invocation, with chain position/length).</w:t>
      </w:r>
    </w:p>
    <w:p>
      <w:pPr>
        <w:numPr>
          <w:ilvl w:val="0"/>
          <w:numId w:val="1119"/>
        </w:numPr>
        <w:pStyle w:val="Compact"/>
      </w:pPr>
      <w:r>
        <w:rPr>
          <w:rStyle w:val="VerbatimChar"/>
          <w:bCs/>
          <w:b/>
        </w:rPr>
        <w:t xml:space="preserve">src/agents/telemetry.types.ts</w:t>
      </w:r>
      <w:r>
        <w:rPr>
          <w:bCs/>
          <w:b/>
        </w:rPr>
        <w:t xml:space="preserve"> </w:t>
      </w:r>
      <w:r>
        <w:rPr>
          <w:bCs/>
          <w:b/>
        </w:rPr>
        <w:t xml:space="preserve">+ migration</w:t>
      </w:r>
      <w:r>
        <w:rPr>
          <w:bCs/>
          <w:b/>
        </w:rPr>
        <w:t xml:space="preserve"> </w:t>
      </w:r>
      <w:r>
        <w:rPr>
          <w:rStyle w:val="VerbatimChar"/>
          <w:bCs/>
          <w:b/>
        </w:rPr>
        <w:t xml:space="preserve">066_tool_telemetry_genai.sql</w:t>
      </w:r>
      <w:r>
        <w:t xml:space="preserve"> </w:t>
      </w:r>
      <w:r>
        <w:t xml:space="preserve">— the same</w:t>
      </w:r>
      <w:r>
        <w:t xml:space="preserve"> </w:t>
      </w:r>
      <w:r>
        <w:rPr>
          <w:rStyle w:val="VerbatimChar"/>
        </w:rPr>
        <w:t xml:space="preserve">gen_ai.*</w:t>
      </w:r>
      <w:r>
        <w:t xml:space="preserve"> </w:t>
      </w:r>
      <w:r>
        <w:t xml:space="preserve">vocabulary persisted to the Supabase</w:t>
      </w:r>
      <w:r>
        <w:t xml:space="preserve"> </w:t>
      </w:r>
      <w:r>
        <w:rPr>
          <w:rStyle w:val="VerbatimChar"/>
        </w:rPr>
        <w:t xml:space="preserve">tool_telemetry</w:t>
      </w:r>
      <w:r>
        <w:t xml:space="preserve"> </w:t>
      </w:r>
      <w:r>
        <w:t xml:space="preserve">table, cross-referenced to OTel traces by</w:t>
      </w:r>
      <w:r>
        <w:t xml:space="preserve"> </w:t>
      </w:r>
      <w:r>
        <w:rPr>
          <w:rStyle w:val="VerbatimChar"/>
        </w:rPr>
        <w:t xml:space="preserve">trace_id</w:t>
      </w:r>
      <w:r>
        <w:t xml:space="preserve">/</w:t>
      </w:r>
      <w:r>
        <w:rPr>
          <w:rStyle w:val="VerbatimChar"/>
        </w:rPr>
        <w:t xml:space="preserve">span_id</w:t>
      </w:r>
      <w:r>
        <w:t xml:space="preserve">. This gives the EU AI Act Article 12 audit trail and the developer-facing trace UI a shared vocabulary rather than two disjoint logging schemes.</w:t>
      </w:r>
    </w:p>
    <w:p>
      <w:pPr>
        <w:numPr>
          <w:ilvl w:val="0"/>
          <w:numId w:val="1119"/>
        </w:numPr>
        <w:pStyle w:val="Compact"/>
      </w:pPr>
      <w:r>
        <w:rPr>
          <w:bCs/>
          <w:b/>
        </w:rPr>
        <w:t xml:space="preserve">Three OTLP producers</w:t>
      </w:r>
      <w:r>
        <w:t xml:space="preserve"> </w:t>
      </w:r>
      <w:r>
        <w:t xml:space="preserve">on the DGX Spark compose network:</w:t>
      </w:r>
      <w:r>
        <w:t xml:space="preserve"> </w:t>
      </w:r>
      <w:r>
        <w:rPr>
          <w:rStyle w:val="VerbatimChar"/>
        </w:rPr>
        <w:t xml:space="preserve">dws-backend</w:t>
      </w:r>
      <w:r>
        <w:t xml:space="preserve">,</w:t>
      </w:r>
      <w:r>
        <w:t xml:space="preserve"> </w:t>
      </w:r>
      <w:r>
        <w:rPr>
          <w:rStyle w:val="VerbatimChar"/>
        </w:rPr>
        <w:t xml:space="preserve">dws-cron</w:t>
      </w:r>
      <w:r>
        <w:t xml:space="preserve">, and the</w:t>
      </w:r>
      <w:r>
        <w:t xml:space="preserve"> </w:t>
      </w:r>
      <w:r>
        <w:rPr>
          <w:rStyle w:val="VerbatimChar"/>
        </w:rPr>
        <w:t xml:space="preserve">bumblebee-collector</w:t>
      </w:r>
      <w:r>
        <w:t xml:space="preserve"> </w:t>
      </w:r>
      <w:r>
        <w:t xml:space="preserve">supply-chain scanner.</w:t>
      </w:r>
    </w:p>
    <w:bookmarkEnd w:id="365"/>
    <w:bookmarkStart w:id="366" w:name="the-silent-telemetry-incident-july-2026"/>
    <w:p>
      <w:pPr>
        <w:pStyle w:val="Heading4"/>
      </w:pPr>
      <w:r>
        <w:t xml:space="preserve">10.25.3 The Silent-Telemetry Incident (July 2026)</w:t>
      </w:r>
    </w:p>
    <w:p>
      <w:pPr>
        <w:pStyle w:val="FirstParagraph"/>
      </w:pPr>
      <w:r>
        <w:t xml:space="preserve">A primary-source verification pass against the Aspire dashboard configuration reference (aspire.dev, fetched 2026-07-07) established that the standalone dashboard serves three distinct endpoints: the browser UI on port 18888, OTLP/gRPC on 18889, and OTLP/HTTP on 18890. All three DWS producers were configured to push</w:t>
      </w:r>
      <w:r>
        <w:t xml:space="preserve"> </w:t>
      </w:r>
      <w:r>
        <w:rPr>
          <w:rStyle w:val="VerbatimChar"/>
        </w:rPr>
        <w:t xml:space="preserve">http/protobuf</w:t>
      </w:r>
      <w:r>
        <w:t xml:space="preserve"> </w:t>
      </w:r>
      <w:r>
        <w:t xml:space="preserve">telemetry to</w:t>
      </w:r>
      <w:r>
        <w:t xml:space="preserve"> </w:t>
      </w:r>
      <w:r>
        <w:rPr>
          <w:bCs/>
          <w:b/>
        </w:rPr>
        <w:t xml:space="preserve">port 18888 — the UI endpoint</w:t>
      </w:r>
      <w:r>
        <w:t xml:space="preserve">. Every span, metric, and log emitted since deployment had been silently dropped.</w:t>
      </w:r>
    </w:p>
    <w:p>
      <w:pPr>
        <w:pStyle w:val="BodyText"/>
      </w:pPr>
      <w:r>
        <w:t xml:space="preserve">The change history makes the incident instructive rather than merely embarrassing. The misconfiguration was introduced by a</w:t>
      </w:r>
      <w:r>
        <w:t xml:space="preserve"> </w:t>
      </w:r>
      <w:r>
        <w:rPr>
          <w:iCs/>
          <w:i/>
        </w:rPr>
        <w:t xml:space="preserve">fix</w:t>
      </w:r>
      <w:r>
        <w:t xml:space="preserve">: compose v1.2.0 had</w:t>
      </w:r>
      <w:r>
        <w:t xml:space="preserve"> </w:t>
      </w:r>
      <w:r>
        <w:t xml:space="preserve">“</w:t>
      </w:r>
      <w:r>
        <w:t xml:space="preserve">corrected</w:t>
      </w:r>
      <w:r>
        <w:t xml:space="preserve">”</w:t>
      </w:r>
      <w:r>
        <w:t xml:space="preserve"> </w:t>
      </w:r>
      <w:r>
        <w:t xml:space="preserve">the OTel wiring by moving the endpoint from 18889 (the gRPC port — wrong protocol for an HTTP exporter) to 18888 (right protocol, wrong endpoint). Both configurations pass every liveness check: the ports accept TCP connections, the container reports healthy, the heartbeat service’s</w:t>
      </w:r>
      <w:r>
        <w:t xml:space="preserve"> </w:t>
      </w:r>
      <w:r>
        <w:rPr>
          <w:rStyle w:val="VerbatimChar"/>
        </w:rPr>
        <w:t xml:space="preserve">CHECK_ASPIRE</w:t>
      </w:r>
      <w:r>
        <w:t xml:space="preserve"> </w:t>
      </w:r>
      <w:r>
        <w:t xml:space="preserve">probe succeeds. The OTel</w:t>
      </w:r>
      <w:r>
        <w:t xml:space="preserve"> </w:t>
      </w:r>
      <w:r>
        <w:rPr>
          <w:rStyle w:val="VerbatimChar"/>
        </w:rPr>
        <w:t xml:space="preserve">BatchSpanProcessor</w:t>
      </w:r>
      <w:r>
        <w:t xml:space="preserve"> </w:t>
      </w:r>
      <w:r>
        <w:t xml:space="preserve">swallows export failures by design, so no error surfaced in any log. The system looked fully instrumented and was completely blind. The correction shipped as compose v1.3.1 (all three producers → 18890).</w:t>
      </w:r>
    </w:p>
    <w:bookmarkEnd w:id="366"/>
    <w:bookmarkStart w:id="367" w:name="engineering-lessons"/>
    <w:p>
      <w:pPr>
        <w:pStyle w:val="Heading4"/>
      </w:pPr>
      <w:r>
        <w:t xml:space="preserve">10.25.4 Engineering Lessons</w:t>
      </w:r>
    </w:p>
    <w:p>
      <w:pPr>
        <w:numPr>
          <w:ilvl w:val="0"/>
          <w:numId w:val="1120"/>
        </w:numPr>
        <w:pStyle w:val="Compact"/>
      </w:pPr>
      <w:r>
        <w:rPr>
          <w:bCs/>
          <w:b/>
        </w:rPr>
        <w:t xml:space="preserve">Verification must include observed behavior, not just artifact presence.</w:t>
      </w:r>
      <w:r>
        <w:t xml:space="preserve"> </w:t>
      </w:r>
      <w:r>
        <w:t xml:space="preserve">The April field note’s gap-detection rule —</w:t>
      </w:r>
      <w:r>
        <w:t xml:space="preserve"> </w:t>
      </w:r>
      <w:r>
        <w:t xml:space="preserve">“</w:t>
      </w:r>
      <w:r>
        <w:t xml:space="preserve">when the narrative layer mentions a version number, verify it against the actual deployed artifact</w:t>
      </w:r>
      <w:r>
        <w:t xml:space="preserve">”</w:t>
      </w:r>
      <w:r>
        <w:t xml:space="preserve"> </w:t>
      </w:r>
      <w:r>
        <w:t xml:space="preserve">— proved insufficient. Here the artifact existed and the narrative had lagged in the</w:t>
      </w:r>
      <w:r>
        <w:t xml:space="preserve"> </w:t>
      </w:r>
      <w:r>
        <w:rPr>
          <w:iCs/>
          <w:i/>
        </w:rPr>
        <w:t xml:space="preserve">pessimistic</w:t>
      </w:r>
      <w:r>
        <w:t xml:space="preserve"> </w:t>
      </w:r>
      <w:r>
        <w:t xml:space="preserve">direction (later documents still described the dashboard as</w:t>
      </w:r>
      <w:r>
        <w:t xml:space="preserve"> </w:t>
      </w:r>
      <w:r>
        <w:t xml:space="preserve">“</w:t>
      </w:r>
      <w:r>
        <w:t xml:space="preserve">not deployed</w:t>
      </w:r>
      <w:r>
        <w:t xml:space="preserve">”</w:t>
      </w:r>
      <w:r>
        <w:t xml:space="preserve">), while the deployed artifact was itself broken. The strengthened rule: verify against the deployed artifact</w:t>
      </w:r>
      <w:r>
        <w:t xml:space="preserve"> </w:t>
      </w:r>
      <w:r>
        <w:rPr>
          <w:iCs/>
          <w:i/>
        </w:rPr>
        <w:t xml:space="preserve">and its observed behavior</w:t>
      </w:r>
      <w:r>
        <w:t xml:space="preserve">. A dashboard receiving zero telemetry is indistinguishable from a dashboard nobody wired up.</w:t>
      </w:r>
    </w:p>
    <w:p>
      <w:pPr>
        <w:numPr>
          <w:ilvl w:val="0"/>
          <w:numId w:val="1120"/>
        </w:numPr>
        <w:pStyle w:val="Compact"/>
      </w:pPr>
      <w:r>
        <w:rPr>
          <w:bCs/>
          <w:b/>
        </w:rPr>
        <w:t xml:space="preserve">Fail-silent subsystems inside a fail-loud architecture need compensating controls.</w:t>
      </w:r>
      <w:r>
        <w:t xml:space="preserve"> </w:t>
      </w:r>
      <w:r>
        <w:t xml:space="preserve">Engineering Discipline Rule 12 (</w:t>
      </w:r>
      <w:r>
        <w:t xml:space="preserve">“</w:t>
      </w:r>
      <w:r>
        <w:t xml:space="preserve">fail loud</w:t>
      </w:r>
      <w:r>
        <w:t xml:space="preserve">”</w:t>
      </w:r>
      <w:r>
        <w:t xml:space="preserve">) is implemented across the DWS agent layer, but the OTel export pipeline is fail-silent by upstream design. The compensating control is an end-to-end assertion — a periodic check that traces</w:t>
      </w:r>
      <w:r>
        <w:t xml:space="preserve"> </w:t>
      </w:r>
      <w:r>
        <w:rPr>
          <w:iCs/>
          <w:i/>
        </w:rPr>
        <w:t xml:space="preserve">arrive</w:t>
      </w:r>
      <w:r>
        <w:t xml:space="preserve">, not merely that the receiving port is open. This is queued as a heartbeat extension.</w:t>
      </w:r>
    </w:p>
    <w:p>
      <w:pPr>
        <w:numPr>
          <w:ilvl w:val="0"/>
          <w:numId w:val="1120"/>
        </w:numPr>
        <w:pStyle w:val="Compact"/>
      </w:pPr>
      <w:r>
        <w:rPr>
          <w:bCs/>
          <w:b/>
        </w:rPr>
        <w:t xml:space="preserve">Adjacent-port misconfiguration is a distinct failure class.</w:t>
      </w:r>
      <w:r>
        <w:t xml:space="preserve"> </w:t>
      </w:r>
      <w:r>
        <w:t xml:space="preserve">Three functionally different endpoints on consecutive ports (18888/18889/18890), all accepting connections, convert a one-character configuration error into a silent data-loss event. Infrastructure comments now document all three ports at the service definition.</w:t>
      </w:r>
    </w:p>
    <w:bookmarkEnd w:id="367"/>
    <w:bookmarkStart w:id="368" w:name="Xe3c9a6f672385b85febd0fa74d8f9d0791426e6"/>
    <w:p>
      <w:pPr>
        <w:pStyle w:val="Heading4"/>
      </w:pPr>
      <w:r>
        <w:t xml:space="preserve">10.25.5 Open Decision: GenAI Message-Content Capture</w:t>
      </w:r>
    </w:p>
    <w:p>
      <w:pPr>
        <w:pStyle w:val="FirstParagraph"/>
      </w:pPr>
      <w:r>
        <w:t xml:space="preserve">The dashboard’s GenAI visualizer (introduced in Aspire 9.5, improved in 13.2) renders LLM spans as a chat log — system prompt, messages, tool calls, token counts — when message content is recorded onto spans. The DWS</w:t>
      </w:r>
      <w:r>
        <w:t xml:space="preserve"> </w:t>
      </w:r>
      <w:r>
        <w:rPr>
          <w:rStyle w:val="VerbatimChar"/>
        </w:rPr>
        <w:t xml:space="preserve">withLLMSpan</w:t>
      </w:r>
      <w:r>
        <w:t xml:space="preserve"> </w:t>
      </w:r>
      <w:r>
        <w:t xml:space="preserve">helper deliberately records</w:t>
      </w:r>
      <w:r>
        <w:t xml:space="preserve"> </w:t>
      </w:r>
      <w:r>
        <w:rPr>
          <w:bCs/>
          <w:b/>
        </w:rPr>
        <w:t xml:space="preserve">metadata only</w:t>
      </w:r>
      <w:r>
        <w:t xml:space="preserve"> </w:t>
      </w:r>
      <w:r>
        <w:t xml:space="preserve">(model identifiers, token counts, finish reasons), not prompt or completion bodies. Enabling content capture would place customer-derived text into dashboard memory; that is a data-protection decision (GDPR scope, customer confidentiality), not a tooling decision, and it remains with the human operator. Default: off.</w:t>
      </w:r>
    </w:p>
    <w:p>
      <w:pPr>
        <w:pStyle w:val="BodyText"/>
      </w:pPr>
      <w:r>
        <w:rPr>
          <w:iCs/>
          <w:i/>
        </w:rPr>
        <w:t xml:space="preserve">Companion artefacts:</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Market-signal and standardisation framing: PHD_FIREHORSE §14.37 per the thesis content-scope rule.</w:t>
      </w:r>
    </w:p>
    <w:bookmarkEnd w:id="368"/>
    <w:bookmarkStart w:id="369" w:name="Xbac07d35bec19a05bb0fd6dead9aa24c23e3f80"/>
    <w:p>
      <w:pPr>
        <w:pStyle w:val="Heading4"/>
      </w:pPr>
      <w:r>
        <w:t xml:space="preserve">10.25.6 Amendment (v3.79): The Span-Stamped Authorization Verdict</w:t>
      </w:r>
    </w:p>
    <w:p>
      <w:pPr>
        <w:pStyle w:val="FirstParagraph"/>
      </w:pPr>
      <w:r>
        <w:t xml:space="preserve">External critique (Hakimi, 07.07.2026) identified the structural limit of this section as originally shipped:</w:t>
      </w:r>
      <w:r>
        <w:t xml:space="preserve"> </w:t>
      </w:r>
      <w:r>
        <w:rPr>
          <w:iCs/>
          <w:i/>
        </w:rPr>
        <w:t xml:space="preserve">“</w:t>
      </w:r>
      <w:r>
        <w:rPr>
          <w:iCs/>
          <w:i/>
        </w:rPr>
        <w:t xml:space="preserve">every LLM call it lights up is a record of what already fired. The trace shows the agent reached prod. It never shows whether it should have been able to.</w:t>
      </w:r>
      <w:r>
        <w:rPr>
          <w:iCs/>
          <w:i/>
        </w:rPr>
        <w:t xml:space="preserve">”</w:t>
      </w:r>
      <w:r>
        <w:t xml:space="preserve"> </w:t>
      </w:r>
      <w:r>
        <w:t xml:space="preserve">Verified against the code, the critique was accurate — the LLM client’s only authorization concept was the provider</w:t>
      </w:r>
      <w:r>
        <w:t xml:space="preserve"> </w:t>
      </w:r>
      <w:r>
        <w:rPr>
          <w:rStyle w:val="VerbatimChar"/>
        </w:rPr>
        <w:t xml:space="preserve">Bearer</w:t>
      </w:r>
      <w:r>
        <w:t xml:space="preserve"> </w:t>
      </w:r>
      <w:r>
        <w:t xml:space="preserve">header, and KYA trust-score enforcement lived solely at the sandbox boundary (</w:t>
      </w:r>
      <w:r>
        <w:rPr>
          <w:rStyle w:val="VerbatimChar"/>
        </w:rPr>
        <w:t xml:space="preserve">nemoclaw-sandbox.ts</w:t>
      </w:r>
      <w:r>
        <w:t xml:space="preserve">,</w:t>
      </w:r>
      <w:r>
        <w:t xml:space="preserve"> </w:t>
      </w:r>
      <w:r>
        <w:rPr>
          <w:rStyle w:val="VerbatimChar"/>
        </w:rPr>
        <w:t xml:space="preserve">nemoclaw-bridge.ts</w:t>
      </w:r>
      <w:r>
        <w:t xml:space="preserve">), on a code path disconnected from telemetry.</w:t>
      </w:r>
    </w:p>
    <w:p>
      <w:pPr>
        <w:pStyle w:val="BodyText"/>
      </w:pPr>
      <w:r>
        <w:t xml:space="preserve">The same-day answer extends the span vocabulary rather than adding a parallel system:</w:t>
      </w:r>
      <w:r>
        <w:t xml:space="preserve"> </w:t>
      </w:r>
      <w:r>
        <w:rPr>
          <w:rStyle w:val="VerbatimChar"/>
        </w:rPr>
        <w:t xml:space="preserve">withAgentSpan</w:t>
      </w:r>
      <w:r>
        <w:t xml:space="preserve"> </w:t>
      </w:r>
      <w:r>
        <w:t xml:space="preserve">and</w:t>
      </w:r>
      <w:r>
        <w:t xml:space="preserve"> </w:t>
      </w:r>
      <w:r>
        <w:rPr>
          <w:rStyle w:val="VerbatimChar"/>
        </w:rPr>
        <w:t xml:space="preserve">withLLMSpan</w:t>
      </w:r>
      <w:r>
        <w:t xml:space="preserve"> </w:t>
      </w:r>
      <w:r>
        <w:t xml:space="preserve">now accept a</w:t>
      </w:r>
      <w:r>
        <w:t xml:space="preserve"> </w:t>
      </w:r>
      <w:r>
        <w:rPr>
          <w:rStyle w:val="VerbatimChar"/>
        </w:rPr>
        <w:t xml:space="preserve">KYAVerdict</w:t>
      </w:r>
      <w:r>
        <w:t xml:space="preserve"> </w:t>
      </w:r>
      <w:r>
        <w:t xml:space="preserve">(</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and stamp</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t xml:space="preserve">alongside the</w:t>
      </w:r>
      <w:r>
        <w:t xml:space="preserve"> </w:t>
      </w:r>
      <w:r>
        <w:rPr>
          <w:rStyle w:val="VerbatimChar"/>
        </w:rPr>
        <w:t xml:space="preserve">gen_ai.*</w:t>
      </w:r>
      <w:r>
        <w:t xml:space="preserve"> </w:t>
      </w:r>
      <w:r>
        <w:t xml:space="preserve">attributes, so one trace answers both questions — what fired, and under what authority it was allowed to fire. The load-bearing design decision is the default: a span with no verdict is stamped</w:t>
      </w:r>
      <w:r>
        <w:t xml:space="preserve"> </w:t>
      </w:r>
      <w:r>
        <w:rPr>
          <w:rStyle w:val="VerbatimChar"/>
        </w:rPr>
        <w:t xml:space="preserve">dws.kya.verdict: "ungated"</w:t>
      </w:r>
      <w:r>
        <w:t xml:space="preserve">, never left blank. Absence becomes a queryable finding — filtering the trace UI on</w:t>
      </w:r>
      <w:r>
        <w:t xml:space="preserve"> </w:t>
      </w:r>
      <w:r>
        <w:rPr>
          <w:rStyle w:val="VerbatimChar"/>
        </w:rPr>
        <w:t xml:space="preserve">ungated</w:t>
      </w:r>
      <w:r>
        <w:t xml:space="preserve"> </w:t>
      </w:r>
      <w:r>
        <w:t xml:space="preserve">enumerates every execution path no gate cleared — instead of being indistinguishable from gated execution (Engineering Discipline Rule 12 applied to authorization coverage).</w:t>
      </w:r>
    </w:p>
    <w:p>
      <w:pPr>
        <w:pStyle w:val="BodyText"/>
      </w:pPr>
      <w:r>
        <w:t xml:space="preserve">The honest baseline this makes visible: as of v3.79 every production span reads</w:t>
      </w:r>
      <w:r>
        <w:t xml:space="preserve"> </w:t>
      </w:r>
      <w:r>
        <w:rPr>
          <w:rStyle w:val="VerbatimChar"/>
        </w:rPr>
        <w:t xml:space="preserve">ungated</w:t>
      </w:r>
      <w:r>
        <w:t xml:space="preserve">, because no call site yet threads the sandbox verdict through. The count of ungated spans</w:t>
      </w:r>
      <w:r>
        <w:t xml:space="preserve"> </w:t>
      </w:r>
      <w:r>
        <w:rPr>
          <w:iCs/>
          <w:i/>
        </w:rPr>
        <w:t xml:space="preserve">is</w:t>
      </w:r>
      <w:r>
        <w:t xml:space="preserve"> </w:t>
      </w:r>
      <w:r>
        <w:t xml:space="preserve">the authorization-coverage gap metric; driving it to zero (verdict emission at the sandbox gate, threading through the agent runner and LLM client) is the named follow-up. Unit tests cover both the stamped-verdict and ungated-default paths.</w:t>
      </w:r>
      <w:r>
        <w:t xml:space="preserve"> </w:t>
      </w:r>
      <w:r>
        <w:rPr>
          <w:iCs/>
          <w:i/>
        </w:rPr>
        <w:t xml:space="preserve">Field note:</w:t>
      </w:r>
      <w:r>
        <w:rPr>
          <w:iCs/>
          <w:i/>
        </w:rPr>
        <w:t xml:space="preserve"> </w:t>
      </w:r>
      <w:r>
        <w:rPr>
          <w:rStyle w:val="VerbatimChar"/>
          <w:iCs/>
          <w:i/>
        </w:rPr>
        <w:t xml:space="preserve">docs/field-notes/2026-07-07-hakimi-observability-vs-authorization.md</w:t>
      </w:r>
      <w:r>
        <w:rPr>
          <w:iCs/>
          <w:i/>
        </w:rPr>
        <w:t xml:space="preserve">; scientific restatement: PHD_FIREHORSE §14.37.4.</w:t>
      </w:r>
    </w:p>
    <w:bookmarkEnd w:id="369"/>
    <w:bookmarkEnd w:id="370"/>
    <w:bookmarkStart w:id="374" w:name="X604b9f522d3f03f9824dc613faad9b8a4830105"/>
    <w:p>
      <w:pPr>
        <w:pStyle w:val="Heading3"/>
      </w:pPr>
      <w:r>
        <w:t xml:space="preserve">10.28 Trajectory-Aware Model Escalation: The DWS Factory Router</w:t>
      </w:r>
    </w:p>
    <w:p>
      <w:pPr>
        <w:pStyle w:val="FirstParagraph"/>
      </w:pPr>
      <w:r>
        <w:t xml:space="preserve">DWS IQ 6 runs agents on a cost ladder: cheap models take every task first, and capability is bought only when evidence demands it. Until August 2026 that escalation was manual — an operator noticed a stuck session and re-ran it on a stronger model. This section records the implementation that mechanized the decision, and the audit-driven adopt/adapt path that produced it.</w:t>
      </w:r>
    </w:p>
    <w:bookmarkStart w:id="371" w:name="the-adoptadapt-decision"/>
    <w:p>
      <w:pPr>
        <w:pStyle w:val="Heading4"/>
      </w:pPr>
      <w:r>
        <w:t xml:space="preserve">10.28.1 The adopt/adapt decision</w:t>
      </w:r>
    </w:p>
    <w:p>
      <w:pPr>
        <w:pStyle w:val="FirstParagraph"/>
      </w:pPr>
      <w:r>
        <w:t xml:space="preserve">The candidate was SageRoute (codejunkie99/sageroute, MIT), a trajectory-aware routing proxy published July 2026. A source-level audit (field note</w:t>
      </w:r>
      <w:r>
        <w:t xml:space="preserve"> </w:t>
      </w:r>
      <w:r>
        <w:rPr>
          <w:rStyle w:val="VerbatimChar"/>
        </w:rPr>
        <w:t xml:space="preserve">docs/field-notes/2026-08-03-agent-factory-sageroute-audit.md</w:t>
      </w:r>
      <w:r>
        <w:t xml:space="preserve">) found the deterministic core excellent and the deployment posture unacceptable for DWS on three grounds: every routing verdict shipped task-text and tool-output fragments to an external decision API (Levanto Sage) with no discoverable GDPR posture; the OAuth module impersonated first-party CLI clients to route consumer-subscription quota through the proxy — a provider-ToS violation vector; and the codebase was two days old with a single observed live escalation. The decision — REJECT deployment, ADAPT the deterministic pieces — was ratified by the HIC and shipped the same day as</w:t>
      </w:r>
      <w:r>
        <w:t xml:space="preserve"> </w:t>
      </w:r>
      <w:r>
        <w:rPr>
          <w:rStyle w:val="VerbatimChar"/>
        </w:rPr>
        <w:t xml:space="preserve">src/factory/</w:t>
      </w:r>
      <w:r>
        <w:t xml:space="preserve">.</w:t>
      </w:r>
    </w:p>
    <w:bookmarkEnd w:id="371"/>
    <w:bookmarkStart w:id="372" w:name="architecture-1"/>
    <w:p>
      <w:pPr>
        <w:pStyle w:val="Heading4"/>
      </w:pPr>
      <w:r>
        <w:t xml:space="preserve">10.28.2 Architecture</w:t>
      </w:r>
    </w:p>
    <w:p>
      <w:pPr>
        <w:pStyle w:val="FirstParagraph"/>
      </w:pPr>
      <w:r>
        <w:t xml:space="preserve">The router is three pure stages, all offline.</w:t>
      </w:r>
      <w:r>
        <w:t xml:space="preserve"> </w:t>
      </w:r>
      <w:r>
        <w:rPr>
          <w:bCs/>
          <w:b/>
        </w:rPr>
        <w:t xml:space="preserve">Evidence recovery</w:t>
      </w:r>
      <w:r>
        <w:t xml:space="preserve"> </w:t>
      </w:r>
      <w:r>
        <w:t xml:space="preserve">maps both agent wire formats DWS encounters (Anthropic Messages</w:t>
      </w:r>
      <w:r>
        <w:t xml:space="preserve"> </w:t>
      </w:r>
      <w:r>
        <w:rPr>
          <w:rStyle w:val="VerbatimChar"/>
        </w:rPr>
        <w:t xml:space="preserve">tool_use</w:t>
      </w:r>
      <w:r>
        <w:t xml:space="preserve">/</w:t>
      </w:r>
      <w:r>
        <w:rPr>
          <w:rStyle w:val="VerbatimChar"/>
        </w:rPr>
        <w:t xml:space="preserve">tool_result</w:t>
      </w:r>
      <w:r>
        <w:t xml:space="preserve"> </w:t>
      </w:r>
      <w:r>
        <w:t xml:space="preserve">blocks and OpenAI Responses</w:t>
      </w:r>
      <w:r>
        <w:t xml:space="preserve"> </w:t>
      </w:r>
      <w:r>
        <w:rPr>
          <w:rStyle w:val="VerbatimChar"/>
        </w:rPr>
        <w:t xml:space="preserve">function_call</w:t>
      </w:r>
      <w:r>
        <w:t xml:space="preserve">/</w:t>
      </w:r>
      <w:r>
        <w:rPr>
          <w:rStyle w:val="VerbatimChar"/>
        </w:rPr>
        <w:t xml:space="preserve">function_call_output</w:t>
      </w:r>
      <w:r>
        <w:t xml:space="preserve"> </w:t>
      </w:r>
      <w:r>
        <w:t xml:space="preserve">items) onto one trajectory model: per-step tool name, argument digest, output digest, success flag, and a coarse comparable error class.</w:t>
      </w:r>
      <w:r>
        <w:t xml:space="preserve"> </w:t>
      </w:r>
      <w:r>
        <w:rPr>
          <w:bCs/>
          <w:b/>
        </w:rPr>
        <w:t xml:space="preserve">Deterministic detectors</w:t>
      </w:r>
      <w:r>
        <w:t xml:space="preserve"> </w:t>
      </w:r>
      <w:r>
        <w:t xml:space="preserve">then compute signals no model is consulted for (Engineering Discipline Rule 5): identical action+observation 3×, the same error class 3× back-to-back, ping-pong alternation 4×, write→failing-test thrash cycles, steps-since-progress (a rewrite is not progress; only a passing execution resets the counter), and budget burn.</w:t>
      </w:r>
      <w:r>
        <w:t xml:space="preserve"> </w:t>
      </w:r>
      <w:r>
        <w:rPr>
          <w:bCs/>
          <w:b/>
        </w:rPr>
        <w:t xml:space="preserve">The ladder</w:t>
      </w:r>
      <w:r>
        <w:t xml:space="preserve"> </w:t>
      </w:r>
      <w:r>
        <w:t xml:space="preserve">converts signals into one of four actions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behind guardrails: budget stop before any other logic, capability-before-retry (a cheap-tier restart becomes a switch while a switch remains), asymmetric hysteresis (the first cheap→strong hop fires on one bad checkpoint; disruptive actions need two agreeing ones), and a strictly one-way climb.</w:t>
      </w:r>
    </w:p>
    <w:p>
      <w:pPr>
        <w:pStyle w:val="BodyText"/>
      </w:pPr>
      <w:r>
        <w:t xml:space="preserve">The upstream design consulted a remote</w:t>
      </w:r>
      <w:r>
        <w:t xml:space="preserve"> </w:t>
      </w:r>
      <w:r>
        <w:t xml:space="preserve">“</w:t>
      </w:r>
      <w:r>
        <w:t xml:space="preserve">calibrated confidence</w:t>
      </w:r>
      <w:r>
        <w:t xml:space="preserve">”</w:t>
      </w:r>
      <w:r>
        <w:t xml:space="preserve"> </w:t>
      </w:r>
      <w:r>
        <w:t xml:space="preserve">API at the decision point; the DWS adaptation replaces that call with a transparent additive heuristic over the same signal report, making every verdict explainable from the evidence block and making the router EU-sovereign by construction — nothing leaves the machine.</w:t>
      </w:r>
      <w:r>
        <w:t xml:space="preserve"> </w:t>
      </w:r>
      <w:r>
        <w:rPr>
          <w:rStyle w:val="VerbatimChar"/>
        </w:rPr>
        <w:t xml:space="preserve">escalate_human</w:t>
      </w:r>
      <w:r>
        <w:t xml:space="preserve"> </w:t>
      </w:r>
      <w:r>
        <w:t xml:space="preserve">is surfaced as a hard stop, which is the EU AI Act Article 14 intervention point expressed in the routing layer.</w:t>
      </w:r>
    </w:p>
    <w:bookmarkEnd w:id="372"/>
    <w:bookmarkStart w:id="373" w:name="verification-and-productization"/>
    <w:p>
      <w:pPr>
        <w:pStyle w:val="Heading4"/>
      </w:pPr>
      <w:r>
        <w:t xml:space="preserve">10.28.3 Verification and productization</w:t>
      </w:r>
    </w:p>
    <w:p>
      <w:pPr>
        <w:pStyle w:val="FirstParagraph"/>
      </w:pPr>
      <w:r>
        <w:t xml:space="preserve">Fifteen tests assert detector and ladder intent (loop kinds, thrash counting that naive loop detection misses, gate calibration, hysteresis, one-way-ladder invariants, budget and switch/restart exhaustion); the full repository suite passed unchanged. The capability is agent-accessible per the Agent Productization Rule:</w:t>
      </w:r>
      <w:r>
        <w:t xml:space="preserve"> </w:t>
      </w:r>
      <w:r>
        <w:rPr>
          <w:rStyle w:val="VerbatimChar"/>
        </w:rPr>
        <w:t xml:space="preserve">npm run factory:route</w:t>
      </w:r>
      <w:r>
        <w:t xml:space="preserve"> </w:t>
      </w:r>
      <w:r>
        <w:t xml:space="preserve">emits a structured JSON verdict with exit codes 0/2/3/4 so shell pipelines branch without parsing, and</w:t>
      </w:r>
      <w:r>
        <w:t xml:space="preserve"> </w:t>
      </w:r>
      <w:r>
        <w:rPr>
          <w:rStyle w:val="VerbatimChar"/>
        </w:rPr>
        <w:t xml:space="preserve">/factory-route</w:t>
      </w:r>
      <w:r>
        <w:t xml:space="preserve"> </w:t>
      </w:r>
      <w:r>
        <w:t xml:space="preserve">registers the procedure as a skill. The engineering lesson mirrors §10.27’s artifact–legitimacy gap from the consumer side: a 48-hour agent-written codebase can be distribution-grade in its deterministic core and simultaneously undeployable in its trust posture — the audit boundary, not the code quality, decided what was adopted.</w:t>
      </w:r>
    </w:p>
    <w:bookmarkEnd w:id="373"/>
    <w:bookmarkEnd w:id="374"/>
    <w:bookmarkStart w:id="375" w:name="X5db74638749fc29f798bcdcdab5c4329307ee99"/>
    <w:p>
      <w:pPr>
        <w:pStyle w:val="Heading3"/>
      </w:pPr>
      <w:r>
        <w:t xml:space="preserve">10.30 OpenCode-Primary DGX Runtime and the MCP Boundary</w:t>
      </w:r>
    </w:p>
    <w:p>
      <w:pPr>
        <w:pStyle w:val="FirstParagraph"/>
      </w:pPr>
      <w:r>
        <w:t xml:space="preserve">The verified DGX Spark development runtime separates the agent harness from the model provider. OpenCode 1.18.18 is the primary harness; Ollama supplies the local/open-model path, with current NVIDIA model selection preferred over the retired</w:t>
      </w:r>
      <w:r>
        <w:t xml:space="preserve"> </w:t>
      </w:r>
      <w:r>
        <w:rPr>
          <w:rStyle w:val="VerbatimChar"/>
        </w:rPr>
        <w:t xml:space="preserve">llama3.3:70b</w:t>
      </w:r>
      <w:r>
        <w:t xml:space="preserve"> </w:t>
      </w:r>
      <w:r>
        <w:t xml:space="preserve">default. Claude Code remains available as a hot standby rather than the primary runtime. This preserves a stable operator surface while allowing model replacement without rewriting repository policy, skills, or control boundaries.</w:t>
      </w:r>
    </w:p>
    <w:p>
      <w:pPr>
        <w:pStyle w:val="BodyText"/>
      </w:pPr>
      <w:r>
        <w:t xml:space="preserve">The implementation is operationally concrete: the DGX uses Linux-safe OpenCode settings, an explicit</w:t>
      </w:r>
      <w:r>
        <w:t xml:space="preserve"> </w:t>
      </w:r>
      <w:r>
        <w:rPr>
          <w:rStyle w:val="VerbatimChar"/>
        </w:rPr>
        <w:t xml:space="preserve">~/.opencode/bin</w:t>
      </w:r>
      <w:r>
        <w:t xml:space="preserve"> </w:t>
      </w:r>
      <w:r>
        <w:t xml:space="preserve">PATH fallback for non-login SSH shells, and a project virtualenv for the local MCP gateway. The gateway requires</w:t>
      </w:r>
      <w:r>
        <w:t xml:space="preserve"> </w:t>
      </w:r>
      <w:r>
        <w:rPr>
          <w:rStyle w:val="VerbatimChar"/>
        </w:rPr>
        <w:t xml:space="preserve">mcp[cli]&gt;=1.9.0,&lt;2.0.0</w:t>
      </w:r>
      <w:r>
        <w:t xml:space="preserve">; MCP SDK 2.x is incompatible with its</w:t>
      </w:r>
      <w:r>
        <w:t xml:space="preserve"> </w:t>
      </w:r>
      <w:r>
        <w:rPr>
          <w:rStyle w:val="VerbatimChar"/>
        </w:rPr>
        <w:t xml:space="preserve">mcp.server.fastmcp</w:t>
      </w:r>
      <w:r>
        <w:t xml:space="preserve"> </w:t>
      </w:r>
      <w:r>
        <w:t xml:space="preserve">import path. Verification uses</w:t>
      </w:r>
      <w:r>
        <w:t xml:space="preserve"> </w:t>
      </w:r>
      <w:r>
        <w:rPr>
          <w:rStyle w:val="VerbatimChar"/>
        </w:rPr>
        <w:t xml:space="preserve">opencode debug config --pure</w:t>
      </w:r>
      <w:r>
        <w:t xml:space="preserve"> </w:t>
      </w:r>
      <w:r>
        <w:t xml:space="preserve">and</w:t>
      </w:r>
      <w:r>
        <w:t xml:space="preserve"> </w:t>
      </w:r>
      <w:r>
        <w:rPr>
          <w:rStyle w:val="VerbatimChar"/>
        </w:rPr>
        <w:t xml:space="preserve">opencode mcp list</w:t>
      </w:r>
      <w:r>
        <w:t xml:space="preserve">, with</w:t>
      </w:r>
      <w:r>
        <w:t xml:space="preserve"> </w:t>
      </w:r>
      <w:r>
        <w:rPr>
          <w:rStyle w:val="VerbatimChar"/>
        </w:rPr>
        <w:t xml:space="preserve">dws-gateway-local</w:t>
      </w:r>
      <w:r>
        <w:t xml:space="preserve"> </w:t>
      </w:r>
      <w:r>
        <w:t xml:space="preserve">connected.</w:t>
      </w:r>
    </w:p>
    <w:p>
      <w:pPr>
        <w:pStyle w:val="BodyText"/>
      </w:pPr>
      <w:r>
        <w:t xml:space="preserve">The negative capability is part of the implementation evidence.</w:t>
      </w:r>
      <w:r>
        <w:t xml:space="preserve"> </w:t>
      </w:r>
      <w:r>
        <w:rPr>
          <w:rStyle w:val="VerbatimChar"/>
        </w:rPr>
        <w:t xml:space="preserve">dws-agents-local</w:t>
      </w:r>
      <w:r>
        <w:t xml:space="preserve"> </w:t>
      </w:r>
      <w:r>
        <w:t xml:space="preserve">is disabled because no service listens on</w:t>
      </w:r>
      <w:r>
        <w:t xml:space="preserve"> </w:t>
      </w:r>
      <w:r>
        <w:rPr>
          <w:rStyle w:val="VerbatimChar"/>
        </w:rPr>
        <w:t xml:space="preserve">localhost:3001/mcp</w:t>
      </w:r>
      <w:r>
        <w:t xml:space="preserve">; observed services on other ports are not substituted without evidence. This avoids converting an unavailable egress path into a false health signal. The resulting runtime is therefore not</w:t>
      </w:r>
      <w:r>
        <w:t xml:space="preserve"> </w:t>
      </w:r>
      <w:r>
        <w:t xml:space="preserve">“</w:t>
      </w:r>
      <w:r>
        <w:t xml:space="preserve">all tools enabled</w:t>
      </w:r>
      <w:r>
        <w:t xml:space="preserve">”</w:t>
      </w:r>
      <w:r>
        <w:t xml:space="preserve">: it is a bounded local harness with one verified gateway and an explicit unavailable-service boundary.</w:t>
      </w:r>
    </w:p>
    <w:p>
      <w:pPr>
        <w:pStyle w:val="BodyText"/>
      </w:pPr>
      <w:r>
        <w:rPr>
          <w:iCs/>
          <w:i/>
        </w:rPr>
        <w:t xml:space="preserve">Implementation artefacts:</w:t>
      </w:r>
      <w:r>
        <w:rPr>
          <w:iCs/>
          <w:i/>
        </w:rPr>
        <w:t xml:space="preserve"> </w:t>
      </w:r>
      <w:r>
        <w:rPr>
          <w:rStyle w:val="VerbatimChar"/>
          <w:iCs/>
          <w:i/>
        </w:rPr>
        <w:t xml:space="preserve">opencode.json</w:t>
      </w:r>
      <w:r>
        <w:rPr>
          <w:iCs/>
          <w:i/>
        </w:rPr>
        <w:t xml:space="preserve">,</w:t>
      </w:r>
      <w:r>
        <w:rPr>
          <w:iCs/>
          <w:i/>
        </w:rPr>
        <w:t xml:space="preserve"> </w:t>
      </w:r>
      <w:r>
        <w:rPr>
          <w:rStyle w:val="VerbatimChar"/>
          <w:iCs/>
          <w:i/>
        </w:rPr>
        <w:t xml:space="preserve">mcp-servers/cloud-run-gateway/server.py</w:t>
      </w:r>
      <w:r>
        <w:rPr>
          <w:iCs/>
          <w:i/>
        </w:rPr>
        <w:t xml:space="preserve">,</w:t>
      </w:r>
      <w:r>
        <w:rPr>
          <w:iCs/>
          <w:i/>
        </w:rPr>
        <w:t xml:space="preserve"> </w:t>
      </w:r>
      <w:r>
        <w:rPr>
          <w:rStyle w:val="VerbatimChar"/>
          <w:iCs/>
          <w:i/>
        </w:rPr>
        <w:t xml:space="preserve">mcp-servers/cloud-run-gateway/requirements.txt</w:t>
      </w:r>
      <w:r>
        <w:rPr>
          <w:iCs/>
          <w:i/>
        </w:rPr>
        <w:t xml:space="preserve">,</w:t>
      </w:r>
      <w:r>
        <w:rPr>
          <w:iCs/>
          <w:i/>
        </w:rPr>
        <w:t xml:space="preserve"> </w:t>
      </w:r>
      <w:r>
        <w:rPr>
          <w:rStyle w:val="VerbatimChar"/>
          <w:iCs/>
          <w:i/>
        </w:rPr>
        <w:t xml:space="preserve">docs/field-notes/2026-08-13-opencode-dgx-runtime-alignment.md</w:t>
      </w:r>
      <w:r>
        <w:rPr>
          <w:iCs/>
          <w:i/>
        </w:rPr>
        <w:t xml:space="preserve">.</w:t>
      </w:r>
    </w:p>
    <w:bookmarkEnd w:id="375"/>
    <w:bookmarkEnd w:id="376"/>
    <w:bookmarkEnd w:id="3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7">
    <w:p>
      <w:pPr>
        <w:pStyle w:val="FootnoteText"/>
      </w:pPr>
      <w:r>
        <w:rPr>
          <w:rStyle w:val="FootnoteReference"/>
        </w:rPr>
        <w:footnoteRef/>
      </w:r>
      <w:r>
        <w:t xml:space="preserve"> </w:t>
      </w:r>
      <w:r>
        <w:t xml:space="preserve">Päärni, R. A. (2026).</w:t>
      </w:r>
      <w:r>
        <w:t xml:space="preserve"> </w:t>
      </w:r>
      <w:r>
        <w:rPr>
          <w:iCs/>
          <w:i/>
        </w:rPr>
        <w:t xml:space="preserve">PHD_FIREHORSE_EN.md §14.23 — Three-Pillar Sovereignty Taxonomy and Jurisdiction-Dependent Dynamics in Global Enterprises.</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Field Note: EU Tech-Stack Sovereignty Positioning (Field Note #1).</w:t>
      </w:r>
      <w:r>
        <w:t xml:space="preserve"> </w:t>
      </w:r>
      <w:r>
        <w:t xml:space="preserve">Lifetime Oy. Local repository path:</w:t>
      </w:r>
      <w:r>
        <w:t xml:space="preserve"> </w:t>
      </w:r>
      <w:r>
        <w:rPr>
          <w:rStyle w:val="VerbatimChar"/>
        </w:rPr>
        <w:t xml:space="preserve">docs/field-notes/2026-01-28-eu-tech-stack-sovereignty-positioning.md</w:t>
      </w:r>
      <w:r>
        <w:t xml:space="preserve">. Dated 28 January 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Sovereignty Field Note #2 — The Three Pillars Every Global Enterprise Needs.</w:t>
      </w:r>
      <w:r>
        <w:t xml:space="preserve"> </w:t>
      </w:r>
      <w:r>
        <w:t xml:space="preserve">Lifetime Oy. Local repository path:</w:t>
      </w:r>
      <w:r>
        <w:t xml:space="preserve"> </w:t>
      </w:r>
      <w:r>
        <w:rPr>
          <w:rStyle w:val="VerbatimChar"/>
        </w:rPr>
        <w:t xml:space="preserve">docs/field-notes/2026-05-28-three-pillars-sovereignty-global.md</w:t>
      </w:r>
      <w:r>
        <w:t xml:space="preserve">. Published HTML:</w:t>
      </w:r>
      <w:r>
        <w:t xml:space="preserve"> </w:t>
      </w:r>
      <w:hyperlink r:id="rId340">
        <w:r>
          <w:rPr>
            <w:rStyle w:val="Hyperlink"/>
          </w:rPr>
          <w:t xml:space="preserve">https://onelifetime.world/posts/sovereignty-field-note-2-three-pillars.html</w:t>
        </w:r>
      </w:hyperlink>
      <w:r>
        <w:t xml:space="preserve">. Dated 28 May 2026.</w:t>
      </w:r>
    </w:p>
  </w:footnote>
  <w:footnote w:id="341">
    <w:p>
      <w:pPr>
        <w:pStyle w:val="FootnoteText"/>
      </w:pPr>
      <w:r>
        <w:rPr>
          <w:rStyle w:val="FootnoteReference"/>
        </w:rPr>
        <w:footnoteRef/>
      </w:r>
      <w:r>
        <w:t xml:space="preserve"> </w:t>
      </w:r>
      <w:r>
        <w:t xml:space="preserve">Lifetime Oy. (2026).</w:t>
      </w:r>
      <w:r>
        <w:t xml:space="preserve"> </w:t>
      </w:r>
      <w:r>
        <w:rPr>
          <w:iCs/>
          <w:i/>
        </w:rPr>
        <w:t xml:space="preserve">DWS_DEPLOYMENT_STANDARD.md lines 165–172 — DWS IQ Connect / Sovereign Infra / Aegis product tier definitions.</w:t>
      </w:r>
      <w:r>
        <w:t xml:space="preserve"> </w:t>
      </w:r>
      <w:r>
        <w:t xml:space="preserve">Internal canonical standard. Local repository path:</w:t>
      </w:r>
      <w:r>
        <w:t xml:space="preserve"> </w:t>
      </w:r>
      <w:r>
        <w:rPr>
          <w:rStyle w:val="VerbatimChar"/>
        </w:rPr>
        <w:t xml:space="preserve">DWS_DEPLOYMENT_STANDARD.md</w:t>
      </w:r>
      <w:r>
        <w:t xml:space="preserve">. Accessed 28 May 2026.</w:t>
      </w:r>
    </w:p>
  </w:footnote>
  <w:footnote w:id="342">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framing.</w:t>
      </w:r>
      <w:r>
        <w:t xml:space="preserve"> </w:t>
      </w:r>
      <w:r>
        <w:t xml:space="preserve">Internal canonical standard. Local repository path:</w:t>
      </w:r>
      <w:r>
        <w:t xml:space="preserve"> </w:t>
      </w:r>
      <w:r>
        <w:rPr>
          <w:rStyle w:val="VerbatimChar"/>
        </w:rPr>
        <w:t xml:space="preserve">DWS_SOVEREIGNTY_STANDARD.md</w:t>
      </w:r>
      <w:r>
        <w:t xml:space="preserve">. Accessed 28 May 2026.</w:t>
      </w:r>
    </w:p>
  </w:footnote>
  <w:footnote w:id="343">
    <w:p>
      <w:pPr>
        <w:pStyle w:val="FootnoteText"/>
      </w:pPr>
      <w:r>
        <w:rPr>
          <w:rStyle w:val="FootnoteReference"/>
        </w:rPr>
        <w:footnoteRef/>
      </w:r>
      <w:r>
        <w:t xml:space="preserve"> </w:t>
      </w:r>
      <w:r>
        <w:t xml:space="preserve">Lifetime Oy. (2026).</w:t>
      </w:r>
      <w:r>
        <w:t xml:space="preserve"> </w:t>
      </w:r>
      <w:r>
        <w:rPr>
          <w:iCs/>
          <w:i/>
        </w:rPr>
        <w:t xml:space="preserve">DWS_STANDARDS_LIBRARY.md §3.6 — Sovereignty Tier Map (vendor classification T1/T2/T3).</w:t>
      </w:r>
      <w:r>
        <w:t xml:space="preserve"> </w:t>
      </w:r>
      <w:r>
        <w:t xml:space="preserve">Internal canonical standard. Local repository path:</w:t>
      </w:r>
      <w:r>
        <w:t xml:space="preserve"> </w:t>
      </w:r>
      <w:r>
        <w:rPr>
          <w:rStyle w:val="VerbatimChar"/>
        </w:rPr>
        <w:t xml:space="preserve">DWS_STANDARDS_LIBRARY.md</w:t>
      </w:r>
      <w:r>
        <w:t xml:space="preserve">. Accessed 28 May 2026.</w:t>
      </w:r>
    </w:p>
  </w:footnote>
  <w:footnote w:id="344">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5">
        <w:r>
          <w:rPr>
            <w:rStyle w:val="Hyperlink"/>
          </w:rPr>
          <w:t xml:space="preserve">https://www.rightful.fi/</w:t>
        </w:r>
      </w:hyperlink>
      <w:r>
        <w:t xml:space="preserve">. Five-stage methodology: Identify → Assess → Plan → Implement → Monitor. Accessed 28 May 2026.</w:t>
      </w:r>
    </w:p>
  </w:footnote>
  <w:footnote w:id="346">
    <w:p>
      <w:pPr>
        <w:pStyle w:val="FootnoteText"/>
      </w:pPr>
      <w:r>
        <w:rPr>
          <w:rStyle w:val="FootnoteReference"/>
        </w:rPr>
        <w:footnoteRef/>
      </w:r>
      <w:r>
        <w:t xml:space="preserve"> </w:t>
      </w:r>
      <w:r>
        <w:t xml:space="preserve">Päärni, R. A. (2026).</w:t>
      </w:r>
      <w:r>
        <w:t xml:space="preserve"> </w:t>
      </w:r>
      <w:r>
        <w:rPr>
          <w:iCs/>
          <w:i/>
        </w:rPr>
        <w:t xml:space="preserve">PHD_FIREHORSE_EN.md §14.21 — KYA Substrate-Integrity Conformance (SIB-track).</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47">
    <w:p>
      <w:pPr>
        <w:pStyle w:val="FootnoteText"/>
      </w:pPr>
      <w:r>
        <w:rPr>
          <w:rStyle w:val="FootnoteReference"/>
        </w:rPr>
        <w:footnoteRef/>
      </w:r>
      <w:r>
        <w:t xml:space="preserve"> </w:t>
      </w:r>
      <w:r>
        <w:t xml:space="preserve">Päärni, R. A. (2026).</w:t>
      </w:r>
      <w:r>
        <w:t xml:space="preserve"> </w:t>
      </w:r>
      <w:r>
        <w:rPr>
          <w:iCs/>
          <w:i/>
        </w:rPr>
        <w:t xml:space="preserve">Shufti KYA Whitepaper — IDV Provider Certification under the KYA Standard.</w:t>
      </w:r>
      <w:r>
        <w:t xml:space="preserve"> </w:t>
      </w:r>
      <w:r>
        <w:t xml:space="preserve">Lifetime Oy. Local repository path:</w:t>
      </w:r>
      <w:r>
        <w:t xml:space="preserve"> </w:t>
      </w:r>
      <w:r>
        <w:rPr>
          <w:rStyle w:val="VerbatimChar"/>
        </w:rPr>
        <w:t xml:space="preserve">docs/field-notes/2026-03-17-shufti-kya-whitepaper.md</w:t>
      </w:r>
      <w:r>
        <w:t xml:space="preserve">. Version 2.0 dated 13 April 2026.</w:t>
      </w:r>
    </w:p>
  </w:footnote>
  <w:footnote w:id="348">
    <w:p>
      <w:pPr>
        <w:pStyle w:val="FootnoteText"/>
      </w:pPr>
      <w:r>
        <w:rPr>
          <w:rStyle w:val="FootnoteReference"/>
        </w:rPr>
        <w:footnoteRef/>
      </w:r>
      <w:r>
        <w:t xml:space="preserve"> </w:t>
      </w:r>
      <w:r>
        <w:t xml:space="preserve">Päärni, R. A. (2026).</w:t>
      </w:r>
      <w:r>
        <w:t xml:space="preserve"> </w:t>
      </w:r>
      <w:r>
        <w:rPr>
          <w:iCs/>
          <w:i/>
        </w:rPr>
        <w:t xml:space="preserve">Field Note: Tier-1 Sovereignty Pilot for Outokumpu — robotics stack intel + DGX / Jetson T5000 sovereignty assessment.</w:t>
      </w:r>
      <w:r>
        <w:t xml:space="preserve"> </w:t>
      </w:r>
      <w:r>
        <w:t xml:space="preserve">Lifetime Oy. Local repository path:</w:t>
      </w:r>
      <w:r>
        <w:t xml:space="preserve"> </w:t>
      </w:r>
      <w:r>
        <w:rPr>
          <w:rStyle w:val="VerbatimChar"/>
        </w:rPr>
        <w:t xml:space="preserve">docs/field-notes/2026-05-25-tier1-sovereignty-pilot-outokumpu-dgx-t5000.md</w:t>
      </w:r>
      <w:r>
        <w:t xml:space="preserve">. Dated 25 May 2026.</w:t>
      </w:r>
    </w:p>
  </w:footnote>
  <w:footnote w:id="349">
    <w:p>
      <w:pPr>
        <w:pStyle w:val="FootnoteText"/>
      </w:pPr>
      <w:r>
        <w:rPr>
          <w:rStyle w:val="FootnoteReference"/>
        </w:rPr>
        <w:footnoteRef/>
      </w:r>
      <w:r>
        <w:t xml:space="preserve"> </w:t>
      </w:r>
      <w:r>
        <w:t xml:space="preserve">Päärni, R. A. (2026).</w:t>
      </w:r>
      <w:r>
        <w:t xml:space="preserve"> </w:t>
      </w:r>
      <w:r>
        <w:rPr>
          <w:iCs/>
          <w:i/>
        </w:rPr>
        <w:t xml:space="preserve">Construction Compliance Multi-Jurisdiction Brief.</w:t>
      </w:r>
      <w:r>
        <w:t xml:space="preserve"> </w:t>
      </w:r>
      <w:r>
        <w:t xml:space="preserve">Lifetime Oy. Local repository path:</w:t>
      </w:r>
      <w:r>
        <w:t xml:space="preserve"> </w:t>
      </w:r>
      <w:r>
        <w:rPr>
          <w:rStyle w:val="VerbatimChar"/>
        </w:rPr>
        <w:t xml:space="preserve">docs/briefs/construction-compliance-brief.md</w:t>
      </w:r>
      <w:r>
        <w:t xml:space="preserve">. Dated 22 May 2026.</w:t>
      </w:r>
    </w:p>
  </w:footnote>
  <w:footnote w:id="350">
    <w:p>
      <w:pPr>
        <w:pStyle w:val="FootnoteText"/>
      </w:pPr>
      <w:r>
        <w:rPr>
          <w:rStyle w:val="FootnoteReference"/>
        </w:rPr>
        <w:footnoteRef/>
      </w:r>
      <w:r>
        <w:t xml:space="preserve"> </w:t>
      </w:r>
      <w:r>
        <w:t xml:space="preserve">Päärni, R. A. (2026).</w:t>
      </w:r>
      <w:r>
        <w:t xml:space="preserve"> </w:t>
      </w:r>
      <w:r>
        <w:rPr>
          <w:iCs/>
          <w:i/>
        </w:rPr>
        <w:t xml:space="preserve">xAI Grok Partnership Proposal v1.0.</w:t>
      </w:r>
      <w:r>
        <w:t xml:space="preserve"> </w:t>
      </w:r>
      <w:r>
        <w:t xml:space="preserve">Lifetime Oy. Local repository path:</w:t>
      </w:r>
      <w:r>
        <w:t xml:space="preserve"> </w:t>
      </w:r>
      <w:r>
        <w:rPr>
          <w:rStyle w:val="VerbatimChar"/>
        </w:rPr>
        <w:t xml:space="preserve">docs/2026-02-26-xai-grok-partnership-proposal.md</w:t>
      </w:r>
      <w:r>
        <w:t xml:space="preserve">. Dated 26 February 2026.</w:t>
      </w:r>
    </w:p>
  </w:footnote>
  <w:footnote w:id="351">
    <w:p>
      <w:pPr>
        <w:pStyle w:val="FootnoteText"/>
      </w:pPr>
      <w:r>
        <w:rPr>
          <w:rStyle w:val="FootnoteReference"/>
        </w:rPr>
        <w:footnoteRef/>
      </w:r>
      <w:r>
        <w:t xml:space="preserve"> </w:t>
      </w:r>
      <w:r>
        <w:t xml:space="preserve">Päärni, R. A. (2026).</w:t>
      </w:r>
      <w:r>
        <w:t xml:space="preserve"> </w:t>
      </w:r>
      <w:r>
        <w:rPr>
          <w:iCs/>
          <w:i/>
        </w:rPr>
        <w:t xml:space="preserve">xAI Optimus Partnership Proposal v2.0.</w:t>
      </w:r>
      <w:r>
        <w:t xml:space="preserve"> </w:t>
      </w:r>
      <w:r>
        <w:t xml:space="preserve">Lifetime Oy. Local repository path:</w:t>
      </w:r>
      <w:r>
        <w:t xml:space="preserve"> </w:t>
      </w:r>
      <w:r>
        <w:rPr>
          <w:rStyle w:val="VerbatimChar"/>
        </w:rPr>
        <w:t xml:space="preserve">docs/sales/xAI-Optimus-Partnership-Proposal-v2.0.md</w:t>
      </w:r>
      <w:r>
        <w:t xml:space="preserve">. Dated 22 May 2026.</w:t>
      </w:r>
    </w:p>
  </w:footnote>
  <w:footnote w:id="352">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5">
        <w:r>
          <w:rPr>
            <w:rStyle w:val="Hyperlink"/>
          </w:rPr>
          <w:t xml:space="preserve">https://www.rightful.fi/</w:t>
        </w:r>
      </w:hyperlink>
      <w:r>
        <w:t xml:space="preserve">. Five-stage methodology: Identify → Assess → Plan → Implement → Monitor. Accessed 28 May 2026.</w:t>
      </w:r>
    </w:p>
  </w:footnote>
  <w:footnote w:id="35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54">
        <w:r>
          <w:rPr>
            <w:rStyle w:val="Hyperlink"/>
          </w:rPr>
          <w:t xml:space="preserve">https://csrc.nist.gov/pubs/fips/203/final</w:t>
        </w:r>
      </w:hyperlink>
      <w:r>
        <w:t xml:space="preserve">.</w:t>
      </w:r>
    </w:p>
  </w:footnote>
  <w:footnote w:id="355">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56">
        <w:r>
          <w:rPr>
            <w:rStyle w:val="Hyperlink"/>
          </w:rPr>
          <w:t xml:space="preserve">https://csrc.nist.gov/pubs/fips/204/final</w:t>
        </w:r>
      </w:hyperlink>
      <w:r>
        <w:t xml:space="preserve">.</w:t>
      </w:r>
    </w:p>
  </w:footnote>
  <w:footnote w:id="357">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58">
        <w:r>
          <w:rPr>
            <w:rStyle w:val="Hyperlink"/>
          </w:rPr>
          <w:t xml:space="preserve">https://csrc.nist.gov/pubs/fips/205/final</w:t>
        </w:r>
      </w:hyperlink>
      <w:r>
        <w:t xml:space="preserve">.</w:t>
      </w:r>
    </w:p>
  </w:footnote>
  <w:footnote w:id="359">
    <w:p>
      <w:pPr>
        <w:pStyle w:val="FootnoteText"/>
      </w:pPr>
      <w:r>
        <w:rPr>
          <w:rStyle w:val="FootnoteReference"/>
        </w:rPr>
        <w:footnoteRef/>
      </w:r>
      <w:r>
        <w:t xml:space="preserve"> </w:t>
      </w:r>
      <w:r>
        <w:t xml:space="preserve">European Parliament and Council. (2024).</w:t>
      </w:r>
      <w:r>
        <w:t xml:space="preserve"> </w:t>
      </w:r>
      <w:r>
        <w:rPr>
          <w:iCs/>
          <w:i/>
        </w:rPr>
        <w:t xml:space="preserve">Regulation (EU) 2024/1689 of 13 June 2024 laying down harmonised rules on artificial intelligence (EU AI Act).</w:t>
      </w:r>
      <w:r>
        <w:t xml:space="preserve"> </w:t>
      </w:r>
      <w:r>
        <w:t xml:space="preserve">Articles 9, 12, 13, 14 cited.</w:t>
      </w:r>
    </w:p>
  </w:footnote>
  <w:footnote w:id="360">
    <w:p>
      <w:pPr>
        <w:pStyle w:val="FootnoteText"/>
      </w:pPr>
      <w:r>
        <w:rPr>
          <w:rStyle w:val="FootnoteReference"/>
        </w:rPr>
        <w:footnoteRef/>
      </w:r>
      <w:r>
        <w:t xml:space="preserve"> </w:t>
      </w:r>
      <w:r>
        <w:t xml:space="preserve">European Parliament and Council. (2024).</w:t>
      </w:r>
      <w:r>
        <w:t xml:space="preserve"> </w:t>
      </w:r>
      <w:r>
        <w:rPr>
          <w:iCs/>
          <w:i/>
        </w:rPr>
        <w:t xml:space="preserve">Regulation (EU) 2024/1183 amending Regulation (EU) No 910/2014 as regards establishing the European Digital Identity Framework (eIDAS 2.0).</w:t>
      </w:r>
    </w:p>
  </w:footnote>
  <w:footnote w:id="361">
    <w:p>
      <w:pPr>
        <w:pStyle w:val="FootnoteText"/>
      </w:pPr>
      <w:r>
        <w:rPr>
          <w:rStyle w:val="FootnoteReference"/>
        </w:rPr>
        <w:footnoteRef/>
      </w:r>
      <w:r>
        <w:t xml:space="preserve"> </w:t>
      </w:r>
      <w:r>
        <w:t xml:space="preserve">European Parliament and Council. (2023).</w:t>
      </w:r>
      <w:r>
        <w:t xml:space="preserve"> </w:t>
      </w:r>
      <w:r>
        <w:rPr>
          <w:iCs/>
          <w:i/>
        </w:rPr>
        <w:t xml:space="preserve">Regulation (EU) 2023/2854 on harmonised rules on fair access to and use of data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4" Target="https://csrc.nist.gov/pubs/fips/203/final" TargetMode="External" /><Relationship Type="http://schemas.openxmlformats.org/officeDocument/2006/relationships/hyperlink" Id="rId356" Target="https://csrc.nist.gov/pubs/fips/204/final" TargetMode="External" /><Relationship Type="http://schemas.openxmlformats.org/officeDocument/2006/relationships/hyperlink" Id="rId358"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40" Target="https://onelifetime.world/posts/sovereignty-field-note-2-three-pillars.html" TargetMode="External" /><Relationship Type="http://schemas.openxmlformats.org/officeDocument/2006/relationships/hyperlink" Id="rId345"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4" Target="https://csrc.nist.gov/pubs/fips/203/final" TargetMode="External" /><Relationship Type="http://schemas.openxmlformats.org/officeDocument/2006/relationships/hyperlink" Id="rId356" Target="https://csrc.nist.gov/pubs/fips/204/final" TargetMode="External" /><Relationship Type="http://schemas.openxmlformats.org/officeDocument/2006/relationships/hyperlink" Id="rId358"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40" Target="https://onelifetime.world/posts/sovereignty-field-note-2-three-pillars.html" TargetMode="External" /><Relationship Type="http://schemas.openxmlformats.org/officeDocument/2006/relationships/hyperlink" Id="rId345"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2026-08-18T02:13:40Z</dcterms:created>
  <dcterms:modified xsi:type="dcterms:W3CDTF">2026-08-18T02:13:40Z</dcterms:modified>
</cp:coreProperties>
</file>

<file path=docProps/custom.xml><?xml version="1.0" encoding="utf-8"?>
<Properties xmlns="http://schemas.openxmlformats.org/officeDocument/2006/custom-properties" xmlns:vt="http://schemas.openxmlformats.org/officeDocument/2006/docPropsVTypes"/>
</file>