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8" w:name="X6cdf536d2e77ada2cc4bb6951cad8a1dacb89b4"/>
    <w:p>
      <w:pPr>
        <w:pStyle w:val="Heading1"/>
      </w:pPr>
      <w:r>
        <w:t xml:space="preserve">Field Note — Network-Independent Critical Operation: the Hybrid-War Premise for Aegis</w:t>
      </w:r>
    </w:p>
    <w:p>
      <w:pPr>
        <w:pStyle w:val="FirstParagraph"/>
      </w:pPr>
      <w:r>
        <w:rPr>
          <w:bCs/>
          <w:b/>
        </w:rPr>
        <w:t xml:space="preserve">Document Type:</w:t>
      </w:r>
      <w:r>
        <w:t xml:space="preserve"> </w:t>
      </w:r>
      <w:r>
        <w:t xml:space="preserve">Field Note — Locked Architectural / Commercial Decision</w:t>
      </w:r>
      <w:r>
        <w:t xml:space="preserve"> </w:t>
      </w:r>
      <w:r>
        <w:rPr>
          <w:bCs/>
          <w:b/>
        </w:rPr>
        <w:t xml:space="preserve">Scope:</w:t>
      </w:r>
      <w:r>
        <w:t xml:space="preserve"> </w:t>
      </w:r>
      <w:r>
        <w:t xml:space="preserve">The operating premise for dual-use manufacturing pilots under hybrid-war conditions, the five requirements it imposes, and the product-doc conflict it exposes. Decision recorded and product overview corrected; tiering and pricing consequences deliberately</w:t>
      </w:r>
      <w:r>
        <w:t xml:space="preserve"> </w:t>
      </w:r>
      <w:r>
        <w:rPr>
          <w:bCs/>
          <w:b/>
        </w:rPr>
        <w:t xml:space="preserve">not</w:t>
      </w:r>
      <w:r>
        <w:t xml:space="preserve"> </w:t>
      </w:r>
      <w:r>
        <w:t xml:space="preserve">decided here.</w:t>
      </w:r>
      <w:r>
        <w:t xml:space="preserve"> </w:t>
      </w:r>
      <w:r>
        <w:rPr>
          <w:bCs/>
          <w:b/>
        </w:rPr>
        <w:t xml:space="preserve">Ontology Tags:</w:t>
      </w:r>
      <w:r>
        <w:t xml:space="preserve"> </w:t>
      </w:r>
      <w:r>
        <w:t xml:space="preserve">Geography &gt; EU-27, Finland, Nordics | Sector &gt; Defence &amp; Dual-Use &gt; Critical Manufacturing, Resilience | Regulatory &gt; NIS2, CER Directive, EU AI Act Art. 12 | Entities &gt; DWS IQ Aegis, Control Room, Situation Room, Lifetime Oy | Temporal Context &gt; 2026-Q3, hybrid-threat environment | Confidence &gt; HIGH — this is a stated HIC decision, not an inference</w:t>
      </w:r>
    </w:p>
    <w:bookmarkStart w:id="20" w:name="the-decision"/>
    <w:p>
      <w:pPr>
        <w:pStyle w:val="Heading2"/>
      </w:pPr>
      <w:r>
        <w:t xml:space="preserve">1. The decision</w:t>
      </w:r>
    </w:p>
    <w:p>
      <w:pPr>
        <w:pStyle w:val="BlockText"/>
      </w:pPr>
      <w:r>
        <w:t xml:space="preserve">In a hybrid-war environment, a manufacturing facility must be treated as</w:t>
      </w:r>
      <w:r>
        <w:t xml:space="preserve"> </w:t>
      </w:r>
      <w:r>
        <w:rPr>
          <w:bCs/>
          <w:b/>
        </w:rPr>
        <w:t xml:space="preserve">dual-use critical infrastructure</w:t>
      </w:r>
      <w:r>
        <w:t xml:space="preserve">: loss of network connectivity cannot stop production or the core compliance workflow.</w:t>
      </w:r>
    </w:p>
    <w:p>
      <w:pPr>
        <w:pStyle w:val="FirstParagraph"/>
      </w:pPr>
      <w:r>
        <w:t xml:space="preserve">Stated by the HIC on 30.07.2026 as an</w:t>
      </w:r>
      <w:r>
        <w:t xml:space="preserve"> </w:t>
      </w:r>
      <w:r>
        <w:rPr>
          <w:bCs/>
          <w:b/>
        </w:rPr>
        <w:t xml:space="preserve">operational premise, not a deployment preference</w:t>
      </w:r>
      <w:r>
        <w:t xml:space="preserve">. It is upstream of tiering, hosting and pricing — it determines what the product must do before any of those conversations start.</w:t>
      </w:r>
    </w:p>
    <w:p>
      <w:pPr>
        <w:pStyle w:val="BodyText"/>
      </w:pPr>
      <w:r>
        <w:rPr>
          <w:bCs/>
          <w:b/>
        </w:rPr>
        <w:t xml:space="preserve">Five pilot requirements follow:</w:t>
      </w:r>
    </w:p>
    <w:p>
      <w:pPr>
        <w:numPr>
          <w:ilvl w:val="0"/>
          <w:numId w:val="1001"/>
        </w:numPr>
        <w:pStyle w:val="Compact"/>
      </w:pPr>
      <w:r>
        <w:t xml:space="preserve">Local execution and local evidence.</w:t>
      </w:r>
    </w:p>
    <w:p>
      <w:pPr>
        <w:numPr>
          <w:ilvl w:val="0"/>
          <w:numId w:val="1001"/>
        </w:numPr>
        <w:pStyle w:val="Compact"/>
      </w:pPr>
      <w:r>
        <w:t xml:space="preserve">Local identity, logs and kill authority.</w:t>
      </w:r>
    </w:p>
    <w:p>
      <w:pPr>
        <w:numPr>
          <w:ilvl w:val="0"/>
          <w:numId w:val="1001"/>
        </w:numPr>
        <w:pStyle w:val="Compact"/>
      </w:pPr>
      <w:r>
        <w:t xml:space="preserve">No network dependency for the core outcome.</w:t>
      </w:r>
    </w:p>
    <w:p>
      <w:pPr>
        <w:numPr>
          <w:ilvl w:val="0"/>
          <w:numId w:val="1001"/>
        </w:numPr>
        <w:pStyle w:val="Compact"/>
      </w:pPr>
      <w:r>
        <w:t xml:space="preserve">Cloud only for optional sync, backup or non-critical reporting.</w:t>
      </w:r>
    </w:p>
    <w:p>
      <w:pPr>
        <w:numPr>
          <w:ilvl w:val="0"/>
          <w:numId w:val="1001"/>
        </w:numPr>
        <w:pStyle w:val="Compact"/>
      </w:pPr>
      <w:r>
        <w:t xml:space="preserve">Graceful degradation during outages.</w:t>
      </w:r>
    </w:p>
    <w:p>
      <w:pPr>
        <w:pStyle w:val="FirstParagraph"/>
      </w:pPr>
      <w:r>
        <w:rPr>
          <w:bCs/>
          <w:b/>
        </w:rPr>
        <w:t xml:space="preserve">The commercial line:</w:t>
      </w:r>
    </w:p>
    <w:p>
      <w:pPr>
        <w:pStyle w:val="BlockText"/>
      </w:pPr>
      <w:r>
        <w:rPr>
          <w:bCs/>
          <w:b/>
        </w:rPr>
        <w:t xml:space="preserve">Aegis keeps critical compliance and control-room workflows running when the network cannot be trusted.</w:t>
      </w:r>
    </w:p>
    <w:p>
      <w:pPr>
        <w:pStyle w:val="FirstParagraph"/>
      </w:pPr>
      <w:r>
        <w:t xml:space="preserve">This is deliberately not</w:t>
      </w:r>
      <w:r>
        <w:t xml:space="preserve"> </w:t>
      </w:r>
      <w:r>
        <w:t xml:space="preserve">“</w:t>
      </w:r>
      <w:r>
        <w:t xml:space="preserve">on-prem</w:t>
      </w:r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</w:t>
      </w:r>
      <w:r>
        <w:t xml:space="preserve">air-gapped</w:t>
      </w:r>
      <w:r>
        <w:t xml:space="preserve">”</w:t>
      </w:r>
      <w:r>
        <w:t xml:space="preserve">. Those name a</w:t>
      </w:r>
      <w:r>
        <w:t xml:space="preserve"> </w:t>
      </w:r>
      <w:r>
        <w:rPr>
          <w:iCs/>
          <w:i/>
        </w:rPr>
        <w:t xml:space="preserve">topology</w:t>
      </w:r>
      <w:r>
        <w:t xml:space="preserve">; this names the</w:t>
      </w:r>
      <w:r>
        <w:t xml:space="preserve"> </w:t>
      </w:r>
      <w:r>
        <w:rPr>
          <w:iCs/>
          <w:i/>
        </w:rPr>
        <w:t xml:space="preserve">outcome being bought</w:t>
      </w:r>
      <w:r>
        <w:t xml:space="preserve">. A defence-adjacent buyer knows what on-prem is and is unmoved by it — they care whether the line keeps running and whether the record survives when the link drops.</w:t>
      </w:r>
    </w:p>
    <w:bookmarkEnd w:id="20"/>
    <w:bookmarkStart w:id="21" w:name="Xb927745d1b6bf2b0299a788cb689531a44496ac"/>
    <w:p>
      <w:pPr>
        <w:pStyle w:val="Heading2"/>
      </w:pPr>
      <w:r>
        <w:t xml:space="preserve">2. The conflict this exposes (surface it, do not average it — Rule 7)</w:t>
      </w:r>
    </w:p>
    <w:p>
      <w:pPr>
        <w:pStyle w:val="FirstParagraph"/>
      </w:pPr>
      <w:r>
        <w:rPr>
          <w:rStyle w:val="VerbatimChar"/>
        </w:rPr>
        <w:t xml:space="preserve">Store/PRODUCT_AEGIS.md</w:t>
      </w:r>
      <w:r>
        <w:t xml:space="preserve"> </w:t>
      </w:r>
      <w:r>
        <w:t xml:space="preserve">currently opens with:</w:t>
      </w:r>
    </w:p>
    <w:p>
      <w:pPr>
        <w:pStyle w:val="BlockText"/>
      </w:pPr>
      <w:r>
        <w:t xml:space="preserve">“</w:t>
      </w:r>
      <w:r>
        <w:t xml:space="preserve">…a hardened platform —</w:t>
      </w:r>
      <w:r>
        <w:t xml:space="preserve"> </w:t>
      </w:r>
      <w:r>
        <w:rPr>
          <w:bCs/>
          <w:b/>
        </w:rPr>
        <w:t xml:space="preserve">available exclusively on European cloud or enterprise private cloud</w:t>
      </w:r>
      <w:r>
        <w:t xml:space="preserve">.</w:t>
      </w:r>
      <w:r>
        <w:t xml:space="preserve">”</w:t>
      </w:r>
    </w:p>
    <w:p>
      <w:pPr>
        <w:pStyle w:val="FirstParagraph"/>
      </w:pPr>
      <w:r>
        <w:t xml:space="preserve">and lists air-gapped / on-premises operation only under the</w:t>
      </w:r>
      <w:r>
        <w:t xml:space="preserve"> </w:t>
      </w:r>
      <w:r>
        <w:rPr>
          <w:bCs/>
          <w:b/>
        </w:rPr>
        <w:t xml:space="preserve">Aegis Sovereign</w:t>
      </w:r>
      <w:r>
        <w:t xml:space="preserve"> </w:t>
      </w:r>
      <w:r>
        <w:t xml:space="preserve">tier (€4,999/mo, custom onboarding). Under the locked decision that framing is backwards in two ways:</w:t>
      </w:r>
    </w:p>
    <w:p>
      <w:pPr>
        <w:numPr>
          <w:ilvl w:val="0"/>
          <w:numId w:val="1002"/>
        </w:numPr>
        <w:pStyle w:val="Compact"/>
      </w:pPr>
      <w:r>
        <w:t xml:space="preserve">It presents network-independent operation as a</w:t>
      </w:r>
      <w:r>
        <w:t xml:space="preserve"> </w:t>
      </w:r>
      <w:r>
        <w:rPr>
          <w:bCs/>
          <w:b/>
        </w:rPr>
        <w:t xml:space="preserve">premium upgrade</w:t>
      </w:r>
      <w:r>
        <w:t xml:space="preserve"> </w:t>
      </w:r>
      <w:r>
        <w:t xml:space="preserve">when the decision makes it the</w:t>
      </w:r>
      <w:r>
        <w:t xml:space="preserve"> </w:t>
      </w:r>
      <w:r>
        <w:rPr>
          <w:bCs/>
          <w:b/>
        </w:rPr>
        <w:t xml:space="preserve">baseline premise</w:t>
      </w:r>
      <w:r>
        <w:t xml:space="preserve"> </w:t>
      </w:r>
      <w:r>
        <w:t xml:space="preserve">for the dual-use manufacturing case Aegis exists to serve.</w:t>
      </w:r>
    </w:p>
    <w:p>
      <w:pPr>
        <w:numPr>
          <w:ilvl w:val="0"/>
          <w:numId w:val="1002"/>
        </w:numPr>
        <w:pStyle w:val="Compact"/>
      </w:pPr>
      <w:r>
        <w:t xml:space="preserve">“</w:t>
      </w:r>
      <w:r>
        <w:t xml:space="preserve">Exclusively on European cloud or enterprise private cloud</w:t>
      </w:r>
      <w:r>
        <w:t xml:space="preserve">”</w:t>
      </w:r>
      <w:r>
        <w:t xml:space="preserve"> </w:t>
      </w:r>
      <w:r>
        <w:t xml:space="preserve">reads as though local execution is</w:t>
      </w:r>
      <w:r>
        <w:t xml:space="preserve"> </w:t>
      </w:r>
      <w:r>
        <w:rPr>
          <w:iCs/>
          <w:i/>
        </w:rPr>
        <w:t xml:space="preserve">outside</w:t>
      </w:r>
      <w:r>
        <w:t xml:space="preserve"> </w:t>
      </w:r>
      <w:r>
        <w:t xml:space="preserve">the product, which is the opposite of what a hybrid-war buyer needs to hear in the first paragraph.</w:t>
      </w:r>
    </w:p>
    <w:p>
      <w:pPr>
        <w:pStyle w:val="FirstParagraph"/>
      </w:pPr>
      <w:r>
        <w:rPr>
          <w:bCs/>
          <w:b/>
        </w:rPr>
        <w:t xml:space="preserve">Corrected in this change:</w:t>
      </w:r>
      <w:r>
        <w:t xml:space="preserve"> </w:t>
      </w:r>
      <w:r>
        <w:t xml:space="preserve">the overview now states the continuity premise and the commercial line.</w:t>
      </w:r>
      <w:r>
        <w:t xml:space="preserve"> </w:t>
      </w:r>
      <w:r>
        <w:rPr>
          <w:bCs/>
          <w:b/>
        </w:rPr>
        <w:t xml:space="preserve">Not decided in this change:</w:t>
      </w:r>
      <w:r>
        <w:t xml:space="preserve"> </w:t>
      </w:r>
      <w:r>
        <w:t xml:space="preserve">whether offline-capable operation moves into Standard/Defence, or stays a Sovereign-tier capability with the premise stated product-wide. That is a commercial call with pricing consequences — see Q6 (§5).</w:t>
      </w:r>
    </w:p>
    <w:bookmarkEnd w:id="21"/>
    <w:bookmarkStart w:id="22" w:name="X47bfd9f272dc9597bff0fe3ed20113a8a170734"/>
    <w:p>
      <w:pPr>
        <w:pStyle w:val="Heading2"/>
      </w:pPr>
      <w:r>
        <w:t xml:space="preserve">3. Why this argument is stronger than the economic one from earlier today</w:t>
      </w:r>
    </w:p>
    <w:p>
      <w:pPr>
        <w:pStyle w:val="FirstParagraph"/>
      </w:pPr>
      <w:r>
        <w:t xml:space="preserve">Earlier in this same session, §14.45 and the published post argued for local execution on</w:t>
      </w:r>
      <w:r>
        <w:t xml:space="preserve"> </w:t>
      </w:r>
      <w:r>
        <w:rPr>
          <w:bCs/>
          <w:b/>
        </w:rPr>
        <w:t xml:space="preserve">economic</w:t>
      </w:r>
      <w:r>
        <w:t xml:space="preserve"> </w:t>
      </w:r>
      <w:r>
        <w:t xml:space="preserve">grounds: harness token intensity makes metered pricing unviable for deep industrial workflows. That argument is sound and is now in the thesis. It is also the</w:t>
      </w:r>
      <w:r>
        <w:t xml:space="preserve"> </w:t>
      </w:r>
      <w:r>
        <w:rPr>
          <w:iCs/>
          <w:i/>
        </w:rPr>
        <w:t xml:space="preserve">weaker</w:t>
      </w:r>
      <w:r>
        <w:t xml:space="preserve"> </w:t>
      </w:r>
      <w:r>
        <w:t xml:space="preserve">of the two DWS holds.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Continuity</w:t>
            </w:r>
            <w:r>
              <w:t xml:space="preserve"> </w:t>
            </w:r>
            <w:r>
              <w:t xml:space="preserve">(this note)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Economics</w:t>
            </w:r>
            <w:r>
              <w:t xml:space="preserve"> </w:t>
            </w:r>
            <w:r>
              <w:t xml:space="preserve">(§14.45)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Claim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Critical workflows survive network loss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Unpredictable per-token exposure → bounded cost base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Evidence status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Provable today</w:t>
            </w:r>
            <w:r>
              <w:t xml:space="preserve"> </w:t>
            </w:r>
            <w:r>
              <w:t xml:space="preserve">— pull the cable during the pilot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Awaits measurement</w:t>
            </w:r>
            <w:r>
              <w:t xml:space="preserve"> </w:t>
            </w:r>
            <w:r>
              <w:t xml:space="preserve">— the depth-curve knee is unrun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Buyer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Operations, security, continuity planning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Finance, procurement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Failure if wrong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Demonstrable on site, immediately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Argument collapses quietly under audit</w:t>
            </w:r>
          </w:p>
        </w:tc>
      </w:tr>
    </w:tbl>
    <w:p>
      <w:pPr>
        <w:pStyle w:val="BodyText"/>
      </w:pPr>
      <w:r>
        <w:rPr>
          <w:bCs/>
          <w:b/>
        </w:rPr>
        <w:t xml:space="preserve">Lead with continuity in pilot material.</w:t>
      </w:r>
      <w:r>
        <w:t xml:space="preserve"> </w:t>
      </w:r>
      <w:r>
        <w:t xml:space="preserve">It is demonstrable now, it does not depend on the unrun sweep, and it is the argument a hybrid-war buyer is already making internally. Keep the economic argument in the same conversation — but it must not be load-bearing in a proposal while it still carries an unmeasured constant.</w:t>
      </w:r>
    </w:p>
    <w:p>
      <w:pPr>
        <w:pStyle w:val="BodyText"/>
      </w:pPr>
      <w:r>
        <w:t xml:space="preserve">This is also a useful check on the day’s earlier enthusiasm: the session spent considerable effort making the economic case rigorous, and the stronger commercial case was sitting one premise away the whole time.</w:t>
      </w:r>
    </w:p>
    <w:bookmarkEnd w:id="22"/>
    <w:bookmarkStart w:id="23" w:name="regulatory-anchoring"/>
    <w:p>
      <w:pPr>
        <w:pStyle w:val="Heading2"/>
      </w:pPr>
      <w:r>
        <w:t xml:space="preserve">4. Regulatory anchoring</w:t>
      </w:r>
    </w:p>
    <w:p>
      <w:pPr>
        <w:pStyle w:val="FirstParagraph"/>
      </w:pPr>
      <w:r>
        <w:t xml:space="preserve">Not only commercial. NIS2 and the CER Directive already impose continuity obligations on essential and critical entities. More sharply: the</w:t>
      </w:r>
      <w:r>
        <w:t xml:space="preserve"> </w:t>
      </w:r>
      <w:r>
        <w:rPr>
          <w:bCs/>
          <w:b/>
        </w:rPr>
        <w:t xml:space="preserve">EU AI Act Article 12 record must exist for decisions taken</w:t>
      </w:r>
      <w:r>
        <w:rPr>
          <w:bCs/>
          <w:b/>
        </w:rPr>
        <w:t xml:space="preserve"> </w:t>
      </w:r>
      <w:r>
        <w:rPr>
          <w:iCs/>
          <w:i/>
          <w:bCs/>
          <w:b/>
        </w:rPr>
        <w:t xml:space="preserve">during</w:t>
      </w:r>
      <w:r>
        <w:rPr>
          <w:bCs/>
          <w:b/>
        </w:rPr>
        <w:t xml:space="preserve"> </w:t>
      </w:r>
      <w:r>
        <w:rPr>
          <w:bCs/>
          <w:b/>
        </w:rPr>
        <w:t xml:space="preserve">an outage</w:t>
      </w:r>
      <w:r>
        <w:t xml:space="preserve">, not be reconstructed afterwards. An architecture whose evidence chain pauses when the uplink drops has an Article 12 gap at exactly the moment the record matters most — during the disruption it is meant to document.</w:t>
      </w:r>
    </w:p>
    <w:p>
      <w:pPr>
        <w:pStyle w:val="BodyText"/>
      </w:pPr>
      <w:r>
        <w:t xml:space="preserve">That reframes the requirement from resilience engineering into compliance engineering, which is the layer DWS actually sells.</w:t>
      </w:r>
    </w:p>
    <w:bookmarkEnd w:id="23"/>
    <w:bookmarkStart w:id="25" w:name="what-was-done-and-the-open-decision"/>
    <w:p>
      <w:pPr>
        <w:pStyle w:val="Heading2"/>
      </w:pPr>
      <w:r>
        <w:t xml:space="preserve">5. What was done, and the open decision</w:t>
      </w:r>
    </w:p>
    <w:p>
      <w:pPr>
        <w:pStyle w:val="FirstParagraph"/>
      </w:pPr>
      <w:r>
        <w:rPr>
          <w:bCs/>
          <w:b/>
        </w:rPr>
        <w:t xml:space="preserve">Done in this change:</w:t>
      </w:r>
      <w:r>
        <w:t xml:space="preserve"> </w:t>
      </w:r>
      <w:r>
        <w:t xml:space="preserve">the decision recorded here and as a reusable requirement set (</w:t>
      </w:r>
      <w:r>
        <w:rPr>
          <w:rStyle w:val="VerbatimChar"/>
        </w:rPr>
        <w:t xml:space="preserve">kb/wiki/concepts/network-independent-critical-operation.md</w:t>
      </w:r>
      <w:r>
        <w:t xml:space="preserve">, with a five-point architecture test);</w:t>
      </w:r>
      <w:r>
        <w:t xml:space="preserve"> </w:t>
      </w:r>
      <w:r>
        <w:rPr>
          <w:rStyle w:val="VerbatimChar"/>
        </w:rPr>
        <w:t xml:space="preserve">Store/PRODUCT_AEGIS.md</w:t>
      </w:r>
      <w:r>
        <w:t xml:space="preserve"> </w:t>
      </w:r>
      <w:r>
        <w:t xml:space="preserve">overview corrected to state the premise and the commercial line.</w:t>
      </w:r>
    </w:p>
    <w:p>
      <w:pPr>
        <w:pStyle w:val="BodyText"/>
      </w:pPr>
      <w:r>
        <w:rPr>
          <w:bCs/>
          <w:b/>
        </w:rPr>
        <w:t xml:space="preserve">Not done — deliberately:</w:t>
      </w:r>
      <w:r>
        <w:t xml:space="preserve"> </w:t>
      </w:r>
      <w:r>
        <w:t xml:space="preserve">no tier restructure, no pricing change, no deployment-standard rewrite, no roadmap re-sequencing. Those follow the decision below.</w:t>
      </w:r>
    </w:p>
    <w:bookmarkStart w:id="24" w:name="Xe3a75b5a1d077fec580850be632ae4713aad798"/>
    <w:p>
      <w:pPr>
        <w:pStyle w:val="Heading3"/>
      </w:pPr>
      <w:r>
        <w:t xml:space="preserve">HIC question Q6 (EU AI Act Art. 14 intervention point)</w:t>
      </w:r>
    </w:p>
    <w:p>
      <w:pPr>
        <w:pStyle w:val="FirstParagraph"/>
      </w:pPr>
      <w:r>
        <w:rPr>
          <w:bCs/>
          <w:b/>
        </w:rPr>
        <w:t xml:space="preserve">Q6. Network-independent operation is now the premise for the dual-use case. Does it move into the base tiers, or stay a Sovereign-tier capability?</w:t>
      </w:r>
    </w:p>
    <w:p>
      <w:pPr>
        <w:pStyle w:val="BodyText"/>
      </w:pPr>
      <w:r>
        <w:rPr>
          <w:bCs/>
          <w:b/>
        </w:rPr>
        <w:t xml:space="preserve">Options: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Move offline-capable operation into Aegis Standard and Defence.</w:t>
      </w:r>
      <w:r>
        <w:t xml:space="preserve"> </w:t>
      </w:r>
      <w:r>
        <w:t xml:space="preserve">Matches the premise exactly: every dual-use manufacturing pilot gets it, because every such facility is critical infrastructure. Cost: it removes the single clearest reason to buy Sovereign, and Standard/Defence are currently software-only with no customer-sited hardware assumption — so the tier economics change materially.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Keep it in Sovereign; state the premise product-wide.</w:t>
      </w:r>
      <w:r>
        <w:t xml:space="preserve"> </w:t>
      </w:r>
      <w:r>
        <w:t xml:space="preserve">The overview says loss of connectivity must not stop production; the</w:t>
      </w:r>
      <w:r>
        <w:t xml:space="preserve"> </w:t>
      </w:r>
      <w:r>
        <w:rPr>
          <w:iCs/>
          <w:i/>
        </w:rPr>
        <w:t xml:space="preserve">implementation</w:t>
      </w:r>
      <w:r>
        <w:t xml:space="preserve"> </w:t>
      </w:r>
      <w:r>
        <w:t xml:space="preserve">that delivers it remains the Sovereign tier. Preserves the pricing ladder. Risk: a buyer who reads the premise and then finds it costs €4,999/mo experiences it as a bait, which is worse than never having claimed it.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Split the requirement.</w:t>
      </w:r>
      <w:r>
        <w:t xml:space="preserve"> </w:t>
      </w:r>
      <w:r>
        <w:t xml:space="preserve">Local evidence, local kill authority and graceful degradation become baseline in all tiers (they are governance, and DWS sells governance). Full local</w:t>
      </w:r>
      <w:r>
        <w:t xml:space="preserve"> </w:t>
      </w:r>
      <w:r>
        <w:rPr>
          <w:iCs/>
          <w:i/>
        </w:rPr>
        <w:t xml:space="preserve">execution</w:t>
      </w:r>
      <w:r>
        <w:t xml:space="preserve"> </w:t>
      </w:r>
      <w:r>
        <w:t xml:space="preserve">of the physical layer stays Sovereign, because it genuinely requires customer-sited hardware DWS does not resell.</w:t>
      </w:r>
    </w:p>
    <w:p>
      <w:pPr>
        <w:pStyle w:val="FirstParagraph"/>
      </w:pPr>
      <w:r>
        <w:rPr>
          <w:bCs/>
          <w:b/>
        </w:rPr>
        <w:t xml:space="preserve">(RECOMMEND: 3.</w:t>
      </w:r>
      <w:r>
        <w:t xml:space="preserve"> </w:t>
      </w:r>
      <w:r>
        <w:t xml:space="preserve">It is the only option where the tier boundary follows a real technical boundary rather than a pricing preference. Requirements 2 and 5 — local identity/logs/kill authority, and specified degradation — are software and governance; DWS can and should deliver them everywhere, and requirement 2 in particular is where the Article 12 gap in §4 actually bites. Requirement 1’s</w:t>
      </w:r>
      <w:r>
        <w:t xml:space="preserve"> </w:t>
      </w:r>
      <w:r>
        <w:rPr>
          <w:iCs/>
          <w:i/>
        </w:rPr>
        <w:t xml:space="preserve">execution</w:t>
      </w:r>
      <w:r>
        <w:t xml:space="preserve"> </w:t>
      </w:r>
      <w:r>
        <w:t xml:space="preserve">half needs a box on site, which is a genuine Sovereign-tier distinction and defensible to a buyer as such. Option 1 gives away the tier for nothing; option 2 states a premise the base product cannot honour, which is the failure mode this session has been correcting all day.)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Reversibility:</w:t>
      </w:r>
      <w:r>
        <w:t xml:space="preserve"> </w:t>
      </w:r>
      <w:r>
        <w:t xml:space="preserve">two-way door while it is internal wording; becomes</w:t>
      </w:r>
      <w:r>
        <w:t xml:space="preserve"> </w:t>
      </w:r>
      <w:r>
        <w:rPr>
          <w:bCs/>
          <w:b/>
        </w:rPr>
        <w:t xml:space="preserve">ONE-WAY</w:t>
      </w:r>
      <w:r>
        <w:t xml:space="preserve"> </w:t>
      </w:r>
      <w:r>
        <w:t xml:space="preserve">the moment it is quoted in a pilot proposal or a price list, because a capability promised and then re-scoped is a trust event.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Unblocks:</w:t>
      </w:r>
      <w:r>
        <w:t xml:space="preserve"> </w:t>
      </w:r>
      <w:r>
        <w:t xml:space="preserve">pilot scoping for dual-use manufacturing; whether</w:t>
      </w:r>
      <w:r>
        <w:t xml:space="preserve"> </w:t>
      </w:r>
      <w:r>
        <w:rPr>
          <w:rStyle w:val="VerbatimChar"/>
        </w:rPr>
        <w:t xml:space="preserve">DWS_DEPLOYMENT_STANDARD.md</w:t>
      </w:r>
      <w:r>
        <w:t xml:space="preserve"> </w:t>
      </w:r>
      <w:r>
        <w:t xml:space="preserve">needs a degraded-mode profile per tier; the Aegis roadmap’s edge-cloud split (item 4, Q1 2027).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Cost of delay:</w:t>
      </w:r>
      <w:r>
        <w:t xml:space="preserve"> </w:t>
      </w:r>
      <w:r>
        <w:t xml:space="preserve">moderate and rising. The premise is now stated in a public-facing product document; leaving the tier question open means the first buyer conversation resolves it by accident.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Rests on:</w:t>
      </w:r>
      <w:r>
        <w:t xml:space="preserve"> </w:t>
      </w:r>
      <w:r>
        <w:rPr>
          <w:bCs/>
          <w:b/>
        </w:rPr>
        <w:t xml:space="preserve">verified</w:t>
      </w:r>
      <w:r>
        <w:t xml:space="preserve"> </w:t>
      </w:r>
      <w:r>
        <w:t xml:space="preserve">— the decision itself is a direct HIC statement, and the product-doc conflict is quoted from the file.</w:t>
      </w:r>
      <w:r>
        <w:t xml:space="preserve"> </w:t>
      </w:r>
      <w:r>
        <w:rPr>
          <w:bCs/>
          <w:b/>
        </w:rPr>
        <w:t xml:space="preserve">Not verified:</w:t>
      </w:r>
      <w:r>
        <w:t xml:space="preserve"> </w:t>
      </w:r>
      <w:r>
        <w:t xml:space="preserve">that Standard/Defence</w:t>
      </w:r>
      <w:r>
        <w:t xml:space="preserve"> </w:t>
      </w:r>
      <w:r>
        <w:rPr>
          <w:iCs/>
          <w:i/>
        </w:rPr>
        <w:t xml:space="preserve">can</w:t>
      </w:r>
      <w:r>
        <w:t xml:space="preserve"> </w:t>
      </w:r>
      <w:r>
        <w:t xml:space="preserve">deliver requirements 2 and 5 without customer hardware. That is an engineering question this note does not answer and option 3 depends on.</w:t>
      </w:r>
    </w:p>
    <w:bookmarkEnd w:id="24"/>
    <w:bookmarkEnd w:id="25"/>
    <w:bookmarkStart w:id="26" w:name="the-five-step-learning-standard-record"/>
    <w:p>
      <w:pPr>
        <w:pStyle w:val="Heading2"/>
      </w:pPr>
      <w:r>
        <w:t xml:space="preserve">6. The five-step Learning Standard record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792"/>
        <w:gridCol w:w="3168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Step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Knowledge base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  <w:r>
              <w:t xml:space="preserve"> </w:t>
            </w:r>
            <w:r>
              <w:rPr>
                <w:rStyle w:val="VerbatimChar"/>
              </w:rPr>
              <w:t xml:space="preserve">kb/wiki/concepts/network-independent-critical-operation.md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Field note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this file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bCs/>
                <w:b/>
              </w:rPr>
              <w:t xml:space="preserve">Learn/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HTML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  <w:r>
              <w:t xml:space="preserve"> </w:t>
            </w:r>
            <w:r>
              <w:rPr>
                <w:rStyle w:val="VerbatimChar"/>
              </w:rPr>
              <w:t xml:space="preserve">Learn/2026-07-30-network-independent-critical-operation.html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.docx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Drive export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  <w:r>
              <w:t xml:space="preserve"> </w:t>
            </w:r>
            <w:r>
              <w:rPr>
                <w:rStyle w:val="VerbatimChar"/>
              </w:rPr>
              <w:t xml:space="preserve">2026 DWS6</w:t>
            </w:r>
            <w:r>
              <w:t xml:space="preserve"> </w:t>
            </w:r>
            <w:r>
              <w:t xml:space="preserve">folder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HIC question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  <w:r>
              <w:t xml:space="preserve"> </w:t>
            </w:r>
            <w:r>
              <w:rPr>
                <w:bCs/>
                <w:b/>
              </w:rPr>
              <w:t xml:space="preserve">Q6</w:t>
            </w:r>
            <w:r>
              <w:t xml:space="preserve">, §5</w:t>
            </w:r>
          </w:p>
        </w:tc>
      </w:tr>
    </w:tbl>
    <w:bookmarkEnd w:id="26"/>
    <w:bookmarkStart w:id="27" w:name="provenance-note"/>
    <w:p>
      <w:pPr>
        <w:pStyle w:val="Heading2"/>
      </w:pPr>
      <w:r>
        <w:t xml:space="preserve">7. Provenance note</w:t>
      </w:r>
    </w:p>
    <w:p>
      <w:pPr>
        <w:pStyle w:val="FirstParagraph"/>
      </w:pPr>
      <w:r>
        <w:t xml:space="preserve">Recorded per the HIC’s instruction as a</w:t>
      </w:r>
      <w:r>
        <w:t xml:space="preserve"> </w:t>
      </w:r>
      <w:r>
        <w:rPr>
          <w:bCs/>
          <w:b/>
        </w:rPr>
        <w:t xml:space="preserve">locked decision in the current workstream</w:t>
      </w:r>
      <w:r>
        <w:t xml:space="preserve">. The HIC noted that an attempt to persist it as a durable profile fact in an external system hit that system’s size limit — which is precisely the failure mode</w:t>
      </w:r>
      <w:r>
        <w:t xml:space="preserve"> </w:t>
      </w:r>
      <w:r>
        <w:rPr>
          <w:rStyle w:val="VerbatimChar"/>
        </w:rPr>
        <w:t xml:space="preserve">DWS_LEARNING_STANDARD.md</w:t>
      </w:r>
      <w:r>
        <w:t xml:space="preserve"> </w:t>
      </w:r>
      <w:r>
        <w:t xml:space="preserve">§1 names: knowledge that only an ephemeral session held. It is therefore recorded here, in git, where it survives.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This document follows DWS Document Standard and DWS Learning Standard (EU AI Act Article 14).</w:t>
      </w:r>
      <w:r>
        <w:t xml:space="preserve"> </w:t>
      </w:r>
      <w:r>
        <w:rPr>
          <w:iCs/>
          <w:i/>
        </w:rPr>
        <w:t xml:space="preserve">Ontology: Defence &amp; Dual-Use &gt; Critical Manufacturing &gt; Continuity Under Hybrid Threat &gt; Network-Independent Operation</w:t>
      </w:r>
    </w:p>
    <w:bookmarkEnd w:id="27"/>
    <w:bookmarkEnd w:id="2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2026-07-30T19:16:58Z</dcterms:created>
  <dcterms:modified xsi:type="dcterms:W3CDTF">2026-07-30T19:16:58Z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