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DOCTORAL STUDY PLAN — SELF-FUNDED APPLICANTS</w:t>
      </w:r>
    </w:p>
    <w:p>
      <w:r>
        <w:rPr>
          <w:b w:val="0"/>
          <w:i/>
        </w:rPr>
        <w:t>LUT University · Doctoral Programme in Engineering Science · Research field: Software Engineering (with a secondary anchor in Industrial Engineering and Management)</w:t>
      </w:r>
    </w:p>
    <w:p>
      <w:r>
        <w:rPr>
          <w:b/>
          <w:i w:val="0"/>
        </w:rPr>
        <w:t>Applicant: Risto Anton Päärni · Draft prepared for the supervisor discussion of 4 August 2026 — NOT the final submitted version.</w:t>
      </w:r>
    </w:p>
    <w:p/>
    <w:p>
      <w:r>
        <w:rPr>
          <w:b w:val="0"/>
          <w:i/>
        </w:rPr>
        <w:t>Status note (read before using this draft): This document is built ahead of the 4 August 2026 meeting with the prospective coordinating supervisor, Prof. Kari Smolander. It uses the current working formulation of the core research question (RQ5, presented in two versions — A and B — at that meeting) and will need one update pass once Prof. Smolander's reading is known: which version of RQ5 stands, and who takes the second supervisor role. All fields drawing on repository evidence are grounded in `docs/lut/2026-08-04-smolander-aineisto.md` and the locked research-question set in `docs/phd/PHD_RESEARCH_QUESTIONS_LOCK_v1.md`. Fields with no source in the repository are marked [HIC INPUT NEEDED] rather than invented.</w:t>
      </w:r>
    </w:p>
    <w:p>
      <w:pPr>
        <w:pStyle w:val="Heading1"/>
      </w:pPr>
      <w:r>
        <w:t>I RESEARCH PLAN</w:t>
      </w:r>
    </w:p>
    <w:p>
      <w:pPr>
        <w:pStyle w:val="Heading2"/>
      </w:pPr>
      <w:r>
        <w:t>Introduction</w:t>
      </w:r>
    </w:p>
    <w:p>
      <w:r>
        <w:rPr>
          <w:b w:val="0"/>
          <w:i w:val="0"/>
        </w:rPr>
        <w:t>Background for research</w:t>
      </w:r>
    </w:p>
    <w:p>
      <w:pPr>
        <w:pStyle w:val="ListBullet"/>
      </w:pPr>
      <w:r>
        <w:t>Developing DWS IQ (Lifetime Oy's production AI-agent platform for EU-regulated industries) surfaced a recurring, unresolved requirement: an autonomous agent acting under delegated human authority must be able to demonstrate its identity, its authority, the basis for its decisions, and the point at which a human can halt its action.</w:t>
      </w:r>
    </w:p>
    <w:p>
      <w:pPr>
        <w:pStyle w:val="ListBullet"/>
      </w:pPr>
      <w:r>
        <w:t>This requirement was first implemented as KYA (Know Your Agent), a governance and evidence layer inside the commercial platform: agent authority is bound to an earned trust score (Agent Trust Score, ATS), and capability/spend authority narrows automatically as the score falls.</w:t>
      </w:r>
    </w:p>
    <w:p>
      <w:pPr>
        <w:pStyle w:val="ListBullet"/>
      </w:pPr>
      <w:r>
        <w:t>Once it became clear the same problem applies to agent governance generally — not only to this one company's platform — the governance layer was separated from the commercial product as an openly licensed specification (KYA Specification, Apache License 2.0): the trust-score formula, credential shapes, gate semantics, and a four-gate criterion for when a specification would earn the word "standard" (two independent implementations; a conformance test suite an implementation can fail; body acceptance or genuine multi-party adoption; change control surviving the original author). At the time of writing, 0 of 4 gates are met.</w:t>
      </w:r>
    </w:p>
    <w:p>
      <w:r>
        <w:rPr>
          <w:b w:val="0"/>
          <w:i w:val="0"/>
        </w:rPr>
        <w:t>Description of the research topic and its link to the chosen area of research</w:t>
      </w:r>
    </w:p>
    <w:p>
      <w:pPr>
        <w:pStyle w:val="ListBullet"/>
      </w:pPr>
      <w:r>
        <w:t>The research topic is the specification/standard distinction in agent governance: classical standardisation theory (de jure vs. de facto standards, the four-gate test) assumes a static certified subject — a bolt standard certifies an artefact that does not change after certification. An agent-governance standard certifies behaviour that changes continuously after certification: the underlying model updates, the agent population learns, mandates rotate, and the assessor itself becomes a moving target alongside the assessed.</w:t>
      </w:r>
    </w:p>
    <w:p>
      <w:pPr>
        <w:pStyle w:val="ListBullet"/>
      </w:pPr>
      <w:r>
        <w:t>This sits inside software engineering as a Design Science research topic: a real artefact (the KYA Specification and its reference implementation) exists and is evaluable, which is the classical form software-engineering Design Science research takes.</w:t>
      </w:r>
    </w:p>
    <w:p>
      <w:pPr>
        <w:pStyle w:val="Heading2"/>
      </w:pPr>
      <w:r>
        <w:t>Aim and impact</w:t>
      </w:r>
    </w:p>
    <w:p>
      <w:r>
        <w:rPr>
          <w:b w:val="0"/>
          <w:i w:val="0"/>
        </w:rPr>
        <w:t>Research gaps and research objectives</w:t>
      </w:r>
    </w:p>
    <w:p>
      <w:pPr>
        <w:pStyle w:val="ListBullet"/>
      </w:pPr>
      <w:r>
        <w:t>Gap: no existing standardisation-theory or software-conformance literature addresses whether the classical specification/standard distinction — and its usual four-gate test — holds when the certified subject itself changes after certification.</w:t>
      </w:r>
    </w:p>
    <w:p>
      <w:pPr>
        <w:pStyle w:val="ListBullet"/>
      </w:pPr>
      <w:r>
        <w:t>Objective: test the four-gate criterion against a live case (KYA) and determine whether it is a necessary and sufficient criterion for the specification/standard boundary under a continuously changing certified subject, or whether the criterion (or the classical distinction itself) needs revision for agent governance.</w:t>
      </w:r>
    </w:p>
    <w:p>
      <w:r>
        <w:rPr>
          <w:b w:val="0"/>
          <w:i w:val="0"/>
        </w:rPr>
        <w:t>Research questions and justification</w:t>
      </w:r>
    </w:p>
    <w:p>
      <w:pPr>
        <w:pStyle w:val="ListBullet"/>
      </w:pPr>
      <w:r>
        <w:t>RQ (core, two candidate formulations under discussion 4 August 2026):</w:t>
      </w:r>
    </w:p>
    <w:p>
      <w:pPr>
        <w:pStyle w:val="ListBullet"/>
      </w:pPr>
      <w:r>
        <w:t xml:space="preserve">  A — "How can a Know-Your-Agent (KYA) trust-scoring model be designed and validated as an open conformance standard for agentic AI in EU-regulated industries?" (as sent to the supervisor 14 July 2026). Weakness identified by the applicant's own falsifiability test: the design half is already answered by the existing corpus, and a negative validation result ("KYA was not adopted") would be a delay, not a finding.</w:t>
      </w:r>
    </w:p>
    <w:p>
      <w:pPr>
        <w:pStyle w:val="ListBullet"/>
      </w:pPr>
      <w:r>
        <w:t xml:space="preserve">  B — "Does the classical specification/standard distinction hold for agent governance, where the certified subject changes after certification — and is the four-gate criterion necessary and sufficient for that difference?" (proposed reframing, RQ5 v3). Falsifiable in both directions; does not depend on KYA's commercial or standardisation outcome.</w:t>
      </w:r>
    </w:p>
    <w:p>
      <w:pPr>
        <w:pStyle w:val="ListBullet"/>
      </w:pPr>
      <w:r>
        <w:t xml:space="preserve">  Sharpened alternative under review (external comment, 4 August 2026): "Does the classical distinction between specification and standard remain adequate for agent governance when the governed system changes after certification, and how should the necessity and sufficiency of a four-gate criterion be evaluated?" — raises the evidentiary bar by asking for an evaluation method for each gate individually, not only the criterion as a bundle.</w:t>
      </w:r>
    </w:p>
    <w:p>
      <w:r>
        <w:rPr>
          <w:i/>
          <w:color w:val="C0392B"/>
        </w:rPr>
        <w:t>[HIC INPUT NEEDED] Final wording of the core research question, and whether it is split into 2-4 sub-questions for this template field, depends on the coordinating supervisor's reading at or after the 4 August 2026 meeting.</w:t>
      </w:r>
    </w:p>
    <w:p>
      <w:r>
        <w:rPr>
          <w:b w:val="0"/>
          <w:i w:val="0"/>
        </w:rPr>
        <w:t>Impact, novelty, and intended contribution</w:t>
      </w:r>
    </w:p>
    <w:p>
      <w:pPr>
        <w:pStyle w:val="ListBullet"/>
      </w:pPr>
      <w:r>
        <w:t>Novelty: identifies and names the decoupling between artefact-production speed (a publication-quality specification can now be drafted in hours with frontier language-model tooling) and institutional-legitimation speed (independent implementation, adversarial review, body processing, and author-independent change control still take months to years) as a structural property of agent-governance standardisation, not an incidental delay.</w:t>
      </w:r>
    </w:p>
    <w:p>
      <w:pPr>
        <w:pStyle w:val="ListBullet"/>
      </w:pPr>
      <w:r>
        <w:t>Contribution is deliberately decoupled from Lifetime Oy's commercial outcome: the research question is answerable, and publishable, whether or not KYA ever achieves standard status. This is treated as a research-integrity property, not a limitation.</w:t>
      </w:r>
    </w:p>
    <w:p>
      <w:pPr>
        <w:pStyle w:val="Heading2"/>
      </w:pPr>
      <w:r>
        <w:t>Implementation</w:t>
      </w:r>
    </w:p>
    <w:p>
      <w:r>
        <w:rPr>
          <w:b w:val="0"/>
          <w:i w:val="0"/>
        </w:rPr>
        <w:t>Research design and methods</w:t>
      </w:r>
    </w:p>
    <w:p>
      <w:pPr>
        <w:pStyle w:val="ListBullet"/>
      </w:pPr>
      <w:r>
        <w:t>Design Science Research (DSR), following the software-engineering DSR tradition: the KYA Specification and its reference implementation are the evaluable artefact; the four-gate criterion is tested against it as a case.</w:t>
      </w:r>
    </w:p>
    <w:p>
      <w:pPr>
        <w:pStyle w:val="ListBullet"/>
      </w:pPr>
      <w:r>
        <w:t>Comparative case analysis: contrasting KYA against reference cases where the specification/standard boundary has already resolved in different directions (e.g., de facto adoption without a formal body; de jure processing without adoption), to test whether the four gates are necessary, sufficient, both, or neither.</w:t>
      </w:r>
    </w:p>
    <w:p>
      <w:r>
        <w:rPr>
          <w:b w:val="0"/>
          <w:i w:val="0"/>
        </w:rPr>
        <w:t>Data collection and data analysis (if applicable)</w:t>
      </w:r>
    </w:p>
    <w:p>
      <w:r>
        <w:rPr>
          <w:i/>
          <w:color w:val="C0392B"/>
        </w:rPr>
        <w:t>[HIC INPUT NEEDED] Full data-collection plan (which comparative cases, interview or document sources, and analysis method) to be specified in the one-page research-plan follow-up promised to Prof. Smolander within two weeks of the 4 August 2026 meeting.</w:t>
      </w:r>
    </w:p>
    <w:p>
      <w:pPr>
        <w:pStyle w:val="Heading2"/>
      </w:pPr>
      <w:r>
        <w:t>List of references / bibliography</w:t>
      </w:r>
    </w:p>
    <w:p>
      <w:r>
        <w:rPr>
          <w:i/>
          <w:color w:val="C0392B"/>
        </w:rPr>
        <w:t>[HIC INPUT NEEDED] A formal literature review (standardisation theory, software conformance and certification research, EU AI Act Art. 40 harmonised-standards literature) is a first-article task, not yet compiled as a citation list. Existing internal grounding: `standards/kya-open/SPEC.md` §0.6 (four gates); `kb/wiki/concepts/specification-vs-standard-four-gates.md`; EU AI Act Arts. 12, 14, 40.</w:t>
      </w:r>
    </w:p>
    <w:p>
      <w:r>
        <w:rPr>
          <w:b w:val="0"/>
          <w:i w:val="0"/>
        </w:rPr>
        <w:t>Existing publications to be included in the dissertation, if applicable</w:t>
      </w:r>
    </w:p>
    <w:p>
      <w:r>
        <w:rPr>
          <w:i/>
          <w:color w:val="C0392B"/>
        </w:rPr>
        <w:t>[HIC INPUT NEEDED] None published yet. The KYA Specification (v0.3, draft, not yet public) and the four-gate falsifiability audit are candidate first-article material.</w:t>
      </w:r>
    </w:p>
    <w:p>
      <w:pPr>
        <w:pStyle w:val="Heading2"/>
      </w:pPr>
      <w:r>
        <w:t>The use of AI</w:t>
      </w:r>
    </w:p>
    <w:p>
      <w:r>
        <w:rPr>
          <w:b w:val="0"/>
          <w:i w:val="0"/>
        </w:rPr>
        <w:t>Disclosure: this study plan draft, the underlying research-question falsifiability audit (T1-T3 criterion), and the KYA Specification were developed with substantial use of AI coding/writing assistants (Claude Code) under the applicant's direction and review, as the applicant's own production platform (DWS IQ) is itself built the same way. Every substantive claim in this draft is sourced to a dated repository record; the applicant, not the AI tool, is responsible for its content and for the final submitted version. This mirrors the applicant's existing operating discipline (Human-In-Command oversight per EU AI Act Art. 14) and will be stated explicitly in the final submission per LUT's AI-based tools policy.</w:t>
      </w:r>
    </w:p>
    <w:p>
      <w:pPr>
        <w:pStyle w:val="Heading1"/>
      </w:pPr>
      <w:r>
        <w:t>II SCHEDULE</w:t>
      </w:r>
    </w:p>
    <w:p>
      <w:r>
        <w:rPr>
          <w:i/>
          <w:color w:val="C0392B"/>
        </w:rPr>
        <w:t>[HIC INPUT NEEDED] Rough schedule (quarterly/half-yearly), Gantt or equivalent — to be built once the research question (A vs. B) and the two-week research-plan follow-up are confirmed. Must reserve 3-4 months between manuscript submission for preliminary examination and graduation.</w:t>
      </w:r>
    </w:p>
    <w:p>
      <w:r>
        <w:rPr>
          <w:b w:val="0"/>
          <w:i w:val="0"/>
        </w:rPr>
        <w:t>Mobility period (only if applicable)</w:t>
      </w:r>
    </w:p>
    <w:p>
      <w:pPr>
        <w:pStyle w:val="ListBullet"/>
      </w:pPr>
      <w:r>
        <w:t>Target university or equivalent: a KTH/TECoSA connection (Prof. Martin Törngren, safety-critical/trustworthy cyber-physical systems, via David Broman) is live and anchors two satellite research questions (formal verification; safety-performance trade-offs) in the applicant's broader six-question programme. Whether this becomes a formal mobility period, a joint-supervision arrangement, or remains an informal research collaboration is undecided.</w:t>
      </w:r>
    </w:p>
    <w:p>
      <w:r>
        <w:rPr>
          <w:i/>
          <w:color w:val="C0392B"/>
        </w:rPr>
        <w:t>[HIC INPUT NEEDED] Agreement status with KTH (existing / under discussion) and cross-sectoral company-mobility question, if any, need explicit confirmation before this section can be finalised.</w:t>
      </w:r>
    </w:p>
    <w:p>
      <w:r>
        <w:rPr>
          <w:b w:val="0"/>
          <w:i w:val="0"/>
        </w:rPr>
        <w:t>Graduation estimate (month/year)</w:t>
      </w:r>
    </w:p>
    <w:p>
      <w:r>
        <w:rPr>
          <w:i/>
          <w:color w:val="C0392B"/>
        </w:rPr>
        <w:t>[HIC INPUT NEEDED] Not yet estimated — depends on the confirmed schedule above.</w:t>
      </w:r>
    </w:p>
    <w:p>
      <w:pPr>
        <w:pStyle w:val="Heading1"/>
      </w:pPr>
      <w:r>
        <w:t>III STUDY PLAN FOR THE DOCTORAL DEGREE</w:t>
      </w:r>
    </w:p>
    <w:p>
      <w:r>
        <w:rPr>
          <w:b w:val="0"/>
          <w:i w:val="0"/>
        </w:rPr>
        <w:t>Minimum 30 ECTS credits, including studies related to the chosen research field (Software Engineering, Doctoral Programme in Engineering Science). A personal study plan (PSP) will be created in Sisu after the right to study is granted.</w:t>
      </w:r>
    </w:p>
    <w:p>
      <w:r>
        <w:rPr>
          <w:b w:val="0"/>
          <w:i w:val="0"/>
        </w:rPr>
        <w:t>Doctoral Programme in Engineering Science — compulsory studies where the research field is Industrial Engineering and Management (7 cr): CS30AJ170 Doctoral Research Seminar in IEM (2 cr); CS30AJ160 Advanced Qualitative Research Methods in IEM (5 cr). Social Sciences (5 cr): YTJ010000 Doctoral seminar in the social sciences (5 cr).</w:t>
      </w:r>
    </w:p>
    <w:p>
      <w:r>
        <w:rPr>
          <w:i/>
          <w:color w:val="C0392B"/>
        </w:rPr>
        <w:t>[HIC INPUT NEEDED] Confirm with the coordinating supervisor whether the applicant's primary research field is registered as Software Engineering or Industrial Engineering and Management — this determines which compulsory-course table applies, and affects the field-exemption question below.</w:t>
      </w:r>
    </w:p>
    <w:p>
      <w:pPr>
        <w:pStyle w:val="Heading2"/>
      </w:pPr>
      <w:r>
        <w:t>Admission criteria — prior academic performance (assessed 4 August 2026)</w:t>
      </w:r>
    </w:p>
    <w:p>
      <w:r>
        <w:rPr>
          <w:b w:val="0"/>
          <w:i w:val="0"/>
        </w:rPr>
        <w:t>Per LUT's published admission criteria for the Doctoral Programme in Engineering Science: prior-academic-performance criteria (Master's thesis grade ≥ "very good" (4) or equivalent; overall Master's GPA ≥ 3.0 on a 0-5 scale) do not apply to the research fields Software Engineering and Industrial Engineering and Management ("tuotantotalous"). Both of the applicant's anchor fields fall inside this exemption.</w:t>
      </w:r>
    </w:p>
    <w:p>
      <w:r>
        <w:rPr>
          <w:b w:val="0"/>
          <w:i w:val="0"/>
        </w:rPr>
        <w:t>Even without relying on the exemption, the applicant's YAMK (Master's, Metropolia) thesis — "Omnichannel First -toimintamallin käyttöönotto Lifetime World palveluissa" — was graded 5/5 ("kiitettävä"/excellent) on 5 June 2026, exceeding the 4/5 threshold.</w:t>
      </w:r>
    </w:p>
    <w:p>
      <w:r>
        <w:rPr>
          <w:i/>
          <w:color w:val="C0392B"/>
        </w:rPr>
        <w:t>[HIC INPUT NEEDED] Overall Master's-degree GPA (not just the thesis grade) is not recorded in the repository and is needed to complete this section fully, even though the field exemption likely makes it moot.</w:t>
      </w:r>
    </w:p>
    <w:p>
      <w:r>
        <w:rPr>
          <w:b w:val="0"/>
          <w:i w:val="0"/>
        </w:rPr>
        <w:t>Source: https://elut.lut.fi/fi/tohtoriopinnot/tohtoriohjelmiin-hakeminen/jatko-opiskeluhakemus (admission-criteria page, provided by the applicant 4 August 2026).</w:t>
      </w:r>
    </w:p>
    <w:p>
      <w:pPr>
        <w:pStyle w:val="Heading1"/>
      </w:pPr>
      <w:r>
        <w:t>IV MOTIVATION</w:t>
      </w:r>
    </w:p>
    <w:p>
      <w:r>
        <w:rPr>
          <w:b w:val="0"/>
          <w:i w:val="0"/>
        </w:rPr>
        <w:t>Motivation to apply at LUT and for doctoral studies</w:t>
      </w:r>
    </w:p>
    <w:p>
      <w:pPr>
        <w:pStyle w:val="ListBullet"/>
      </w:pPr>
      <w:r>
        <w:t>LUT was chosen because the applicant's empirical grounding — Finnish industrial-enterprise pilots and production deployments — matches LUT's software-engineering and industrial-management doctoral tradition better than a purely theoretical computer-science programme would; and because the research question emerged directly from taking a company artefact "to the standard's door," which is a software-engineering Design Science question at its core.</w:t>
      </w:r>
    </w:p>
    <w:p>
      <w:r>
        <w:rPr>
          <w:b w:val="0"/>
          <w:i w:val="0"/>
        </w:rPr>
        <w:t>How previous education and work experience prepared the applicant</w:t>
      </w:r>
    </w:p>
    <w:p>
      <w:pPr>
        <w:pStyle w:val="ListBullet"/>
      </w:pPr>
      <w:r>
        <w:t>Master's degree (YAMK, Metropolia, graded 5/5) directly built and documented the DWS IQ platform and its KYA governance layer — the same artefact this doctoral research now investigates at a more general, falsifiable level. Prior industry experience (Lifetime Oy, Founder/CEO) supplies the production system, live pilots (e.g. Outokumpu, construction-sector), and the standardisation attempt whose failure to clear the four gates is itself the research finding that motivated this doctoral question.</w:t>
      </w:r>
    </w:p>
    <w:p>
      <w:r>
        <w:rPr>
          <w:b w:val="0"/>
          <w:i w:val="0"/>
        </w:rPr>
        <w:t>Combining part-time doctoral study with work</w:t>
      </w:r>
    </w:p>
    <w:p>
      <w:r>
        <w:rPr>
          <w:i/>
          <w:color w:val="C0392B"/>
        </w:rPr>
        <w:t>[HIC INPUT NEEDED] Applicant to state how doctoral study will be sequenced alongside running Lifetime Oy day-to-day — not yet drafted.</w:t>
      </w:r>
    </w:p>
    <w:p>
      <w:r>
        <w:rPr>
          <w:b w:val="0"/>
          <w:i w:val="0"/>
        </w:rPr>
        <w:t>Professional goals with a completed doctoral degree</w:t>
      </w:r>
    </w:p>
    <w:p>
      <w:pPr>
        <w:pStyle w:val="ListBullet"/>
      </w:pPr>
      <w:r>
        <w:t>A completed doctorate is a personal goal for the applicant, pursued independently of Lifetime Oy's commercial trajectory. It may additionally lend academic credibility to the open KYA Specification and its standardisation-body engagement (e.g. the SFS mirror-committee route into CEN/CENELEC JTC 21), but the dissertation itself does not rest on that engagement succeeding.</w:t>
      </w:r>
    </w:p>
    <w:p>
      <w:pPr>
        <w:pStyle w:val="Heading1"/>
      </w:pPr>
      <w:r>
        <w:t>V SUPERVISION PLAN</w:t>
      </w:r>
    </w:p>
    <w:p>
      <w:r>
        <w:rPr>
          <w:b w:val="0"/>
          <w:i w:val="0"/>
        </w:rPr>
        <w:t>Coordinating supervisor (vastuuohjaaja)</w:t>
      </w:r>
    </w:p>
    <w:p>
      <w:r>
        <w:rPr>
          <w:i/>
          <w:color w:val="C0392B"/>
        </w:rPr>
        <w:t>[HIC INPUT NEEDED] Prof. Kari Smolander (LUT, Software Engineering) is the prospective coordinating supervisor — to be confirmed at or shortly after the 4 August 2026 meeting. Until confirmed, this field is a proposal, not an appointment.</w:t>
      </w:r>
    </w:p>
    <w:p>
      <w:r>
        <w:rPr>
          <w:b w:val="0"/>
          <w:i w:val="0"/>
        </w:rPr>
        <w:t>Second supervisor (2. ohjaaja)</w:t>
      </w:r>
    </w:p>
    <w:p>
      <w:r>
        <w:rPr>
          <w:i/>
          <w:color w:val="C0392B"/>
        </w:rPr>
        <w:t>[HIC INPUT NEEDED] Not yet named. Candidate under consideration: Prof. Martin Törngren (KTH/TECoSA), given his role as the named anchor for the applicant's formal-verification and safety-performance research questions (RQ1, RQ4) — but this has not been proposed to him as a supervisory role, only as a research-collaboration anchor, and an LUT-internal second supervisor may be required by programme rules. This needs an explicit decision and, if Törngren is approached, a role clarification (implementer/evaluator vs. co-supervisor) per the existing note in the repository record.</w:t>
      </w:r>
    </w:p>
    <w:p>
      <w:pPr>
        <w:pStyle w:val="Heading2"/>
      </w:pPr>
      <w:r>
        <w:t>Responsibilities (do not omit this table from your plan or change it)</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20"/>
              </w:rPr>
              <w:t>The doctoral student is responsible for</w:t>
            </w:r>
          </w:p>
        </w:tc>
        <w:tc>
          <w:tcPr>
            <w:tcW w:type="dxa" w:w="4320"/>
          </w:tcPr>
          <w:p>
            <w:r>
              <w:rPr>
                <w:sz w:val="20"/>
              </w:rPr>
              <w:t>The supervisors are responsible for</w:t>
            </w:r>
          </w:p>
        </w:tc>
      </w:tr>
      <w:tr>
        <w:tc>
          <w:tcPr>
            <w:tcW w:type="dxa" w:w="4320"/>
          </w:tcPr>
          <w:p>
            <w:r>
              <w:rPr>
                <w:sz w:val="20"/>
              </w:rPr>
              <w:t>the progress of the dissertation project and research; having at least the agreed number of meetings per year with the coordinating supervisor; reporting progress per the agreed schedule below.</w:t>
            </w:r>
          </w:p>
        </w:tc>
        <w:tc>
          <w:tcPr>
            <w:tcW w:type="dxa" w:w="4320"/>
          </w:tcPr>
          <w:p>
            <w:r>
              <w:rPr>
                <w:sz w:val="20"/>
              </w:rPr>
              <w:t>committing to supervising the doctoral student's research and doctoral studies; providing timely, substantive feedback; monitoring progress against this plan and the LUT doctoral education principles.</w:t>
            </w:r>
          </w:p>
        </w:tc>
      </w:tr>
    </w:tbl>
    <w:p/>
    <w:p>
      <w:r>
        <w:rPr>
          <w:b w:val="0"/>
          <w:i w:val="0"/>
        </w:rPr>
        <w:t>Agreed meeting frequency with the coordinating supervisor (how often, how organized):</w:t>
      </w:r>
    </w:p>
    <w:p>
      <w:r>
        <w:rPr>
          <w:i/>
          <w:color w:val="C0392B"/>
        </w:rPr>
        <w:t>[HIC INPUT NEEDED] To be agreed with Prof. Smolander — not yet set.</w:t>
      </w:r>
    </w:p>
    <w:p>
      <w:r>
        <w:rPr>
          <w:b w:val="0"/>
          <w:i w:val="0"/>
        </w:rPr>
        <w:t>Reporting the progress of the research and studies (how, to whom and when):</w:t>
      </w:r>
    </w:p>
    <w:p>
      <w:r>
        <w:rPr>
          <w:i/>
          <w:color w:val="C0392B"/>
        </w:rPr>
        <w:t>[HIC INPUT NEEDED] To be agreed — likely candidate given the applicant's existing operating discipline: a dated field-note/handoff record per meeting, mirroring the applicant's existing repository-based reporting practice.</w:t>
      </w:r>
    </w:p>
    <w:p>
      <w:r>
        <w:rPr>
          <w:b w:val="0"/>
          <w:i w:val="0"/>
        </w:rPr>
        <w:t>Recommended tool: Doctoral Research Assessment Tool (available on the eLUT website) — not yet applied.</w:t>
      </w:r>
    </w:p>
    <w:p>
      <w:r>
        <w:rPr>
          <w:b w:val="0"/>
          <w:i w:val="0"/>
        </w:rPr>
        <w:t>Other parties' responsibilities (follow-up group, employer, other co-operating parties, if applicable):</w:t>
      </w:r>
    </w:p>
    <w:p>
      <w:r>
        <w:rPr>
          <w:i/>
          <w:color w:val="C0392B"/>
        </w:rPr>
        <w:t>[HIC INPUT NEEDED] Lifetime Oy is the applicant's own company (Founder/CEO), not an external employer with separate obligations here — to be stated explicitly to avoid the appearance of an undisclosed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