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4ffc8af33c311a66ce97b49706eab6a8828962"/>
    <w:p>
      <w:pPr>
        <w:pStyle w:val="Heading1"/>
      </w:pPr>
      <w:r>
        <w:t xml:space="preserve">Field Note — Greg Isenberg:</w:t>
      </w:r>
      <w:r>
        <w:t xml:space="preserve"> </w:t>
      </w:r>
      <w:r>
        <w:t xml:space="preserve">“</w:t>
      </w:r>
      <w:r>
        <w:t xml:space="preserve">16 Things Normal in 3 Years</w:t>
      </w:r>
      <w:r>
        <w:t xml:space="preserve">”</w:t>
      </w:r>
      <w:r>
        <w:t xml:space="preserve"> </w:t>
      </w:r>
      <w:r>
        <w:t xml:space="preserve">→ What’s True and What DWS/KYA Builds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Author:</w:t>
      </w:r>
      <w:r>
        <w:t xml:space="preserve"> </w:t>
      </w:r>
      <w:r>
        <w:t xml:space="preserve">Risto Anton Päärni (Founder, CEO · Lifetime Oy) — via Claude Code session</w:t>
      </w:r>
      <w:r>
        <w:t xml:space="preserve"> </w:t>
      </w:r>
      <w:r>
        <w:rPr>
          <w:rStyle w:val="VerbatimChar"/>
        </w:rPr>
        <w:t xml:space="preserve">claude/greg-isenberg-field-notes-a2r544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Europe &gt; Finland &gt; Espoo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DWS6 — KYA / agent-infrastructure roadmap signal reading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for the DWS-artifact mappings (verified against repo at write time); the predictions themselves are Greg’s, treated as MEDIUM-confidence futures.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Sibling notes:</w:t>
      </w:r>
      <w:r>
        <w:t xml:space="preserve"> </w:t>
      </w:r>
      <w:r>
        <w:rPr>
          <w:rStyle w:val="VerbatimChar"/>
        </w:rPr>
        <w:t xml:space="preserve">2026-07-06-greg-isenberg-startups-for-agents-21-answers.md</w:t>
      </w:r>
      <w:r>
        <w:t xml:space="preserve"> </w:t>
      </w:r>
      <w:r>
        <w:t xml:space="preserve">(the 21-point scorecard) and</w:t>
      </w:r>
      <w:r>
        <w:t xml:space="preserve"> </w:t>
      </w:r>
      <w:r>
        <w:rPr>
          <w:rStyle w:val="VerbatimChar"/>
        </w:rPr>
        <w:t xml:space="preserve">2026-07-24-greg-isenberg-what-is-true-and-useful-for-kya.md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sign the attestation</w:t>
      </w:r>
      <w:r>
        <w:t xml:space="preserve">”</w:t>
      </w:r>
      <w:r>
        <w:t xml:space="preserve"> </w:t>
      </w:r>
      <w:r>
        <w:t xml:space="preserve">recommendation this note reinforces).</w:t>
      </w:r>
    </w:p>
    <w:bookmarkStart w:id="20" w:name="ontology-tags"/>
    <w:p>
      <w:pPr>
        <w:pStyle w:val="Heading2"/>
      </w:pPr>
      <w:r>
        <w:t xml:space="preserve">Ontology Tags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Geography:</w:t>
      </w:r>
      <w:r>
        <w:t xml:space="preserve"> </w:t>
      </w:r>
      <w:r>
        <w:t xml:space="preserve">Global &gt; US (creator-economy lens) → EU (regulated-industry / sovereignty lens)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Sector:</w:t>
      </w:r>
      <w:r>
        <w:t xml:space="preserve"> </w:t>
      </w:r>
      <w:r>
        <w:t xml:space="preserve">Enterprise AI &gt; Agent infrastructure &gt; Governance, credentials, labor market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Entities:</w:t>
      </w:r>
      <w:r>
        <w:t xml:space="preserve"> </w:t>
      </w:r>
      <w:r>
        <w:t xml:space="preserve">Greg Isenberg, KYA, ATS, §14.7 Verified-Done Attestation, HIC, LWM (Lifetime World Model),</w:t>
      </w:r>
      <w:r>
        <w:t xml:space="preserve"> </w:t>
      </w:r>
      <w:r>
        <w:rPr>
          <w:rStyle w:val="VerbatimChar"/>
        </w:rPr>
        <w:t xml:space="preserve">/human-capital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/token-capital</w:t>
      </w:r>
      <w:r>
        <w:t xml:space="preserve">, EU AI Act Art. 14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Temporal Context:</w:t>
      </w:r>
      <w:r>
        <w:t xml:space="preserve"> </w:t>
      </w:r>
      <w:r>
        <w:t xml:space="preserve">2026-Q3 → 2029 horizon</w:t>
      </w:r>
    </w:p>
    <w:p>
      <w:r>
        <w:pict>
          <v:rect style="width:0;height:1.5pt" o:hralign="center" o:hrstd="t" o:hr="t"/>
        </w:pict>
      </w:r>
    </w:p>
    <w:bookmarkEnd w:id="20"/>
    <w:bookmarkStart w:id="21" w:name="the-story"/>
    <w:p>
      <w:pPr>
        <w:pStyle w:val="Heading2"/>
      </w:pPr>
      <w:r>
        <w:t xml:space="preserve">The Story</w:t>
      </w:r>
    </w:p>
    <w:p>
      <w:pPr>
        <w:pStyle w:val="FirstParagraph"/>
      </w:pPr>
      <w:r>
        <w:t xml:space="preserve">Greg circulated a second list: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16 things that will be normal in 3 years and sound insane today.</w:t>
      </w:r>
      <w:r>
        <w:rPr>
          <w:bCs/>
          <w:b/>
        </w:rPr>
        <w:t xml:space="preserve">”</w:t>
      </w:r>
      <w:r>
        <w:t xml:space="preserve"> </w:t>
      </w:r>
      <w:r>
        <w:t xml:space="preserve">Where the July 6 thread was 21</w:t>
      </w:r>
      <w:r>
        <w:t xml:space="preserve"> </w:t>
      </w:r>
      <w:r>
        <w:rPr>
          <w:iCs/>
          <w:i/>
        </w:rPr>
        <w:t xml:space="preserve">startups to build</w:t>
      </w:r>
      <w:r>
        <w:t xml:space="preserve">, this one is 16</w:t>
      </w:r>
      <w:r>
        <w:t xml:space="preserve"> </w:t>
      </w:r>
      <w:r>
        <w:rPr>
          <w:iCs/>
          <w:i/>
        </w:rPr>
        <w:t xml:space="preserve">futures to price in</w:t>
      </w:r>
      <w:r>
        <w:t xml:space="preserve">. The founder’s standing question applies: what here is</w:t>
      </w:r>
      <w:r>
        <w:t xml:space="preserve"> </w:t>
      </w:r>
      <w:r>
        <w:rPr>
          <w:bCs/>
          <w:b/>
        </w:rPr>
        <w:t xml:space="preserve">true</w:t>
      </w:r>
      <w:r>
        <w:t xml:space="preserve">, and of the true, what is</w:t>
      </w:r>
      <w:r>
        <w:t xml:space="preserve"> </w:t>
      </w:r>
      <w:r>
        <w:rPr>
          <w:bCs/>
          <w:b/>
        </w:rPr>
        <w:t xml:space="preserve">useful for DWS/KYA to implement</w:t>
      </w:r>
      <w:r>
        <w:t xml:space="preserve"> </w:t>
      </w:r>
      <w:r>
        <w:t xml:space="preserve">— versus cultural weather we can only watch.</w:t>
      </w:r>
    </w:p>
    <w:p>
      <w:pPr>
        <w:pStyle w:val="BodyText"/>
      </w:pPr>
      <w:r>
        <w:t xml:space="preserve">The striking result: this list and the prior two notes</w:t>
      </w:r>
      <w:r>
        <w:t xml:space="preserve"> </w:t>
      </w:r>
      <w:r>
        <w:rPr>
          <w:bCs/>
          <w:b/>
        </w:rPr>
        <w:t xml:space="preserve">converge on the same unbuilt-but-designed primitive.</w:t>
      </w:r>
      <w:r>
        <w:t xml:space="preserve"> </w:t>
      </w:r>
      <w:r>
        <w:t xml:space="preserve">Two of Greg’s 16 predictions are, almost word for word, the signed verifiable credential the last note flagged as KYA’s one broken link: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#11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CV dies and gets replaced by a body of work an agent can verify in 4 seconds.</w:t>
      </w:r>
      <w:r>
        <w:rPr>
          <w:bCs/>
          <w:b/>
        </w:rPr>
        <w:t xml:space="preserve">”</w:t>
      </w:r>
      <w:r>
        <w:t xml:space="preserve"> </w:t>
      </w:r>
      <w:r>
        <w:t xml:space="preserve">That is the</w:t>
      </w:r>
      <w:r>
        <w:t xml:space="preserve"> </w:t>
      </w:r>
      <w:r>
        <w:rPr>
          <w:bCs/>
          <w:b/>
        </w:rPr>
        <w:t xml:space="preserve">portable, signed KYA credential</w:t>
      </w:r>
      <w:r>
        <w:t xml:space="preserve"> </w:t>
      </w:r>
      <w:r>
        <w:t xml:space="preserve">(ATS-at-signing + verified-done attestation, §14.4/§14.7).</w:t>
      </w:r>
      <w:r>
        <w:t xml:space="preserve"> </w:t>
      </w:r>
      <w:r>
        <w:t xml:space="preserve">“</w:t>
      </w:r>
      <w:r>
        <w:t xml:space="preserve">Verify in 4 seconds</w:t>
      </w:r>
      <w:r>
        <w:t xml:space="preserve">”</w:t>
      </w:r>
      <w:r>
        <w:t xml:space="preserve"> </w:t>
      </w:r>
      <w:r>
        <w:t xml:space="preserve">is literally</w:t>
      </w:r>
      <w:r>
        <w:t xml:space="preserve"> </w:t>
      </w:r>
      <w:r>
        <w:t xml:space="preserve">“</w:t>
      </w:r>
      <w:r>
        <w:t xml:space="preserve">resolve a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issuer and check an Ed25519 signature.</w:t>
      </w:r>
      <w:r>
        <w:t xml:space="preserve">”</w:t>
      </w:r>
      <w:r>
        <w:t xml:space="preserve"> </w:t>
      </w:r>
      <w:r>
        <w:t xml:space="preserve">It is unbuildable while the attestation mints</w:t>
      </w:r>
      <w:r>
        <w:t xml:space="preserve"> </w:t>
      </w:r>
      <w:r>
        <w:rPr>
          <w:bCs/>
          <w:b/>
        </w:rPr>
        <w:t xml:space="preserve">unsigned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#12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interview an agent before you hire it. Give it a fake task, watch how it handles the weird cases, then decide.</w:t>
      </w:r>
      <w:r>
        <w:rPr>
          <w:bCs/>
          <w:b/>
        </w:rPr>
        <w:t xml:space="preserve">”</w:t>
      </w:r>
      <w:r>
        <w:t xml:space="preserve"> </w:t>
      </w:r>
      <w:r>
        <w:t xml:space="preserve">That is a</w:t>
      </w:r>
      <w:r>
        <w:t xml:space="preserve"> </w:t>
      </w:r>
      <w:r>
        <w:rPr>
          <w:bCs/>
          <w:b/>
        </w:rPr>
        <w:t xml:space="preserve">KYA capability-manifest eval / ATS baseline</w:t>
      </w:r>
      <w:r>
        <w:t xml:space="preserve"> </w:t>
      </w:r>
      <w:r>
        <w:t xml:space="preserve">run against an adversarial task set before binding the agent to a human/tenant.</w:t>
      </w:r>
    </w:p>
    <w:p>
      <w:pPr>
        <w:pStyle w:val="FirstParagraph"/>
      </w:pPr>
      <w:r>
        <w:t xml:space="preserve">So this thread is not new direction — it is</w:t>
      </w:r>
      <w:r>
        <w:t xml:space="preserve"> </w:t>
      </w:r>
      <w:r>
        <w:rPr>
          <w:bCs/>
          <w:b/>
        </w:rPr>
        <w:t xml:space="preserve">independent confirmation</w:t>
      </w:r>
      <w:r>
        <w:t xml:space="preserve"> </w:t>
      </w:r>
      <w:r>
        <w:t xml:space="preserve">that the highest-leverage KYA build is the one already named:</w:t>
      </w:r>
      <w:r>
        <w:t xml:space="preserve"> </w:t>
      </w:r>
      <w:r>
        <w:rPr>
          <w:iCs/>
          <w:i/>
        </w:rPr>
        <w:t xml:space="preserve">sign the credential, make it externally verifiable.</w:t>
      </w:r>
    </w:p>
    <w:p>
      <w:pPr>
        <w:pStyle w:val="BlockText"/>
      </w:pPr>
      <w:r>
        <w:rPr>
          <w:bCs/>
          <w:b/>
        </w:rPr>
        <w:t xml:space="preserve">AUDIT CORRECTION (same-day Opus 5 audit pass) — the convergence claim above is half right, and the imprecision matters for sequencing.</w:t>
      </w:r>
    </w:p>
    <w:p>
      <w:pPr>
        <w:pStyle w:val="BlockText"/>
      </w:pPr>
      <w:r>
        <w:rPr>
          <w:bCs/>
          <w:b/>
        </w:rPr>
        <w:t xml:space="preserve">#11 genuinely requires the signature.</w:t>
      </w:r>
      <w:r>
        <w:t xml:space="preserve"> </w:t>
      </w:r>
      <w:r>
        <w:t xml:space="preserve">“</w:t>
      </w:r>
      <w:r>
        <w:t xml:space="preserve">Verify in 4 seconds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cross-organizational</w:t>
      </w:r>
      <w:r>
        <w:t xml:space="preserve"> </w:t>
      </w:r>
      <w:r>
        <w:t xml:space="preserve">check by a party who does not trust you; that is exactly what a signed, resolvable credential is for. Confirmed.</w:t>
      </w:r>
    </w:p>
    <w:p>
      <w:pPr>
        <w:pStyle w:val="BlockText"/>
      </w:pPr>
      <w:r>
        <w:rPr>
          <w:bCs/>
          <w:b/>
        </w:rPr>
        <w:t xml:space="preserve">#12 does not — not within one tenant.</w:t>
      </w:r>
      <w:r>
        <w:t xml:space="preserve"> </w:t>
      </w:r>
      <w:r>
        <w:t xml:space="preserve">Interviewing a candidate agent needs an</w:t>
      </w:r>
      <w:r>
        <w:t xml:space="preserve"> </w:t>
      </w:r>
      <w:r>
        <w:rPr>
          <w:iCs/>
          <w:i/>
        </w:rPr>
        <w:t xml:space="preserve">eval harness plus an ATS baseline</w:t>
      </w:r>
      <w:r>
        <w:t xml:space="preserve">; a firm evaluating its own agent can read its own database and needs no cryptography whatsoever. The signature only becomes load-bearing when the candidate is</w:t>
      </w:r>
      <w:r>
        <w:t xml:space="preserve"> </w:t>
      </w:r>
      <w:r>
        <w:rPr>
          <w:bCs/>
          <w:b/>
        </w:rPr>
        <w:t xml:space="preserve">third-party or cross-org</w:t>
      </w:r>
      <w:r>
        <w:t xml:space="preserve"> </w:t>
      </w:r>
      <w:r>
        <w:t xml:space="preserve">— i.e. when the interview result must travel. Filing #12 under</w:t>
      </w:r>
      <w:r>
        <w:t xml:space="preserve"> </w:t>
      </w:r>
      <w:r>
        <w:t xml:space="preserve">“</w:t>
      </w:r>
      <w:r>
        <w:t xml:space="preserve">confirms signing</w:t>
      </w:r>
      <w:r>
        <w:t xml:space="preserve">”</w:t>
      </w:r>
      <w:r>
        <w:t xml:space="preserve"> </w:t>
      </w:r>
      <w:r>
        <w:rPr>
          <w:bCs/>
          <w:b/>
        </w:rPr>
        <w:t xml:space="preserve">overstated the case</w:t>
      </w:r>
      <w:r>
        <w:t xml:space="preserve">; it is more accurately a</w:t>
      </w:r>
      <w:r>
        <w:t xml:space="preserve"> </w:t>
      </w:r>
      <w:r>
        <w:rPr>
          <w:iCs/>
          <w:i/>
        </w:rPr>
        <w:t xml:space="preserve">probation/eval</w:t>
      </w:r>
      <w:r>
        <w:t xml:space="preserve"> </w:t>
      </w:r>
      <w:r>
        <w:t xml:space="preserve">build (item 2 in the implementation list below), which can ship independently of and in parallel with signing.</w:t>
      </w:r>
    </w:p>
    <w:p>
      <w:pPr>
        <w:pStyle w:val="BlockText"/>
      </w:pPr>
      <w:r>
        <w:t xml:space="preserve">Net effect on the recommendation: unchanged in direction, sharper in sequencing — signing is gated by #11/#14-class cross-org needs, while #12’s probation flow is</w:t>
      </w:r>
      <w:r>
        <w:t xml:space="preserve"> </w:t>
      </w:r>
      <w:r>
        <w:rPr>
          <w:bCs/>
          <w:b/>
        </w:rPr>
        <w:t xml:space="preserve">not blocked on signing</w:t>
      </w:r>
      <w:r>
        <w:t xml:space="preserve"> </w:t>
      </w:r>
      <w:r>
        <w:t xml:space="preserve">and can start now. The sibling note’s implementation list was re-ordered in the same audit pass (manifest signing promoted; revocation moved to ship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signing).</w:t>
      </w:r>
    </w:p>
    <w:bookmarkEnd w:id="21"/>
    <w:bookmarkStart w:id="22" w:name="the-mapping-true-dws-status"/>
    <w:p>
      <w:pPr>
        <w:pStyle w:val="Heading2"/>
      </w:pPr>
      <w:r>
        <w:t xml:space="preserve">The Mapping — True? / DWS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"/>
        <w:gridCol w:w="2603"/>
        <w:gridCol w:w="775"/>
        <w:gridCol w:w="43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(short)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DWS / KYA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job = keeping agents from doing dumb things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HIC +</w:t>
            </w:r>
            <w:r>
              <w:t xml:space="preserve"> </w:t>
            </w:r>
            <w:r>
              <w:rPr>
                <w:rStyle w:val="VerbatimChar"/>
              </w:rPr>
              <w:t xml:space="preserve">/kya</w:t>
            </w:r>
            <w:r>
              <w:t xml:space="preserve"> </w:t>
            </w:r>
            <w:r>
              <w:t xml:space="preserve">Leash Snap + RED-zone hooks — the agent-ops role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 reads as</w:t>
            </w:r>
            <w:r>
              <w:t xml:space="preserve"> </w:t>
            </w:r>
            <w:r>
              <w:t xml:space="preserve">“</w:t>
            </w:r>
            <w:r>
              <w:t xml:space="preserve">old</w:t>
            </w:r>
            <w:r>
              <w:t xml:space="preserve">”</w:t>
            </w:r>
            <w:r>
              <w:t xml:space="preserve"> </w:t>
            </w:r>
            <w:r>
              <w:t xml:space="preserve">to 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actionable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Itemized monthly bill of what your agents bought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§14.5 mandate evidence chain + KYA-Optimization financial attribution —</w:t>
            </w:r>
            <w:r>
              <w:t xml:space="preserve"> </w:t>
            </w:r>
            <w:r>
              <w:rPr>
                <w:bCs/>
                <w:b/>
              </w:rPr>
              <w:t xml:space="preserve">build the statement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buy a self-running business, never see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as a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opacity KYA fights — provenance / verifiable manifests are the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Doctor’s first opinion is a model; human decides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Art. 14 human oversight = HIC pattern (not a DWS health product)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posts:</w:t>
            </w:r>
            <w:r>
              <w:t xml:space="preserve"> </w:t>
            </w:r>
            <w:r>
              <w:t xml:space="preserve">“</w:t>
            </w:r>
            <w:r>
              <w:t xml:space="preserve">must be able to manage agents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Labor-market signal — feeds</w:t>
            </w:r>
            <w:r>
              <w:t xml:space="preserve"> </w:t>
            </w:r>
            <w:r>
              <w:rPr>
                <w:rStyle w:val="VerbatimChar"/>
              </w:rPr>
              <w:t xml:space="preserve">/coaching</w:t>
            </w:r>
            <w:r>
              <w:t xml:space="preserve"> </w:t>
            </w:r>
            <w:r>
              <w:t xml:space="preserve">(Art. 4 AI literacy)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Best-paid = best at explaining the business to machines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LWM thesis</w:t>
            </w:r>
            <w:r>
              <w:t xml:space="preserve"> </w:t>
            </w:r>
            <w:r>
              <w:t xml:space="preserve">— per-industry world model;</w:t>
            </w:r>
            <w:r>
              <w:t xml:space="preserve"> </w:t>
            </w:r>
            <w:r>
              <w:rPr>
                <w:rStyle w:val="VerbatimChar"/>
              </w:rPr>
              <w:t xml:space="preserve">/human-capital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/token-capital</w:t>
            </w:r>
            <w:r>
              <w:t xml:space="preserve"> </w:t>
            </w:r>
            <w:r>
              <w:t xml:space="preserve">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agents than employees; HR manages 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 Subagent Registry (§8) + ATS =</w:t>
            </w:r>
            <w:r>
              <w:t xml:space="preserve"> </w:t>
            </w:r>
            <w:r>
              <w:t xml:space="preserve">“</w:t>
            </w:r>
            <w:r>
              <w:t xml:space="preserve">HR for agents</w:t>
            </w:r>
            <w:r>
              <w:t xml:space="preserve">”</w:t>
            </w:r>
            <w:r>
              <w:t xml:space="preserve">; needs a unified roster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hide how few employees they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actionable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calendar fills with agent-negotiated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A2A negotiation</w:t>
            </w:r>
            <w:r>
              <w:t xml:space="preserve"> </w:t>
            </w:r>
            <w:r>
              <w:rPr>
                <w:bCs/>
                <w:b/>
              </w:rPr>
              <w:t xml:space="preserve">on top of</w:t>
            </w:r>
            <w:r>
              <w:t xml:space="preserve"> </w:t>
            </w:r>
            <w:r>
              <w:t xml:space="preserve">identity+ATS (21-point note point 13 — a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until trust layer lands)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dies → body of work an agent verifies in 4s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Signed KYA credential (§14.4/§14.7)</w:t>
            </w:r>
            <w:r>
              <w:t xml:space="preserve"> </w:t>
            </w:r>
            <w:r>
              <w:t xml:space="preserve">— the one broken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interview an agent before hiring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 manifest eval + ATS baseline (</w:t>
            </w:r>
            <w:r>
              <w:rPr>
                <w:rStyle w:val="VerbatimChar"/>
              </w:rPr>
              <w:t xml:space="preserve">/agent-run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/autoresearch</w:t>
            </w:r>
            <w:r>
              <w:t xml:space="preserve">) — assemble into a probation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your job = losing your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 Pillar 1 identity binding — but</w:t>
            </w:r>
            <w:r>
              <w:t xml:space="preserve"> </w:t>
            </w:r>
            <w:r>
              <w:rPr>
                <w:bCs/>
                <w:b/>
              </w:rPr>
              <w:t xml:space="preserve">portability/offboarding is unspecified</w:t>
            </w:r>
            <w:r>
              <w:t xml:space="preserve"> </w:t>
            </w:r>
            <w:r>
              <w:t xml:space="preserve">(see HIC question)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Made by a person</w:t>
            </w:r>
            <w:r>
              <w:t xml:space="preserve">”</w:t>
            </w:r>
            <w:r>
              <w:t xml:space="preserve"> </w:t>
            </w:r>
            <w:r>
              <w:t xml:space="preserve">label + certification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KYA-inverse: a human-authorship VC on the same §14.7.1 signing rails — note, don’t build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folder of agents like a folder of 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/discover-agents</w:t>
            </w:r>
            <w:r>
              <w:t xml:space="preserve"> </w:t>
            </w:r>
            <w:r>
              <w:t xml:space="preserve">catalog +</w:t>
            </w:r>
            <w:r>
              <w:t xml:space="preserve"> </w:t>
            </w:r>
            <w:r>
              <w:rPr>
                <w:rStyle w:val="VerbatimChar"/>
              </w:rPr>
              <w:t xml:space="preserve">skills/manifest.json</w:t>
            </w:r>
            <w:r>
              <w:t xml:space="preserve"> </w:t>
            </w:r>
            <w:r>
              <w:t xml:space="preserve">— the roster is the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a human on the phone = a 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Cultural/market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actionable</w:t>
            </w:r>
          </w:p>
        </w:tc>
      </w:tr>
    </w:tbl>
    <w:bookmarkEnd w:id="22"/>
    <w:bookmarkStart w:id="23" w:name="the-insight"/>
    <w:p>
      <w:pPr>
        <w:pStyle w:val="Heading2"/>
      </w:pPr>
      <w:r>
        <w:t xml:space="preserve">The Insight</w:t>
      </w:r>
    </w:p>
    <w:p>
      <w:pPr>
        <w:pStyle w:val="FirstParagraph"/>
      </w:pPr>
      <w:r>
        <w:rPr>
          <w:bCs/>
          <w:b/>
        </w:rPr>
        <w:t xml:space="preserve">The same primitive keeps surfacing under different names.</w:t>
      </w:r>
      <w:r>
        <w:t xml:space="preserve"> </w:t>
      </w:r>
      <w:r>
        <w:t xml:space="preserve">Greg’s readers see 16 separate futures; DWS sees that #1, #3, #8, #11, #12, #13, #14 are all faces of</w:t>
      </w:r>
      <w:r>
        <w:t xml:space="preserve"> </w:t>
      </w:r>
      <w:r>
        <w:rPr>
          <w:bCs/>
          <w:b/>
        </w:rPr>
        <w:t xml:space="preserve">one governed, signable credential layer</w:t>
      </w:r>
      <w:r>
        <w:t xml:space="preserve"> </w:t>
      </w:r>
      <w:r>
        <w:t xml:space="preserve">— identity, a scored track record, spend accounting, and a verifiable proof-of-work, bound to an accountable human. It is the exact cluster the 21-point note collapsed into</w:t>
      </w:r>
      <w:r>
        <w:t xml:space="preserve"> </w:t>
      </w:r>
      <w:r>
        <w:t xml:space="preserve">“</w:t>
      </w:r>
      <w:r>
        <w:t xml:space="preserve">KYA governance,</w:t>
      </w:r>
      <w:r>
        <w:t xml:space="preserve">”</w:t>
      </w:r>
      <w:r>
        <w:t xml:space="preserve"> </w:t>
      </w:r>
      <w:r>
        <w:t xml:space="preserve">and the last note narrowed to a single missing line of code:</w:t>
      </w:r>
      <w:r>
        <w:t xml:space="preserve"> </w:t>
      </w:r>
      <w:r>
        <w:rPr>
          <w:bCs/>
          <w:b/>
        </w:rPr>
        <w:t xml:space="preserve">the signature.</w:t>
      </w:r>
      <w:r>
        <w:t xml:space="preserve"> </w:t>
      </w:r>
      <w:r>
        <w:t xml:space="preserve">When a third independent Greg thread lands on the same spot, that is not coincidence — it is the market naming the layer DWS already designed.</w:t>
      </w:r>
    </w:p>
    <w:p>
      <w:pPr>
        <w:pStyle w:val="BodyText"/>
      </w:pPr>
      <w:r>
        <w:t xml:space="preserve">The one genuinely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signal here, not stressed in the earlier notes, is</w:t>
      </w:r>
      <w:r>
        <w:t xml:space="preserve"> </w:t>
      </w:r>
      <w:r>
        <w:rPr>
          <w:bCs/>
          <w:b/>
        </w:rPr>
        <w:t xml:space="preserve">#7 → the pricing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explaining the business to machines.</w:t>
      </w:r>
      <w:r>
        <w:rPr>
          <w:bCs/>
          <w:b/>
        </w:rPr>
        <w:t xml:space="preserve">”</w:t>
      </w:r>
      <w:r>
        <w:t xml:space="preserve"> </w:t>
      </w:r>
      <w:r>
        <w:t xml:space="preserve">That is the human-capital → token-capital loop stated as a labor-market fact: the scarce, best-paid skill becomes encoding a firm’s judgment into a world model it owns. DWS has the skills for it (</w:t>
      </w:r>
      <w:r>
        <w:rPr>
          <w:rStyle w:val="VerbatimChar"/>
        </w:rPr>
        <w:t xml:space="preserve">/human-capital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/token-capital</w:t>
      </w:r>
      <w:r>
        <w:t xml:space="preserve">, the LWM) — the useful move is treating #7 as the</w:t>
      </w:r>
      <w:r>
        <w:t xml:space="preserve"> </w:t>
      </w:r>
      <w:r>
        <w:rPr>
          <w:iCs/>
          <w:i/>
        </w:rPr>
        <w:t xml:space="preserve">demand-side</w:t>
      </w:r>
      <w:r>
        <w:t xml:space="preserve"> </w:t>
      </w:r>
      <w:r>
        <w:t xml:space="preserve">proof that the LWM is the product, not a feature.</w:t>
      </w:r>
    </w:p>
    <w:bookmarkEnd w:id="23"/>
    <w:bookmarkStart w:id="24" w:name="X76183d9cf8e0bc5d98afd76545f1d4daba5c74c"/>
    <w:p>
      <w:pPr>
        <w:pStyle w:val="Heading2"/>
      </w:pPr>
      <w:r>
        <w:t xml:space="preserve">What Is Useful to Implement (additive to the prior note — not a repeat)</w:t>
      </w:r>
    </w:p>
    <w:p>
      <w:pPr>
        <w:pStyle w:val="FirstParagraph"/>
      </w:pPr>
      <w:r>
        <w:t xml:space="preserve">The prior note’s #1 recommendation stands unchanged and is now doubly confirmed:</w:t>
      </w:r>
      <w:r>
        <w:t xml:space="preserve"> </w:t>
      </w:r>
      <w:r>
        <w:rPr>
          <w:bCs/>
          <w:b/>
        </w:rPr>
        <w:t xml:space="preserve">sign the verified-done attestation (§14.7.1 → code).</w:t>
      </w:r>
      <w:r>
        <w:t xml:space="preserve"> </w:t>
      </w:r>
      <w:r>
        <w:t xml:space="preserve">New, shippable items this thread surfaces: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Agent Spend Statement (#3).</w:t>
      </w:r>
      <w:r>
        <w:t xml:space="preserve"> </w:t>
      </w:r>
      <w:r>
        <w:t xml:space="preserve">Render the §14.5 mandate-event chain + KYA-Optimization financial attribution into an itemized per-tenant monthly statement (</w:t>
      </w:r>
      <w:r>
        <w:t xml:space="preserve">“</w:t>
      </w:r>
      <w:r>
        <w:t xml:space="preserve">what your agents bought / spent, by agent, by mandate</w:t>
      </w:r>
      <w:r>
        <w:t xml:space="preserve">”</w:t>
      </w:r>
      <w:r>
        <w:t xml:space="preserve">). The schema exists (migration 074, present in repo — see the sibling note’s provenance section:</w:t>
      </w:r>
      <w:r>
        <w:t xml:space="preserve"> </w:t>
      </w:r>
      <w:r>
        <w:rPr>
          <w:iCs/>
          <w:i/>
        </w:rPr>
        <w:t xml:space="preserve">deployment</w:t>
      </w:r>
      <w:r>
        <w:t xml:space="preserve"> </w:t>
      </w:r>
      <w:r>
        <w:t xml:space="preserve">state is propagated from the version history, not verified here). The CFO-facing artifact does not exist. This is the KYA-Architecture surface that makes the CFO buy.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Agent Probation flow (#12) — not blocked on signing; can start now.</w:t>
      </w:r>
      <w:r>
        <w:t xml:space="preserve"> </w:t>
      </w:r>
      <w:r>
        <w:t xml:space="preserve">Formalize</w:t>
      </w:r>
      <w:r>
        <w:t xml:space="preserve"> </w:t>
      </w:r>
      <w:r>
        <w:t xml:space="preserve">“</w:t>
      </w:r>
      <w:r>
        <w:t xml:space="preserve">interview the agent</w:t>
      </w:r>
      <w:r>
        <w:t xml:space="preserve">”</w:t>
      </w:r>
      <w:r>
        <w:t xml:space="preserve"> </w:t>
      </w:r>
      <w:r>
        <w:t xml:space="preserve">as a named KYA gate: run a candidate agent against a fixed adversarial task set, score via ATS, emit a baseline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binding it to a tenant. Compose existing parts (</w:t>
      </w:r>
      <w:r>
        <w:rPr>
          <w:rStyle w:val="VerbatimChar"/>
        </w:rPr>
        <w:t xml:space="preserve">/agent-run</w:t>
      </w:r>
      <w:r>
        <w:t xml:space="preserve"> </w:t>
      </w:r>
      <w:r>
        <w:t xml:space="preserve">scoring,</w:t>
      </w:r>
      <w:r>
        <w:t xml:space="preserve"> </w:t>
      </w:r>
      <w:r>
        <w:rPr>
          <w:rStyle w:val="VerbatimChar"/>
        </w:rPr>
        <w:t xml:space="preserve">/autoresearch</w:t>
      </w:r>
      <w:r>
        <w:t xml:space="preserve"> </w:t>
      </w:r>
      <w:r>
        <w:t xml:space="preserve">evals, capability manifest) — don’t build a new engine. Only the</w:t>
      </w:r>
      <w:r>
        <w:t xml:space="preserve"> </w:t>
      </w:r>
      <w:r>
        <w:rPr>
          <w:iCs/>
          <w:i/>
        </w:rPr>
        <w:t xml:space="preserve">cross-org portable</w:t>
      </w:r>
      <w:r>
        <w:t xml:space="preserve"> </w:t>
      </w:r>
      <w:r>
        <w:t xml:space="preserve">version of this result needs the signature.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Unified agent roster (#8/#15).</w:t>
      </w:r>
      <w:r>
        <w:t xml:space="preserve"> </w:t>
      </w:r>
      <w:r>
        <w:t xml:space="preserve">A per-tenant</w:t>
      </w:r>
      <w:r>
        <w:t xml:space="preserve"> </w:t>
      </w:r>
      <w:r>
        <w:t xml:space="preserve">“</w:t>
      </w:r>
      <w:r>
        <w:t xml:space="preserve">org chart of agents + humans</w:t>
      </w:r>
      <w:r>
        <w:t xml:space="preserve">”</w:t>
      </w:r>
      <w:r>
        <w:t xml:space="preserve"> </w:t>
      </w:r>
      <w:r>
        <w:t xml:space="preserve">view over the Subagent Registry, with ATS as the performance-review column — the</w:t>
      </w:r>
      <w:r>
        <w:t xml:space="preserve"> </w:t>
      </w:r>
      <w:r>
        <w:t xml:space="preserve">“</w:t>
      </w:r>
      <w:r>
        <w:t xml:space="preserve">HR for agents / folder of agents</w:t>
      </w:r>
      <w:r>
        <w:t xml:space="preserve">”</w:t>
      </w:r>
      <w:r>
        <w:t xml:space="preserve"> </w:t>
      </w:r>
      <w:r>
        <w:t xml:space="preserve">surface. Positioning made concrete.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Made by a person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VC (#14) — note only.</w:t>
      </w:r>
      <w:r>
        <w:t xml:space="preserve"> </w:t>
      </w:r>
      <w:r>
        <w:t xml:space="preserve">Same §14.7.1 signing rails, human-authorship subject. Dual-use of the signing investment; flag for after signing ships, do not build now.</w:t>
      </w:r>
    </w:p>
    <w:bookmarkEnd w:id="24"/>
    <w:bookmarkStart w:id="25" w:name="what-is-not-actionable-honest"/>
    <w:p>
      <w:pPr>
        <w:pStyle w:val="Heading2"/>
      </w:pPr>
      <w:r>
        <w:t xml:space="preserve">What Is Not Actionable (honest)</w:t>
      </w:r>
    </w:p>
    <w:p>
      <w:pPr>
        <w:pStyle w:val="FirstParagraph"/>
      </w:pPr>
      <w:r>
        <w:t xml:space="preserve">#2, #9, #16 (and largely #5) are cultural/market predictions — plausible, but there is no DWS artifact to build against them. Recording them as</w:t>
      </w:r>
      <w:r>
        <w:t xml:space="preserve"> </w:t>
      </w:r>
      <w:r>
        <w:rPr>
          <w:iCs/>
          <w:i/>
        </w:rPr>
        <w:t xml:space="preserve">watched, not owned</w:t>
      </w:r>
      <w:r>
        <w:t xml:space="preserve"> </w:t>
      </w:r>
      <w:r>
        <w:t xml:space="preserve">rather than inventing a product to chase weather (Fail Loud &gt; false coverage).</w:t>
      </w:r>
    </w:p>
    <w:bookmarkEnd w:id="25"/>
    <w:bookmarkStart w:id="28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5"/>
        </w:numPr>
        <w:pStyle w:val="Compact"/>
      </w:pPr>
      <w:r>
        <w:t xml:space="preserve">Sign the attestation (prior note’s item 1) — everything above depends on it being externally verifiable.</w:t>
      </w:r>
    </w:p>
    <w:p>
      <w:pPr>
        <w:numPr>
          <w:ilvl w:val="0"/>
          <w:numId w:val="1005"/>
        </w:numPr>
        <w:pStyle w:val="Compact"/>
      </w:pPr>
      <w:r>
        <w:t xml:space="preserve">Scope the Agent Spend Statement against migrations 074/079 (data is already there).</w:t>
      </w:r>
    </w:p>
    <w:p>
      <w:pPr>
        <w:numPr>
          <w:ilvl w:val="0"/>
          <w:numId w:val="1005"/>
        </w:numPr>
        <w:pStyle w:val="Compact"/>
      </w:pPr>
      <w:r>
        <w:t xml:space="preserve">Cross-link both 2026-07-24 Greg notes from</w:t>
      </w:r>
      <w:r>
        <w:t xml:space="preserve"> </w:t>
      </w:r>
      <w:r>
        <w:rPr>
          <w:rStyle w:val="VerbatimChar"/>
        </w:rPr>
        <w:t xml:space="preserve">Legal/KYA_STANDARD_v1.md</w:t>
      </w:r>
      <w:r>
        <w:t xml:space="preserve"> </w:t>
      </w:r>
      <w:r>
        <w:t xml:space="preserve">Related Documents.</w:t>
      </w:r>
    </w:p>
    <w:bookmarkStart w:id="26" w:name="Xce55c366a2163ce7d26a6d14f57ee19da5200bc"/>
    <w:p>
      <w:pPr>
        <w:pStyle w:val="Heading3"/>
      </w:pPr>
      <w:r>
        <w:t xml:space="preserve">Learning-loop steps (DWS_LEARNING_STANDARD five-step)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(1) KB entry</w:t>
      </w:r>
      <w:r>
        <w:t xml:space="preserve"> </w:t>
      </w:r>
      <w:r>
        <w:t xml:space="preserve">— N/A this session (no</w:t>
      </w:r>
      <w:r>
        <w:t xml:space="preserve"> </w:t>
      </w:r>
      <w:r>
        <w:rPr>
          <w:rStyle w:val="VerbatimChar"/>
        </w:rPr>
        <w:t xml:space="preserve">/kb</w:t>
      </w:r>
      <w:r>
        <w:t xml:space="preserve"> </w:t>
      </w:r>
      <w:r>
        <w:t xml:space="preserve">write; flagged for follow-up).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(2) Field note</w:t>
      </w:r>
      <w:r>
        <w:t xml:space="preserve"> </w:t>
      </w:r>
      <w:r>
        <w:t xml:space="preserve">— this file.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(3)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 render</w:t>
      </w:r>
      <w:r>
        <w:t xml:space="preserve"> </w:t>
      </w:r>
      <w:r>
        <w:t xml:space="preserve">— N/A:</w:t>
      </w:r>
      <w:r>
        <w:t xml:space="preserve"> </w:t>
      </w:r>
      <w:r>
        <w:rPr>
          <w:rStyle w:val="VerbatimChar"/>
          <w:bCs/>
          <w:b/>
        </w:rPr>
        <w:t xml:space="preserve">pandoc</w:t>
      </w:r>
      <w:r>
        <w:rPr>
          <w:bCs/>
          <w:b/>
        </w:rPr>
        <w:t xml:space="preserve"> </w:t>
      </w:r>
      <w:r>
        <w:rPr>
          <w:bCs/>
          <w:b/>
        </w:rPr>
        <w:t xml:space="preserve">is not installed in this container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scripts/render-doc.sh</w:t>
      </w:r>
      <w:r>
        <w:t xml:space="preserve"> </w:t>
      </w:r>
      <w:r>
        <w:t xml:space="preserve">exists and is executable but exits on the missing binary.</w:t>
      </w:r>
      <w:r>
        <w:t xml:space="preserve"> </w:t>
      </w:r>
      <w:r>
        <w:rPr>
          <w:iCs/>
          <w:i/>
        </w:rPr>
        <w:t xml:space="preserve">Audit correction: original wording (</w:t>
      </w:r>
      <w:r>
        <w:rPr>
          <w:iCs/>
          <w:i/>
        </w:rPr>
        <w:t xml:space="preserve">“</w:t>
      </w:r>
      <w:r>
        <w:rPr>
          <w:iCs/>
          <w:i/>
        </w:rPr>
        <w:t xml:space="preserve">not run in container</w:t>
      </w:r>
      <w:r>
        <w:rPr>
          <w:iCs/>
          <w:i/>
        </w:rPr>
        <w:t xml:space="preserve">”</w:t>
      </w:r>
      <w:r>
        <w:rPr>
          <w:iCs/>
          <w:i/>
        </w:rPr>
        <w:t xml:space="preserve">) implied a choice; the blocker is a missing binary, recoverable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apt-get install -y pandoc</w:t>
      </w:r>
      <w:r>
        <w:rPr>
          <w:iCs/>
          <w:i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(4) Drive export</w:t>
      </w:r>
      <w:r>
        <w:t xml:space="preserve"> </w:t>
      </w:r>
      <w:r>
        <w:t xml:space="preserve">— N/A this session (repo is source of truth, Truth Standard §2E; flagged).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(5) HIC question</w:t>
      </w:r>
      <w:r>
        <w:t xml:space="preserve"> </w:t>
      </w:r>
      <w:r>
        <w:t xml:space="preserve">— below. ✅</w:t>
      </w:r>
    </w:p>
    <w:bookmarkEnd w:id="26"/>
    <w:bookmarkStart w:id="27" w:name="X0f904fed17943f32c7eda98943820956407d805"/>
    <w:p>
      <w:pPr>
        <w:pStyle w:val="Heading3"/>
      </w:pPr>
      <w:r>
        <w:t xml:space="preserve">HIC question (EU AI Act Art. 14 intervention point)</w:t>
      </w:r>
    </w:p>
    <w:p>
      <w:pPr>
        <w:pStyle w:val="BlockText"/>
      </w:pPr>
      <w:r>
        <w:rPr>
          <w:bCs/>
          <w:b/>
        </w:rPr>
        <w:t xml:space="preserve">When a human’s identity is revoked (the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IDENTITY_REVOKED</w:t>
      </w:r>
      <w:r>
        <w:rPr>
          <w:bCs/>
          <w:b/>
        </w:rPr>
        <w:t xml:space="preserve"> </w:t>
      </w:r>
      <w:r>
        <w:rPr>
          <w:bCs/>
          <w:b/>
        </w:rPr>
        <w:t xml:space="preserve">Leash-Snap reason code already exists), what happens to the agent’s accumulated ATS/trust history and its issued verified-done attestations — do they die with the human binding, or survive bound to the tenant?</w:t>
      </w:r>
      <w:r>
        <w:t xml:space="preserve"> </w:t>
      </w:r>
      <w:r>
        <w:t xml:space="preserve">Greg’s #13 (</w:t>
      </w:r>
      <w:r>
        <w:t xml:space="preserve">“</w:t>
      </w:r>
      <w:r>
        <w:t xml:space="preserve">losing your job means losing your agents</w:t>
      </w:r>
      <w:r>
        <w:t xml:space="preserve">”</w:t>
      </w:r>
      <w:r>
        <w:t xml:space="preserve">) makes this a real, near-term product and legal question: does an employee’s departure vaporize the trust history their agents earned (bad for the company), and can a departing employee take agents whose credentials name them (bad for the tenant)?</w:t>
      </w:r>
      <w:r>
        <w:t xml:space="preserve"> </w:t>
      </w:r>
      <w:r>
        <w:rPr>
          <w:bCs/>
          <w:b/>
        </w:rPr>
        <w:t xml:space="preserve">My recommendation:</w:t>
      </w:r>
      <w:r>
        <w:t xml:space="preserve"> </w:t>
      </w:r>
      <w:r>
        <w:t xml:space="preserve">bind ATS/trust history and verified-done attestations to the</w:t>
      </w:r>
      <w:r>
        <w:t xml:space="preserve"> </w:t>
      </w:r>
      <w:r>
        <w:rPr>
          <w:bCs/>
          <w:b/>
        </w:rPr>
        <w:t xml:space="preserve">tenant</w:t>
      </w:r>
      <w:r>
        <w:t xml:space="preserve">, with the human as the</w:t>
      </w:r>
      <w:r>
        <w:t xml:space="preserve"> </w:t>
      </w:r>
      <w:r>
        <w:rPr>
          <w:iCs/>
          <w:i/>
        </w:rPr>
        <w:t xml:space="preserve">accountable signer at time of action</w:t>
      </w:r>
      <w:r>
        <w:t xml:space="preserve"> </w:t>
      </w:r>
      <w:r>
        <w:t xml:space="preserve">— so trust history survives an employee leaving, prior attestations stay valid (the human was accountable</w:t>
      </w:r>
      <w:r>
        <w:t xml:space="preserve"> </w:t>
      </w:r>
      <w:r>
        <w:rPr>
          <w:iCs/>
          <w:i/>
        </w:rPr>
        <w:t xml:space="preserve">then</w:t>
      </w:r>
      <w:r>
        <w:t xml:space="preserve">), and the departing human simply loses the authority to sign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mandates. This keeps Pillar 1 accountability intact without making the firm’s trust capital walk out the door. Needs your GO before it goes into the §14.7.1 / v2.0 key-custody spec.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6518b15a5275423089c137a5b846dedfd96b68c"/>
    <w:p>
      <w:pPr>
        <w:pStyle w:val="Heading2"/>
      </w:pPr>
      <w:r>
        <w:t xml:space="preserve">Addendum 2 — Boardy audit round 2: the KYA-lens filter, corrected</w:t>
      </w:r>
    </w:p>
    <w:p>
      <w:pPr>
        <w:pStyle w:val="FirstParagraph"/>
      </w:pPr>
      <w:r>
        <w:t xml:space="preserve">Boardy ran the 16 through a KYA lens and returned a filter:</w:t>
      </w:r>
      <w:r>
        <w:t xml:space="preserve"> </w:t>
      </w:r>
      <w:r>
        <w:rPr>
          <w:bCs/>
          <w:b/>
        </w:rPr>
        <w:t xml:space="preserve">6 of 16 are direct validation, the other 10 are noise for KYA purposes — don’t let them pull scope.</w:t>
      </w:r>
      <w:r>
        <w:t xml:space="preserve"> </w:t>
      </w:r>
      <w:r>
        <w:t xml:space="preserve">The scope-discipline instinct is right and is adopted. Three of the classifications are not, and two of Boardy’s supporting claims do not survive verification. Recorded per Rule 7 (surface conflicts, don’t average) — the same way KYA v1.9 corrected Boardy’s</w:t>
      </w:r>
      <w:r>
        <w:t xml:space="preserve"> </w:t>
      </w:r>
      <w:r>
        <w:t xml:space="preserve">“</w:t>
      </w:r>
      <w:r>
        <w:t xml:space="preserve">21 industries</w:t>
      </w:r>
      <w:r>
        <w:t xml:space="preserve">”</w:t>
      </w:r>
      <w:r>
        <w:t xml:space="preserve"> </w:t>
      </w:r>
      <w:r>
        <w:t xml:space="preserve">framing.</w:t>
      </w:r>
    </w:p>
    <w:bookmarkStart w:id="29" w:name="adopted-without-change"/>
    <w:p>
      <w:pPr>
        <w:pStyle w:val="Heading3"/>
      </w:pPr>
      <w:r>
        <w:t xml:space="preserve">Adopted without change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#1 = Article 14 human oversight, operationalized by HIC Learning Outcomes.</w:t>
      </w:r>
      <w:r>
        <w:t xml:space="preserve"> </w:t>
      </w:r>
      <w:r>
        <w:t xml:space="preserve">Boardy’s framing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a prediction, it’s your product</w:t>
      </w:r>
      <w:r>
        <w:rPr>
          <w:iCs/>
          <w:i/>
        </w:rPr>
        <w:t xml:space="preserve">”</w:t>
      </w:r>
      <w:r>
        <w:t xml:space="preserve"> </w:t>
      </w:r>
      <w:r>
        <w:t xml:space="preserve">— is sharper than this note’s original wording and is adopted.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#3 = mandate-scoped spending + Article 12 logging.</w:t>
      </w:r>
      <w:r>
        <w:t xml:space="preserve"> </w:t>
      </w:r>
      <w:r>
        <w:t xml:space="preserve">Same conclusion this note reached; Boardy names the infrastructure more precisely.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#6 = KYA as the conformance instrument.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proficient in Excel</w:t>
      </w:r>
      <w:r>
        <w:t xml:space="preserve">”</w:t>
      </w:r>
      <w:r>
        <w:t xml:space="preserve"> </w:t>
      </w:r>
      <w:r>
        <w:t xml:space="preserve">equivalent being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read an agent’s mandate and evidence log</w:t>
      </w:r>
      <w:r>
        <w:rPr>
          <w:iCs/>
          <w:i/>
        </w:rPr>
        <w:t xml:space="preserve">”</w:t>
      </w:r>
      <w:r>
        <w:t xml:space="preserve"> </w:t>
      </w:r>
      <w:r>
        <w:t xml:space="preserve">is a genuinely better formulation than this note’s</w:t>
      </w:r>
      <w:r>
        <w:t xml:space="preserve"> </w:t>
      </w:r>
      <w:r>
        <w:t xml:space="preserve">“</w:t>
      </w:r>
      <w:r>
        <w:t xml:space="preserve">labour-market signal.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#14 = Article 12 lineage + human-signed artifact.</w:t>
      </w:r>
      <w:r>
        <w:t xml:space="preserve"> </w:t>
      </w:r>
      <w:r>
        <w:t xml:space="preserve">Adopted.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scope warning itself.</w:t>
      </w:r>
      <w:r>
        <w:t xml:space="preserve"> </w:t>
      </w:r>
      <w:r>
        <w:t xml:space="preserve">Correct and load-bearing: treating all 16 as equal work items is how a governance product turns into a features backlog.</w:t>
      </w:r>
    </w:p>
    <w:bookmarkEnd w:id="29"/>
    <w:bookmarkStart w:id="30" w:name="X93840d448a38269ecd6954f031a95b9d4e64ce4"/>
    <w:p>
      <w:pPr>
        <w:pStyle w:val="Heading3"/>
      </w:pPr>
      <w:r>
        <w:t xml:space="preserve">Correction 1 — #11 belongs in the KYA bucket, not the noise bucket</w:t>
      </w:r>
    </w:p>
    <w:p>
      <w:pPr>
        <w:pStyle w:val="FirstParagraph"/>
      </w:pPr>
      <w:r>
        <w:t xml:space="preserve">Boardy files</w:t>
      </w:r>
      <w:r>
        <w:t xml:space="preserve"> </w:t>
      </w:r>
      <w:r>
        <w:rPr>
          <w:bCs/>
          <w:b/>
        </w:rPr>
        <w:t xml:space="preserve">#11 (</w:t>
      </w:r>
      <w:r>
        <w:rPr>
          <w:bCs/>
          <w:b/>
        </w:rPr>
        <w:t xml:space="preserve">“</w:t>
      </w:r>
      <w:r>
        <w:rPr>
          <w:bCs/>
          <w:b/>
        </w:rPr>
        <w:t xml:space="preserve">the CV dies → a body of work an agent can verify in 4 seconds</w:t>
      </w:r>
      <w:r>
        <w:rPr>
          <w:bCs/>
          <w:b/>
        </w:rPr>
        <w:t xml:space="preserve">”</w:t>
      </w:r>
      <w:r>
        <w:rPr>
          <w:bCs/>
          <w:b/>
        </w:rPr>
        <w:t xml:space="preserve">) as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 KYA’s job</w:t>
      </w:r>
      <w:r>
        <w:rPr>
          <w:bCs/>
          <w:b/>
        </w:rPr>
        <w:t xml:space="preserve">.</w:t>
      </w:r>
      <w:r>
        <w:t xml:space="preserve"> </w:t>
      </w:r>
      <w:r>
        <w:t xml:space="preserve">This is the single most KYA-native prediction in the list. It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verified-done attestation (§14.7): a portable, signed, counterparty-checkable record of what an agent did under whose authority.</w:t>
      </w:r>
      <w:r>
        <w:t xml:space="preserve"> </w:t>
      </w:r>
      <w:r>
        <w:t xml:space="preserve">“</w:t>
      </w:r>
      <w:r>
        <w:t xml:space="preserve">Verify in 4 seconds</w:t>
      </w:r>
      <w:r>
        <w:t xml:space="preserve">”</w:t>
      </w:r>
      <w:r>
        <w:t xml:space="preserve"> </w:t>
      </w:r>
      <w:r>
        <w:t xml:space="preserve">is not a figure of speech — it is a machine resolving a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issuer and checking an Ed25519 signature, which is precisely the §14.7.1 design. Filing it as noise would discard the prediction that most directly validates the work PR #1716 is in review to ship.</w:t>
      </w:r>
    </w:p>
    <w:bookmarkEnd w:id="30"/>
    <w:bookmarkStart w:id="31" w:name="X76510e794528611c9f165759032e7f90fb014b1"/>
    <w:p>
      <w:pPr>
        <w:pStyle w:val="Heading3"/>
      </w:pPr>
      <w:r>
        <w:t xml:space="preserve">Correction 2 — #13 cannot be noise and the source of a P0 safety bug</w:t>
      </w:r>
    </w:p>
    <w:p>
      <w:pPr>
        <w:pStyle w:val="FirstParagraph"/>
      </w:pPr>
      <w:r>
        <w:t xml:space="preserve">Boardy files</w:t>
      </w:r>
      <w:r>
        <w:t xml:space="preserve"> </w:t>
      </w:r>
      <w:r>
        <w:rPr>
          <w:bCs/>
          <w:b/>
        </w:rPr>
        <w:t xml:space="preserve">#13 as noise</w:t>
      </w:r>
      <w:r>
        <w:t xml:space="preserve">, and in the same review calls the #13-derived three-asset separation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sharpest thing you’ve written about KYA</w:t>
      </w:r>
      <w:r>
        <w:rPr>
          <w:iCs/>
          <w:i/>
        </w:rPr>
        <w:t xml:space="preserve">”</w:t>
      </w:r>
      <w:r>
        <w:t xml:space="preserve"> </w:t>
      </w:r>
      <w:r>
        <w:t xml:space="preserve">while asking for three backlog items from it — including a schema precondition and a safety bug. Both cannot hold. #13 produced: the anchor defect (B7), the GDPR collision (B8), and the leaver mandate sweep (D4) — all</w:t>
      </w:r>
      <w:r>
        <w:t xml:space="preserve"> </w:t>
      </w:r>
      <w:r>
        <w:rPr>
          <w:bCs/>
          <w:b/>
        </w:rPr>
        <w:t xml:space="preserve">P0</w:t>
      </w:r>
      <w:r>
        <w:t xml:space="preserve">. It stays in the KYA bucket.</w:t>
      </w:r>
    </w:p>
    <w:bookmarkEnd w:id="31"/>
    <w:bookmarkStart w:id="32" w:name="correction-3-not-kyas-job-noise"/>
    <w:p>
      <w:pPr>
        <w:pStyle w:val="Heading3"/>
      </w:pPr>
      <w:r>
        <w:t xml:space="preserve">Correction 3 —</w:t>
      </w:r>
      <w:r>
        <w:t xml:space="preserve"> </w:t>
      </w:r>
      <w:r>
        <w:t xml:space="preserve">“</w:t>
      </w:r>
      <w:r>
        <w:t xml:space="preserve">not KYA’s job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noise</w:t>
      </w:r>
      <w:r>
        <w:t xml:space="preserve">”</w:t>
      </w:r>
    </w:p>
    <w:p>
      <w:pPr>
        <w:pStyle w:val="FirstParagraph"/>
      </w:pPr>
      <w:r>
        <w:t xml:space="preserve">Boardy’s two buckets collapse a real distinction.</w:t>
      </w:r>
      <w:r>
        <w:t xml:space="preserve"> </w:t>
      </w:r>
      <w:r>
        <w:rPr>
          <w:bCs/>
          <w:b/>
        </w:rPr>
        <w:t xml:space="preserve">#7</w:t>
      </w:r>
      <w:r>
        <w:t xml:space="preserve"> </w:t>
      </w:r>
      <w:r>
        <w:t xml:space="preserve">(</w:t>
      </w:r>
      <w:r>
        <w:t xml:space="preserve">“</w:t>
      </w:r>
      <w:r>
        <w:t xml:space="preserve">the best-paid person is whoever’s best at explaining the business to machines</w:t>
      </w:r>
      <w:r>
        <w:t xml:space="preserve">”</w:t>
      </w:r>
      <w:r>
        <w:t xml:space="preserve">) is correctly</w:t>
      </w:r>
      <w:r>
        <w:t xml:space="preserve"> </w:t>
      </w:r>
      <w:r>
        <w:rPr>
          <w:iCs/>
          <w:i/>
        </w:rPr>
        <w:t xml:space="preserve">not KYA’s job</w:t>
      </w:r>
      <w:r>
        <w:t xml:space="preserve"> </w:t>
      </w:r>
      <w:r>
        <w:t xml:space="preserve">— and is</w:t>
      </w:r>
      <w:r>
        <w:t xml:space="preserve"> </w:t>
      </w:r>
      <w:r>
        <w:rPr>
          <w:bCs/>
          <w:b/>
        </w:rPr>
        <w:t xml:space="preserve">not noise</w:t>
      </w:r>
      <w:r>
        <w:t xml:space="preserve">: it is the demand-side statement of the LWM /</w:t>
      </w:r>
      <w:r>
        <w:t xml:space="preserve"> </w:t>
      </w:r>
      <w:r>
        <w:rPr>
          <w:rStyle w:val="VerbatimChar"/>
        </w:rPr>
        <w:t xml:space="preserve">/human-capital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/token-capital</w:t>
      </w:r>
      <w:r>
        <w:t xml:space="preserve"> </w:t>
      </w:r>
      <w:r>
        <w:t xml:space="preserve">thesis, signal for a different DWS product line. Three buckets, not two: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0"/>
        <w:gridCol w:w="2230"/>
        <w:gridCol w:w="3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KYA direct</w:t>
            </w:r>
            <w:r>
              <w:t xml:space="preserve"> </w:t>
            </w:r>
            <w:r>
              <w:t xml:space="preserve">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#1, #3, #6, #8*, #11, #12, #13, #14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Shipped, in-build, or now a P0 backlog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DWS signal, not KYA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#7, #15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signal, different product line (LWM; agent catalogue)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Not actionable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#2, #4, #5, #9, #10, #16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Cultural/market weather. Watched, not owned.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8 of 16 map to KYA</w:t>
      </w:r>
      <w:r>
        <w:t xml:space="preserve">, not 6. *#8 carries a caveat — see below.</w:t>
      </w:r>
    </w:p>
    <w:bookmarkEnd w:id="32"/>
    <w:bookmarkStart w:id="33" w:name="X95a1be7bb83ee8c76ce0fbe6fb69dfffd8cc48c"/>
    <w:p>
      <w:pPr>
        <w:pStyle w:val="Heading3"/>
      </w:pPr>
      <w:r>
        <w:t xml:space="preserve">Two Boardy claims that failed verification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#8 — Firehorse Agent 365 corporate ID cards. You already gave agents Entra workload identities.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Not supported.</w:t>
      </w:r>
      <w:r>
        <w:t xml:space="preserve"> </w:t>
      </w:r>
      <w:r>
        <w:t xml:space="preserve">No Entra or workload-identity code exists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Firehorse/</w:t>
      </w:r>
      <w:r>
        <w:t xml:space="preserve">. The repo’s Entra references are: a Microsoft for Startups Founders Hub tech-stack listing (marketing copy), a PhD passage about</w:t>
      </w:r>
      <w:r>
        <w:t xml:space="preserve"> </w:t>
      </w:r>
      <w:r>
        <w:rPr>
          <w:bCs/>
          <w:b/>
        </w:rPr>
        <w:t xml:space="preserve">Microsoft Aspire’s</w:t>
      </w:r>
      <w:r>
        <w:t xml:space="preserve"> </w:t>
      </w:r>
      <w:r>
        <w:t xml:space="preserve">reported per-workload-identity default — explicitly marked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secondary synthesis, primary source not yet fetched</w:t>
      </w:r>
      <w:r>
        <w:rPr>
          <w:iCs/>
          <w:i/>
        </w:rPr>
        <w:t xml:space="preserve">”</w:t>
      </w:r>
      <w:r>
        <w:t xml:space="preserve"> </w:t>
      </w:r>
      <w:r>
        <w:t xml:space="preserve">and framed as external</w:t>
      </w:r>
      <w:r>
        <w:t xml:space="preserve"> </w:t>
      </w:r>
      <w:r>
        <w:rPr>
          <w:bCs/>
          <w:b/>
        </w:rPr>
        <w:t xml:space="preserve">convergence signal</w:t>
      </w:r>
      <w:r>
        <w:t xml:space="preserve">, not DWS implementation — and</w:t>
      </w:r>
      <w:r>
        <w:t xml:space="preserve"> </w:t>
      </w:r>
      <w:r>
        <w:rPr>
          <w:bCs/>
          <w:b/>
        </w:rPr>
        <w:t xml:space="preserve">GCP</w:t>
      </w:r>
      <w:r>
        <w:t xml:space="preserve"> </w:t>
      </w:r>
      <w:r>
        <w:t xml:space="preserve">workload identity in a Cloud Run CI runbook (a different vendor, for deploy identity, not agents). KYA’s actual identity model is its own: session token bound to a verified human. #8 stays in bucket A on the strength of the</w:t>
      </w:r>
      <w:r>
        <w:t xml:space="preserve"> </w:t>
      </w:r>
      <w:r>
        <w:rPr>
          <w:bCs/>
          <w:b/>
        </w:rPr>
        <w:t xml:space="preserve">Subagent Registry + ATS</w:t>
      </w:r>
      <w:r>
        <w:t xml:space="preserve">, not on an Entra claim. Propagating</w:t>
      </w:r>
      <w:r>
        <w:t xml:space="preserve"> </w:t>
      </w:r>
      <w:r>
        <w:t xml:space="preserve">“</w:t>
      </w:r>
      <w:r>
        <w:t xml:space="preserve">we already shipped agent identity on Entra</w:t>
      </w:r>
      <w:r>
        <w:t xml:space="preserve">”</w:t>
      </w:r>
      <w:r>
        <w:t xml:space="preserve"> </w:t>
      </w:r>
      <w:r>
        <w:t xml:space="preserve">would have created a canonical false claim of exactly the kind</w:t>
      </w:r>
      <w:r>
        <w:t xml:space="preserve"> </w:t>
      </w:r>
      <w:r>
        <w:rPr>
          <w:rStyle w:val="VerbatimChar"/>
        </w:rPr>
        <w:t xml:space="preserve">DWS_TRUTH_STANDARD</w:t>
      </w:r>
      <w:r>
        <w:t xml:space="preserve"> </w:t>
      </w:r>
      <w:r>
        <w:t xml:space="preserve">exists to stop.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#12 = your TK1/TK2 core; #6 = TK3.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TK1/TK2/TK3 are thesis research questions</w:t>
      </w:r>
      <w:r>
        <w:t xml:space="preserve"> </w:t>
      </w:r>
      <w:r>
        <w:t xml:space="preserve">(</w:t>
      </w:r>
      <w:r>
        <w:rPr>
          <w:iCs/>
          <w:i/>
        </w:rPr>
        <w:t xml:space="preserve">tutkimuskysymys</w:t>
      </w:r>
      <w:r>
        <w:t xml:space="preserve"> </w:t>
      </w:r>
      <w:r>
        <w:t xml:space="preserve">— TK1</w:t>
      </w:r>
      <w:r>
        <w:t xml:space="preserve"> </w:t>
      </w:r>
      <w:r>
        <w:t xml:space="preserve">“</w:t>
      </w:r>
      <w:r>
        <w:t xml:space="preserve">Hallinta</w:t>
      </w:r>
      <w:r>
        <w:t xml:space="preserve">”</w:t>
      </w:r>
      <w:r>
        <w:t xml:space="preserve">/governance, TK3</w:t>
      </w:r>
      <w:r>
        <w:t xml:space="preserve"> </w:t>
      </w:r>
      <w:r>
        <w:t xml:space="preserve">“</w:t>
      </w:r>
      <w:r>
        <w:t xml:space="preserve">Teknisen ratkaisun arviointi</w:t>
      </w:r>
      <w:r>
        <w:t xml:space="preserve">”</w:t>
      </w:r>
      <w:r>
        <w:t xml:space="preserve">), not product tracks or work packages. Mapping predictions to them is legitimate</w:t>
      </w:r>
      <w:r>
        <w:t xml:space="preserve"> </w:t>
      </w:r>
      <w:r>
        <w:rPr>
          <w:bCs/>
          <w:b/>
        </w:rPr>
        <w:t xml:space="preserve">for the PhD/master’s framing</w:t>
      </w:r>
      <w:r>
        <w:t xml:space="preserve">, but it does not support Boardy’s summary phrase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align with shipped or in-build KYA capabilities</w:t>
      </w:r>
      <w:r>
        <w:rPr>
          <w:iCs/>
          <w:i/>
        </w:rPr>
        <w:t xml:space="preserve">”</w:t>
      </w:r>
      <w:r>
        <w:t xml:space="preserve"> </w:t>
      </w:r>
      <w:r>
        <w:t xml:space="preserve">— a research question under investigation is not a capability. Kept, with the label corrected.</w:t>
      </w:r>
    </w:p>
    <w:bookmarkEnd w:id="33"/>
    <w:bookmarkStart w:id="34" w:name="X4c0509b22adf8a637985467100932e05481e18c"/>
    <w:p>
      <w:pPr>
        <w:pStyle w:val="Heading3"/>
      </w:pPr>
      <w:r>
        <w:t xml:space="preserve">On Boardy’s point 1 — the IP-assignment coupling does not hold</w:t>
      </w:r>
    </w:p>
    <w:p>
      <w:pPr>
        <w:pStyle w:val="FirstParagraph"/>
      </w:pPr>
      <w:r>
        <w:t xml:space="preserve">Boardy argues the anchor-fix sequencing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now load-bearing for Monday’s IP assignment… signing the IPR assignment over a mis-anchored trust layer creates a durable defect,</w:t>
      </w:r>
      <w:r>
        <w:rPr>
          <w:iCs/>
          <w:i/>
        </w:rPr>
        <w:t xml:space="preserve">”</w:t>
      </w:r>
      <w:r>
        <w:t xml:space="preserve"> </w:t>
      </w:r>
      <w:r>
        <w:t xml:space="preserve">and suggests telling Berggren/Kolster that the schema fix gates the legal signature.</w:t>
      </w:r>
    </w:p>
    <w:p>
      <w:pPr>
        <w:pStyle w:val="BodyText"/>
      </w:pPr>
      <w:r>
        <w:rPr>
          <w:bCs/>
          <w:b/>
        </w:rPr>
        <w:t xml:space="preserve">This is a category error and should not be sent to counsel.</w:t>
      </w:r>
      <w:r>
        <w:t xml:space="preserve"> </w:t>
      </w:r>
      <w:r>
        <w:t xml:space="preserve">The two objects are unrelated:</w:t>
      </w:r>
      <w:r>
        <w:t xml:space="preserve"> </w:t>
      </w:r>
      <w:r>
        <w:rPr>
          <w:rStyle w:val="VerbatimChar"/>
        </w:rPr>
        <w:t xml:space="preserve">Legal/IP_ASSIGNMENT_FOUNDER_LIFETIME_OY_2026.md</w:t>
      </w:r>
      <w:r>
        <w:t xml:space="preserve"> </w:t>
      </w:r>
      <w:r>
        <w:t xml:space="preserve">assigns</w:t>
      </w:r>
      <w:r>
        <w:t xml:space="preserve"> </w:t>
      </w:r>
      <w:r>
        <w:rPr>
          <w:bCs/>
          <w:b/>
        </w:rPr>
        <w:t xml:space="preserve">the founder’s intellectual property</w:t>
      </w:r>
      <w:r>
        <w:t xml:space="preserve"> </w:t>
      </w:r>
      <w:r>
        <w:t xml:space="preserve">(copyright/patents in code, standards, documents) to Lifetime Oy.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kya_verified_done_attestations</w:t>
      </w:r>
      <w:r>
        <w:t xml:space="preserve"> </w:t>
      </w:r>
      <w:r>
        <w:t xml:space="preserve">governs</w:t>
      </w:r>
      <w:r>
        <w:t xml:space="preserve"> </w:t>
      </w:r>
      <w:r>
        <w:rPr>
          <w:bCs/>
          <w:b/>
        </w:rPr>
        <w:t xml:space="preserve">which tenant a runtime evidence row belongs to</w:t>
      </w:r>
      <w:r>
        <w:t xml:space="preserve"> </w:t>
      </w:r>
      <w:r>
        <w:t xml:space="preserve">— customer operational data, not company IP. A missing column on a runtime table does not create a defect in an IP assignment, and an assignment does not become defective because the assigned work has a known, documented bug; the IP transfers as it stands.</w:t>
      </w:r>
    </w:p>
    <w:p>
      <w:pPr>
        <w:pStyle w:val="BodyText"/>
      </w:pPr>
      <w:r>
        <w:t xml:space="preserve">The IP assignment’s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blockers are already documented in §F of this backlog and are entirely different: it is a</w:t>
      </w:r>
      <w:r>
        <w:t xml:space="preserve"> </w:t>
      </w:r>
      <w:r>
        <w:rPr>
          <w:bCs/>
          <w:b/>
        </w:rPr>
        <w:t xml:space="preserve">DRAFT template</w:t>
      </w:r>
      <w:r>
        <w:t xml:space="preserve"> </w:t>
      </w:r>
      <w:r>
        <w:t xml:space="preserve">with a blank founder henkilötunnus and address, and an</w:t>
      </w:r>
      <w:r>
        <w:t xml:space="preserve"> </w:t>
      </w:r>
      <w:r>
        <w:rPr>
          <w:bCs/>
          <w:b/>
        </w:rPr>
        <w:t xml:space="preserve">undecided consideration clause</w:t>
      </w:r>
      <w:r>
        <w:t xml:space="preserve"> </w:t>
      </w:r>
      <w:r>
        <w:t xml:space="preserve">(</w:t>
      </w:r>
      <w:r>
        <w:rPr>
          <w:rStyle w:val="VerbatimChar"/>
        </w:rPr>
        <w:t xml:space="preserve">[☐ no cash / ☐ nominal €__ / ☐ other]</w:t>
      </w:r>
      <w:r>
        <w:t xml:space="preserve">) that is tax- and valuation-sensitive — which is the reason for the LUT IPR review in the first place — plus</w:t>
      </w:r>
      <w:r>
        <w:t xml:space="preserve"> </w:t>
      </w:r>
      <w:r>
        <w:t xml:space="preserve">“</w:t>
      </w:r>
      <w:r>
        <w:t xml:space="preserve">counsel review required.</w:t>
      </w:r>
      <w:r>
        <w:t xml:space="preserve">”</w:t>
      </w:r>
      <w:r>
        <w:t xml:space="preserve"> </w:t>
      </w:r>
      <w:r>
        <w:t xml:space="preserve">Monday’s P0 is</w:t>
      </w:r>
      <w:r>
        <w:t xml:space="preserve"> </w:t>
      </w:r>
      <w:r>
        <w:rPr>
          <w:iCs/>
          <w:i/>
        </w:rPr>
        <w:t xml:space="preserve">review → decide consideration → fill fields → sign</w:t>
      </w:r>
      <w:r>
        <w:t xml:space="preserve">.</w:t>
      </w:r>
    </w:p>
    <w:p>
      <w:pPr>
        <w:pStyle w:val="BodyText"/>
      </w:pPr>
      <w:r>
        <w:t xml:space="preserve">Raising a database schema as a gate on that signature would misdirect scarce Monday counsel time and, worse, hand a spurious reason to delay a signature whose real blocker is a founder decision.</w:t>
      </w:r>
      <w:r>
        <w:t xml:space="preserve"> </w:t>
      </w:r>
      <w:r>
        <w:rPr>
          <w:bCs/>
          <w:b/>
        </w:rPr>
        <w:t xml:space="preserve">B7/B8/D4 are P0 on their own engineering merits. They do not gate, and are not gated by, the IP assignment.</w:t>
      </w:r>
    </w:p>
    <w:bookmarkEnd w:id="34"/>
    <w:bookmarkStart w:id="35" w:name="X943297ff9633045b6e330ea7c290cd1dadd1307"/>
    <w:p>
      <w:pPr>
        <w:pStyle w:val="Heading3"/>
      </w:pPr>
      <w:r>
        <w:t xml:space="preserve">Boardy points 2 and 3 — both adopted, one as an upgrade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Point 2 (GDPR).</w:t>
      </w:r>
      <w:r>
        <w:t xml:space="preserve"> </w:t>
      </w:r>
      <w:r>
        <w:t xml:space="preserve">Adopted as written. Documenting the Art. 17(3) lawful basis</w:t>
      </w:r>
      <w:r>
        <w:t xml:space="preserve"> </w:t>
      </w:r>
      <w:r>
        <w:rPr>
          <w:iCs/>
          <w:i/>
        </w:rPr>
        <w:t xml:space="preserve">now</w:t>
      </w:r>
      <w:r>
        <w:t xml:space="preserve"> </w:t>
      </w:r>
      <w:r>
        <w:t xml:space="preserve">rather than under the pressure of a first erasure request is correct, and is filed as</w:t>
      </w:r>
      <w:r>
        <w:t xml:space="preserve"> </w:t>
      </w:r>
      <w:r>
        <w:rPr>
          <w:bCs/>
          <w:b/>
        </w:rPr>
        <w:t xml:space="preserve">B8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Point 3 (leaver sweep is a safety bug, not a feature gap).</w:t>
      </w:r>
      <w:r>
        <w:t xml:space="preserve"> </w:t>
      </w:r>
      <w:r>
        <w:t xml:space="preserve">Adopted</w:t>
      </w:r>
      <w:r>
        <w:t xml:space="preserve"> </w:t>
      </w:r>
      <w:r>
        <w:rPr>
          <w:bCs/>
          <w:b/>
        </w:rPr>
        <w:t xml:space="preserve">as a correction to this note’s own framing</w:t>
      </w:r>
      <w:r>
        <w:t xml:space="preserve"> </w:t>
      </w:r>
      <w:r>
        <w:t xml:space="preserve">— the sweep had been listed as a separate later step; Boardy is right that it belongs in the same migration as the anchor fix, because shipping the anchor without the sweep leaves active spend authority in the system under a tidier schema. Filed as</w:t>
      </w:r>
      <w:r>
        <w:t xml:space="preserve"> </w:t>
      </w:r>
      <w:r>
        <w:rPr>
          <w:bCs/>
          <w:b/>
        </w:rPr>
        <w:t xml:space="preserve">D4 (Security, P0)</w:t>
      </w:r>
      <w:r>
        <w:t xml:space="preserve">, not as a feature item.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d639d063ec451576c16225bd1b563d3cc5859a1"/>
    <w:p>
      <w:pPr>
        <w:pStyle w:val="Heading2"/>
      </w:pPr>
      <w:r>
        <w:t xml:space="preserve">Addendum — Boardy ping-pong round 1: the KYA answer to point 13</w:t>
      </w:r>
    </w:p>
    <w:p>
      <w:pPr>
        <w:pStyle w:val="FirstParagraph"/>
      </w:pPr>
      <w:r>
        <w:rPr>
          <w:bCs/>
          <w:b/>
        </w:rPr>
        <w:t xml:space="preserve">Point 13: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Losing your job means losing your agents too, and it’s kinda scary losing your best agents.</w:t>
      </w:r>
      <w:r>
        <w:rPr>
          <w:iCs/>
          <w:i/>
          <w:bCs/>
          <w:b/>
        </w:rPr>
        <w:t xml:space="preserve">”</w:t>
      </w:r>
    </w:p>
    <w:p>
      <w:pPr>
        <w:pStyle w:val="BodyText"/>
      </w:pPr>
      <w:r>
        <w:t xml:space="preserve">Greg is right, and for DWS it is not a prediction —</w:t>
      </w:r>
      <w:r>
        <w:t xml:space="preserve"> </w:t>
      </w:r>
      <w:r>
        <w:rPr>
          <w:bCs/>
          <w:b/>
        </w:rPr>
        <w:t xml:space="preserve">it is the current schema.</w:t>
      </w:r>
    </w:p>
    <w:p>
      <w:pPr>
        <w:pStyle w:val="BodyText"/>
      </w:pPr>
      <w:r>
        <w:rPr>
          <w:bCs/>
          <w:b/>
        </w:rPr>
        <w:t xml:space="preserve">Schema finding (verified this session).</w:t>
      </w:r>
      <w:r>
        <w:t xml:space="preserve"> </w:t>
      </w:r>
      <w:r>
        <w:rPr>
          <w:rStyle w:val="VerbatimChar"/>
        </w:rPr>
        <w:t xml:space="preserve">kya_verified_done_attestations</w:t>
      </w:r>
      <w:r>
        <w:t xml:space="preserve"> </w:t>
      </w:r>
      <w:r>
        <w:t xml:space="preserve">(migration 079) has</w:t>
      </w:r>
      <w:r>
        <w:t xml:space="preserve"> </w:t>
      </w:r>
      <w:r>
        <w:rPr>
          <w:rStyle w:val="VerbatimChar"/>
        </w:rPr>
        <w:t xml:space="preserve">hic TEXT NOT NULL</w:t>
      </w:r>
      <w:r>
        <w:t xml:space="preserve"> </w:t>
      </w:r>
      <w:r>
        <w:t xml:space="preserve">— the accountable human — and</w:t>
      </w:r>
      <w:r>
        <w:t xml:space="preserve"> </w:t>
      </w:r>
      <w:r>
        <w:rPr>
          <w:bCs/>
          <w:b/>
        </w:rPr>
        <w:t xml:space="preserve">no tenant column at all</w:t>
      </w:r>
      <w:r>
        <w:t xml:space="preserve">.</w:t>
      </w:r>
      <w:r>
        <w:t xml:space="preserve"> </w:t>
      </w:r>
      <w:r>
        <w:rPr>
          <w:rStyle w:val="VerbatimChar"/>
        </w:rPr>
        <w:t xml:space="preserve">kya_mandate_events</w:t>
      </w:r>
      <w:r>
        <w:t xml:space="preserve"> </w:t>
      </w:r>
      <w:r>
        <w:t xml:space="preserve">(074) does carry</w:t>
      </w:r>
      <w:r>
        <w:t xml:space="preserve"> </w:t>
      </w:r>
      <w:r>
        <w:rPr>
          <w:rStyle w:val="VerbatimChar"/>
        </w:rPr>
        <w:t xml:space="preserve">org_id TEXT</w:t>
      </w:r>
      <w:r>
        <w:t xml:space="preserve"> </w:t>
      </w:r>
      <w:r>
        <w:t xml:space="preserve">(</w:t>
      </w:r>
      <w:r>
        <w:t xml:space="preserve">“</w:t>
      </w:r>
      <w:r>
        <w:t xml:space="preserve">tenant isolation</w:t>
      </w:r>
      <w:r>
        <w:t xml:space="preserve">”</w:t>
      </w:r>
      <w:r>
        <w:t xml:space="preserve">), but it is</w:t>
      </w:r>
      <w:r>
        <w:t xml:space="preserve"> </w:t>
      </w:r>
      <w:r>
        <w:rPr>
          <w:bCs/>
          <w:b/>
        </w:rPr>
        <w:t xml:space="preserve">nullable</w:t>
      </w:r>
      <w:r>
        <w:t xml:space="preserve">. So the portable credential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agent’s track record is anchored to the</w:t>
      </w:r>
      <w:r>
        <w:t xml:space="preserve"> </w:t>
      </w:r>
      <w:r>
        <w:rPr>
          <w:bCs/>
          <w:b/>
        </w:rPr>
        <w:t xml:space="preserve">person</w:t>
      </w:r>
      <w:r>
        <w:t xml:space="preserve">, not the company. If the human goes, the record still names them and has no tenant anchor to fall back on.</w:t>
      </w:r>
    </w:p>
    <w:p>
      <w:pPr>
        <w:pStyle w:val="BodyText"/>
      </w:pPr>
      <w:r>
        <w:rPr>
          <w:bCs/>
          <w:b/>
        </w:rPr>
        <w:t xml:space="preserve">The three assets that sentence conflates.</w:t>
      </w:r>
      <w:r>
        <w:t xml:space="preserve"> </w:t>
      </w:r>
      <w:r>
        <w:t xml:space="preserve">Separate them and most of the fear resolves: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4"/>
        <w:gridCol w:w="683"/>
        <w:gridCol w:w="43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record</w:t>
            </w:r>
            <w:r>
              <w:t xml:space="preserve"> </w:t>
            </w:r>
            <w:r>
              <w:t xml:space="preserve">— what the agent did, how well, under what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executing the company’s mandates, on company data, under company liability. Must survive a departure.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 record</w:t>
            </w:r>
            <w:r>
              <w:t xml:space="preserve"> </w:t>
            </w:r>
            <w:r>
              <w:t xml:space="preserve">— who authorised this spend,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Immutable. The leaver</w:t>
            </w:r>
            <w:r>
              <w:t xml:space="preserve"> </w:t>
            </w:r>
            <w:r>
              <w:rPr>
                <w:iCs/>
                <w:i/>
              </w:rPr>
              <w:t xml:space="preserve">was</w:t>
            </w:r>
            <w:r>
              <w:t xml:space="preserve"> </w:t>
            </w:r>
            <w:r>
              <w:t xml:space="preserve">accountable then; revoking access later cannot un-authorise a past 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configuration</w:t>
            </w:r>
            <w:r>
              <w:t xml:space="preserve"> </w:t>
            </w:r>
            <w:r>
              <w:t xml:space="preserve">— prompts, skills, tuned context the person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chef’s-recipes problem. Employment IP law, not agent infrastructure. Settle it in the employment terms.</w:t>
            </w:r>
          </w:p>
        </w:tc>
      </w:tr>
    </w:tbl>
    <w:p>
      <w:pPr>
        <w:pStyle w:val="BodyText"/>
      </w:pPr>
      <w:r>
        <w:rPr>
          <w:bCs/>
          <w:b/>
        </w:rPr>
        <w:t xml:space="preserve">KYA position:</w:t>
      </w:r>
      <w:r>
        <w:t xml:space="preserve"> </w:t>
      </w:r>
      <w:r>
        <w:t xml:space="preserve">bind the track record to the tenant, bind accountability to the timestamp, and keep configuration ownership out of the trust ledger entirely — it is a contract term, and platforms that try to adjudicate it will get it wrong.</w:t>
      </w:r>
    </w:p>
    <w:p>
      <w:pPr>
        <w:pStyle w:val="BodyText"/>
      </w:pPr>
      <w:r>
        <w:rPr>
          <w:bCs/>
          <w:b/>
        </w:rPr>
        <w:t xml:space="preserve">Sequencing consequence — this reorders the roadmap.</w:t>
      </w:r>
      <w:r>
        <w:t xml:space="preserve"> </w:t>
      </w:r>
      <w:r>
        <w:t xml:space="preserve">The anchor fix is now a</w:t>
      </w:r>
      <w:r>
        <w:t xml:space="preserve"> </w:t>
      </w:r>
      <w:r>
        <w:rPr>
          <w:bCs/>
          <w:b/>
        </w:rPr>
        <w:t xml:space="preserve">precondition for signing</w:t>
      </w:r>
      <w:r>
        <w:t xml:space="preserve">, not a parallel task. Signing an attestation that is anchored to a departing human permanently mints a credential with the wrong subject anchor; a signature makes a mis-anchored record durable rather than fixable.</w:t>
      </w:r>
      <w:r>
        <w:t xml:space="preserve"> </w:t>
      </w:r>
      <w:r>
        <w:rPr>
          <w:bCs/>
          <w:b/>
        </w:rPr>
        <w:t xml:space="preserve">Fix the anchor, then sign.</w:t>
      </w:r>
    </w:p>
    <w:p>
      <w:pPr>
        <w:pStyle w:val="BodyText"/>
      </w:pPr>
      <w:r>
        <w:rPr>
          <w:bCs/>
          <w:b/>
        </w:rPr>
        <w:t xml:space="preserve">Second-order (EU, and it bites).</w:t>
      </w:r>
      <w:r>
        <w:t xml:space="preserve"> </w:t>
      </w:r>
      <w:r>
        <w:rPr>
          <w:rStyle w:val="VerbatimChar"/>
        </w:rPr>
        <w:t xml:space="preserve">hic</w:t>
      </w:r>
      <w:r>
        <w:t xml:space="preserve"> </w:t>
      </w:r>
      <w:r>
        <w:t xml:space="preserve">is personal data sitting in an append-only table where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denied by design (079:</w:t>
      </w:r>
      <w:r>
        <w:t xml:space="preserve"> </w:t>
      </w:r>
      <w:r>
        <w:t xml:space="preserve">“</w:t>
      </w:r>
      <w:r>
        <w:t xml:space="preserve">Revocation is a proof_status transition, never a row deletion</w:t>
      </w:r>
      <w:r>
        <w:t xml:space="preserve">”</w:t>
      </w:r>
      <w:r>
        <w:t xml:space="preserve">). A leaver’s</w:t>
      </w:r>
      <w:r>
        <w:t xml:space="preserve"> </w:t>
      </w:r>
      <w:r>
        <w:rPr>
          <w:bCs/>
          <w:b/>
        </w:rPr>
        <w:t xml:space="preserve">GDPR Article 17</w:t>
      </w:r>
      <w:r>
        <w:t xml:space="preserve"> </w:t>
      </w:r>
      <w:r>
        <w:t xml:space="preserve">erasure request therefore collides with</w:t>
      </w:r>
      <w:r>
        <w:t xml:space="preserve"> </w:t>
      </w:r>
      <w:r>
        <w:rPr>
          <w:bCs/>
          <w:b/>
        </w:rPr>
        <w:t xml:space="preserve">EU AI Act Article 12</w:t>
      </w:r>
      <w:r>
        <w:t xml:space="preserve"> </w:t>
      </w:r>
      <w:r>
        <w:t xml:space="preserve">record-keeping. Art. 17(3) supplies the exemption, but it must be</w:t>
      </w:r>
      <w:r>
        <w:t xml:space="preserve"> </w:t>
      </w:r>
      <w:r>
        <w:rPr>
          <w:iCs/>
          <w:i/>
        </w:rPr>
        <w:t xml:space="preserve">documented</w:t>
      </w:r>
      <w:r>
        <w:t xml:space="preserve"> </w:t>
      </w:r>
      <w:r>
        <w:t xml:space="preserve">as the lawful basis, and</w:t>
      </w:r>
      <w:r>
        <w:t xml:space="preserve"> </w:t>
      </w:r>
      <w:r>
        <w:rPr>
          <w:rStyle w:val="VerbatimChar"/>
        </w:rPr>
        <w:t xml:space="preserve">hic</w:t>
      </w:r>
      <w:r>
        <w:t xml:space="preserve"> </w:t>
      </w:r>
      <w:r>
        <w:t xml:space="preserve">should hold a</w:t>
      </w:r>
      <w:r>
        <w:t xml:space="preserve"> </w:t>
      </w:r>
      <w:r>
        <w:rPr>
          <w:bCs/>
          <w:b/>
        </w:rPr>
        <w:t xml:space="preserve">pseudonymous stable subject ID</w:t>
      </w:r>
      <w:r>
        <w:t xml:space="preserve">, never a name or email, so the retained evidence is not also an HR record.</w:t>
      </w:r>
    </w:p>
    <w:p>
      <w:pPr>
        <w:pStyle w:val="BodyText"/>
      </w:pPr>
      <w:r>
        <w:rPr>
          <w:bCs/>
          <w:b/>
        </w:rPr>
        <w:t xml:space="preserve">The leaver gap nobody’s list includes.</w:t>
      </w:r>
      <w:r>
        <w:t xml:space="preserve"> </w:t>
      </w:r>
      <w:r>
        <w:t xml:space="preserve">When a human’s identity is revoked, agents holding mandates signed under their authority keep running.</w:t>
      </w:r>
      <w:r>
        <w:t xml:space="preserve"> </w:t>
      </w:r>
      <w:r>
        <w:rPr>
          <w:rStyle w:val="VerbatimChar"/>
        </w:rPr>
        <w:t xml:space="preserve">IDENTITY_REVOKED</w:t>
      </w:r>
      <w:r>
        <w:t xml:space="preserve"> </w:t>
      </w:r>
      <w:r>
        <w:t xml:space="preserve">exists as a Leash-Snap reason code; what it must additionally trigger is a</w:t>
      </w:r>
      <w:r>
        <w:t xml:space="preserve"> </w:t>
      </w:r>
      <w:r>
        <w:rPr>
          <w:bCs/>
          <w:b/>
        </w:rPr>
        <w:t xml:space="preserve">sweep of live mandates bound to that HIC</w:t>
      </w:r>
      <w:r>
        <w:t xml:space="preserve">. Otherwise offboarding leaves the equivalent of an SSH key in the wall.</w:t>
      </w:r>
    </w:p>
    <w:p>
      <w:pPr>
        <w:pStyle w:val="BodyText"/>
      </w:pPr>
      <w:r>
        <w:rPr>
          <w:bCs/>
          <w:b/>
        </w:rPr>
        <w:t xml:space="preserve">Resolves the open HIC question</w:t>
      </w:r>
      <w:r>
        <w:t xml:space="preserve"> </w:t>
      </w:r>
      <w:r>
        <w:t xml:space="preserve">posed above (</w:t>
      </w:r>
      <w:r>
        <w:t xml:space="preserve">“</w:t>
      </w:r>
      <w:r>
        <w:t xml:space="preserve">do ATS/attestations die with the human binding or survive bound to the tenant?</w:t>
      </w:r>
      <w:r>
        <w:t xml:space="preserve">”</w:t>
      </w:r>
      <w:r>
        <w:t xml:space="preserve">) — answer:</w:t>
      </w:r>
      <w:r>
        <w:t xml:space="preserve"> </w:t>
      </w:r>
      <w:r>
        <w:rPr>
          <w:bCs/>
          <w:b/>
        </w:rPr>
        <w:t xml:space="preserve">survive, bound to the tenant</w:t>
      </w:r>
      <w:r>
        <w:t xml:space="preserve">, with the human retained as accountable-signer-at-time-of-action. Implementation is a migration (</w:t>
      </w:r>
      <w:r>
        <w:rPr>
          <w:rStyle w:val="VerbatimChar"/>
        </w:rPr>
        <w:t xml:space="preserve">org_id NOT NULL</w:t>
      </w:r>
      <w:r>
        <w:t xml:space="preserve"> </w:t>
      </w:r>
      <w:r>
        <w:t xml:space="preserve">on both tables), not a policy note.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Lifetime Oy — all rights reserved. Business Confidential. Field note · 24.07.2026.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2026-07-24T22:42:09Z</dcterms:created>
  <dcterms:modified xsi:type="dcterms:W3CDTF">2026-07-24T22:42:09Z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