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ws-os-doctoral-research-scope-one-pager"/>
    <w:p>
      <w:pPr>
        <w:pStyle w:val="Heading1"/>
      </w:pPr>
      <w:r>
        <w:t xml:space="preserve">DWS OS — Doctoral Research Scope (One-Pager)</w:t>
      </w:r>
    </w:p>
    <w:p>
      <w:r>
        <w:pict>
          <v:rect style="width:0;height:1.5pt" o:hralign="center" o:hrstd="t" o:hr="t"/>
        </w:pict>
      </w:r>
    </w:p>
    <w:bookmarkEnd w:id="20"/>
    <w:bookmarkStart w:id="22" w:name="version-and-agent-history"/>
    <w:p>
      <w:pPr>
        <w:pStyle w:val="Heading1"/>
      </w:pPr>
      <w:r>
        <w:t xml:space="preserve">VERSION AND AGENT HISTORY</w:t>
      </w:r>
    </w:p>
    <w:p>
      <w:pPr>
        <w:pStyle w:val="FirstParagraph"/>
      </w:pPr>
      <w:r>
        <w:t xml:space="preserve">Version: 1.1</w:t>
      </w:r>
    </w:p>
    <w:p>
      <w:pPr>
        <w:pStyle w:val="BodyText"/>
      </w:pPr>
      <w:r>
        <w:t xml:space="preserve">Sessions &amp; Modifications:</w:t>
      </w:r>
    </w:p>
    <w:p>
      <w:pPr>
        <w:numPr>
          <w:ilvl w:val="0"/>
          <w:numId w:val="1001"/>
        </w:numPr>
        <w:pStyle w:val="Compact"/>
      </w:pPr>
      <w:r>
        <w:t xml:space="preserve">Version: 1.1 | Tool: Claude Code (claude-opus-5) | Session: claude/greg-isenberg-field-notes-a2r544 | Date: 25.07.2026 | Changes: Added a</w:t>
      </w:r>
      <w:r>
        <w:t xml:space="preserve"> </w:t>
      </w:r>
      <w:r>
        <w:rPr>
          <w:bCs/>
          <w:b/>
        </w:rPr>
        <w:t xml:space="preserve">proposed refinement section — NOT adopted</w:t>
      </w:r>
      <w:r>
        <w:t xml:space="preserve">, requiring supervisor discussion. TK1–TK3 are unchanged. Raises: (a) two distinct falsifiabilities currently conflated (falsifiability of agent actions vs. falsifiability of the standard claim itself); (b) that Expected contribution (1) is not falsifiable as written and a proposed four-gate staged restatement that makes it checkable; (c) the Article 40 constraint that harmonised status cannot be self-initiated, so the Art. 12/14/72 mapping must not imply a harmonised trajectory; (d) a scope question on whether TK1 stays EU-bounded given the EU/US/SG profile architecture and the ISO/IEC JTC 1/SC 42 route. EN/FI lockstep.</w:t>
      </w:r>
    </w:p>
    <w:p>
      <w:pPr>
        <w:numPr>
          <w:ilvl w:val="0"/>
          <w:numId w:val="1001"/>
        </w:numPr>
        <w:pStyle w:val="Compact"/>
      </w:pPr>
      <w:r>
        <w:t xml:space="preserve">Version: 1.0 | Tool: Claude Code | Session: claude/dws-nvidia-os-NDuOs | Date: 19.05.2026 | Changes: Trimmed one-pager research scope for the DWS OS artifact. Companion to the longer chapter at docs/lut/2026-05-19-research-scope-smolander.md. Designed to be sent as-is to Prof. Kari Smolander (LUT) or pasted into an email body.</w:t>
      </w:r>
    </w:p>
    <w:p>
      <w:pPr>
        <w:pStyle w:val="FirstParagraph"/>
      </w:pPr>
      <w:r>
        <w:t xml:space="preserve">Document Status:</w:t>
      </w:r>
    </w:p>
    <w:p>
      <w:pPr>
        <w:numPr>
          <w:ilvl w:val="0"/>
          <w:numId w:val="1002"/>
        </w:numPr>
        <w:pStyle w:val="Compact"/>
      </w:pPr>
      <w:r>
        <w:t xml:space="preserve">Created: 19.05.2026</w:t>
      </w:r>
    </w:p>
    <w:p>
      <w:pPr>
        <w:numPr>
          <w:ilvl w:val="0"/>
          <w:numId w:val="1002"/>
        </w:numPr>
        <w:pStyle w:val="Compact"/>
      </w:pPr>
      <w:r>
        <w:t xml:space="preserve">Last Modified: 19.05.2026</w:t>
      </w:r>
    </w:p>
    <w:p>
      <w:pPr>
        <w:numPr>
          <w:ilvl w:val="0"/>
          <w:numId w:val="1002"/>
        </w:numPr>
        <w:pStyle w:val="Compact"/>
      </w:pPr>
      <w:r>
        <w:t xml:space="preserve">Language: English</w:t>
      </w:r>
    </w:p>
    <w:p>
      <w:pPr>
        <w:numPr>
          <w:ilvl w:val="0"/>
          <w:numId w:val="1002"/>
        </w:numPr>
        <w:pStyle w:val="Compact"/>
      </w:pPr>
      <w:r>
        <w:t xml:space="preserve">Languages Available: EN</w:t>
      </w:r>
    </w:p>
    <w:p>
      <w:pPr>
        <w:numPr>
          <w:ilvl w:val="0"/>
          <w:numId w:val="1002"/>
        </w:numPr>
        <w:pStyle w:val="Compact"/>
      </w:pPr>
      <w:r>
        <w:t xml:space="preserve">Publication Status: DRAFT</w:t>
      </w:r>
    </w:p>
    <w:p>
      <w:pPr>
        <w:numPr>
          <w:ilvl w:val="0"/>
          <w:numId w:val="1002"/>
        </w:numPr>
        <w:pStyle w:val="Compact"/>
      </w:pPr>
      <w:r>
        <w:t xml:space="preserve">Classification: CONFIDENTIAL — Doctoral correspondence</w:t>
      </w:r>
    </w:p>
    <w:p>
      <w:pPr>
        <w:numPr>
          <w:ilvl w:val="0"/>
          <w:numId w:val="1002"/>
        </w:numPr>
        <w:pStyle w:val="Compact"/>
      </w:pPr>
      <w:r>
        <w:t xml:space="preserve">Document Type: Research-scope précis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Object of study.</w:t>
      </w:r>
      <w:r>
        <w:t xml:space="preserve"> </w:t>
      </w:r>
      <w:r>
        <w:t xml:space="preserve">DWS OS — the NVIDIA-based, EU-sovereign on-premises AI operating system (GB10 Grace Blackwell + Nemotron 3 Super + OpenClaw runtime + KYA + Firecracker MicroVM), operated by an EU-domiciled entity (Lifetime Oy, FI).</w:t>
      </w:r>
    </w:p>
    <w:p>
      <w:pPr>
        <w:pStyle w:val="BodyText"/>
      </w:pPr>
      <w:r>
        <w:rPr>
          <w:bCs/>
          <w:b/>
        </w:rPr>
        <w:t xml:space="preserve">Research problem.</w:t>
      </w:r>
      <w:r>
        <w:t xml:space="preserve"> </w:t>
      </w:r>
      <w:r>
        <w:t xml:space="preserve">How to design and validate an on-premises AI operating system that is</w:t>
      </w:r>
      <w:r>
        <w:t xml:space="preserve"> </w:t>
      </w:r>
      <w:r>
        <w:rPr>
          <w:bCs/>
          <w:b/>
        </w:rPr>
        <w:t xml:space="preserve">sovereign by construction</w:t>
      </w:r>
      <w:r>
        <w:t xml:space="preserve">, not by claim, and that produces</w:t>
      </w:r>
      <w:r>
        <w:t xml:space="preserve"> </w:t>
      </w:r>
      <w:r>
        <w:rPr>
          <w:bCs/>
          <w:b/>
        </w:rPr>
        <w:t xml:space="preserve">court-defensible compliance evidence</w:t>
      </w:r>
      <w:r>
        <w:t xml:space="preserve"> </w:t>
      </w:r>
      <w:r>
        <w:t xml:space="preserve">under the EU AI Act, CBAM, CSRD, NIS2, and DORA, while remaining open at the model, runtime, and semantic layers.</w:t>
      </w:r>
    </w:p>
    <w:p>
      <w:pPr>
        <w:pStyle w:val="BodyText"/>
      </w:pPr>
      <w:r>
        <w:rPr>
          <w:bCs/>
          <w:b/>
        </w:rPr>
        <w:t xml:space="preserve">Research questions.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RQ1 — Governance.</w:t>
      </w:r>
      <w:r>
        <w:t xml:space="preserve"> </w:t>
      </w:r>
      <w:r>
        <w:t xml:space="preserve">What is a minimal, hardware-attested governance unit (KYA) sufficient to make agent actions inside DWS OS legally falsifiable across an EU regulatory population?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RQ2 — Sovereign architecture.</w:t>
      </w:r>
      <w:r>
        <w:t xml:space="preserve"> </w:t>
      </w:r>
      <w:r>
        <w:t xml:space="preserve">Which architectural invariants are necessary and sufficient for an on-prem AI OS to be EU-sovereign by construction, measured along the 8 dimensions of the DWS Sovereignty Standard, and how does DWS OS compare empirically to the Dell + Palantir reference architecture announced 18.05.2026?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RQ3 — Industrial scalability.</w:t>
      </w:r>
      <w:r>
        <w:t xml:space="preserve"> </w:t>
      </w:r>
      <w:r>
        <w:t xml:space="preserve">Does the DWS OS pattern generalise across 20+ EU-regulated verticals, and where are the limits when regulatory ontology, data residency, and agent task surface diverge?</w:t>
      </w:r>
    </w:p>
    <w:p>
      <w:pPr>
        <w:pStyle w:val="FirstParagraph"/>
      </w:pPr>
      <w:r>
        <w:rPr>
          <w:bCs/>
          <w:b/>
        </w:rPr>
        <w:t xml:space="preserve">Methodology.</w:t>
      </w:r>
      <w:r>
        <w:t xml:space="preserve"> </w:t>
      </w:r>
      <w:r>
        <w:t xml:space="preserve">Design Science Research with three streams: (1) artifact — DWS OS reference implementation already in 24/7 production, KYA as open standard candidate; (2) empirical validation in paying-customer industrial environments under DPA; (3) comparative benchmark — 8-dim sovereignty rubric + behavioural benchmarks (EAB, ASB, OWASP Top 10 for Agentic Applications 2026) scored against named alternatives (Dell + Palantir, Foundry-only, pure-cloud frontier).</w:t>
      </w:r>
    </w:p>
    <w:p>
      <w:pPr>
        <w:pStyle w:val="BodyText"/>
      </w:pPr>
      <w:r>
        <w:rPr>
          <w:bCs/>
          <w:b/>
        </w:rPr>
        <w:t xml:space="preserve">In scope.</w:t>
      </w:r>
      <w:r>
        <w:t xml:space="preserve"> </w:t>
      </w:r>
      <w:r>
        <w:t xml:space="preserve">On-prem layer (hardware attestation, agent runtime, governance, evidentiary logging) for EU-regulated industrial AI.</w:t>
      </w:r>
    </w:p>
    <w:p>
      <w:pPr>
        <w:pStyle w:val="BodyText"/>
      </w:pPr>
      <w:r>
        <w:rPr>
          <w:bCs/>
          <w:b/>
        </w:rPr>
        <w:t xml:space="preserve">Out of scope.</w:t>
      </w:r>
      <w:r>
        <w:t xml:space="preserve"> </w:t>
      </w:r>
      <w:r>
        <w:t xml:space="preserve">Model pre-training; consumer agents; non-EU regulatory regimes (used only for comparative legal contrast — CLOUD Act vs. GDPR).</w:t>
      </w:r>
    </w:p>
    <w:p>
      <w:pPr>
        <w:pStyle w:val="BodyText"/>
      </w:pPr>
      <w:r>
        <w:rPr>
          <w:bCs/>
          <w:b/>
        </w:rPr>
        <w:t xml:space="preserve">Preserved as research question, not assumption.</w:t>
      </w:r>
      <w:r>
        <w:t xml:space="preserve"> </w:t>
      </w:r>
      <w:r>
        <w:t xml:space="preserve">Whether Palantir AIP can run as a guest tenant inside DWS OS without breaking sovereignty invariants (connector hypothesis).</w:t>
      </w:r>
    </w:p>
    <w:p>
      <w:pPr>
        <w:pStyle w:val="BodyText"/>
      </w:pPr>
      <w:r>
        <w:rPr>
          <w:bCs/>
          <w:b/>
        </w:rPr>
        <w:t xml:space="preserve">Expected contributions.</w:t>
      </w:r>
      <w:r>
        <w:t xml:space="preserve"> </w:t>
      </w:r>
      <w:r>
        <w:t xml:space="preserve">(1) Open-licensed KYA governance standard with conformance suite mapped to AI Act Art. 12 / 14 / 72; (2) reference architecture and 8-dim sovereignty rubric for the EU on-prem AI OS, validated against a contemporary commercial alternative; (3) 20-vertical empirical case base; (4) theoretical bridge from the multi-agent reasoning–behaviour gap (Shapira 2026; Emergence AI 2026; EARTHwise EAB 2026) to a hardware-attested falsifiability locus.</w:t>
      </w:r>
    </w:p>
    <w:p>
      <w:pPr>
        <w:pStyle w:val="BodyText"/>
      </w:pPr>
      <w:r>
        <w:rPr>
          <w:bCs/>
          <w:b/>
        </w:rPr>
        <w:t xml:space="preserve">Timeline (3–7 year horizon).</w:t>
      </w:r>
    </w:p>
    <w:p>
      <w:pPr>
        <w:numPr>
          <w:ilvl w:val="0"/>
          <w:numId w:val="1004"/>
        </w:numPr>
        <w:pStyle w:val="Compact"/>
      </w:pPr>
      <w:r>
        <w:t xml:space="preserve">2026 — Article 1: KYA open-source governance standard.</w:t>
      </w:r>
    </w:p>
    <w:p>
      <w:pPr>
        <w:numPr>
          <w:ilvl w:val="0"/>
          <w:numId w:val="1004"/>
        </w:numPr>
        <w:pStyle w:val="Compact"/>
      </w:pPr>
      <w:r>
        <w:t xml:space="preserve">2027 — Article 2:</w:t>
      </w:r>
      <w:r>
        <w:t xml:space="preserve"> </w:t>
      </w:r>
      <w:r>
        <w:rPr>
          <w:iCs/>
          <w:i/>
        </w:rPr>
        <w:t xml:space="preserve">Sovereign by Construction</w:t>
      </w:r>
      <w:r>
        <w:t xml:space="preserve"> </w:t>
      </w:r>
      <w:r>
        <w:t xml:space="preserve">— DWS OS architecture, with the Dell + Palantir comparison.</w:t>
      </w:r>
    </w:p>
    <w:p>
      <w:pPr>
        <w:numPr>
          <w:ilvl w:val="0"/>
          <w:numId w:val="1004"/>
        </w:numPr>
        <w:pStyle w:val="Compact"/>
      </w:pPr>
      <w:r>
        <w:t xml:space="preserve">2028 — Articles 3–4: 20-vertical empirical findings.</w:t>
      </w:r>
    </w:p>
    <w:p>
      <w:pPr>
        <w:numPr>
          <w:ilvl w:val="0"/>
          <w:numId w:val="1004"/>
        </w:numPr>
        <w:pStyle w:val="Compact"/>
      </w:pPr>
      <w:r>
        <w:t xml:space="preserve">2028–2029 — Dissertation synthesis and defence.</w:t>
      </w:r>
    </w:p>
    <w:p>
      <w:r>
        <w:pict>
          <v:rect style="width:0;height:1.5pt" o:hralign="center" o:hrstd="t" o:hr="t"/>
        </w:pict>
      </w:r>
    </w:p>
    <w:bookmarkStart w:id="21" w:name="X309669026762f13b1bfd3af74f847136b7e9e4c"/>
    <w:p>
      <w:pPr>
        <w:pStyle w:val="Heading2"/>
      </w:pPr>
      <w:r>
        <w:t xml:space="preserve">Proposed refinement (25.07.2026) — NOT adopted; requires supervisor discussion</w:t>
      </w:r>
    </w:p>
    <w:p>
      <w:pPr>
        <w:pStyle w:val="FirstParagraph"/>
      </w:pPr>
      <w:r>
        <w:t xml:space="preserve">Recorded from session</w:t>
      </w:r>
      <w:r>
        <w:t xml:space="preserve"> </w:t>
      </w:r>
      <w:r>
        <w:rPr>
          <w:rStyle w:val="VerbatimChar"/>
        </w:rPr>
        <w:t xml:space="preserve">claude/greg-isenberg-field-notes-a2r544</w:t>
      </w:r>
      <w:r>
        <w:t xml:space="preserve">.</w:t>
      </w:r>
      <w:r>
        <w:t xml:space="preserve"> </w:t>
      </w:r>
      <w:r>
        <w:rPr>
          <w:bCs/>
          <w:b/>
        </w:rPr>
        <w:t xml:space="preserve">These are proposals, not changes.</w:t>
      </w:r>
      <w:r>
        <w:t xml:space="preserve"> </w:t>
      </w:r>
      <w:r>
        <w:t xml:space="preserve">A research question is a supervisory decision; nothing below has been applied to TK1–TK3 above.</w:t>
      </w:r>
    </w:p>
    <w:p>
      <w:pPr>
        <w:pStyle w:val="BodyText"/>
      </w:pPr>
      <w:r>
        <w:rPr>
          <w:bCs/>
          <w:b/>
        </w:rPr>
        <w:t xml:space="preserve">1. Two distinct falsifiabilities, currently conflated.</w:t>
      </w:r>
      <w:r>
        <w:t xml:space="preserve"> </w:t>
      </w:r>
      <w:r>
        <w:t xml:space="preserve">TK1 asks about</w:t>
      </w:r>
      <w:r>
        <w:t xml:space="preserve"> </w:t>
      </w:r>
      <w:r>
        <w:rPr>
          <w:iCs/>
          <w:i/>
        </w:rPr>
        <w:t xml:space="preserve">legal falsifiability of agent actions</w:t>
      </w:r>
      <w:r>
        <w:t xml:space="preserve">. A second and separate question surfaced: whether the</w:t>
      </w:r>
      <w:r>
        <w:t xml:space="preserve"> </w:t>
      </w:r>
      <w:r>
        <w:rPr>
          <w:bCs/>
          <w:b/>
        </w:rPr>
        <w:t xml:space="preserve">standard claim itself</w:t>
      </w:r>
      <w:r>
        <w:t xml:space="preserve"> </w:t>
      </w:r>
      <w:r>
        <w:t xml:space="preserve">is falsifiable. These are different objects — the artefact’s governance of agent behaviour, versus the artefact’s own claim to standard status. Recommend the thesis name both explicitly, since only the first is currently in scope.</w:t>
      </w:r>
    </w:p>
    <w:p>
      <w:pPr>
        <w:pStyle w:val="BodyText"/>
      </w:pPr>
      <w:r>
        <w:rPr>
          <w:bCs/>
          <w:b/>
        </w:rPr>
        <w:t xml:space="preserve">2. Expected contribution (1) is not, as written, falsifiable — and can be made so.</w:t>
      </w:r>
      <w:r>
        <w:t xml:space="preserve"> </w:t>
      </w:r>
      <w:r>
        <w:t xml:space="preserve">“</w:t>
      </w:r>
      <w:r>
        <w:t xml:space="preserve">Open-licensed KYA governance standard with conformance suite</w:t>
      </w:r>
      <w:r>
        <w:t xml:space="preserve">”</w:t>
      </w:r>
      <w:r>
        <w:t xml:space="preserve"> </w:t>
      </w:r>
      <w:r>
        <w:t xml:space="preserve">states an outcome with no criterion determining whether it was achieved. Proposed restatement as a staged trajectory with four measurable gates: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Openly licensed, implementable by an independent party —</w:t>
            </w:r>
            <w:r>
              <w:t xml:space="preserve"> </w:t>
            </w:r>
            <w:r>
              <w:rPr>
                <w:bCs/>
                <w:b/>
              </w:rPr>
              <w:t xml:space="preserve">reached 24.07.2026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 independent implementations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a conformance suite an implementation can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recognised body accepts the document into its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Ratified, or genuine multi-party adoption —</w:t>
            </w:r>
            <w:r>
              <w:t xml:space="preserve"> </w:t>
            </w:r>
            <w:r>
              <w:rPr>
                <w:bCs/>
                <w:b/>
              </w:rPr>
              <w:t xml:space="preserve">plus change control that outlives Lifetime Oy</w:t>
            </w:r>
          </w:p>
        </w:tc>
      </w:tr>
    </w:tbl>
    <w:p>
      <w:pPr>
        <w:pStyle w:val="BodyText"/>
      </w:pPr>
      <w:r>
        <w:t xml:space="preserve">This converts an unfalsifiable aspiration into a checkable claim, which is what a Design Science Research artefact contribution ought to be. The final gate is the decisive one and the least discussed: while amendment requires the author’s consent, the artefact remains an instrument of the author’s strategy however openly it is licensed.</w:t>
      </w:r>
    </w:p>
    <w:p>
      <w:pPr>
        <w:pStyle w:val="BodyText"/>
      </w:pPr>
      <w:r>
        <w:rPr>
          <w:bCs/>
          <w:b/>
        </w:rPr>
        <w:t xml:space="preserve">3. A constraint that bounds the EU route.</w:t>
      </w:r>
      <w:r>
        <w:t xml:space="preserve"> </w:t>
      </w:r>
      <w:r>
        <w:t xml:space="preserve">Harmonised standards under EU AI Act</w:t>
      </w:r>
      <w:r>
        <w:t xml:space="preserve"> </w:t>
      </w:r>
      <w:r>
        <w:rPr>
          <w:bCs/>
          <w:b/>
        </w:rPr>
        <w:t xml:space="preserve">Article 40</w:t>
      </w:r>
      <w:r>
        <w:t xml:space="preserve"> </w:t>
      </w:r>
      <w:r>
        <w:t xml:space="preserve">are produced by CEN/CENELEC</w:t>
      </w:r>
      <w:r>
        <w:t xml:space="preserve"> </w:t>
      </w:r>
      <w:r>
        <w:rPr>
          <w:bCs/>
          <w:b/>
        </w:rPr>
        <w:t xml:space="preserve">in response to a standardisation request from the European Commission</w:t>
      </w:r>
      <w:r>
        <w:t xml:space="preserve">; harmonised status</w:t>
      </w:r>
      <w:r>
        <w:t xml:space="preserve"> </w:t>
      </w:r>
      <w:r>
        <w:rPr>
          <w:bCs/>
          <w:b/>
        </w:rPr>
        <w:t xml:space="preserve">cannot be self-initiated</w:t>
      </w:r>
      <w:r>
        <w:t xml:space="preserve">. Expected contribution (1)’s mapping to Articles 12/14/72 must therefore not be read as implying a harmonised-standard trajectory the research can unilaterally pursue. The research may</w:t>
      </w:r>
      <w:r>
        <w:t xml:space="preserve"> </w:t>
      </w:r>
      <w:r>
        <w:rPr>
          <w:iCs/>
          <w:i/>
        </w:rPr>
        <w:t xml:space="preserve">feed</w:t>
      </w:r>
      <w:r>
        <w:t xml:space="preserve"> </w:t>
      </w:r>
      <w:r>
        <w:t xml:space="preserve">JTC 21’s work; it cannot schedule ratification.</w:t>
      </w:r>
    </w:p>
    <w:p>
      <w:pPr>
        <w:pStyle w:val="BodyText"/>
      </w:pPr>
      <w:r>
        <w:rPr>
          <w:bCs/>
          <w:b/>
        </w:rPr>
        <w:t xml:space="preserve">4. Scope question for the supervisor.</w:t>
      </w:r>
      <w:r>
        <w:t xml:space="preserve"> </w:t>
      </w:r>
      <w:r>
        <w:t xml:space="preserve">TK1 is bounded</w:t>
      </w:r>
      <w:r>
        <w:t xml:space="preserve"> </w:t>
      </w:r>
      <w:r>
        <w:t xml:space="preserve">“</w:t>
      </w:r>
      <w:r>
        <w:t xml:space="preserve">across the EU regulatory population.</w:t>
      </w:r>
      <w:r>
        <w:t xml:space="preserve">”</w:t>
      </w:r>
      <w:r>
        <w:t xml:space="preserve"> </w:t>
      </w:r>
      <w:r>
        <w:t xml:space="preserve">Subsequent work produced a three-jurisdiction (EU / US / SG) conformance-profile architecture and identified</w:t>
      </w:r>
      <w:r>
        <w:t xml:space="preserve"> </w:t>
      </w:r>
      <w:r>
        <w:rPr>
          <w:bCs/>
          <w:b/>
        </w:rPr>
        <w:t xml:space="preserve">ISO/IEC JTC 1/SC 42</w:t>
      </w:r>
      <w:r>
        <w:t xml:space="preserve"> </w:t>
      </w:r>
      <w:r>
        <w:t xml:space="preserve">— reached via Enterprise Singapore — as the one venue recognised in all three. This raises a genuine question: does TK1 remain EU-bounded, or does a companion question on cross-jurisdiction generalisation belong in the scope?</w:t>
      </w:r>
      <w:r>
        <w:t xml:space="preserve"> </w:t>
      </w:r>
      <w:r>
        <w:rPr>
          <w:bCs/>
          <w:b/>
        </w:rPr>
        <w:t xml:space="preserve">Recorded as a question. Not answered here.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2026-07-25T04:24:02Z</dcterms:created>
  <dcterms:modified xsi:type="dcterms:W3CDTF">2026-07-25T04:24:02Z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