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a99ef541e7c06d0a715630b7a6990d7bf7d397"/>
    <w:p>
      <w:pPr>
        <w:pStyle w:val="Heading1"/>
      </w:pPr>
      <w:r>
        <w:t xml:space="preserve">DWS OS — Väitöstutkimuksen laajuus (yhden sivun tiivistelmä)</w:t>
      </w:r>
    </w:p>
    <w:p>
      <w:r>
        <w:pict>
          <v:rect style="width:0;height:1.5pt" o:hralign="center" o:hrstd="t" o:hr="t"/>
        </w:pict>
      </w:r>
    </w:p>
    <w:bookmarkEnd w:id="20"/>
    <w:bookmarkStart w:id="22" w:name="version-and-agent-history"/>
    <w:p>
      <w:pPr>
        <w:pStyle w:val="Heading1"/>
      </w:pPr>
      <w:r>
        <w:t xml:space="preserve">VERSION AND AGENT HISTORY</w:t>
      </w:r>
    </w:p>
    <w:p>
      <w:pPr>
        <w:pStyle w:val="FirstParagraph"/>
      </w:pPr>
      <w:r>
        <w:t xml:space="preserve">Version: 1.1</w:t>
      </w:r>
    </w:p>
    <w:p>
      <w:pPr>
        <w:pStyle w:val="BodyText"/>
      </w:pPr>
      <w:r>
        <w:t xml:space="preserve">Sessions &amp; Modifications:</w:t>
      </w:r>
    </w:p>
    <w:p>
      <w:pPr>
        <w:numPr>
          <w:ilvl w:val="0"/>
          <w:numId w:val="1001"/>
        </w:numPr>
        <w:pStyle w:val="Compact"/>
      </w:pPr>
      <w:r>
        <w:t xml:space="preserve">Version: 1.1 | Tool: Claude Code (claude-opus-5) | Session: claude/greg-isenberg-field-notes-a2r544 | Date: 25.07.2026 | Muutokset: Lisätty</w:t>
      </w:r>
      <w:r>
        <w:t xml:space="preserve"> </w:t>
      </w:r>
      <w:r>
        <w:rPr>
          <w:bCs/>
          <w:b/>
        </w:rPr>
        <w:t xml:space="preserve">ehdotettu tarkennus — EI hyväksytty</w:t>
      </w:r>
      <w:r>
        <w:t xml:space="preserve">, edellyttää ohjaajan kanssa käytävää keskustelua. TK1–TK3 ennallaan. Nostaa esiin: (a) kaksi erillistä falsifioitavuutta, jotka nyt sekoittuvat; (b) että odotettu tulos (1) ei ole nykymuodossaan falsifioitavissa, sekä ehdotetun neliporttisen vaiheistuksen, joka tekee siitä tarkistettavan; (c) 40 artiklan rajoitteen, jonka mukaan yhdenmukaistettua asemaa ei voi käynnistää omasta aloitteesta; (d) laajuuskysymyksen siitä, pysyykö TK1 EU-rajattuna EU/US/SG-profiiliarkkitehtuurin ja ISO/IEC JTC 1/SC 42 -reitin valossa. EN/FI-lukkoaskel.</w:t>
      </w:r>
    </w:p>
    <w:p>
      <w:pPr>
        <w:numPr>
          <w:ilvl w:val="0"/>
          <w:numId w:val="1001"/>
        </w:numPr>
        <w:pStyle w:val="Compact"/>
      </w:pPr>
      <w:r>
        <w:t xml:space="preserve">Version: 1.0 | Tool: Claude Code | Session: claude/dws-nvidia-os-NDuOs | Date: 19.05.2026 | Changes: Tiivis yhden sivun suomenkielinen tutkimuslaajuus. Huolellinen tieteellinen suomennos englanninkielisestä yhden sivun versiosta (docs/lut/dws-os-research-scope.md). Tarkoitettu toimitettavaksi prof. Kari Smolanderille (LUT) englanninkielisen version rinnalla.</w:t>
      </w:r>
    </w:p>
    <w:p>
      <w:pPr>
        <w:pStyle w:val="FirstParagraph"/>
      </w:pPr>
      <w:r>
        <w:t xml:space="preserve">Document Status:</w:t>
      </w:r>
    </w:p>
    <w:p>
      <w:pPr>
        <w:numPr>
          <w:ilvl w:val="0"/>
          <w:numId w:val="1002"/>
        </w:numPr>
        <w:pStyle w:val="Compact"/>
      </w:pPr>
      <w:r>
        <w:t xml:space="preserve">Created: 19.05.2026</w:t>
      </w:r>
    </w:p>
    <w:p>
      <w:pPr>
        <w:numPr>
          <w:ilvl w:val="0"/>
          <w:numId w:val="1002"/>
        </w:numPr>
        <w:pStyle w:val="Compact"/>
      </w:pPr>
      <w:r>
        <w:t xml:space="preserve">Last Modified: 19.05.2026</w:t>
      </w:r>
    </w:p>
    <w:p>
      <w:pPr>
        <w:numPr>
          <w:ilvl w:val="0"/>
          <w:numId w:val="1002"/>
        </w:numPr>
        <w:pStyle w:val="Compact"/>
      </w:pPr>
      <w:r>
        <w:t xml:space="preserve">Language: Suomi</w:t>
      </w:r>
    </w:p>
    <w:p>
      <w:pPr>
        <w:numPr>
          <w:ilvl w:val="0"/>
          <w:numId w:val="1002"/>
        </w:numPr>
        <w:pStyle w:val="Compact"/>
      </w:pPr>
      <w:r>
        <w:t xml:space="preserve">Languages Available: EN, FI</w:t>
      </w:r>
    </w:p>
    <w:p>
      <w:pPr>
        <w:numPr>
          <w:ilvl w:val="0"/>
          <w:numId w:val="1002"/>
        </w:numPr>
        <w:pStyle w:val="Compact"/>
      </w:pPr>
      <w:r>
        <w:t xml:space="preserve">Publication Status: LUONNOS (ohjaajan arviointia varten)</w:t>
      </w:r>
    </w:p>
    <w:p>
      <w:pPr>
        <w:numPr>
          <w:ilvl w:val="0"/>
          <w:numId w:val="1002"/>
        </w:numPr>
        <w:pStyle w:val="Compact"/>
      </w:pPr>
      <w:r>
        <w:t xml:space="preserve">Classification: LUOTTAMUKSELLINEN — Tohtoritutkimuksen yhteydenpito</w:t>
      </w:r>
    </w:p>
    <w:p>
      <w:pPr>
        <w:numPr>
          <w:ilvl w:val="0"/>
          <w:numId w:val="1002"/>
        </w:numPr>
        <w:pStyle w:val="Compact"/>
      </w:pPr>
      <w:r>
        <w:t xml:space="preserve">Document Type: Tutkimuslaajuuden tiivistelmä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Tutkimuskohde.</w:t>
      </w:r>
      <w:r>
        <w:t xml:space="preserve"> </w:t>
      </w:r>
      <w:r>
        <w:t xml:space="preserve">DWS OS — NVIDIA-pohjainen, EU-suvereeni paikallinen tekoälykäyttöjärjestelmä (GB10 Grace Blackwell + Nemotron 3 Super + OpenClaw-agenttiajoaika + KYA + Firecracker MicroVM), jota operoi EU:ssa kotipaikkaansa pitävä toimija (Lifetime Oy, FI).</w:t>
      </w:r>
    </w:p>
    <w:p>
      <w:pPr>
        <w:pStyle w:val="BodyText"/>
      </w:pPr>
      <w:r>
        <w:rPr>
          <w:bCs/>
          <w:b/>
        </w:rPr>
        <w:t xml:space="preserve">Tutkimusongelma.</w:t>
      </w:r>
      <w:r>
        <w:t xml:space="preserve"> </w:t>
      </w:r>
      <w:r>
        <w:t xml:space="preserve">Miten suunnitella ja validoida paikallinen tekoälykäyttöjärjestelmä, joka on</w:t>
      </w:r>
      <w:r>
        <w:t xml:space="preserve"> </w:t>
      </w:r>
      <w:r>
        <w:rPr>
          <w:bCs/>
          <w:b/>
        </w:rPr>
        <w:t xml:space="preserve">suvereeni jo rakenteen tasolla</w:t>
      </w:r>
      <w:r>
        <w:t xml:space="preserve"> </w:t>
      </w:r>
      <w:r>
        <w:t xml:space="preserve">— ei pelkästään väittämän tasolla — ja joka tuottaa</w:t>
      </w:r>
      <w:r>
        <w:t xml:space="preserve"> </w:t>
      </w:r>
      <w:r>
        <w:rPr>
          <w:bCs/>
          <w:b/>
        </w:rPr>
        <w:t xml:space="preserve">oikeudessa kestävää vaatimustenmukaisuusnäyttöä</w:t>
      </w:r>
      <w:r>
        <w:t xml:space="preserve"> </w:t>
      </w:r>
      <w:r>
        <w:t xml:space="preserve">EU:n tekoälysäädöksen, CBAM:n, CSRD:n, NIS2:n ja DORA:n alaisuudessa pysyen samalla avoimena malli-, ajoaika- ja semantiikkakerroksissaan.</w:t>
      </w:r>
    </w:p>
    <w:p>
      <w:pPr>
        <w:pStyle w:val="BodyText"/>
      </w:pPr>
      <w:r>
        <w:rPr>
          <w:bCs/>
          <w:b/>
        </w:rPr>
        <w:t xml:space="preserve">Tutkimuskysymykset.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TK1 — Hallinta.</w:t>
      </w:r>
      <w:r>
        <w:t xml:space="preserve"> </w:t>
      </w:r>
      <w:r>
        <w:t xml:space="preserve">Mikä on minimaalinen, laitteistotason todentamiseen perustuva hallintayksikkö (KYA), joka riittää tekemään DWS OS:n sisäisten agenttitoimien oikeudellisen falsifioitavuuden mahdolliseksi EU:n sääntelypopulaation laajuudessa?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TK2 — Suvereeni arkkitehtuuri.</w:t>
      </w:r>
      <w:r>
        <w:t xml:space="preserve"> </w:t>
      </w:r>
      <w:r>
        <w:t xml:space="preserve">Mitkä arkkitehtoniset invariantit ovat välttämättömiä ja riittäviä, jotta paikallinen tekoälykäyttöjärjestelmä on EU-suvereeni rakenteen tasolla — mitattuna DWS:n suvereniteettistandardin kahdeksalla ulottuvuudella — ja miten DWS OS vertautuu empiirisesti Dellin ja Palantirin 18.05.2026 julkistettuun viitearkkitehtuuriin?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TK3 — Teollinen skaalautuvuus.</w:t>
      </w:r>
      <w:r>
        <w:t xml:space="preserve"> </w:t>
      </w:r>
      <w:r>
        <w:t xml:space="preserve">Yleistyykö DWS OS -malli yli 20:n EU-säännellyn toimialan poikki, ja missä yleistyksen rajat tulevat vastaan, kun sääntelyn ontologia, datan sijaintivaatimus ja agentin tehtäväpinta poikkeavat toimialojen välillä?</w:t>
      </w:r>
    </w:p>
    <w:p>
      <w:pPr>
        <w:pStyle w:val="FirstParagraph"/>
      </w:pPr>
      <w:r>
        <w:rPr>
          <w:bCs/>
          <w:b/>
        </w:rPr>
        <w:t xml:space="preserve">Menetelmä.</w:t>
      </w:r>
      <w:r>
        <w:t xml:space="preserve"> </w:t>
      </w:r>
      <w:r>
        <w:t xml:space="preserve">Konstruktiivinen tutkimusote (Design Science Research, DSR) kolmessa virrassa: (1) artefakti — DWS OS -viiteimplementaatio on jo tuotannossa ympärivuorokautisesti, KYA avoimen standardin ehdokkaana; (2) empiirinen validointi maksavien asiakkaiden teollisuusympäristöissä tietojenkäsittelysopimuksen (DPA) alla; (3) vertaileva mittaus — kahdeksanulotteinen suvereniteetin arviointimittari sekä käyttäytymisperusteiset vertailutestit (EAB, ASB, OWASP Top 10 for Agentic Applications 2026) pisteytettynä nimettyjä vaihtoehtoja vastaan (Dell + Palantir -kokonaisuus, Foundry yksinään, julkinen pilvifrontier).</w:t>
      </w:r>
    </w:p>
    <w:p>
      <w:pPr>
        <w:pStyle w:val="BodyText"/>
      </w:pPr>
      <w:r>
        <w:rPr>
          <w:bCs/>
          <w:b/>
        </w:rPr>
        <w:t xml:space="preserve">Laajuus.</w:t>
      </w:r>
      <w:r>
        <w:t xml:space="preserve"> </w:t>
      </w:r>
      <w:r>
        <w:t xml:space="preserve">Paikallinen kerros (laitteistotason todentaminen, agenttien ajoaika, hallinta, todistuskelpoinen lokitus) EU-säännellyssä teollisessa tekoälyssä.</w:t>
      </w:r>
    </w:p>
    <w:p>
      <w:pPr>
        <w:pStyle w:val="BodyText"/>
      </w:pPr>
      <w:r>
        <w:rPr>
          <w:bCs/>
          <w:b/>
        </w:rPr>
        <w:t xml:space="preserve">Laajuuden ulkopuolella.</w:t>
      </w:r>
      <w:r>
        <w:t xml:space="preserve"> </w:t>
      </w:r>
      <w:r>
        <w:t xml:space="preserve">Mallien esikoulutus; kuluttajien agentit; EU:n ulkopuoliset sääntelyalueet (käsitellään vain vertailevan oikeudellisen kontrastin yhteydessä — yhdysvaltalainen CLOUD Act vs. GDPR).</w:t>
      </w:r>
    </w:p>
    <w:p>
      <w:pPr>
        <w:pStyle w:val="BodyText"/>
      </w:pPr>
      <w:r>
        <w:rPr>
          <w:bCs/>
          <w:b/>
        </w:rPr>
        <w:t xml:space="preserve">Säilytetään tutkimuskysymyksenä, ei oletuksena.</w:t>
      </w:r>
      <w:r>
        <w:t xml:space="preserve"> </w:t>
      </w:r>
      <w:r>
        <w:t xml:space="preserve">Voidaanko Palantir AIP -työnkulut ajaa vieraana vuokralaisena DWS OS:n sisällä rikkomatta suvereniteetti-invariantteja (konnektori-hypoteesi).</w:t>
      </w:r>
    </w:p>
    <w:p>
      <w:pPr>
        <w:pStyle w:val="BodyText"/>
      </w:pPr>
      <w:r>
        <w:rPr>
          <w:bCs/>
          <w:b/>
        </w:rPr>
        <w:t xml:space="preserve">Odotetut tieteelliset tulokset.</w:t>
      </w:r>
      <w:r>
        <w:t xml:space="preserve"> </w:t>
      </w:r>
      <w:r>
        <w:t xml:space="preserve">(1) Avoimesti lisensoitu KYA-hallintastandardi konformanssitestisarjalla, joka on kytketty EU:n tekoälysäädöksen artikloihin 12 / 14 / 72; (2) EU:n paikallisen tekoälykäyttöjärjestelmän viitearkkitehtuuri ja kahdeksanulotteinen suvereniteettimittari, jotka validoidaan ajantasaista kaupallista vaihtoehtoa vastaan; (3) empiirinen tapauspohja yli 20 toimialalta; (4) teoreettinen silta moniagenttisen päättely–käyttäytymis-aukon (Shapira 2026; Emergence AI 2026; EARTHwise EAB 2026) ja laitteistotason todentamiseen perustuvan falsifioitavuus-lokuksen välille.</w:t>
      </w:r>
    </w:p>
    <w:p>
      <w:pPr>
        <w:pStyle w:val="BodyText"/>
      </w:pPr>
      <w:r>
        <w:rPr>
          <w:bCs/>
          <w:b/>
        </w:rPr>
        <w:t xml:space="preserve">Aikataulu (3–7 vuoden aikahorisontti).</w:t>
      </w:r>
    </w:p>
    <w:p>
      <w:pPr>
        <w:numPr>
          <w:ilvl w:val="0"/>
          <w:numId w:val="1004"/>
        </w:numPr>
        <w:pStyle w:val="Compact"/>
      </w:pPr>
      <w:r>
        <w:t xml:space="preserve">2026 — Artikkeli 1: KYA-avoimen lähdekoodin hallintastandardi.</w:t>
      </w:r>
    </w:p>
    <w:p>
      <w:pPr>
        <w:numPr>
          <w:ilvl w:val="0"/>
          <w:numId w:val="1004"/>
        </w:numPr>
        <w:pStyle w:val="Compact"/>
      </w:pPr>
      <w:r>
        <w:t xml:space="preserve">2027 — Artikkeli 2:</w:t>
      </w:r>
      <w:r>
        <w:t xml:space="preserve"> </w:t>
      </w:r>
      <w:r>
        <w:rPr>
          <w:iCs/>
          <w:i/>
        </w:rPr>
        <w:t xml:space="preserve">Suvereeni rakenteen tasolla</w:t>
      </w:r>
      <w:r>
        <w:t xml:space="preserve"> </w:t>
      </w:r>
      <w:r>
        <w:t xml:space="preserve">— DWS OS -arkkitehtuuri ja Dell + Palantir -vertailu.</w:t>
      </w:r>
    </w:p>
    <w:p>
      <w:pPr>
        <w:numPr>
          <w:ilvl w:val="0"/>
          <w:numId w:val="1004"/>
        </w:numPr>
        <w:pStyle w:val="Compact"/>
      </w:pPr>
      <w:r>
        <w:t xml:space="preserve">2028 — Artikkelit 3–4: 20 toimialan empiiriset havainnot.</w:t>
      </w:r>
    </w:p>
    <w:p>
      <w:pPr>
        <w:numPr>
          <w:ilvl w:val="0"/>
          <w:numId w:val="1004"/>
        </w:numPr>
        <w:pStyle w:val="Compact"/>
      </w:pPr>
      <w:r>
        <w:t xml:space="preserve">2028–2029 — Väitöskirjan synteesi ja puolustus.</w:t>
      </w:r>
    </w:p>
    <w:p>
      <w:r>
        <w:pict>
          <v:rect style="width:0;height:1.5pt" o:hralign="center" o:hrstd="t" o:hr="t"/>
        </w:pict>
      </w:r>
    </w:p>
    <w:bookmarkStart w:id="21" w:name="X907eb2be517b45e7ea18eb673ce85386611e3e9"/>
    <w:p>
      <w:pPr>
        <w:pStyle w:val="Heading2"/>
      </w:pPr>
      <w:r>
        <w:t xml:space="preserve">Ehdotettu tarkennus (25.07.2026) — EI hyväksytty; edellyttää ohjaajan kanssa käytävää keskustelua</w:t>
      </w:r>
    </w:p>
    <w:p>
      <w:pPr>
        <w:pStyle w:val="FirstParagraph"/>
      </w:pPr>
      <w:r>
        <w:t xml:space="preserve">Kirjattu istunnosta</w:t>
      </w:r>
      <w:r>
        <w:t xml:space="preserve"> </w:t>
      </w:r>
      <w:r>
        <w:rPr>
          <w:rStyle w:val="VerbatimChar"/>
        </w:rPr>
        <w:t xml:space="preserve">claude/greg-isenberg-field-notes-a2r544</w:t>
      </w:r>
      <w:r>
        <w:t xml:space="preserve">.</w:t>
      </w:r>
      <w:r>
        <w:t xml:space="preserve"> </w:t>
      </w:r>
      <w:r>
        <w:rPr>
          <w:bCs/>
          <w:b/>
        </w:rPr>
        <w:t xml:space="preserve">Nämä ovat ehdotuksia, eivät muutoksia.</w:t>
      </w:r>
      <w:r>
        <w:t xml:space="preserve"> </w:t>
      </w:r>
      <w:r>
        <w:t xml:space="preserve">Tutkimuskysymys on ohjaajan päätösvallassa; mitään alla olevaa ei ole sovellettu yllä oleviin TK1–TK3:een.</w:t>
      </w:r>
    </w:p>
    <w:p>
      <w:pPr>
        <w:pStyle w:val="BodyText"/>
      </w:pPr>
      <w:r>
        <w:rPr>
          <w:bCs/>
          <w:b/>
        </w:rPr>
        <w:t xml:space="preserve">1. Kaksi erillistä falsifioitavuutta, jotka nyt sekoittuvat.</w:t>
      </w:r>
      <w:r>
        <w:t xml:space="preserve"> </w:t>
      </w:r>
      <w:r>
        <w:t xml:space="preserve">TK1 kysyy</w:t>
      </w:r>
      <w:r>
        <w:t xml:space="preserve"> </w:t>
      </w:r>
      <w:r>
        <w:rPr>
          <w:iCs/>
          <w:i/>
        </w:rPr>
        <w:t xml:space="preserve">agenttitoimien oikeudellisesta falsifioitavuudesta</w:t>
      </w:r>
      <w:r>
        <w:t xml:space="preserve">. Esiin nousi toinen, erillinen kysymys: onko</w:t>
      </w:r>
      <w:r>
        <w:t xml:space="preserve"> </w:t>
      </w:r>
      <w:r>
        <w:rPr>
          <w:bCs/>
          <w:b/>
        </w:rPr>
        <w:t xml:space="preserve">standardiväite itsessään</w:t>
      </w:r>
      <w:r>
        <w:t xml:space="preserve"> </w:t>
      </w:r>
      <w:r>
        <w:t xml:space="preserve">falsifioitavissa. Nämä ovat eri kohteita — artefaktin harjoittama agenttikäyttäytymisen hallinta vastaan artefaktin oma väite standardiasemasta. Suositellaan, että työ nimeää molemmat erikseen, sillä vain ensimmäinen on nykyisessä laajuudessa.</w:t>
      </w:r>
    </w:p>
    <w:p>
      <w:pPr>
        <w:pStyle w:val="BodyText"/>
      </w:pPr>
      <w:r>
        <w:rPr>
          <w:bCs/>
          <w:b/>
        </w:rPr>
        <w:t xml:space="preserve">2. Odotettu tulos (1) ei nykymuodossaan ole falsifioitavissa — ja se voidaan tehdä sellaiseksi.</w:t>
      </w:r>
      <w:r>
        <w:t xml:space="preserve"> </w:t>
      </w:r>
      <w:r>
        <w:t xml:space="preserve">“</w:t>
      </w:r>
      <w:r>
        <w:t xml:space="preserve">Avoimesti lisensoitu KYA-hallintastandardi konformanssitestisarjalla</w:t>
      </w:r>
      <w:r>
        <w:t xml:space="preserve">”</w:t>
      </w:r>
      <w:r>
        <w:t xml:space="preserve"> </w:t>
      </w:r>
      <w:r>
        <w:t xml:space="preserve">esittää lopputuloksen ilman kriteeriä, joka ratkaisisi saavutettiinko se. Ehdotettu uudelleenmuotoilu vaiheittaisena polkuna neljällä mitattavalla portilla: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62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Sisäänpääsykriteeri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Spesifikaatio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Avoimesti lisensoitu, riippumattoman osapuolen toteutettavissa —</w:t>
            </w:r>
            <w:r>
              <w:t xml:space="preserve"> </w:t>
            </w:r>
            <w:r>
              <w:rPr>
                <w:bCs/>
                <w:b/>
              </w:rPr>
              <w:t xml:space="preserve">saavutettu 24.07.2026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Ehdokas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 riippumatonta toteutusta</w:t>
            </w:r>
            <w:r>
              <w:t xml:space="preserve"> </w:t>
            </w:r>
            <w:r>
              <w:rPr>
                <w:bCs/>
                <w:b/>
              </w:rPr>
              <w:t xml:space="preserve">ja</w:t>
            </w:r>
            <w:r>
              <w:t xml:space="preserve"> </w:t>
            </w:r>
            <w:r>
              <w:t xml:space="preserve">konformanssitestistö, jonka toteutus voi reputtaa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Jätetty käsittelyyn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Tunnustettu elin ottaa dokumentin prosessiinsa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Ratifioitu tai aito monen osapuolen käyttöönotto —</w:t>
            </w:r>
            <w:r>
              <w:t xml:space="preserve"> </w:t>
            </w:r>
            <w:r>
              <w:rPr>
                <w:bCs/>
                <w:b/>
              </w:rPr>
              <w:t xml:space="preserve">sekä muutoksenhallinta, joka jää eloon Lifetime Oy:n jälkeen</w:t>
            </w:r>
          </w:p>
        </w:tc>
      </w:tr>
    </w:tbl>
    <w:p>
      <w:pPr>
        <w:pStyle w:val="BodyText"/>
      </w:pPr>
      <w:r>
        <w:t xml:space="preserve">Tämä muuntaa falsifioimattoman tavoitteen tarkistettavaksi väitteeksi, mikä on juuri se, mitä konstruktiivisen tutkimuksen (DSR) artefaktikontribuution tulisi olla. Viimeinen portti on ratkaiseva ja vähiten käsitelty: niin kauan kuin muuttaminen edellyttää laatijan suostumusta, artefakti pysyy laatijan strategian välineenä riippumatta siitä, kuinka avoimesti se on lisensoitu.</w:t>
      </w:r>
    </w:p>
    <w:p>
      <w:pPr>
        <w:pStyle w:val="BodyText"/>
      </w:pPr>
      <w:r>
        <w:rPr>
          <w:bCs/>
          <w:b/>
        </w:rPr>
        <w:t xml:space="preserve">3. Rajoite, joka rajaa EU-reitin.</w:t>
      </w:r>
      <w:r>
        <w:t xml:space="preserve"> </w:t>
      </w:r>
      <w:r>
        <w:t xml:space="preserve">EU:n tekoälyasetuksen</w:t>
      </w:r>
      <w:r>
        <w:t xml:space="preserve"> </w:t>
      </w:r>
      <w:r>
        <w:rPr>
          <w:bCs/>
          <w:b/>
        </w:rPr>
        <w:t xml:space="preserve">40 artiklan</w:t>
      </w:r>
      <w:r>
        <w:t xml:space="preserve"> </w:t>
      </w:r>
      <w:r>
        <w:t xml:space="preserve">mukaiset yhdenmukaistetut standardit tuotetaan CEN/CENELECissä</w:t>
      </w:r>
      <w:r>
        <w:t xml:space="preserve"> </w:t>
      </w:r>
      <w:r>
        <w:rPr>
          <w:bCs/>
          <w:b/>
        </w:rPr>
        <w:t xml:space="preserve">komission standardointipyynnön perusteella</w:t>
      </w:r>
      <w:r>
        <w:t xml:space="preserve">; yhdenmukaistettua asemaa</w:t>
      </w:r>
      <w:r>
        <w:t xml:space="preserve"> </w:t>
      </w:r>
      <w:r>
        <w:rPr>
          <w:bCs/>
          <w:b/>
        </w:rPr>
        <w:t xml:space="preserve">ei voi käynnistää omasta aloitteesta</w:t>
      </w:r>
      <w:r>
        <w:t xml:space="preserve">. Odotetun tuloksen (1) kytkentää artikloihin 12/14/72 ei siksi tule lukea niin, että se merkitsisi yhdenmukaistetun standardin polkua, jota tutkimus voisi yksipuolisesti kulkea. Tutkimus voi</w:t>
      </w:r>
      <w:r>
        <w:t xml:space="preserve"> </w:t>
      </w:r>
      <w:r>
        <w:rPr>
          <w:iCs/>
          <w:i/>
        </w:rPr>
        <w:t xml:space="preserve">syöttää</w:t>
      </w:r>
      <w:r>
        <w:t xml:space="preserve"> </w:t>
      </w:r>
      <w:r>
        <w:t xml:space="preserve">JTC 21:n työhön; se ei voi aikatauluttaa ratifiointia.</w:t>
      </w:r>
    </w:p>
    <w:p>
      <w:pPr>
        <w:pStyle w:val="BodyText"/>
      </w:pPr>
      <w:r>
        <w:rPr>
          <w:bCs/>
          <w:b/>
        </w:rPr>
        <w:t xml:space="preserve">4. Laajuuskysymys ohjaajalle.</w:t>
      </w:r>
      <w:r>
        <w:t xml:space="preserve"> </w:t>
      </w:r>
      <w:r>
        <w:t xml:space="preserve">TK1 on rajattu</w:t>
      </w:r>
      <w:r>
        <w:t xml:space="preserve"> </w:t>
      </w:r>
      <w:r>
        <w:t xml:space="preserve">“</w:t>
      </w:r>
      <w:r>
        <w:t xml:space="preserve">EU:n sääntelypopulaation laajuudessa</w:t>
      </w:r>
      <w:r>
        <w:t xml:space="preserve">”</w:t>
      </w:r>
      <w:r>
        <w:t xml:space="preserve">. Myöhempi työ tuotti kolmen lainkäyttöalueen (EU / US / SG) konformanssiprofiiliarkkitehtuurin ja tunnisti</w:t>
      </w:r>
      <w:r>
        <w:t xml:space="preserve"> </w:t>
      </w:r>
      <w:r>
        <w:rPr>
          <w:bCs/>
          <w:b/>
        </w:rPr>
        <w:t xml:space="preserve">ISO/IEC JTC 1/SC 42:n</w:t>
      </w:r>
      <w:r>
        <w:t xml:space="preserve"> </w:t>
      </w:r>
      <w:r>
        <w:t xml:space="preserve">— saavutettavissa Enterprise Singaporen kautta — ainoaksi foorumiksi, joka tunnustetaan kaikilla kolmella. Tämä nostaa aidon kysymyksen: pysyykö TK1 EU-rajattuna, vai kuuluuko laajuuteen rinnakkainen kysymys lainkäyttöalueiden välisestä yleistettävyydestä?</w:t>
      </w:r>
      <w:r>
        <w:t xml:space="preserve"> </w:t>
      </w:r>
      <w:r>
        <w:rPr>
          <w:bCs/>
          <w:b/>
        </w:rPr>
        <w:t xml:space="preserve">Kirjattu kysymyksenä. Ei vastattu tässä.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2026-07-25T04:24:02Z</dcterms:created>
  <dcterms:modified xsi:type="dcterms:W3CDTF">2026-07-25T04:24:02Z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