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a4459b4100454884b7a069dd47b05e7be7b83b"/>
    <w:p>
      <w:pPr>
        <w:pStyle w:val="Heading1"/>
      </w:pPr>
      <w:r>
        <w:t xml:space="preserve">Field Note — Nadella on the Harness: Model Swappability Becomes Incumbent Architecture</w:t>
      </w:r>
    </w:p>
    <w:p>
      <w:pPr>
        <w:pStyle w:val="FirstParagraph"/>
      </w:pPr>
      <w:r>
        <w:rPr>
          <w:bCs/>
          <w:b/>
        </w:rPr>
        <w:t xml:space="preserve">Document Type:</w:t>
      </w:r>
      <w:r>
        <w:t xml:space="preserve"> </w:t>
      </w:r>
      <w:r>
        <w:t xml:space="preserve">Field Note — Competitive / Market Signal</w:t>
      </w:r>
      <w:r>
        <w:t xml:space="preserve"> </w:t>
      </w:r>
      <w:r>
        <w:rPr>
          <w:bCs/>
          <w:b/>
        </w:rPr>
        <w:t xml:space="preserve">Scope:</w:t>
      </w:r>
      <w:r>
        <w:t xml:space="preserve"> </w:t>
      </w:r>
      <w:r>
        <w:t xml:space="preserve">Microsoft’s public adoption of the harness-separate-from-model architecture on an earnings call, what it validates in the DWS thesis, what it compresses in DWS positioning, and the pricing-unit question it opens. Capture only — no thesis edit, no public surface, no product build in this session.</w:t>
      </w:r>
      <w:r>
        <w:t xml:space="preserve"> </w:t>
      </w:r>
      <w:r>
        <w:rPr>
          <w:bCs/>
          <w:b/>
        </w:rPr>
        <w:t xml:space="preserve">Ontology Tags:</w:t>
      </w:r>
      <w:r>
        <w:t xml:space="preserve"> </w:t>
      </w:r>
      <w:r>
        <w:t xml:space="preserve">Geography &gt; Global, US, EU-27 | Sector &gt; Enterprise Software &gt; AI Platforms, Agent Infrastructure | Entities &gt; Microsoft, Satya Nadella, NVIDIA, Jensen Huang, LangChain, Harrison Chase, OpenAI, Anthropic, BEP Research, Lifetime Oy, DWS IQ | Temporal Context &gt; 2026-Q3, post-frontier-lab-commoditisation | Confidence &gt; HIGH on the primary quotes (verified 2026-07-30, §6); LOW on third-party commentary claims (§6)</w:t>
      </w:r>
    </w:p>
    <w:bookmarkStart w:id="20" w:name="trigger"/>
    <w:p>
      <w:pPr>
        <w:pStyle w:val="Heading2"/>
      </w:pPr>
      <w:r>
        <w:t xml:space="preserve">1. Trigger</w:t>
      </w:r>
    </w:p>
    <w:p>
      <w:pPr>
        <w:pStyle w:val="FirstParagraph"/>
      </w:pPr>
      <w:r>
        <w:rPr>
          <w:bCs/>
          <w:b/>
        </w:rPr>
        <w:t xml:space="preserve">Microsoft FY26 Q4 earnings call, Wednesday 29.07.2026.</w:t>
      </w:r>
      <w:r>
        <w:t xml:space="preserve"> </w:t>
      </w:r>
      <w:r>
        <w:t xml:space="preserve">UBS analyst Karl Keirstead asked how Microsoft benefits from enterprises adopting open models given its frontier-lab exposure. Nadella did not defend the lab relationship. He described an architecture:</w:t>
      </w:r>
    </w:p>
    <w:p>
      <w:pPr>
        <w:pStyle w:val="BlockText"/>
      </w:pPr>
      <w:r>
        <w:t xml:space="preserve">“</w:t>
      </w:r>
      <w:r>
        <w:t xml:space="preserve">You’ve got to keep your harness separate from the model. The harness will ensure that your memory, your context, all of that is external. That means any given model at any given time is swappable.</w:t>
      </w:r>
      <w:r>
        <w:t xml:space="preserve">”</w:t>
      </w:r>
    </w:p>
    <w:p>
      <w:pPr>
        <w:pStyle w:val="FirstParagraph"/>
      </w:pPr>
      <w:r>
        <w:t xml:space="preserve">And, on the same call:</w:t>
      </w:r>
    </w:p>
    <w:p>
      <w:pPr>
        <w:pStyle w:val="BlockText"/>
      </w:pPr>
      <w:r>
        <w:t xml:space="preserve">“</w:t>
      </w:r>
      <w:r>
        <w:t xml:space="preserve">The goal is to have the firm be in control of their own destiny.</w:t>
      </w:r>
      <w:r>
        <w:t xml:space="preserve">”</w:t>
      </w:r>
    </w:p>
    <w:p>
      <w:pPr>
        <w:pStyle w:val="FirstParagraph"/>
      </w:pPr>
      <w:r>
        <w:t xml:space="preserve">The reported continuation — use frontier models where they earn it, low-cost models where they don’t,</w:t>
      </w:r>
      <w:r>
        <w:t xml:space="preserve"> </w:t>
      </w:r>
      <w:r>
        <w:t xml:space="preserve">“</w:t>
      </w:r>
      <w:r>
        <w:t xml:space="preserve">and in fact, train your own model when you don’t want to use any external model itself because after all, you have all the outputs, you have all the traces, you have all the context</w:t>
      </w:r>
      <w:r>
        <w:t xml:space="preserve">”</w:t>
      </w:r>
      <w:r>
        <w:t xml:space="preserve"> </w:t>
      </w:r>
      <w:r>
        <w:t xml:space="preserve">— is consistent with the coverage but is</w:t>
      </w:r>
      <w:r>
        <w:t xml:space="preserve"> </w:t>
      </w:r>
      <w:r>
        <w:rPr>
          <w:bCs/>
          <w:b/>
        </w:rPr>
        <w:t xml:space="preserve">not</w:t>
      </w:r>
      <w:r>
        <w:t xml:space="preserve"> </w:t>
      </w:r>
      <w:r>
        <w:t xml:space="preserve">verified verbatim against a primary transcript (§6).</w:t>
      </w:r>
    </w:p>
    <w:p>
      <w:pPr>
        <w:pStyle w:val="BodyText"/>
      </w:pPr>
      <w:r>
        <w:t xml:space="preserve">The message underneath it, as read by the trade press: build your agent layer on Microsoft and treat the model as a swappable component — with Microsoft selling</w:t>
      </w:r>
      <w:r>
        <w:t xml:space="preserve"> </w:t>
      </w:r>
      <w:r>
        <w:rPr>
          <w:bCs/>
          <w:b/>
        </w:rPr>
        <w:t xml:space="preserve">both</w:t>
      </w:r>
      <w:r>
        <w:t xml:space="preserve"> </w:t>
      </w:r>
      <w:r>
        <w:t xml:space="preserve">the harnesses (the Copilot line) and the models.</w:t>
      </w:r>
    </w:p>
    <w:bookmarkEnd w:id="20"/>
    <w:bookmarkStart w:id="21" w:name="X91825e8c39c6e9394eaa58d5c6da385a3db1e47"/>
    <w:p>
      <w:pPr>
        <w:pStyle w:val="Heading2"/>
      </w:pPr>
      <w:r>
        <w:t xml:space="preserve">2. Why this is a signal — and why it is not the obvious one</w:t>
      </w:r>
    </w:p>
    <w:p>
      <w:pPr>
        <w:pStyle w:val="FirstParagraph"/>
      </w:pPr>
      <w:r>
        <w:rPr>
          <w:bCs/>
          <w:b/>
        </w:rPr>
        <w:t xml:space="preserve">The wrong reading, named first:</w:t>
      </w:r>
      <w:r>
        <w:t xml:space="preserve"> </w:t>
      </w:r>
      <w:r>
        <w:t xml:space="preserve">“</w:t>
      </w:r>
      <w:r>
        <w:t xml:space="preserve">The largest enterprise software company on earth just validated the DWS thesis, therefore DWS wins.</w:t>
      </w:r>
      <w:r>
        <w:t xml:space="preserve">”</w:t>
      </w:r>
      <w:r>
        <w:t xml:space="preserve"> </w:t>
      </w:r>
      <w:r>
        <w:t xml:space="preserve">That reading is comfortable and false. Validation from an incumbent that also</w:t>
      </w:r>
      <w:r>
        <w:t xml:space="preserve"> </w:t>
      </w:r>
      <w:r>
        <w:rPr>
          <w:iCs/>
          <w:i/>
        </w:rPr>
        <w:t xml:space="preserve">sells the thing</w:t>
      </w:r>
      <w:r>
        <w:t xml:space="preserve"> </w:t>
      </w:r>
      <w:r>
        <w:t xml:space="preserve">is not a tailwind; it is the start of a compression. As of 29.07.2026,</w:t>
      </w:r>
      <w:r>
        <w:t xml:space="preserve"> </w:t>
      </w:r>
      <w:r>
        <w:t xml:space="preserve">“</w:t>
      </w:r>
      <w:r>
        <w:t xml:space="preserve">we keep the harness separate from the model</w:t>
      </w:r>
      <w:r>
        <w:t xml:space="preserve">”</w:t>
      </w:r>
      <w:r>
        <w:t xml:space="preserve"> </w:t>
      </w:r>
      <w:r>
        <w:t xml:space="preserve">is a Microsoft earnings-call talking point. It is table stakes, not a differentiator, and any DWS surface that leans on harness-ownership as the distinguishing claim is now competing with Copilot’s marketing budget.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Nadella’s claim</w:t>
            </w:r>
          </w:p>
        </w:tc>
        <w:tc>
          <w:tcPr/>
          <w:p>
            <w:pPr>
              <w:pStyle w:val="Compact"/>
              <w:jc w:val="left"/>
            </w:pPr>
            <w:r>
              <w:t xml:space="preserve">What Microsoft means by it</w:t>
            </w:r>
          </w:p>
        </w:tc>
        <w:tc>
          <w:tcPr/>
          <w:p>
            <w:pPr>
              <w:pStyle w:val="Compact"/>
              <w:jc w:val="left"/>
            </w:pPr>
            <w:r>
              <w:t xml:space="preserve">What DWS already holds</w:t>
            </w:r>
          </w:p>
        </w:tc>
      </w:tr>
      <w:tr>
        <w:tc>
          <w:tcPr/>
          <w:p>
            <w:pPr>
              <w:pStyle w:val="Compact"/>
              <w:jc w:val="left"/>
            </w:pPr>
            <w:r>
              <w:t xml:space="preserve">Keep the harness separate from the model</w:t>
            </w:r>
          </w:p>
        </w:tc>
        <w:tc>
          <w:tcPr/>
          <w:p>
            <w:pPr>
              <w:pStyle w:val="Compact"/>
              <w:jc w:val="left"/>
            </w:pPr>
            <w:r>
              <w:t xml:space="preserve">Copilot is the durable surface; the model tier is a procurement decision Microsoft also monetises</w:t>
            </w:r>
          </w:p>
        </w:tc>
        <w:tc>
          <w:tcPr/>
          <w:p>
            <w:pPr>
              <w:pStyle w:val="Compact"/>
              <w:jc w:val="left"/>
            </w:pPr>
            <w:r>
              <w:t xml:space="preserve">“</w:t>
            </w:r>
            <w:r>
              <w:t xml:space="preserve">DWS does not pretrain base models… it builds the one layer it can own: the evidence loop</w:t>
            </w:r>
            <w:r>
              <w:t xml:space="preserve">”</w:t>
            </w:r>
            <w:r>
              <w:t xml:space="preserve"> </w:t>
            </w:r>
            <w:r>
              <w:t xml:space="preserve">—</w:t>
            </w:r>
            <w:r>
              <w:t xml:space="preserve"> </w:t>
            </w:r>
            <w:r>
              <w:rPr>
                <w:rStyle w:val="VerbatimChar"/>
              </w:rPr>
              <w:t xml:space="preserve">kb/wiki/concepts/adopt-the-base-own-the-loop.md</w:t>
            </w:r>
            <w:r>
              <w:t xml:space="preserve"> </w:t>
            </w:r>
            <w:r>
              <w:t xml:space="preserve">(v1.0, 26.07.2026)</w:t>
            </w:r>
          </w:p>
        </w:tc>
      </w:tr>
      <w:tr>
        <w:tc>
          <w:tcPr/>
          <w:p>
            <w:pPr>
              <w:pStyle w:val="Compact"/>
              <w:jc w:val="left"/>
            </w:pPr>
            <w:r>
              <w:t xml:space="preserve">Memory, context and traces stay external to the model</w:t>
            </w:r>
          </w:p>
        </w:tc>
        <w:tc>
          <w:tcPr/>
          <w:p>
            <w:pPr>
              <w:pStyle w:val="Compact"/>
              <w:jc w:val="left"/>
            </w:pPr>
            <w:r>
              <w:t xml:space="preserve">Platform lock-in moves up a layer: the harness holds the state, and the harness is Azure’s</w:t>
            </w:r>
          </w:p>
        </w:tc>
        <w:tc>
          <w:tcPr/>
          <w:p>
            <w:pPr>
              <w:pStyle w:val="Compact"/>
              <w:jc w:val="left"/>
            </w:pPr>
            <w:r>
              <w:t xml:space="preserve">The DWS loop is built on the</w:t>
            </w:r>
            <w:r>
              <w:t xml:space="preserve"> </w:t>
            </w:r>
            <w:r>
              <w:rPr>
                <w:bCs/>
                <w:b/>
              </w:rPr>
              <w:t xml:space="preserve">customer’s own</w:t>
            </w:r>
            <w:r>
              <w:t xml:space="preserve"> </w:t>
            </w:r>
            <w:r>
              <w:t xml:space="preserve">sovereign operational corpus, on-prem/EU-resident —</w:t>
            </w:r>
            <w:r>
              <w:t xml:space="preserve"> </w:t>
            </w:r>
            <w:r>
              <w:rPr>
                <w:rStyle w:val="VerbatimChar"/>
              </w:rPr>
              <w:t xml:space="preserve">2026-07-26-cosmos-3-edge-lwm-build-adopt-inflection.md</w:t>
            </w:r>
            <w:r>
              <w:t xml:space="preserve"> </w:t>
            </w:r>
            <w:r>
              <w:t xml:space="preserve">§2</w:t>
            </w:r>
          </w:p>
        </w:tc>
      </w:tr>
      <w:tr>
        <w:tc>
          <w:tcPr/>
          <w:p>
            <w:pPr>
              <w:pStyle w:val="Compact"/>
              <w:jc w:val="left"/>
            </w:pPr>
            <w:r>
              <w:t xml:space="preserve">Train your own when you want no external model — you have the outputs, traces, context</w:t>
            </w:r>
          </w:p>
        </w:tc>
        <w:tc>
          <w:tcPr/>
          <w:p>
            <w:pPr>
              <w:pStyle w:val="Compact"/>
              <w:jc w:val="left"/>
            </w:pPr>
            <w:r>
              <w:t xml:space="preserve">Traces as an asset class; the firm’s own data as the eventual training substrate</w:t>
            </w:r>
          </w:p>
        </w:tc>
        <w:tc>
          <w:tcPr/>
          <w:p>
            <w:pPr>
              <w:pStyle w:val="Compact"/>
              <w:jc w:val="left"/>
            </w:pPr>
            <w:r>
              <w:t xml:space="preserve">Token capital, and the loop-closure test that asks whether real-world traces actually feed it —</w:t>
            </w:r>
            <w:r>
              <w:t xml:space="preserve"> </w:t>
            </w:r>
            <w:r>
              <w:rPr>
                <w:rStyle w:val="VerbatimChar"/>
              </w:rPr>
              <w:t xml:space="preserve">/token-capital</w:t>
            </w:r>
            <w:r>
              <w:t xml:space="preserve">,</w:t>
            </w:r>
            <w:r>
              <w:t xml:space="preserve"> </w:t>
            </w:r>
            <w:r>
              <w:rPr>
                <w:rStyle w:val="VerbatimChar"/>
              </w:rPr>
              <w:t xml:space="preserve">/edge-control-room-capital</w:t>
            </w:r>
            <w:r>
              <w:t xml:space="preserve">,</w:t>
            </w:r>
            <w:r>
              <w:t xml:space="preserve"> </w:t>
            </w:r>
            <w:r>
              <w:rPr>
                <w:rStyle w:val="VerbatimChar"/>
              </w:rPr>
              <w:t xml:space="preserve">2026-06-19-token-capital-human-capital-control-room-capital.md</w:t>
            </w:r>
          </w:p>
        </w:tc>
      </w:tr>
    </w:tbl>
    <w:p>
      <w:pPr>
        <w:pStyle w:val="BodyText"/>
      </w:pPr>
      <w:r>
        <w:rPr>
          <w:bCs/>
          <w:b/>
        </w:rPr>
        <w:t xml:space="preserve">Attribution discipline (standing rule, unchanged):</w:t>
      </w:r>
      <w:r>
        <w:t xml:space="preserve"> </w:t>
      </w:r>
      <w:r>
        <w:rPr>
          <w:iCs/>
          <w:i/>
        </w:rPr>
        <w:t xml:space="preserve">human capital</w:t>
      </w:r>
      <w:r>
        <w:t xml:space="preserve"> </w:t>
      </w:r>
      <w:r>
        <w:t xml:space="preserve">and</w:t>
      </w:r>
      <w:r>
        <w:t xml:space="preserve"> </w:t>
      </w:r>
      <w:r>
        <w:rPr>
          <w:iCs/>
          <w:i/>
        </w:rPr>
        <w:t xml:space="preserve">token capital</w:t>
      </w:r>
      <w:r>
        <w:t xml:space="preserve"> </w:t>
      </w:r>
      <w:r>
        <w:t xml:space="preserve">are Nadella’s terms;</w:t>
      </w:r>
      <w:r>
        <w:t xml:space="preserve"> </w:t>
      </w:r>
      <w:r>
        <w:rPr>
          <w:iCs/>
          <w:i/>
        </w:rPr>
        <w:t xml:space="preserve">edge control-room capital</w:t>
      </w:r>
      <w:r>
        <w:t xml:space="preserve"> </w:t>
      </w:r>
      <w:r>
        <w:t xml:space="preserve">is the DWS extension. Keep the attribution intact whenever these are asserted externally —</w:t>
      </w:r>
      <w:r>
        <w:t xml:space="preserve"> </w:t>
      </w:r>
      <w:r>
        <w:rPr>
          <w:rStyle w:val="VerbatimChar"/>
        </w:rPr>
        <w:t xml:space="preserve">2026-06-15-human-token-capital.md</w:t>
      </w:r>
      <w:r>
        <w:t xml:space="preserve">.</w:t>
      </w:r>
    </w:p>
    <w:bookmarkEnd w:id="21"/>
    <w:bookmarkStart w:id="22" w:name="X8088c7b6b20816143b7cd0e70c5cf624211abb1"/>
    <w:p>
      <w:pPr>
        <w:pStyle w:val="Heading2"/>
      </w:pPr>
      <w:r>
        <w:t xml:space="preserve">3. The insight — what is not ours, and what still is</w:t>
      </w:r>
    </w:p>
    <w:p>
      <w:pPr>
        <w:pStyle w:val="FirstParagraph"/>
      </w:pPr>
      <w:r>
        <w:rPr>
          <w:bCs/>
          <w:b/>
        </w:rPr>
        <w:t xml:space="preserve">Not ours:</w:t>
      </w:r>
      <w:r>
        <w:t xml:space="preserve"> </w:t>
      </w:r>
      <w:r>
        <w:t xml:space="preserve">the general-purpose harness. Microsoft has one, ships it to hundreds of millions of seats, and has now made swappability an explicit product promise. DWS does not compete for the horizontal agent surface and should stop implying it does.</w:t>
      </w:r>
    </w:p>
    <w:p>
      <w:pPr>
        <w:pStyle w:val="BodyText"/>
      </w:pPr>
      <w:r>
        <w:rPr>
          <w:bCs/>
          <w:b/>
        </w:rPr>
        <w:t xml:space="preserve">Still ours, and narrower than the harness claim:</w:t>
      </w:r>
      <w:r>
        <w:t xml:space="preserve"> </w:t>
      </w:r>
      <w:r>
        <w:t xml:space="preserve">the</w:t>
      </w:r>
      <w:r>
        <w:t xml:space="preserve"> </w:t>
      </w:r>
      <w:r>
        <w:rPr>
          <w:bCs/>
          <w:b/>
        </w:rPr>
        <w:t xml:space="preserve">compliance evidence loop</w:t>
      </w:r>
      <w:r>
        <w:t xml:space="preserve"> </w:t>
      </w:r>
      <w:r>
        <w:t xml:space="preserve">on a customer’s sovereign operational traces — KYA governance, the EU AI Act Article 12 evidence chain, private evals and an RL environment fitted to one industrial fleet’s reality. Microsoft can make the model swappable. It cannot stand behind a court-defensible reasoning record for a Finnish industrial operator’s physical fleet, because that loop is built out of operations Microsoft does not run and data that must not leave the jurisdiction.</w:t>
      </w:r>
    </w:p>
    <w:p>
      <w:pPr>
        <w:pStyle w:val="BodyText"/>
      </w:pPr>
      <w:r>
        <w:t xml:space="preserve">The sharpened formulation, one line:</w:t>
      </w:r>
    </w:p>
    <w:p>
      <w:pPr>
        <w:pStyle w:val="BlockText"/>
      </w:pPr>
      <w:r>
        <w:t xml:space="preserve">The harness is now table stakes. The defensible asset is the evidence loop the harness runs on — and evidence is jurisdictional.</w:t>
      </w:r>
    </w:p>
    <w:p>
      <w:pPr>
        <w:pStyle w:val="FirstParagraph"/>
      </w:pPr>
      <w:r>
        <w:rPr>
          <w:bCs/>
          <w:b/>
        </w:rPr>
        <w:t xml:space="preserve">The moat question moved.</w:t>
      </w:r>
      <w:r>
        <w:t xml:space="preserve"> </w:t>
      </w:r>
      <w:r>
        <w:t xml:space="preserve">It is no longer</w:t>
      </w:r>
      <w:r>
        <w:t xml:space="preserve"> </w:t>
      </w:r>
      <w:r>
        <w:t xml:space="preserve">“</w:t>
      </w:r>
      <w:r>
        <w:t xml:space="preserve">who has the best weights</w:t>
      </w:r>
      <w:r>
        <w:t xml:space="preserve">”</w:t>
      </w:r>
      <w:r>
        <w:t xml:space="preserve"> </w:t>
      </w:r>
      <w:r>
        <w:t xml:space="preserve">— that was already settled in DWS docs. It is now</w:t>
      </w:r>
      <w:r>
        <w:t xml:space="preserve"> </w:t>
      </w:r>
      <w:r>
        <w:t xml:space="preserve">“</w:t>
      </w:r>
      <w:r>
        <w:t xml:space="preserve">who owns the loop around them</w:t>
      </w:r>
      <w:r>
        <w:t xml:space="preserve">”</w:t>
      </w:r>
      <w:r>
        <w:t xml:space="preserve">, and that question has an incumbent answer for horizontal work. DWS’s answer has to be vertical, sovereign, and evidentiary or it is not an answer.</w:t>
      </w:r>
    </w:p>
    <w:bookmarkEnd w:id="22"/>
    <w:bookmarkStart w:id="23" w:name="cross-vertical-intelligence-chain"/>
    <w:p>
      <w:pPr>
        <w:pStyle w:val="Heading2"/>
      </w:pPr>
      <w:r>
        <w:t xml:space="preserve">4. Cross-vertical intelligence chain</w:t>
      </w:r>
    </w:p>
    <w:p>
      <w:pPr>
        <w:pStyle w:val="SourceCode"/>
      </w:pPr>
      <w:r>
        <w:rPr>
          <w:rStyle w:val="VerbatimChar"/>
        </w:rPr>
        <w:t xml:space="preserve">TRIGGER: Nadella — "keep your harness separate from the model" (MSFT FY26 Q4 call) — 2026-07-29</w:t>
      </w:r>
      <w:r>
        <w:br/>
      </w:r>
      <w:r>
        <w:rPr>
          <w:rStyle w:val="VerbatimChar"/>
        </w:rPr>
        <w:t xml:space="preserve">    |</w:t>
      </w:r>
      <w:r>
        <w:br/>
      </w:r>
      <w:r>
        <w:rPr>
          <w:rStyle w:val="VerbatimChar"/>
        </w:rPr>
        <w:t xml:space="preserve">    +-- Precursor: Huang — "most companies will be built on harnesses"</w:t>
      </w:r>
      <w:r>
        <w:br/>
      </w:r>
      <w:r>
        <w:rPr>
          <w:rStyle w:val="VerbatimChar"/>
        </w:rPr>
        <w:t xml:space="preserve">    |   (LangChain fireside w/ Harrison Chase) — 2026-07-08</w:t>
      </w:r>
      <w:r>
        <w:br/>
      </w:r>
      <w:r>
        <w:rPr>
          <w:rStyle w:val="VerbatimChar"/>
        </w:rPr>
        <w:t xml:space="preserve">    |   +-- Chase: harnesses must evolve as models improve (context engineering, extended)</w:t>
      </w:r>
      <w:r>
        <w:br/>
      </w:r>
      <w:r>
        <w:rPr>
          <w:rStyle w:val="VerbatimChar"/>
        </w:rPr>
        <w:t xml:space="preserve">    |</w:t>
      </w:r>
      <w:r>
        <w:br/>
      </w:r>
      <w:r>
        <w:rPr>
          <w:rStyle w:val="VerbatimChar"/>
        </w:rPr>
        <w:t xml:space="preserve">    +-- Platform layer</w:t>
      </w:r>
      <w:r>
        <w:br/>
      </w:r>
      <w:r>
        <w:rPr>
          <w:rStyle w:val="VerbatimChar"/>
        </w:rPr>
        <w:t xml:space="preserve">    |   +-- Harness becomes the durable surface; model tier becomes procurement</w:t>
      </w:r>
      <w:r>
        <w:br/>
      </w:r>
      <w:r>
        <w:rPr>
          <w:rStyle w:val="VerbatimChar"/>
        </w:rPr>
        <w:t xml:space="preserve">    |   +-- Incumbent sells BOTH sides — validation and compression in one move</w:t>
      </w:r>
      <w:r>
        <w:br/>
      </w:r>
      <w:r>
        <w:rPr>
          <w:rStyle w:val="VerbatimChar"/>
        </w:rPr>
        <w:t xml:space="preserve">    |</w:t>
      </w:r>
      <w:r>
        <w:br/>
      </w:r>
      <w:r>
        <w:rPr>
          <w:rStyle w:val="VerbatimChar"/>
        </w:rPr>
        <w:t xml:space="preserve">    +-- Regulatory cascade</w:t>
      </w:r>
      <w:r>
        <w:br/>
      </w:r>
      <w:r>
        <w:rPr>
          <w:rStyle w:val="VerbatimChar"/>
        </w:rPr>
        <w:t xml:space="preserve">    |   +-- Swappable models make the model-provenance predicate harder, not easier:</w:t>
      </w:r>
      <w:r>
        <w:br/>
      </w:r>
      <w:r>
        <w:rPr>
          <w:rStyle w:val="VerbatimChar"/>
        </w:rPr>
        <w:t xml:space="preserve">    |       if the model can change silently, the Article 12 record must name which</w:t>
      </w:r>
      <w:r>
        <w:br/>
      </w:r>
      <w:r>
        <w:rPr>
          <w:rStyle w:val="VerbatimChar"/>
        </w:rPr>
        <w:t xml:space="preserve">    |       model produced which decision (PHD §14.24 provenance predicate)</w:t>
      </w:r>
      <w:r>
        <w:br/>
      </w:r>
      <w:r>
        <w:rPr>
          <w:rStyle w:val="VerbatimChar"/>
        </w:rPr>
        <w:t xml:space="preserve">    |   +-- Strengthens, not weakens, the DWS evidence-chain wedge</w:t>
      </w:r>
      <w:r>
        <w:br/>
      </w:r>
      <w:r>
        <w:rPr>
          <w:rStyle w:val="VerbatimChar"/>
        </w:rPr>
        <w:t xml:space="preserve">    |</w:t>
      </w:r>
      <w:r>
        <w:br/>
      </w:r>
      <w:r>
        <w:rPr>
          <w:rStyle w:val="VerbatimChar"/>
        </w:rPr>
        <w:t xml:space="preserve">    +-- Pricing layer (see §5)</w:t>
      </w:r>
      <w:r>
        <w:br/>
      </w:r>
      <w:r>
        <w:rPr>
          <w:rStyle w:val="VerbatimChar"/>
        </w:rPr>
        <w:t xml:space="preserve">    |   +-- If the completed task is the unit of competition, someone prices it</w:t>
      </w:r>
      <w:r>
        <w:br/>
      </w:r>
      <w:r>
        <w:rPr>
          <w:rStyle w:val="VerbatimChar"/>
        </w:rPr>
        <w:t xml:space="preserve">    |</w:t>
      </w:r>
      <w:r>
        <w:br/>
      </w:r>
      <w:r>
        <w:rPr>
          <w:rStyle w:val="VerbatimChar"/>
        </w:rPr>
        <w:t xml:space="preserve">    +-- DWS positioning impact</w:t>
      </w:r>
      <w:r>
        <w:br/>
      </w:r>
      <w:r>
        <w:rPr>
          <w:rStyle w:val="VerbatimChar"/>
        </w:rPr>
        <w:t xml:space="preserve">        +-- "we own the harness"  -&gt; deprecated as a differentiating claim</w:t>
      </w:r>
      <w:r>
        <w:br/>
      </w:r>
      <w:r>
        <w:rPr>
          <w:rStyle w:val="VerbatimChar"/>
        </w:rPr>
        <w:t xml:space="preserve">        +-- "we own the sovereign evidence loop" -&gt; the claim that survives</w:t>
      </w:r>
    </w:p>
    <w:bookmarkEnd w:id="23"/>
    <w:bookmarkStart w:id="24" w:name="X3415d66f0180fc3a6b0bc3cf90e9b9844bb39bd"/>
    <w:p>
      <w:pPr>
        <w:pStyle w:val="Heading2"/>
      </w:pPr>
      <w:r>
        <w:t xml:space="preserve">5. Sub-signal — cost per completed task as a pricing unit</w:t>
      </w:r>
    </w:p>
    <w:p>
      <w:pPr>
        <w:pStyle w:val="FirstParagraph"/>
      </w:pPr>
      <w:r>
        <w:t xml:space="preserve">The commentary that carried this signal (BEP Research, Substack — third-party author, see §6) closes by teasing</w:t>
      </w:r>
      <w:r>
        <w:t xml:space="preserve"> </w:t>
      </w:r>
      <w:r>
        <w:rPr>
          <w:bCs/>
          <w:b/>
        </w:rPr>
        <w:t xml:space="preserve">a cost-per-task tool for enterprises</w:t>
      </w:r>
      <w:r>
        <w:t xml:space="preserve">: if the completed task is the unit everyone now competes on, someone has to price it for the buyer.</w:t>
      </w:r>
    </w:p>
    <w:p>
      <w:pPr>
        <w:pStyle w:val="BodyText"/>
      </w:pPr>
      <w:r>
        <w:t xml:space="preserve">That is directly adjacent to work DWS has already done and has not named as a product:</w:t>
      </w:r>
    </w:p>
    <w:p>
      <w:pPr>
        <w:numPr>
          <w:ilvl w:val="0"/>
          <w:numId w:val="1001"/>
        </w:numPr>
        <w:pStyle w:val="Compact"/>
      </w:pPr>
      <w:r>
        <w:rPr>
          <w:rStyle w:val="VerbatimChar"/>
        </w:rPr>
        <w:t xml:space="preserve">docs/field-notes/2026-07-26-ollama-boss-cost-architecture.md</w:t>
      </w:r>
      <w:r>
        <w:t xml:space="preserve"> </w:t>
      </w:r>
      <w:r>
        <w:t xml:space="preserve">— routing work across model tiers by cost.</w:t>
      </w:r>
    </w:p>
    <w:p>
      <w:pPr>
        <w:numPr>
          <w:ilvl w:val="0"/>
          <w:numId w:val="1001"/>
        </w:numPr>
        <w:pStyle w:val="Compact"/>
      </w:pPr>
      <w:r>
        <w:rPr>
          <w:rStyle w:val="VerbatimChar"/>
        </w:rPr>
        <w:t xml:space="preserve">/token-capital</w:t>
      </w:r>
      <w:r>
        <w:t xml:space="preserve">,</w:t>
      </w:r>
      <w:r>
        <w:t xml:space="preserve"> </w:t>
      </w:r>
      <w:r>
        <w:rPr>
          <w:rStyle w:val="VerbatimChar"/>
        </w:rPr>
        <w:t xml:space="preserve">/human-capital</w:t>
      </w:r>
      <w:r>
        <w:t xml:space="preserve">,</w:t>
      </w:r>
      <w:r>
        <w:t xml:space="preserve"> </w:t>
      </w:r>
      <w:r>
        <w:rPr>
          <w:rStyle w:val="VerbatimChar"/>
        </w:rPr>
        <w:t xml:space="preserve">/edge-control-room-capital</w:t>
      </w:r>
      <w:r>
        <w:t xml:space="preserve"> </w:t>
      </w:r>
      <w:r>
        <w:t xml:space="preserve">— the three-capital scoring skills.</w:t>
      </w:r>
    </w:p>
    <w:p>
      <w:pPr>
        <w:numPr>
          <w:ilvl w:val="0"/>
          <w:numId w:val="1001"/>
        </w:numPr>
        <w:pStyle w:val="Compact"/>
      </w:pPr>
      <w:r>
        <w:t xml:space="preserve">Agent execution logging and per-agent cost budgets in</w:t>
      </w:r>
      <w:r>
        <w:t xml:space="preserve"> </w:t>
      </w:r>
      <w:r>
        <w:rPr>
          <w:rStyle w:val="VerbatimChar"/>
        </w:rPr>
        <w:t xml:space="preserve">AI_AGENT_GUIDELINES.md</w:t>
      </w:r>
      <w:r>
        <w:t xml:space="preserve">.</w:t>
      </w:r>
    </w:p>
    <w:p>
      <w:pPr>
        <w:pStyle w:val="FirstParagraph"/>
      </w:pPr>
      <w:r>
        <w:rPr>
          <w:bCs/>
          <w:b/>
        </w:rPr>
        <w:t xml:space="preserve">Not built this session.</w:t>
      </w:r>
      <w:r>
        <w:t xml:space="preserve"> </w:t>
      </w:r>
      <w:r>
        <w:t xml:space="preserve">Logged as an open HIC decision (§8). The honest read: a third party is moving on a pricing-unit question DWS has the telemetry to answer but has never packaged. That is a gap worth a decision, not a reflex.</w:t>
      </w:r>
    </w:p>
    <w:p>
      <w:pPr>
        <w:pStyle w:val="BlockText"/>
      </w:pPr>
      <w:r>
        <w:rPr>
          <w:bCs/>
          <w:b/>
        </w:rPr>
        <w:t xml:space="preserve">Update (v1.1, same day):</w:t>
      </w:r>
      <w:r>
        <w:t xml:space="preserve"> </w:t>
      </w:r>
      <w:r>
        <w:t xml:space="preserve">the empirical half of this sub-signal arrived within hours — see</w:t>
      </w:r>
      <w:r>
        <w:t xml:space="preserve"> </w:t>
      </w:r>
      <w:r>
        <w:rPr>
          <w:rStyle w:val="VerbatimChar"/>
        </w:rPr>
        <w:t xml:space="preserve">docs/field-notes/2026-07-30-composio-harness-token-efficiency-benchmark.md</w:t>
      </w:r>
      <w:r>
        <w:t xml:space="preserve">. A vendor-run benchmark measured up to a</w:t>
      </w:r>
      <w:r>
        <w:t xml:space="preserve"> </w:t>
      </w:r>
      <w:r>
        <w:rPr>
          <w:bCs/>
          <w:b/>
        </w:rPr>
        <w:t xml:space="preserve">30× token spread across agent harnesses running the same model on the same tasks</w:t>
      </w:r>
      <w:r>
        <w:t xml:space="preserve">, which makes the pricing unit real and harness choice a P&amp;L line item. It also corrects the sentence above: DWS has the</w:t>
      </w:r>
      <w:r>
        <w:t xml:space="preserve"> </w:t>
      </w:r>
      <w:r>
        <w:rPr>
          <w:bCs/>
          <w:b/>
        </w:rPr>
        <w:t xml:space="preserve">schema</w:t>
      </w:r>
      <w:r>
        <w:t xml:space="preserve"> </w:t>
      </w:r>
      <w:r>
        <w:t xml:space="preserve">for per-task cost (</w:t>
      </w:r>
      <w:r>
        <w:rPr>
          <w:rStyle w:val="VerbatimChar"/>
        </w:rPr>
        <w:t xml:space="preserve">token_usage_events.task_id</w:t>
      </w:r>
      <w:r>
        <w:t xml:space="preserve">),</w:t>
      </w:r>
      <w:r>
        <w:t xml:space="preserve"> </w:t>
      </w:r>
      <w:r>
        <w:rPr>
          <w:bCs/>
          <w:b/>
        </w:rPr>
        <w:t xml:space="preserve">not the telemetry</w:t>
      </w:r>
      <w:r>
        <w:t xml:space="preserve"> </w:t>
      </w:r>
      <w:r>
        <w:t xml:space="preserve">— no Claude-side token log survives a container. Audit in that note §5.</w:t>
      </w:r>
    </w:p>
    <w:bookmarkEnd w:id="24"/>
    <w:bookmarkStart w:id="25" w:name="verification-note-fail-loud"/>
    <w:p>
      <w:pPr>
        <w:pStyle w:val="Heading2"/>
      </w:pPr>
      <w:r>
        <w:t xml:space="preserve">6. Verification note (fail loud)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Status</w:t>
            </w:r>
          </w:p>
        </w:tc>
      </w:tr>
      <w:tr>
        <w:tc>
          <w:tcPr/>
          <w:p>
            <w:pPr>
              <w:pStyle w:val="Compact"/>
              <w:jc w:val="left"/>
            </w:pPr>
            <w:r>
              <w:t xml:space="preserve">Nadella:</w:t>
            </w:r>
            <w:r>
              <w:t xml:space="preserve"> </w:t>
            </w:r>
            <w:r>
              <w:t xml:space="preserve">“</w:t>
            </w:r>
            <w:r>
              <w:t xml:space="preserve">You’ve got to keep your harness separate from the model</w:t>
            </w:r>
            <w:r>
              <w:t xml:space="preserve">”</w:t>
            </w:r>
          </w:p>
        </w:tc>
        <w:tc>
          <w:tcPr/>
          <w:p>
            <w:pPr>
              <w:pStyle w:val="Compact"/>
              <w:jc w:val="left"/>
            </w:pPr>
            <w:r>
              <w:rPr>
                <w:bCs/>
                <w:b/>
              </w:rPr>
              <w:t xml:space="preserve">CONFIRMED</w:t>
            </w:r>
            <w:r>
              <w:t xml:space="preserve"> </w:t>
            </w:r>
            <w:r>
              <w:t xml:space="preserve">— MSFT FY26 Q4 call, 29.07.2026, answering UBS’s Karl Keirstead on the open-vs-closed-source debate. Corroborated by TechCrunch (29.07.2026) and the Investing.com call transcript.</w:t>
            </w:r>
          </w:p>
        </w:tc>
      </w:tr>
      <w:tr>
        <w:tc>
          <w:tcPr/>
          <w:p>
            <w:pPr>
              <w:pStyle w:val="Compact"/>
              <w:jc w:val="left"/>
            </w:pPr>
            <w:r>
              <w:t xml:space="preserve">“</w:t>
            </w:r>
            <w:r>
              <w:t xml:space="preserve">any given model at any given time is swappable</w:t>
            </w:r>
            <w:r>
              <w:t xml:space="preserve">”</w:t>
            </w:r>
            <w:r>
              <w:t xml:space="preserve">;</w:t>
            </w:r>
            <w:r>
              <w:t xml:space="preserve"> </w:t>
            </w:r>
            <w:r>
              <w:t xml:space="preserve">“</w:t>
            </w:r>
            <w:r>
              <w:t xml:space="preserve">the firm be in control of their own destiny</w:t>
            </w:r>
            <w:r>
              <w:t xml:space="preserve">”</w:t>
            </w:r>
          </w:p>
        </w:tc>
        <w:tc>
          <w:tcPr/>
          <w:p>
            <w:pPr>
              <w:pStyle w:val="Compact"/>
              <w:jc w:val="left"/>
            </w:pPr>
            <w:r>
              <w:rPr>
                <w:bCs/>
                <w:b/>
              </w:rPr>
              <w:t xml:space="preserve">CONFIRMED</w:t>
            </w:r>
            <w:r>
              <w:t xml:space="preserve">, same call, same exchange.</w:t>
            </w:r>
          </w:p>
        </w:tc>
      </w:tr>
      <w:tr>
        <w:tc>
          <w:tcPr/>
          <w:p>
            <w:pPr>
              <w:pStyle w:val="Compact"/>
              <w:jc w:val="left"/>
            </w:pPr>
            <w:r>
              <w:t xml:space="preserve">The</w:t>
            </w:r>
            <w:r>
              <w:t xml:space="preserve"> </w:t>
            </w:r>
            <w:r>
              <w:t xml:space="preserve">“</w:t>
            </w:r>
            <w:r>
              <w:t xml:space="preserve">train your own model… you have all the outputs, traces, context</w:t>
            </w:r>
            <w:r>
              <w:t xml:space="preserve">”</w:t>
            </w:r>
            <w:r>
              <w:t xml:space="preserve"> </w:t>
            </w:r>
            <w:r>
              <w:t xml:space="preserve">continuation</w:t>
            </w:r>
          </w:p>
        </w:tc>
        <w:tc>
          <w:tcPr/>
          <w:p>
            <w:pPr>
              <w:pStyle w:val="Compact"/>
              <w:jc w:val="left"/>
            </w:pPr>
            <w:r>
              <w:rPr>
                <w:bCs/>
                <w:b/>
              </w:rPr>
              <w:t xml:space="preserve">PARTIAL — reported, not verified.</w:t>
            </w:r>
            <w:r>
              <w:t xml:space="preserve"> </w:t>
            </w:r>
            <w:r>
              <w:t xml:space="preserve">Consistent with the coverage; exact verbatim not checked against a primary transcript. Do not quote as verified without reading the transcript.</w:t>
            </w:r>
          </w:p>
        </w:tc>
      </w:tr>
      <w:tr>
        <w:tc>
          <w:tcPr/>
          <w:p>
            <w:pPr>
              <w:pStyle w:val="Compact"/>
              <w:jc w:val="left"/>
            </w:pPr>
            <w:r>
              <w:t xml:space="preserve">Huang:</w:t>
            </w:r>
            <w:r>
              <w:t xml:space="preserve"> </w:t>
            </w:r>
            <w:r>
              <w:t xml:space="preserve">“</w:t>
            </w:r>
            <w:r>
              <w:t xml:space="preserve">most companies will be built on harnesses</w:t>
            </w:r>
            <w:r>
              <w:t xml:space="preserve">”</w:t>
            </w:r>
            <w:r>
              <w:t xml:space="preserve">, LangChain fireside with Harrison Chase, 08.07.2026</w:t>
            </w:r>
          </w:p>
        </w:tc>
        <w:tc>
          <w:tcPr/>
          <w:p>
            <w:pPr>
              <w:pStyle w:val="Compact"/>
              <w:jc w:val="left"/>
            </w:pPr>
            <w:r>
              <w:rPr>
                <w:bCs/>
                <w:b/>
              </w:rPr>
              <w:t xml:space="preserve">CORROBORATED</w:t>
            </w:r>
            <w:r>
              <w:t xml:space="preserve"> </w:t>
            </w:r>
            <w:r>
              <w:t xml:space="preserve">— date and venue check out (36Kr interview coverage; VentureBeat on Chase’s harness framing). The exact wording is as reported by the commentary, not from a primary transcript.</w:t>
            </w:r>
          </w:p>
        </w:tc>
      </w:tr>
      <w:tr>
        <w:tc>
          <w:tcPr/>
          <w:p>
            <w:pPr>
              <w:pStyle w:val="Compact"/>
              <w:jc w:val="left"/>
            </w:pPr>
            <w:r>
              <w:t xml:space="preserve">BEP Research (bepresearch.substack.com) — authorship</w:t>
            </w:r>
          </w:p>
        </w:tc>
        <w:tc>
          <w:tcPr/>
          <w:p>
            <w:pPr>
              <w:pStyle w:val="Compact"/>
              <w:jc w:val="left"/>
            </w:pPr>
            <w:r>
              <w:rPr>
                <w:bCs/>
                <w:b/>
              </w:rPr>
              <w:t xml:space="preserve">Third party</w:t>
            </w:r>
            <w:r>
              <w:t xml:space="preserve">, not Lifetime Oy. HIC-confirmed in session, 30.07.2026. The post is written in first person by the Substack’s own writer.</w:t>
            </w:r>
          </w:p>
        </w:tc>
      </w:tr>
      <w:tr>
        <w:tc>
          <w:tcPr/>
          <w:p>
            <w:pPr>
              <w:pStyle w:val="Compact"/>
              <w:jc w:val="left"/>
            </w:pPr>
            <w:r>
              <w:t xml:space="preserve">BEP Research claims:</w:t>
            </w:r>
            <w:r>
              <w:t xml:space="preserve"> </w:t>
            </w:r>
            <w:r>
              <w:t xml:space="preserve">“</w:t>
            </w:r>
            <w:r>
              <w:t xml:space="preserve">I published the full framework on July 12</w:t>
            </w:r>
            <w:r>
              <w:t xml:space="preserve">”</w:t>
            </w:r>
            <w:r>
              <w:t xml:space="preserve">,</w:t>
            </w:r>
            <w:r>
              <w:t xml:space="preserve"> </w:t>
            </w:r>
            <w:r>
              <w:t xml:space="preserve">“</w:t>
            </w:r>
            <w:r>
              <w:t xml:space="preserve">five launches in three days</w:t>
            </w:r>
            <w:r>
              <w:t xml:space="preserve">”</w:t>
            </w:r>
          </w:p>
        </w:tc>
        <w:tc>
          <w:tcPr/>
          <w:p>
            <w:pPr>
              <w:pStyle w:val="Compact"/>
              <w:jc w:val="left"/>
            </w:pPr>
            <w:r>
              <w:rPr>
                <w:bCs/>
                <w:b/>
              </w:rPr>
              <w:t xml:space="preserve">UNVERIFIED.</w:t>
            </w:r>
            <w:r>
              <w:t xml:space="preserve"> </w:t>
            </w:r>
            <w:r>
              <w:t xml:space="preserve">The source page returned</w:t>
            </w:r>
            <w:r>
              <w:t xml:space="preserve"> </w:t>
            </w:r>
            <w:r>
              <w:rPr>
                <w:bCs/>
                <w:b/>
              </w:rPr>
              <w:t xml:space="preserve">HTTP 403</w:t>
            </w:r>
            <w:r>
              <w:t xml:space="preserve"> </w:t>
            </w:r>
            <w:r>
              <w:t xml:space="preserve">on fetch; nothing beyond the pasted excerpt was readable. These are the author’s own claims about their own work — never restate them as DWS-asserted fact.</w:t>
            </w:r>
          </w:p>
        </w:tc>
      </w:tr>
    </w:tbl>
    <w:p>
      <w:pPr>
        <w:pStyle w:val="BodyText"/>
      </w:pPr>
      <w:r>
        <w:t xml:space="preserve">This is precisely the failure mode</w:t>
      </w:r>
      <w:r>
        <w:t xml:space="preserve"> </w:t>
      </w:r>
      <w:r>
        <w:rPr>
          <w:rStyle w:val="VerbatimChar"/>
        </w:rPr>
        <w:t xml:space="preserve">kb/wiki/concepts/external-attribution-claims-grant-applications.md</w:t>
      </w:r>
      <w:r>
        <w:t xml:space="preserve"> </w:t>
      </w:r>
      <w:r>
        <w:t xml:space="preserve">exists to prevent: attributing a specific dated action to a named external party without a verified source. Applied here deliberately.</w:t>
      </w:r>
    </w:p>
    <w:p>
      <w:pPr>
        <w:pStyle w:val="BodyText"/>
      </w:pPr>
      <w:r>
        <w:rPr>
          <w:bCs/>
          <w:b/>
        </w:rPr>
        <w:t xml:space="preserve">Standing drift, recorded not fixed:</w:t>
      </w:r>
      <w:r>
        <w:t xml:space="preserve"> </w:t>
      </w:r>
      <w:r>
        <w:rPr>
          <w:rStyle w:val="VerbatimChar"/>
        </w:rPr>
        <w:t xml:space="preserve">/kb</w:t>
      </w:r>
      <w:r>
        <w:t xml:space="preserve">’s stated rule is that</w:t>
      </w:r>
      <w:r>
        <w:t xml:space="preserve"> </w:t>
      </w:r>
      <w:r>
        <w:rPr>
          <w:rStyle w:val="VerbatimChar"/>
        </w:rPr>
        <w:t xml:space="preserve">kb/wiki/</w:t>
      </w:r>
      <w:r>
        <w:t xml:space="preserve"> </w:t>
      </w:r>
      <w:r>
        <w:t xml:space="preserve">is LLM-compiled and never hand-edited, but every concept in</w:t>
      </w:r>
      <w:r>
        <w:t xml:space="preserve"> </w:t>
      </w:r>
      <w:r>
        <w:rPr>
          <w:rStyle w:val="VerbatimChar"/>
        </w:rPr>
        <w:t xml:space="preserve">kb/wiki/concepts/</w:t>
      </w:r>
      <w:r>
        <w:t xml:space="preserve"> </w:t>
      </w:r>
      <w:r>
        <w:t xml:space="preserve">was hand-authored and</w:t>
      </w:r>
      <w:r>
        <w:t xml:space="preserve"> </w:t>
      </w:r>
      <w:r>
        <w:rPr>
          <w:rStyle w:val="VerbatimChar"/>
        </w:rPr>
        <w:t xml:space="preserve">kb/kb.json</w:t>
      </w:r>
      <w:r>
        <w:t xml:space="preserve"> </w:t>
      </w:r>
      <w:r>
        <w:t xml:space="preserve">is stale (</w:t>
      </w:r>
      <w:r>
        <w:rPr>
          <w:rStyle w:val="VerbatimChar"/>
        </w:rPr>
        <w:t xml:space="preserve">lastCompile: null</w:t>
      </w:r>
      <w:r>
        <w:t xml:space="preserve">,</w:t>
      </w:r>
      <w:r>
        <w:t xml:space="preserve"> </w:t>
      </w:r>
      <w:r>
        <w:rPr>
          <w:rStyle w:val="VerbatimChar"/>
        </w:rPr>
        <w:t xml:space="preserve">articleCount: 0</w:t>
      </w:r>
      <w:r>
        <w:t xml:space="preserve">,</w:t>
      </w:r>
      <w:r>
        <w:t xml:space="preserve"> </w:t>
      </w:r>
      <w:r>
        <w:rPr>
          <w:rStyle w:val="VerbatimChar"/>
        </w:rPr>
        <w:t xml:space="preserve">rawCount: 1</w:t>
      </w:r>
      <w:r>
        <w:t xml:space="preserve">). This note’s KB step follows the actual practice (hand-authored) rather than the stated rule. Flagged for a future</w:t>
      </w:r>
      <w:r>
        <w:t xml:space="preserve"> </w:t>
      </w:r>
      <w:r>
        <w:rPr>
          <w:rStyle w:val="VerbatimChar"/>
        </w:rPr>
        <w:t xml:space="preserve">/kb compile</w:t>
      </w:r>
      <w:r>
        <w:t xml:space="preserve"> </w:t>
      </w:r>
      <w:r>
        <w:t xml:space="preserve">reconciliation; out of scope here.</w:t>
      </w:r>
    </w:p>
    <w:bookmarkEnd w:id="25"/>
    <w:bookmarkStart w:id="26" w:name="the-five-step-learning-standard-record"/>
    <w:p>
      <w:pPr>
        <w:pStyle w:val="Heading2"/>
      </w:pPr>
      <w:r>
        <w:t xml:space="preserve">7. The five-step Learning Standard record</w:t>
      </w:r>
    </w:p>
    <w:tbl>
      <w:tblPr>
        <w:tblStyle w:val="Table"/>
        <w:tblW w:type="pct" w:w="5000"/>
        <w:tblLook w:firstRow="1" w:lastRow="0" w:firstColumn="0" w:lastColumn="0" w:noHBand="0" w:noVBand="0" w:val="0020"/>
        <w:jc w:val="start"/>
      </w:tblPr>
      <w:tblGrid>
        <w:gridCol w:w="792"/>
        <w:gridCol w:w="3168"/>
        <w:gridCol w:w="396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State</w:t>
            </w:r>
          </w:p>
        </w:tc>
      </w:tr>
      <w:tr>
        <w:tc>
          <w:tcPr/>
          <w:p>
            <w:pPr>
              <w:pStyle w:val="Compact"/>
              <w:jc w:val="left"/>
            </w:pPr>
            <w:r>
              <w:t xml:space="preserve">1</w:t>
            </w:r>
          </w:p>
        </w:tc>
        <w:tc>
          <w:tcPr/>
          <w:p>
            <w:pPr>
              <w:pStyle w:val="Compact"/>
              <w:jc w:val="left"/>
            </w:pPr>
            <w:r>
              <w:rPr>
                <w:bCs/>
                <w:b/>
              </w:rPr>
              <w:t xml:space="preserve">Knowledge base</w:t>
            </w:r>
          </w:p>
        </w:tc>
        <w:tc>
          <w:tcPr/>
          <w:p>
            <w:pPr>
              <w:pStyle w:val="Compact"/>
              <w:jc w:val="left"/>
            </w:pPr>
            <w:r>
              <w:t xml:space="preserve">✅</w:t>
            </w:r>
            <w:r>
              <w:t xml:space="preserve"> </w:t>
            </w:r>
            <w:r>
              <w:rPr>
                <w:rStyle w:val="VerbatimChar"/>
              </w:rPr>
              <w:t xml:space="preserve">kb/raw/signals/2026-07-30-nadella-harness-separate-from-model.md</w:t>
            </w:r>
            <w:r>
              <w:t xml:space="preserve"> </w:t>
            </w:r>
            <w:r>
              <w:t xml:space="preserve">(raw signal capture — first real use of the declared signals route) +</w:t>
            </w:r>
            <w:r>
              <w:t xml:space="preserve"> </w:t>
            </w:r>
            <w:r>
              <w:rPr>
                <w:rStyle w:val="VerbatimChar"/>
              </w:rPr>
              <w:t xml:space="preserve">kb/wiki/concepts/adopt-the-base-own-the-loop.md</w:t>
            </w:r>
            <w:r>
              <w:t xml:space="preserve"> </w:t>
            </w:r>
            <w:r>
              <w:t xml:space="preserve">bumped to v1.1 with the external-validation section</w:t>
            </w:r>
          </w:p>
        </w:tc>
      </w:tr>
      <w:tr>
        <w:tc>
          <w:tcPr/>
          <w:p>
            <w:pPr>
              <w:pStyle w:val="Compact"/>
              <w:jc w:val="left"/>
            </w:pPr>
            <w:r>
              <w:t xml:space="preserve">2</w:t>
            </w:r>
          </w:p>
        </w:tc>
        <w:tc>
          <w:tcPr/>
          <w:p>
            <w:pPr>
              <w:pStyle w:val="Compact"/>
              <w:jc w:val="left"/>
            </w:pPr>
            <w:r>
              <w:rPr>
                <w:bCs/>
                <w:b/>
              </w:rPr>
              <w:t xml:space="preserve">Field note</w:t>
            </w:r>
          </w:p>
        </w:tc>
        <w:tc>
          <w:tcPr/>
          <w:p>
            <w:pPr>
              <w:pStyle w:val="Compact"/>
              <w:jc w:val="left"/>
            </w:pPr>
            <w:r>
              <w:t xml:space="preserve">✅ this file</w:t>
            </w:r>
          </w:p>
        </w:tc>
      </w:tr>
      <w:tr>
        <w:tc>
          <w:tcPr/>
          <w:p>
            <w:pPr>
              <w:pStyle w:val="Compact"/>
              <w:jc w:val="left"/>
            </w:pPr>
            <w:r>
              <w:t xml:space="preserve">3</w:t>
            </w:r>
          </w:p>
        </w:tc>
        <w:tc>
          <w:tcPr/>
          <w:p>
            <w:pPr>
              <w:pStyle w:val="Compact"/>
              <w:jc w:val="left"/>
            </w:pPr>
            <w:r>
              <w:rPr>
                <w:rStyle w:val="VerbatimChar"/>
                <w:bCs/>
                <w:b/>
              </w:rPr>
              <w:t xml:space="preserve">Learn/</w:t>
            </w:r>
            <w:r>
              <w:rPr>
                <w:bCs/>
                <w:b/>
              </w:rPr>
              <w:t xml:space="preserve"> </w:t>
            </w:r>
            <w:r>
              <w:rPr>
                <w:bCs/>
                <w:b/>
              </w:rPr>
              <w:t xml:space="preserve">HTML</w:t>
            </w:r>
          </w:p>
        </w:tc>
        <w:tc>
          <w:tcPr/>
          <w:p>
            <w:pPr>
              <w:pStyle w:val="Compact"/>
              <w:jc w:val="left"/>
            </w:pPr>
            <w:r>
              <w:t xml:space="preserve">✅</w:t>
            </w:r>
            <w:r>
              <w:t xml:space="preserve"> </w:t>
            </w:r>
            <w:r>
              <w:rPr>
                <w:rStyle w:val="VerbatimChar"/>
              </w:rPr>
              <w:t xml:space="preserve">Learn/2026-07-30-nadella-harness-model-swappability-signal.html</w:t>
            </w:r>
            <w:r>
              <w:t xml:space="preserve"> </w:t>
            </w:r>
            <w:r>
              <w:t xml:space="preserve">+</w:t>
            </w:r>
            <w:r>
              <w:t xml:space="preserve"> </w:t>
            </w:r>
            <w:r>
              <w:rPr>
                <w:rStyle w:val="VerbatimChar"/>
              </w:rPr>
              <w:t xml:space="preserve">.docx</w:t>
            </w:r>
            <w:r>
              <w:t xml:space="preserve"> </w:t>
            </w:r>
            <w:r>
              <w:t xml:space="preserve">— pandoc was</w:t>
            </w:r>
            <w:r>
              <w:t xml:space="preserve"> </w:t>
            </w:r>
            <w:r>
              <w:rPr>
                <w:bCs/>
                <w:b/>
              </w:rPr>
              <w:t xml:space="preserve">installed in this container this session</w:t>
            </w:r>
            <w:r>
              <w:t xml:space="preserve">, unblocking the step that was</w:t>
            </w:r>
            <w:r>
              <w:t xml:space="preserve"> </w:t>
            </w:r>
            <w:r>
              <w:rPr>
                <w:rStyle w:val="VerbatimChar"/>
              </w:rPr>
              <w:t xml:space="preserve">N/A</w:t>
            </w:r>
            <w:r>
              <w:t xml:space="preserve"> </w:t>
            </w:r>
            <w:r>
              <w:t xml:space="preserve">on 26.07.2026</w:t>
            </w:r>
          </w:p>
        </w:tc>
      </w:tr>
      <w:tr>
        <w:tc>
          <w:tcPr/>
          <w:p>
            <w:pPr>
              <w:pStyle w:val="Compact"/>
              <w:jc w:val="left"/>
            </w:pPr>
            <w:r>
              <w:t xml:space="preserve">4</w:t>
            </w:r>
          </w:p>
        </w:tc>
        <w:tc>
          <w:tcPr/>
          <w:p>
            <w:pPr>
              <w:pStyle w:val="Compact"/>
              <w:jc w:val="left"/>
            </w:pPr>
            <w:r>
              <w:rPr>
                <w:bCs/>
                <w:b/>
              </w:rPr>
              <w:t xml:space="preserve">Drive export</w:t>
            </w:r>
          </w:p>
        </w:tc>
        <w:tc>
          <w:tcPr/>
          <w:p>
            <w:pPr>
              <w:pStyle w:val="Compact"/>
              <w:jc w:val="left"/>
            </w:pPr>
            <w:r>
              <w:t xml:space="preserve">✅ Google Doc</w:t>
            </w:r>
            <w:r>
              <w:t xml:space="preserve"> </w:t>
            </w:r>
            <w:r>
              <w:t xml:space="preserve">“</w:t>
            </w:r>
            <w:r>
              <w:t xml:space="preserve">2026-07-30 Field Note v1.0 — Nadella on the Harness…</w:t>
            </w:r>
            <w:r>
              <w:t xml:space="preserve">”</w:t>
            </w:r>
            <w:r>
              <w:t xml:space="preserve"> </w:t>
            </w:r>
            <w:r>
              <w:t xml:space="preserve">in the</w:t>
            </w:r>
            <w:r>
              <w:t xml:space="preserve"> </w:t>
            </w:r>
            <w:r>
              <w:rPr>
                <w:rStyle w:val="VerbatimChar"/>
              </w:rPr>
              <w:t xml:space="preserve">2026 DWS6</w:t>
            </w:r>
            <w:r>
              <w:t xml:space="preserve"> </w:t>
            </w:r>
            <w:r>
              <w:t xml:space="preserve">folder (</w:t>
            </w:r>
            <w:r>
              <w:rPr>
                <w:rStyle w:val="VerbatimChar"/>
              </w:rPr>
              <w:t xml:space="preserve">docs.google.com/document/d/1CypbA3GsW8ecKDRX1ndA12BoJWvyL-6Xj7fSUd-gj4I</w:t>
            </w:r>
            <w:r>
              <w:t xml:space="preserve">). Repo is source of truth (Truth Standard §2E)</w:t>
            </w:r>
          </w:p>
        </w:tc>
      </w:tr>
      <w:tr>
        <w:tc>
          <w:tcPr/>
          <w:p>
            <w:pPr>
              <w:pStyle w:val="Compact"/>
              <w:jc w:val="left"/>
            </w:pPr>
            <w:r>
              <w:t xml:space="preserve">5</w:t>
            </w:r>
          </w:p>
        </w:tc>
        <w:tc>
          <w:tcPr/>
          <w:p>
            <w:pPr>
              <w:pStyle w:val="Compact"/>
              <w:jc w:val="left"/>
            </w:pPr>
            <w:r>
              <w:rPr>
                <w:bCs/>
                <w:b/>
              </w:rPr>
              <w:t xml:space="preserve">HIC question</w:t>
            </w:r>
          </w:p>
        </w:tc>
        <w:tc>
          <w:tcPr/>
          <w:p>
            <w:pPr>
              <w:pStyle w:val="Compact"/>
              <w:jc w:val="left"/>
            </w:pPr>
            <w:r>
              <w:t xml:space="preserve">✅ §8, and repeated in the session reply and</w:t>
            </w:r>
            <w:r>
              <w:t xml:space="preserve"> </w:t>
            </w:r>
            <w:r>
              <w:rPr>
                <w:rStyle w:val="VerbatimChar"/>
              </w:rPr>
              <w:t xml:space="preserve">.claude/handoffs/claude/enterprise-ai-harness-0anl7s.md</w:t>
            </w:r>
          </w:p>
        </w:tc>
      </w:tr>
    </w:tbl>
    <w:bookmarkEnd w:id="26"/>
    <w:bookmarkStart w:id="28" w:name="next-steps-and-the-hic-question"/>
    <w:p>
      <w:pPr>
        <w:pStyle w:val="Heading2"/>
      </w:pPr>
      <w:r>
        <w:t xml:space="preserve">8. Next steps and the HIC question</w:t>
      </w:r>
    </w:p>
    <w:p>
      <w:pPr>
        <w:pStyle w:val="FirstParagraph"/>
      </w:pPr>
      <w:r>
        <w:rPr>
          <w:bCs/>
          <w:b/>
        </w:rPr>
        <w:t xml:space="preserve">Routed, not executed (this session was capture-only by HIC decision):</w:t>
      </w:r>
    </w:p>
    <w:p>
      <w:pPr>
        <w:numPr>
          <w:ilvl w:val="0"/>
          <w:numId w:val="1002"/>
        </w:numPr>
        <w:pStyle w:val="Compact"/>
      </w:pPr>
      <w:r>
        <w:rPr>
          <w:bCs/>
          <w:b/>
        </w:rPr>
        <w:t xml:space="preserve">PhD thesis</w:t>
      </w:r>
      <w:r>
        <w:t xml:space="preserve"> </w:t>
      </w:r>
      <w:r>
        <w:t xml:space="preserve">— durable framing belongs in</w:t>
      </w:r>
      <w:r>
        <w:t xml:space="preserve"> </w:t>
      </w:r>
      <w:r>
        <w:rPr>
          <w:rStyle w:val="VerbatimChar"/>
        </w:rPr>
        <w:t xml:space="preserve">docs/PHD_FIREHORSE_EN.md</w:t>
      </w:r>
      <w:r>
        <w:t xml:space="preserve"> </w:t>
      </w:r>
      <w:r>
        <w:t xml:space="preserve">+</w:t>
      </w:r>
      <w:r>
        <w:t xml:space="preserve"> </w:t>
      </w:r>
      <w:r>
        <w:rPr>
          <w:rStyle w:val="VerbatimChar"/>
        </w:rPr>
        <w:t xml:space="preserve">docs/PHD_FIREHORSE_FI.md</w:t>
      </w:r>
      <w:r>
        <w:t xml:space="preserve"> </w:t>
      </w:r>
      <w:r>
        <w:t xml:space="preserve">as market-signal data (competitor movement) per the Thesis Content Scope Rule.</w:t>
      </w:r>
      <w:r>
        <w:t xml:space="preserve"> </w:t>
      </w:r>
      <w:r>
        <w:rPr>
          <w:bCs/>
          <w:b/>
        </w:rPr>
        <w:t xml:space="preserve">Deferred, pending HIC approval.</w:t>
      </w:r>
      <w:r>
        <w:t xml:space="preserve"> </w:t>
      </w:r>
      <w:r>
        <w:t xml:space="preserve">The master’s thesis is untouched — this is not implementation evidence.</w:t>
      </w:r>
    </w:p>
    <w:p>
      <w:pPr>
        <w:numPr>
          <w:ilvl w:val="0"/>
          <w:numId w:val="1002"/>
        </w:numPr>
        <w:pStyle w:val="Compact"/>
      </w:pPr>
      <w:r>
        <w:rPr>
          <w:rStyle w:val="VerbatimChar"/>
          <w:bCs/>
          <w:b/>
        </w:rPr>
        <w:t xml:space="preserve">/truth-check</w:t>
      </w:r>
      <w:r>
        <w:t xml:space="preserve"> </w:t>
      </w:r>
      <w:r>
        <w:t xml:space="preserve">before any public use of the</w:t>
      </w:r>
      <w:r>
        <w:t xml:space="preserve"> </w:t>
      </w:r>
      <w:r>
        <w:t xml:space="preserve">“</w:t>
      </w:r>
      <w:r>
        <w:t xml:space="preserve">harness is table stakes</w:t>
      </w:r>
      <w:r>
        <w:t xml:space="preserve">”</w:t>
      </w:r>
      <w:r>
        <w:t xml:space="preserve"> </w:t>
      </w:r>
      <w:r>
        <w:t xml:space="preserve">formulation.</w:t>
      </w:r>
    </w:p>
    <w:p>
      <w:pPr>
        <w:numPr>
          <w:ilvl w:val="0"/>
          <w:numId w:val="1002"/>
        </w:numPr>
        <w:pStyle w:val="Compact"/>
      </w:pPr>
      <w:r>
        <w:rPr>
          <w:bCs/>
          <w:b/>
        </w:rPr>
        <w:t xml:space="preserve">LSJ angle</w:t>
      </w:r>
      <w:r>
        <w:t xml:space="preserve"> </w:t>
      </w:r>
      <w:r>
        <w:t xml:space="preserve">— the moat-moved-from-weights-to-loop framing is a candidate for the next Lifetime Scope issue. Blog/newsletter publication requires</w:t>
      </w:r>
      <w:r>
        <w:t xml:space="preserve"> </w:t>
      </w:r>
      <w:r>
        <w:rPr>
          <w:rStyle w:val="VerbatimChar"/>
        </w:rPr>
        <w:t xml:space="preserve">/blog-draft</w:t>
      </w:r>
      <w:r>
        <w:t xml:space="preserve"> </w:t>
      </w:r>
      <w:r>
        <w:t xml:space="preserve">and explicit HIC approval (Non-Negotiable Rule 13); nothing drafted here.</w:t>
      </w:r>
    </w:p>
    <w:bookmarkStart w:id="27" w:name="X0f904fed17943f32c7eda98943820956407d805"/>
    <w:p>
      <w:pPr>
        <w:pStyle w:val="Heading3"/>
      </w:pPr>
      <w:r>
        <w:t xml:space="preserve">HIC question (EU AI Act Art. 14 intervention point)</w:t>
      </w:r>
    </w:p>
    <w:p>
      <w:pPr>
        <w:pStyle w:val="FirstParagraph"/>
      </w:pPr>
      <w:r>
        <w:rPr>
          <w:bCs/>
          <w:b/>
        </w:rPr>
        <w:t xml:space="preserve">Q1.</w:t>
      </w:r>
      <w:r>
        <w:rPr>
          <w:bCs/>
          <w:b/>
        </w:rPr>
        <w:t xml:space="preserve"> </w:t>
      </w:r>
      <w:r>
        <w:rPr>
          <w:bCs/>
          <w:b/>
        </w:rPr>
        <w:t xml:space="preserve">“</w:t>
      </w:r>
      <w:r>
        <w:rPr>
          <w:bCs/>
          <w:b/>
        </w:rPr>
        <w:t xml:space="preserve">Harness</w:t>
      </w:r>
      <w:r>
        <w:rPr>
          <w:bCs/>
          <w:b/>
        </w:rPr>
        <w:t xml:space="preserve">”</w:t>
      </w:r>
      <w:r>
        <w:rPr>
          <w:bCs/>
          <w:b/>
        </w:rPr>
        <w:t xml:space="preserve"> </w:t>
      </w:r>
      <w:r>
        <w:rPr>
          <w:bCs/>
          <w:b/>
        </w:rPr>
        <w:t xml:space="preserve">stopped being a differentiator on 29.07.2026. What does DWS do about its positioning?</w:t>
      </w:r>
    </w:p>
    <w:p>
      <w:pPr>
        <w:pStyle w:val="BodyText"/>
      </w:pPr>
      <w:r>
        <w:rPr>
          <w:bCs/>
          <w:b/>
        </w:rPr>
        <w:t xml:space="preserve">Options:</w:t>
      </w:r>
    </w:p>
    <w:p>
      <w:pPr>
        <w:numPr>
          <w:ilvl w:val="0"/>
          <w:numId w:val="1003"/>
        </w:numPr>
        <w:pStyle w:val="Compact"/>
      </w:pPr>
      <w:r>
        <w:rPr>
          <w:bCs/>
          <w:b/>
        </w:rPr>
        <w:t xml:space="preserve">Re-cut the positioning to the evidence-loop claim.</w:t>
      </w:r>
      <w:r>
        <w:t xml:space="preserve"> </w:t>
      </w:r>
      <w:r>
        <w:t xml:space="preserve">Audit DWS public surfaces and standards for harness/swappability language and replace it with the narrower, defensible claim: the sovereign compliance evidence loop. Scope:</w:t>
      </w:r>
      <w:r>
        <w:t xml:space="preserve"> </w:t>
      </w:r>
      <w:r>
        <w:rPr>
          <w:rStyle w:val="VerbatimChar"/>
        </w:rPr>
        <w:t xml:space="preserve">DWS_BRAND_STANDARD.md</w:t>
      </w:r>
      <w:r>
        <w:t xml:space="preserve">,</w:t>
      </w:r>
      <w:r>
        <w:t xml:space="preserve"> </w:t>
      </w:r>
      <w:r>
        <w:rPr>
          <w:rStyle w:val="VerbatimChar"/>
        </w:rPr>
        <w:t xml:space="preserve">DWS_TRUTH_STANDARD.md</w:t>
      </w:r>
      <w:r>
        <w:t xml:space="preserve"> </w:t>
      </w:r>
      <w:r>
        <w:t xml:space="preserve">row for the model-strategy claim, site hero copy.</w:t>
      </w:r>
    </w:p>
    <w:p>
      <w:pPr>
        <w:numPr>
          <w:ilvl w:val="0"/>
          <w:numId w:val="1003"/>
        </w:numPr>
        <w:pStyle w:val="Compact"/>
      </w:pPr>
      <w:r>
        <w:rPr>
          <w:bCs/>
          <w:b/>
        </w:rPr>
        <w:t xml:space="preserve">Hold positioning; route the signal to the PhD thesis only.</w:t>
      </w:r>
      <w:r>
        <w:t xml:space="preserve"> </w:t>
      </w:r>
      <w:r>
        <w:t xml:space="preserve">Treat this as intelligence, not a positioning event. Cheapest, and defensible if no live surface actually leans on the harness word.</w:t>
      </w:r>
    </w:p>
    <w:p>
      <w:pPr>
        <w:numPr>
          <w:ilvl w:val="0"/>
          <w:numId w:val="1003"/>
        </w:numPr>
        <w:pStyle w:val="Compact"/>
      </w:pPr>
      <w:r>
        <w:rPr>
          <w:bCs/>
          <w:b/>
        </w:rPr>
        <w:t xml:space="preserve">Open the cost-per-task pricing question as its own work item</w:t>
      </w:r>
      <w:r>
        <w:t xml:space="preserve"> </w:t>
      </w:r>
      <w:r>
        <w:t xml:space="preserve">(§5) — a third party is moving on a unit DWS has the telemetry for.</w:t>
      </w:r>
    </w:p>
    <w:p>
      <w:pPr>
        <w:pStyle w:val="FirstParagraph"/>
      </w:pPr>
      <w:r>
        <w:rPr>
          <w:bCs/>
          <w:b/>
        </w:rPr>
        <w:t xml:space="preserve">(RECOMMEND: 2 now, 1 next — but only after a</w:t>
      </w:r>
      <w:r>
        <w:rPr>
          <w:bCs/>
          <w:b/>
        </w:rPr>
        <w:t xml:space="preserve"> </w:t>
      </w:r>
      <w:r>
        <w:rPr>
          <w:rStyle w:val="VerbatimChar"/>
          <w:bCs/>
          <w:b/>
        </w:rPr>
        <w:t xml:space="preserve">/truth-check</w:t>
      </w:r>
      <w:r>
        <w:rPr>
          <w:bCs/>
          <w:b/>
        </w:rPr>
        <w:t xml:space="preserve"> </w:t>
      </w:r>
      <w:r>
        <w:rPr>
          <w:bCs/>
          <w:b/>
        </w:rPr>
        <w:t xml:space="preserve">sweep tells us whether any live surface actually leans on the harness word. Recommending a rewrite before knowing the blast radius would be positioning-by-reflex. Option 3 is a separate decision and should not be bundled into a positioning call.)</w:t>
      </w:r>
    </w:p>
    <w:p>
      <w:pPr>
        <w:numPr>
          <w:ilvl w:val="0"/>
          <w:numId w:val="1004"/>
        </w:numPr>
        <w:pStyle w:val="Compact"/>
      </w:pPr>
      <w:r>
        <w:rPr>
          <w:bCs/>
          <w:b/>
        </w:rPr>
        <w:t xml:space="preserve">Reversibility:</w:t>
      </w:r>
      <w:r>
        <w:t xml:space="preserve"> </w:t>
      </w:r>
      <w:r>
        <w:t xml:space="preserve">two-way door for 1 and 2 (copy and doc edits, revertible). Option 3 is two-way while it is a decision, one-way once it ships as a priced product surface.</w:t>
      </w:r>
    </w:p>
    <w:p>
      <w:pPr>
        <w:numPr>
          <w:ilvl w:val="0"/>
          <w:numId w:val="1004"/>
        </w:numPr>
        <w:pStyle w:val="Compact"/>
      </w:pPr>
      <w:r>
        <w:rPr>
          <w:bCs/>
          <w:b/>
        </w:rPr>
        <w:t xml:space="preserve">Unblocks:</w:t>
      </w:r>
      <w:r>
        <w:t xml:space="preserve"> </w:t>
      </w:r>
      <w:r>
        <w:t xml:space="preserve">the PhD §14.NN market-signal entry; the next LSJ issue’s lead angle; whether the cost-per-task work gets a slot.</w:t>
      </w:r>
    </w:p>
    <w:p>
      <w:pPr>
        <w:numPr>
          <w:ilvl w:val="0"/>
          <w:numId w:val="1004"/>
        </w:numPr>
        <w:pStyle w:val="Compact"/>
      </w:pPr>
      <w:r>
        <w:rPr>
          <w:bCs/>
          <w:b/>
        </w:rPr>
        <w:t xml:space="preserve">Cost of delay:</w:t>
      </w:r>
      <w:r>
        <w:t xml:space="preserve"> </w:t>
      </w:r>
      <w:r>
        <w:t xml:space="preserve">low for a week, rising. The compression is real but slow — Copilot marketing does not reach Finnish industrial buyers overnight. The cost-per-task window is the tighter one.</w:t>
      </w:r>
    </w:p>
    <w:p>
      <w:pPr>
        <w:numPr>
          <w:ilvl w:val="0"/>
          <w:numId w:val="1004"/>
        </w:numPr>
        <w:pStyle w:val="Compact"/>
      </w:pPr>
      <w:r>
        <w:rPr>
          <w:bCs/>
          <w:b/>
        </w:rPr>
        <w:t xml:space="preserve">Rests on:</w:t>
      </w:r>
      <w:r>
        <w:t xml:space="preserve"> </w:t>
      </w:r>
      <w:r>
        <w:t xml:space="preserve">verified (Nadella quotes, §6) for the signal itself;</w:t>
      </w:r>
      <w:r>
        <w:t xml:space="preserve"> </w:t>
      </w:r>
      <w:r>
        <w:rPr>
          <w:bCs/>
          <w:b/>
        </w:rPr>
        <w:t xml:space="preserve">propagated, not verified</w:t>
      </w:r>
      <w:r>
        <w:t xml:space="preserve"> </w:t>
      </w:r>
      <w:r>
        <w:t xml:space="preserve">for the BEP Research commentary claims — the positioning conclusion does not depend on them.</w:t>
      </w:r>
    </w:p>
    <w:bookmarkEnd w:id="27"/>
    <w:bookmarkEnd w:id="28"/>
    <w:bookmarkStart w:id="29" w:name="references"/>
    <w:p>
      <w:pPr>
        <w:pStyle w:val="Heading2"/>
      </w:pPr>
      <w:r>
        <w:t xml:space="preserve">9. References</w:t>
      </w:r>
    </w:p>
    <w:p>
      <w:pPr>
        <w:pStyle w:val="FirstParagraph"/>
      </w:pPr>
      <w:r>
        <w:rPr>
          <w:bCs/>
          <w:b/>
        </w:rPr>
        <w:t xml:space="preserve">Primary / press</w:t>
      </w:r>
    </w:p>
    <w:p>
      <w:pPr>
        <w:numPr>
          <w:ilvl w:val="0"/>
          <w:numId w:val="1005"/>
        </w:numPr>
        <w:pStyle w:val="Compact"/>
      </w:pPr>
      <w:r>
        <w:t xml:space="preserve">Microsoft FY26 Q4 earnings call transcript, 29.07.2026 — Investing.com</w:t>
      </w:r>
    </w:p>
    <w:p>
      <w:pPr>
        <w:numPr>
          <w:ilvl w:val="0"/>
          <w:numId w:val="1005"/>
        </w:numPr>
        <w:pStyle w:val="Compact"/>
      </w:pPr>
      <w:r>
        <w:t xml:space="preserve">“</w:t>
      </w:r>
      <w:r>
        <w:t xml:space="preserve">Microsoft is openly competing with OpenAI, Anthropic more than ever</w:t>
      </w:r>
      <w:r>
        <w:t xml:space="preserve">”</w:t>
      </w:r>
      <w:r>
        <w:t xml:space="preserve">, TechCrunch, 29.07.2026</w:t>
      </w:r>
    </w:p>
    <w:p>
      <w:pPr>
        <w:numPr>
          <w:ilvl w:val="0"/>
          <w:numId w:val="1005"/>
        </w:numPr>
        <w:pStyle w:val="Compact"/>
      </w:pPr>
      <w:r>
        <w:t xml:space="preserve">“</w:t>
      </w:r>
      <w:r>
        <w:t xml:space="preserve">Microsoft CEO Nadella Warns Enterprises Against AI Model Lock-In</w:t>
      </w:r>
      <w:r>
        <w:t xml:space="preserve">”</w:t>
      </w:r>
      <w:r>
        <w:t xml:space="preserve">, Bitcoin World, 29.07.2026</w:t>
      </w:r>
    </w:p>
    <w:p>
      <w:pPr>
        <w:numPr>
          <w:ilvl w:val="0"/>
          <w:numId w:val="1005"/>
        </w:numPr>
        <w:pStyle w:val="Compact"/>
      </w:pPr>
      <w:r>
        <w:t xml:space="preserve">Jensen Huang × Harrison Chase, LangChain fireside, 08.07.2026 — 36Kr interview coverage</w:t>
      </w:r>
    </w:p>
    <w:p>
      <w:pPr>
        <w:numPr>
          <w:ilvl w:val="0"/>
          <w:numId w:val="1005"/>
        </w:numPr>
        <w:pStyle w:val="Compact"/>
      </w:pPr>
      <w:r>
        <w:t xml:space="preserve">“</w:t>
      </w:r>
      <w:r>
        <w:t xml:space="preserve">LangChain’s CEO argues that better models alone won’t get your AI agent to production</w:t>
      </w:r>
      <w:r>
        <w:t xml:space="preserve">”</w:t>
      </w:r>
      <w:r>
        <w:t xml:space="preserve">, VentureBeat</w:t>
      </w:r>
    </w:p>
    <w:p>
      <w:pPr>
        <w:numPr>
          <w:ilvl w:val="0"/>
          <w:numId w:val="1005"/>
        </w:numPr>
        <w:pStyle w:val="Compact"/>
      </w:pPr>
      <w:r>
        <w:t xml:space="preserve">BEP Research, Substack —</w:t>
      </w:r>
      <w:r>
        <w:t xml:space="preserve"> </w:t>
      </w:r>
      <w:r>
        <w:rPr>
          <w:rStyle w:val="VerbatimChar"/>
        </w:rPr>
        <w:t xml:space="preserve">https://bepresearch.substack.com/p/jensen-huang-most-companies-will</w:t>
      </w:r>
      <w:r>
        <w:t xml:space="preserve"> </w:t>
      </w:r>
      <w:r>
        <w:t xml:space="preserve">(third-party commentary;</w:t>
      </w:r>
      <w:r>
        <w:t xml:space="preserve"> </w:t>
      </w:r>
      <w:r>
        <w:rPr>
          <w:bCs/>
          <w:b/>
        </w:rPr>
        <w:t xml:space="preserve">HTTP 403 on fetch, body unverified</w:t>
      </w:r>
      <w:r>
        <w:t xml:space="preserve">)</w:t>
      </w:r>
    </w:p>
    <w:p>
      <w:pPr>
        <w:pStyle w:val="FirstParagraph"/>
      </w:pPr>
      <w:r>
        <w:rPr>
          <w:bCs/>
          <w:b/>
        </w:rPr>
        <w:t xml:space="preserve">DWS internal</w:t>
      </w:r>
    </w:p>
    <w:p>
      <w:pPr>
        <w:numPr>
          <w:ilvl w:val="0"/>
          <w:numId w:val="1006"/>
        </w:numPr>
        <w:pStyle w:val="Compact"/>
      </w:pPr>
      <w:r>
        <w:rPr>
          <w:rStyle w:val="VerbatimChar"/>
        </w:rPr>
        <w:t xml:space="preserve">kb/wiki/concepts/adopt-the-base-own-the-loop.md</w:t>
      </w:r>
      <w:r>
        <w:t xml:space="preserve"> </w:t>
      </w:r>
      <w:r>
        <w:rPr>
          <w:iCs/>
          <w:i/>
        </w:rPr>
        <w:t xml:space="preserve">(DWS internal)</w:t>
      </w:r>
    </w:p>
    <w:p>
      <w:pPr>
        <w:numPr>
          <w:ilvl w:val="0"/>
          <w:numId w:val="1006"/>
        </w:numPr>
        <w:pStyle w:val="Compact"/>
      </w:pPr>
      <w:r>
        <w:rPr>
          <w:rStyle w:val="VerbatimChar"/>
        </w:rPr>
        <w:t xml:space="preserve">kb/wiki/concepts/external-attribution-claims-grant-applications.md</w:t>
      </w:r>
      <w:r>
        <w:t xml:space="preserve"> </w:t>
      </w:r>
      <w:r>
        <w:rPr>
          <w:iCs/>
          <w:i/>
        </w:rPr>
        <w:t xml:space="preserve">(DWS internal)</w:t>
      </w:r>
    </w:p>
    <w:p>
      <w:pPr>
        <w:numPr>
          <w:ilvl w:val="0"/>
          <w:numId w:val="1006"/>
        </w:numPr>
        <w:pStyle w:val="Compact"/>
      </w:pPr>
      <w:r>
        <w:rPr>
          <w:rStyle w:val="VerbatimChar"/>
        </w:rPr>
        <w:t xml:space="preserve">docs/field-notes/2026-06-15-human-token-capital.md</w:t>
      </w:r>
      <w:r>
        <w:t xml:space="preserve"> </w:t>
      </w:r>
      <w:r>
        <w:rPr>
          <w:iCs/>
          <w:i/>
        </w:rPr>
        <w:t xml:space="preserve">(DWS internal)</w:t>
      </w:r>
    </w:p>
    <w:p>
      <w:pPr>
        <w:numPr>
          <w:ilvl w:val="0"/>
          <w:numId w:val="1006"/>
        </w:numPr>
        <w:pStyle w:val="Compact"/>
      </w:pPr>
      <w:r>
        <w:rPr>
          <w:rStyle w:val="VerbatimChar"/>
        </w:rPr>
        <w:t xml:space="preserve">docs/field-notes/2026-06-19-token-capital-human-capital-control-room-capital.md</w:t>
      </w:r>
      <w:r>
        <w:t xml:space="preserve"> </w:t>
      </w:r>
      <w:r>
        <w:rPr>
          <w:iCs/>
          <w:i/>
        </w:rPr>
        <w:t xml:space="preserve">(DWS internal)</w:t>
      </w:r>
    </w:p>
    <w:p>
      <w:pPr>
        <w:numPr>
          <w:ilvl w:val="0"/>
          <w:numId w:val="1006"/>
        </w:numPr>
        <w:pStyle w:val="Compact"/>
      </w:pPr>
      <w:r>
        <w:rPr>
          <w:rStyle w:val="VerbatimChar"/>
        </w:rPr>
        <w:t xml:space="preserve">docs/field-notes/2026-06-19-karpathy-12-rules-harness-hardening.md</w:t>
      </w:r>
      <w:r>
        <w:t xml:space="preserve"> </w:t>
      </w:r>
      <w:r>
        <w:rPr>
          <w:iCs/>
          <w:i/>
        </w:rPr>
        <w:t xml:space="preserve">(DWS internal)</w:t>
      </w:r>
    </w:p>
    <w:p>
      <w:pPr>
        <w:numPr>
          <w:ilvl w:val="0"/>
          <w:numId w:val="1006"/>
        </w:numPr>
        <w:pStyle w:val="Compact"/>
      </w:pPr>
      <w:r>
        <w:rPr>
          <w:rStyle w:val="VerbatimChar"/>
        </w:rPr>
        <w:t xml:space="preserve">docs/field-notes/2026-05-28-agent-deployment-execution-harness.md</w:t>
      </w:r>
      <w:r>
        <w:t xml:space="preserve"> </w:t>
      </w:r>
      <w:r>
        <w:rPr>
          <w:iCs/>
          <w:i/>
        </w:rPr>
        <w:t xml:space="preserve">(DWS internal)</w:t>
      </w:r>
    </w:p>
    <w:p>
      <w:pPr>
        <w:numPr>
          <w:ilvl w:val="0"/>
          <w:numId w:val="1006"/>
        </w:numPr>
        <w:pStyle w:val="Compact"/>
      </w:pPr>
      <w:r>
        <w:rPr>
          <w:rStyle w:val="VerbatimChar"/>
        </w:rPr>
        <w:t xml:space="preserve">docs/field-notes/2026-07-26-cosmos-3-edge-lwm-build-adopt-inflection.md</w:t>
      </w:r>
      <w:r>
        <w:t xml:space="preserve"> </w:t>
      </w:r>
      <w:r>
        <w:rPr>
          <w:iCs/>
          <w:i/>
        </w:rPr>
        <w:t xml:space="preserve">(DWS internal)</w:t>
      </w:r>
    </w:p>
    <w:p>
      <w:pPr>
        <w:numPr>
          <w:ilvl w:val="0"/>
          <w:numId w:val="1006"/>
        </w:numPr>
        <w:pStyle w:val="Compact"/>
      </w:pPr>
      <w:r>
        <w:rPr>
          <w:rStyle w:val="VerbatimChar"/>
        </w:rPr>
        <w:t xml:space="preserve">docs/field-notes/2026-07-26-ollama-boss-cost-architecture.md</w:t>
      </w:r>
      <w:r>
        <w:t xml:space="preserve"> </w:t>
      </w:r>
      <w:r>
        <w:rPr>
          <w:iCs/>
          <w:i/>
        </w:rPr>
        <w:t xml:space="preserve">(DWS internal)</w:t>
      </w:r>
    </w:p>
    <w:p>
      <w:r>
        <w:pict>
          <v:rect style="width:0;height:1.5pt" o:hralign="center" o:hrstd="t" o:hr="t"/>
        </w:pict>
      </w:r>
    </w:p>
    <w:p>
      <w:pPr>
        <w:pStyle w:val="FirstParagraph"/>
      </w:pPr>
      <w:r>
        <w:rPr>
          <w:iCs/>
          <w:i/>
        </w:rPr>
        <w:t xml:space="preserve">This document follows DWS Document Standard, DWS Market Research Standard §8.3, and DWS Learning Standard (EU AI Act Article 14).</w:t>
      </w:r>
      <w:r>
        <w:t xml:space="preserve"> </w:t>
      </w:r>
      <w:r>
        <w:rPr>
          <w:iCs/>
          <w:i/>
        </w:rPr>
        <w:t xml:space="preserve">Ontology: Enterprise AI &gt; Agent Infrastructure &gt; Harness/Model Separation &gt; Sovereign Evidence Loop</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2026-07-30T19:09:02Z</dcterms:created>
  <dcterms:modified xsi:type="dcterms:W3CDTF">2026-07-30T19:09:02Z</dcterms:modified>
</cp:coreProperties>
</file>

<file path=docProps/custom.xml><?xml version="1.0" encoding="utf-8"?>
<Properties xmlns="http://schemas.openxmlformats.org/officeDocument/2006/custom-properties" xmlns:vt="http://schemas.openxmlformats.org/officeDocument/2006/docPropsVTypes"/>
</file>