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69f49c455681a8bbf126d9f344428b0da569024"/>
    <w:p>
      <w:pPr>
        <w:pStyle w:val="Heading1"/>
      </w:pPr>
      <w:r>
        <w:t xml:space="preserve">Field Note — The Sovereign Path Was Selectable In Name Only</w:t>
      </w:r>
    </w:p>
    <w:p>
      <w:pPr>
        <w:pStyle w:val="FirstParagraph"/>
      </w:pPr>
      <w:r>
        <w:rPr>
          <w:bCs/>
          <w:b/>
        </w:rPr>
        <w:t xml:space="preserve">Document Type:</w:t>
      </w:r>
      <w:r>
        <w:t xml:space="preserve"> </w:t>
      </w:r>
      <w:r>
        <w:t xml:space="preserve">Field Note — Defect + Architecture</w:t>
      </w:r>
      <w:r>
        <w:t xml:space="preserve"> </w:t>
      </w:r>
      <w:r>
        <w:rPr>
          <w:bCs/>
          <w:b/>
        </w:rPr>
        <w:t xml:space="preserve">Ontology Tags:</w:t>
      </w:r>
      <w:r>
        <w:t xml:space="preserve"> </w:t>
      </w:r>
      <w:r>
        <w:t xml:space="preserve">Sector &gt; Sovereign Compute, Edge AI | Entities &gt; DGX Spark, Acer Veriton GN100, Ollama, DWS IQ 6 | Temporal &gt; 2026-Q3 | Confidence &gt; HIGH — verified in code and tests</w:t>
      </w:r>
    </w:p>
    <w:bookmarkStart w:id="20" w:name="what-was-wrong"/>
    <w:p>
      <w:pPr>
        <w:pStyle w:val="Heading2"/>
      </w:pPr>
      <w:r>
        <w:t xml:space="preserve">1. What was wrong</w:t>
      </w:r>
    </w:p>
    <w:p>
      <w:pPr>
        <w:pStyle w:val="FirstParagraph"/>
      </w:pPr>
      <w:r>
        <w:t xml:space="preserve">Ten places named the local Ollama models.</w:t>
      </w:r>
      <w:r>
        <w:t xml:space="preserve"> </w:t>
      </w:r>
      <w:r>
        <w:rPr>
          <w:rStyle w:val="VerbatimChar"/>
        </w:rPr>
        <w:t xml:space="preserve">MODEL_CATALOG</w:t>
      </w:r>
      <w:r>
        <w:t xml:space="preserve"> </w:t>
      </w:r>
      <w:r>
        <w:t xml:space="preserve">listed</w:t>
      </w:r>
      <w:r>
        <w:t xml:space="preserve"> </w:t>
      </w:r>
      <w:r>
        <w:rPr>
          <w:rStyle w:val="VerbatimChar"/>
        </w:rPr>
        <w:t xml:space="preserve">qwen2.5:7b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qwen2.5:32b</w:t>
      </w:r>
      <w:r>
        <w:t xml:space="preserve">;</w:t>
      </w:r>
      <w:r>
        <w:t xml:space="preserve"> </w:t>
      </w:r>
      <w:r>
        <w:rPr>
          <w:rStyle w:val="VerbatimChar"/>
        </w:rPr>
        <w:t xml:space="preserve">llm-client.ts</w:t>
      </w:r>
      <w:r>
        <w:t xml:space="preserve"> </w:t>
      </w:r>
      <w:r>
        <w:t xml:space="preserve">defaulted to</w:t>
      </w:r>
      <w:r>
        <w:t xml:space="preserve"> </w:t>
      </w:r>
      <w:r>
        <w:rPr>
          <w:rStyle w:val="VerbatimChar"/>
        </w:rPr>
        <w:t xml:space="preserve">qwen2.5:32b</w:t>
      </w:r>
      <w:r>
        <w:t xml:space="preserve">.</w:t>
      </w:r>
      <w:r>
        <w:t xml:space="preserve"> </w:t>
      </w:r>
      <w:r>
        <w:rPr>
          <w:bCs/>
          <w:b/>
        </w:rPr>
        <w:t xml:space="preserve">None of those are on the box.</w:t>
      </w:r>
      <w:r>
        <w:t xml:space="preserve"> </w:t>
      </w:r>
      <w:r>
        <w:t xml:space="preserve">The Spark runs</w:t>
      </w:r>
      <w:r>
        <w:t xml:space="preserve"> </w:t>
      </w:r>
      <w:r>
        <w:rPr>
          <w:rStyle w:val="VerbatimChar"/>
        </w:rPr>
        <w:t xml:space="preserve">nemotron-3-super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qwen3-coder:30b</w:t>
      </w:r>
      <w:r>
        <w:t xml:space="preserve">, and seven other files already agreed on that pair.</w:t>
      </w:r>
    </w:p>
    <w:p>
      <w:pPr>
        <w:pStyle w:val="BodyText"/>
      </w:pPr>
      <w:r>
        <w:t xml:space="preserve">This had been carried as</w:t>
      </w:r>
      <w:r>
        <w:t xml:space="preserve"> </w:t>
      </w:r>
      <w:r>
        <w:t xml:space="preserve">“</w:t>
      </w:r>
      <w:r>
        <w:t xml:space="preserve">four-way model drift</w:t>
      </w:r>
      <w:r>
        <w:t xml:space="preserve">”</w:t>
      </w:r>
      <w:r>
        <w:t xml:space="preserve">, deferred as documentation hygiene. That diagnosis was wrong.</w:t>
      </w:r>
      <w:r>
        <w:t xml:space="preserve"> </w:t>
      </w:r>
      <w:r>
        <w:rPr>
          <w:rStyle w:val="VerbatimChar"/>
        </w:rPr>
        <w:t xml:space="preserve">MODEL_CATALOG</w:t>
      </w:r>
      <w:r>
        <w:t xml:space="preserve"> </w:t>
      </w:r>
      <w:r>
        <w:t xml:space="preserve">is read by</w:t>
      </w:r>
      <w:r>
        <w:t xml:space="preserve"> </w:t>
      </w:r>
      <w:r>
        <w:rPr>
          <w:rStyle w:val="VerbatimChar"/>
        </w:rPr>
        <w:t xml:space="preserve">selectModel()</w:t>
      </w:r>
      <w:r>
        <w:t xml:space="preserve"> </w:t>
      </w:r>
      <w:r>
        <w:t xml:space="preserve">on every agent call, so the runtime requested a model the host had never pulled — the call fails, or falls silently through to a metered cloud provider.</w:t>
      </w:r>
    </w:p>
    <w:p>
      <w:pPr>
        <w:pStyle w:val="BodyText"/>
      </w:pPr>
      <w:r>
        <w:rPr>
          <w:bCs/>
          <w:b/>
        </w:rPr>
        <w:t xml:space="preserve">The local-first architecture we sell was, in the selection path, unreachable.</w:t>
      </w:r>
      <w:r>
        <w:t xml:space="preserve"> </w:t>
      </w:r>
      <w:r>
        <w:t xml:space="preserve">Captured as</w:t>
      </w:r>
      <w:r>
        <w:t xml:space="preserve"> </w:t>
      </w:r>
      <w:r>
        <w:rPr>
          <w:rStyle w:val="VerbatimChar"/>
        </w:rPr>
        <w:t xml:space="preserve">kb/wiki/concepts/config-drift-is-a-runtime-bug.md</w:t>
      </w:r>
      <w:r>
        <w:t xml:space="preserve">.</w:t>
      </w:r>
    </w:p>
    <w:p>
      <w:pPr>
        <w:pStyle w:val="BodyText"/>
      </w:pPr>
      <w:r>
        <w:t xml:space="preserve">Two further findings: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Standard tier had 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ollama-local</w:t>
      </w:r>
      <w:r>
        <w:rPr>
          <w:bCs/>
          <w:b/>
        </w:rPr>
        <w:t xml:space="preserve"> </w:t>
      </w:r>
      <w:r>
        <w:rPr>
          <w:bCs/>
          <w:b/>
        </w:rPr>
        <w:t xml:space="preserve">entry at all.</w:t>
      </w:r>
      <w:r>
        <w:t xml:space="preserve"> </w:t>
      </w:r>
      <w:r>
        <w:t xml:space="preserve">An Ollama-only Spark fell past both vLLM options straight to Groq/Anthropic. The tier meant to be local-first was the one that could not go local.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infrastructure/dgx-spark/.env.example</w:t>
      </w:r>
      <w:r>
        <w:rPr>
          <w:bCs/>
          <w:b/>
        </w:rPr>
        <w:t xml:space="preserve"> </w:t>
      </w:r>
      <w:r>
        <w:rPr>
          <w:bCs/>
          <w:b/>
        </w:rPr>
        <w:t xml:space="preserve">named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llama3.3:70b</w:t>
      </w:r>
      <w:r>
        <w:rPr>
          <w:bCs/>
          <w:b/>
        </w:rPr>
        <w:t xml:space="preserve"> </w:t>
      </w:r>
      <w:r>
        <w:rPr>
          <w:bCs/>
          <w:b/>
        </w:rPr>
        <w:t xml:space="preserve">+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qwen2.5-coder:32b</w:t>
      </w:r>
      <w:r>
        <w:t xml:space="preserve"> </w:t>
      </w:r>
      <w:r>
        <w:t xml:space="preserve">— the exact pair</w:t>
      </w:r>
      <w:r>
        <w:t xml:space="preserve"> </w:t>
      </w:r>
      <w:r>
        <w:rPr>
          <w:rStyle w:val="VerbatimChar"/>
        </w:rPr>
        <w:t xml:space="preserve">deploy.sh --models-cleanup</w:t>
      </w:r>
      <w:r>
        <w:t xml:space="preserve"> </w:t>
      </w:r>
      <w:r>
        <w:t xml:space="preserve">exists to delete. A fresh deploy read its models from a file describing the deprecated set.</w:t>
      </w:r>
    </w:p>
    <w:bookmarkEnd w:id="20"/>
    <w:bookmarkStart w:id="21" w:name="what-changed"/>
    <w:p>
      <w:pPr>
        <w:pStyle w:val="Heading2"/>
      </w:pPr>
      <w:r>
        <w:t xml:space="preserve">2. What changed</w:t>
      </w:r>
    </w:p>
    <w:p>
      <w:pPr>
        <w:pStyle w:val="FirstParagraph"/>
      </w:pPr>
      <w:r>
        <w:t xml:space="preserve">Exported</w:t>
      </w:r>
      <w:r>
        <w:t xml:space="preserve"> </w:t>
      </w:r>
      <w:r>
        <w:rPr>
          <w:rStyle w:val="VerbatimChar"/>
        </w:rPr>
        <w:t xml:space="preserve">OLLAMA_DEPLOYED_MODELS {deep, fast}</w:t>
      </w:r>
      <w:r>
        <w:t xml:space="preserve"> </w:t>
      </w:r>
      <w:r>
        <w:t xml:space="preserve">as the single source of truth; every</w:t>
      </w:r>
      <w:r>
        <w:t xml:space="preserve"> </w:t>
      </w:r>
      <w:r>
        <w:rPr>
          <w:rStyle w:val="VerbatimChar"/>
        </w:rPr>
        <w:t xml:space="preserve">ollama-local</w:t>
      </w:r>
      <w:r>
        <w:t xml:space="preserve"> </w:t>
      </w:r>
      <w:r>
        <w:t xml:space="preserve">catalog entry binds to it, and</w:t>
      </w:r>
      <w:r>
        <w:t xml:space="preserve"> </w:t>
      </w:r>
      <w:r>
        <w:rPr>
          <w:bCs/>
          <w:b/>
        </w:rPr>
        <w:t xml:space="preserve">no literal Ollama id remains in the catalog</w:t>
      </w:r>
      <w:r>
        <w:t xml:space="preserve">.</w:t>
      </w:r>
      <w:r>
        <w:t xml:space="preserve"> </w:t>
      </w:r>
      <w:r>
        <w:rPr>
          <w:rStyle w:val="VerbatimChar"/>
        </w:rPr>
        <w:t xml:space="preserve">llm-client.ts</w:t>
      </w:r>
      <w:r>
        <w:t xml:space="preserve">, both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files, and the standard tier now agree. Tests read</w:t>
      </w:r>
      <w:r>
        <w:t xml:space="preserve"> </w:t>
      </w:r>
      <w:r>
        <w:rPr>
          <w:rStyle w:val="VerbatimChar"/>
        </w:rPr>
        <w:t xml:space="preserve">check-ollama-models.sh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deploy.sh</w:t>
      </w:r>
      <w:r>
        <w:t xml:space="preserve"> </w:t>
      </w:r>
      <w:r>
        <w:t xml:space="preserve">from disk, so editing those in isolation fails CI.</w:t>
      </w:r>
    </w:p>
    <w:p>
      <w:pPr>
        <w:pStyle w:val="BodyText"/>
      </w:pPr>
      <w:r>
        <w:rPr>
          <w:rStyle w:val="VerbatimChar"/>
          <w:bCs/>
          <w:b/>
        </w:rPr>
        <w:t xml:space="preserve">contextWindow</w:t>
      </w:r>
      <w:r>
        <w:rPr>
          <w:bCs/>
          <w:b/>
        </w:rPr>
        <w:t xml:space="preserve"> </w:t>
      </w:r>
      <w:r>
        <w:rPr>
          <w:bCs/>
          <w:b/>
        </w:rPr>
        <w:t xml:space="preserve">was declared on all 16 models and read by nothing.</w:t>
      </w:r>
      <w:r>
        <w:t xml:space="preserve"> </w:t>
      </w:r>
      <w:r>
        <w:t xml:space="preserve">Added</w:t>
      </w:r>
      <w:r>
        <w:t xml:space="preserve"> </w:t>
      </w:r>
      <w:r>
        <w:rPr>
          <w:rStyle w:val="VerbatimChar"/>
        </w:rPr>
        <w:t xml:space="preserve">modelFitsDepth()</w:t>
      </w:r>
      <w:r>
        <w:t xml:space="preserve">, applied in the primary and fallback loops, with required depth = estimated input</w:t>
      </w:r>
      <w:r>
        <w:t xml:space="preserve"> </w:t>
      </w:r>
      <w:r>
        <w:rPr>
          <w:bCs/>
          <w:b/>
        </w:rPr>
        <w:t xml:space="preserve">plus the tier’s reserved output</w:t>
      </w:r>
      <w:r>
        <w:t xml:space="preserve"> </w:t>
      </w:r>
      <w:r>
        <w:t xml:space="preserve">(a window equal to the prompt cannot answer it).</w:t>
      </w:r>
      <w:r>
        <w:t xml:space="preserve"> </w:t>
      </w:r>
      <w:r>
        <w:rPr>
          <w:rStyle w:val="VerbatimChar"/>
        </w:rPr>
        <w:t xml:space="preserve">ModelSelection</w:t>
      </w:r>
      <w:r>
        <w:t xml:space="preserve"> </w:t>
      </w:r>
      <w:r>
        <w:t xml:space="preserve">now carries</w:t>
      </w:r>
      <w:r>
        <w:t xml:space="preserve"> </w:t>
      </w:r>
      <w:r>
        <w:rPr>
          <w:rStyle w:val="VerbatimChar"/>
        </w:rPr>
        <w:t xml:space="preserve">contextWindow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requiredContextTokens</w:t>
      </w:r>
      <w:r>
        <w:t xml:space="preserve">; the no-model case distinguishes</w:t>
      </w:r>
      <w:r>
        <w:t xml:space="preserve"> </w:t>
      </w:r>
      <w:r>
        <w:t xml:space="preserve">“</w:t>
      </w:r>
      <w:r>
        <w:t xml:space="preserve">no provider</w:t>
      </w:r>
      <w:r>
        <w:t xml:space="preserve">”</w:t>
      </w:r>
      <w:r>
        <w:t xml:space="preserve"> </w:t>
      </w:r>
      <w:r>
        <w:t xml:space="preserve">from</w:t>
      </w:r>
      <w:r>
        <w:t xml:space="preserve"> </w:t>
      </w:r>
      <w:r>
        <w:t xml:space="preserve">“</w:t>
      </w:r>
      <w:r>
        <w:t xml:space="preserve">nothing deep enough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Corrected</w:t>
      </w:r>
      <w:r>
        <w:t xml:space="preserve"> </w:t>
      </w:r>
      <w:r>
        <w:rPr>
          <w:rStyle w:val="VerbatimChar"/>
        </w:rPr>
        <w:t xml:space="preserve">nemotron-3-super</w:t>
      </w:r>
      <w:r>
        <w:t xml:space="preserve"> </w:t>
      </w:r>
      <w:r>
        <w:t xml:space="preserve">footprint from an invented 34/38 GB to</w:t>
      </w:r>
      <w:r>
        <w:t xml:space="preserve"> </w:t>
      </w:r>
      <w:r>
        <w:rPr>
          <w:bCs/>
          <w:b/>
        </w:rPr>
        <w:t xml:space="preserve">87 GB disk / ~90 GB RAM</w:t>
      </w:r>
      <w:r>
        <w:t xml:space="preserve"> </w:t>
      </w:r>
      <w:r>
        <w:t xml:space="preserve">(</w:t>
      </w:r>
      <w:r>
        <w:rPr>
          <w:rStyle w:val="VerbatimChar"/>
        </w:rPr>
        <w:t xml:space="preserve">Deploy-DgxSpark.ps1</w:t>
      </w:r>
      <w:r>
        <w:t xml:space="preserve"> </w:t>
      </w:r>
      <w:r>
        <w:t xml:space="preserve">states the pull size;</w:t>
      </w:r>
      <w:r>
        <w:t xml:space="preserve"> </w:t>
      </w:r>
      <w:r>
        <w:rPr>
          <w:rStyle w:val="VerbatimChar"/>
        </w:rPr>
        <w:t xml:space="preserve">heartbeat.ts</w:t>
      </w:r>
      <w:r>
        <w:t xml:space="preserve"> </w:t>
      </w:r>
      <w:r>
        <w:t xml:space="preserve">gives MoE 120B/12.7B active). It now sits deliberately tight against the 98 GB budget so</w:t>
      </w:r>
      <w:r>
        <w:t xml:space="preserve"> </w:t>
      </w:r>
      <w:r>
        <w:rPr>
          <w:rStyle w:val="VerbatimChar"/>
        </w:rPr>
        <w:t xml:space="preserve">isLocalModelFeasible()</w:t>
      </w:r>
      <w:r>
        <w:t xml:space="preserve"> </w:t>
      </w:r>
      <w:r>
        <w:t xml:space="preserve">rejects it rather than OOM-ing the box.</w:t>
      </w:r>
    </w:p>
    <w:p>
      <w:pPr>
        <w:pStyle w:val="BodyText"/>
      </w:pPr>
      <w:r>
        <w:t xml:space="preserve">Also removed three surviving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€0/hour</w:t>
      </w:r>
      <w:r>
        <w:rPr>
          <w:bCs/>
          <w:b/>
        </w:rPr>
        <w:t xml:space="preserve">”</w:t>
      </w:r>
      <w:r>
        <w:t xml:space="preserve"> </w:t>
      </w:r>
      <w:r>
        <w:t xml:space="preserve">claims — including the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string emitted into logs and telemetry, where the retired cost claim was leaking into machine-readable output.</w:t>
      </w:r>
    </w:p>
    <w:bookmarkEnd w:id="21"/>
    <w:bookmarkStart w:id="22" w:name="X0a85f72f6b8d42952c60bdb6ca7e0827d30f3b6"/>
    <w:p>
      <w:pPr>
        <w:pStyle w:val="Heading2"/>
      </w:pPr>
      <w:r>
        <w:t xml:space="preserve">3. The Gemini spec — rejected, with the useful parts kept</w:t>
      </w:r>
    </w:p>
    <w:p>
      <w:pPr>
        <w:pStyle w:val="FirstParagraph"/>
      </w:pPr>
      <w:r>
        <w:t xml:space="preserve">A Gemini-authored execution spec arrived proposing the opposite direction: make</w:t>
      </w:r>
      <w:r>
        <w:t xml:space="preserve"> </w:t>
      </w:r>
      <w:r>
        <w:rPr>
          <w:rStyle w:val="VerbatimChar"/>
        </w:rPr>
        <w:t xml:space="preserve">MODEL_CATALOG</w:t>
      </w:r>
      <w:r>
        <w:t xml:space="preserve"> </w:t>
      </w:r>
      <w:r>
        <w:t xml:space="preserve">canonical and rewrite the deployment scripts to match it.</w:t>
      </w:r>
    </w:p>
    <w:p>
      <w:pPr>
        <w:pStyle w:val="BodyText"/>
      </w:pPr>
      <w:r>
        <w:rPr>
          <w:bCs/>
          <w:b/>
        </w:rPr>
        <w:t xml:space="preserve">Rejected, because it would have re-introduced the defect.</w:t>
      </w:r>
      <w:r>
        <w:t xml:space="preserve"> </w:t>
      </w:r>
      <w:r>
        <w:t xml:space="preserve">It proposed adding</w:t>
      </w:r>
      <w:r>
        <w:t xml:space="preserve"> </w:t>
      </w:r>
      <w:r>
        <w:rPr>
          <w:rStyle w:val="VerbatimChar"/>
        </w:rPr>
        <w:t xml:space="preserve">qwen2.5:7b</w:t>
      </w:r>
      <w:r>
        <w:t xml:space="preserve"> </w:t>
      </w:r>
      <w:r>
        <w:t xml:space="preserve">back (the phantom), adding</w:t>
      </w:r>
      <w:r>
        <w:t xml:space="preserve"> </w:t>
      </w:r>
      <w:r>
        <w:rPr>
          <w:rStyle w:val="VerbatimChar"/>
        </w:rPr>
        <w:t xml:space="preserve">nemotron-cascade-2-30b-a3b</w:t>
      </w:r>
      <w:r>
        <w:t xml:space="preserve"> </w:t>
      </w:r>
      <w:r>
        <w:t xml:space="preserve">(an</w:t>
      </w:r>
      <w:r>
        <w:t xml:space="preserve"> </w:t>
      </w:r>
      <w:r>
        <w:rPr>
          <w:iCs/>
          <w:i/>
        </w:rPr>
        <w:t xml:space="preserve">external market signal</w:t>
      </w:r>
      <w:r>
        <w:t xml:space="preserve"> </w:t>
      </w:r>
      <w:r>
        <w:t xml:space="preserve">from a field note, not a deployed model, with no evidence it is pullable), and</w:t>
      </w:r>
      <w:r>
        <w:t xml:space="preserve"> </w:t>
      </w:r>
      <w:r>
        <w:rPr>
          <w:bCs/>
          <w:b/>
        </w:rPr>
        <w:t xml:space="preserve">removing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nemotron-3-super</w:t>
      </w:r>
      <w:r>
        <w:t xml:space="preserve"> </w:t>
      </w:r>
      <w:r>
        <w:t xml:space="preserve">— which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references three times as the running model. It also assumed a codebase that does not exist here:</w:t>
      </w:r>
      <w:r>
        <w:t xml:space="preserve"> </w:t>
      </w:r>
      <w:r>
        <w:rPr>
          <w:rStyle w:val="VerbatimChar"/>
        </w:rPr>
        <w:t xml:space="preserve">MODEL_CATALOG</w:t>
      </w:r>
      <w:r>
        <w:t xml:space="preserve"> </w:t>
      </w:r>
      <w:r>
        <w:t xml:space="preserve">as a flat array (it is</w:t>
      </w:r>
      <w:r>
        <w:t xml:space="preserve"> </w:t>
      </w:r>
      <w:r>
        <w:rPr>
          <w:rStyle w:val="VerbatimChar"/>
        </w:rPr>
        <w:t xml:space="preserve">Record&lt;ModelTier, TierConfig&gt;</w:t>
      </w:r>
      <w:r>
        <w:t xml:space="preserve">),</w:t>
      </w:r>
      <w:r>
        <w:t xml:space="preserve"> </w:t>
      </w:r>
      <w:r>
        <w:rPr>
          <w:rStyle w:val="VerbatimChar"/>
        </w:rPr>
        <w:t xml:space="preserve">selectModel(request)</w:t>
      </w:r>
      <w:r>
        <w:t xml:space="preserve"> </w:t>
      </w:r>
      <w:r>
        <w:t xml:space="preserve">(it is</w:t>
      </w:r>
      <w:r>
        <w:t xml:space="preserve"> </w:t>
      </w:r>
      <w:r>
        <w:rPr>
          <w:rStyle w:val="VerbatimChar"/>
        </w:rPr>
        <w:t xml:space="preserve">selectModel(agentName, options)</w:t>
      </w:r>
      <w:r>
        <w:t xml:space="preserve">),</w:t>
      </w:r>
      <w:r>
        <w:t xml:space="preserve"> </w:t>
      </w:r>
      <w:r>
        <w:rPr>
          <w:rStyle w:val="VerbatimChar"/>
        </w:rPr>
        <w:t xml:space="preserve">provider: "ollama"</w:t>
      </w:r>
      <w:r>
        <w:t xml:space="preserve"> </w:t>
      </w:r>
      <w:r>
        <w:t xml:space="preserve">(it is</w:t>
      </w:r>
      <w:r>
        <w:t xml:space="preserve"> </w:t>
      </w:r>
      <w:r>
        <w:rPr>
          <w:rStyle w:val="VerbatimChar"/>
        </w:rPr>
        <w:t xml:space="preserve">ollama-local</w:t>
      </w:r>
      <w:r>
        <w:t xml:space="preserve">), tiers</w:t>
      </w:r>
      <w:r>
        <w:t xml:space="preserve"> </w:t>
      </w:r>
      <w:r>
        <w:rPr>
          <w:rStyle w:val="VerbatimChar"/>
        </w:rPr>
        <w:t xml:space="preserve">fast|heavy</w:t>
      </w:r>
      <w:r>
        <w:t xml:space="preserve"> </w:t>
      </w:r>
      <w:r>
        <w:t xml:space="preserve">(they are</w:t>
      </w:r>
      <w:r>
        <w:t xml:space="preserve"> </w:t>
      </w:r>
      <w:r>
        <w:rPr>
          <w:rStyle w:val="VerbatimChar"/>
        </w:rPr>
        <w:t xml:space="preserve">lite|standard|heavy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src/services/llm-client.ts</w:t>
      </w:r>
      <w:r>
        <w:t xml:space="preserve"> </w:t>
      </w:r>
      <w:r>
        <w:t xml:space="preserve">(it is</w:t>
      </w:r>
      <w:r>
        <w:t xml:space="preserve"> </w:t>
      </w:r>
      <w:r>
        <w:rPr>
          <w:rStyle w:val="VerbatimChar"/>
        </w:rPr>
        <w:t xml:space="preserve">src/agents/</w:t>
      </w:r>
      <w:r>
        <w:t xml:space="preserve">). Implementing it verbatim would have been a rewrite breaking 1046 passing tests.</w:t>
      </w:r>
    </w:p>
    <w:p>
      <w:pPr>
        <w:pStyle w:val="BodyText"/>
      </w:pPr>
      <w:r>
        <w:rPr>
          <w:bCs/>
          <w:b/>
        </w:rPr>
        <w:t xml:space="preserve">The general lesson, which is the reusable part:</w:t>
      </w:r>
      <w:r>
        <w:t xml:space="preserve"> </w:t>
      </w:r>
      <w:r>
        <w:t xml:space="preserve">truth flows from the deployed reality inward. You cannot fix a deployment by editing a constant.</w:t>
      </w:r>
    </w:p>
    <w:p>
      <w:pPr>
        <w:pStyle w:val="BodyText"/>
      </w:pPr>
      <w:r>
        <w:rPr>
          <w:bCs/>
          <w:b/>
        </w:rPr>
        <w:t xml:space="preserve">Kept from it:</w:t>
      </w:r>
      <w:r>
        <w:t xml:space="preserve"> </w:t>
      </w:r>
      <w:r>
        <w:t xml:space="preserve">(i)</w:t>
      </w:r>
      <w:r>
        <w:t xml:space="preserve"> </w:t>
      </w:r>
      <w:r>
        <w:rPr>
          <w:rStyle w:val="VerbatimChar"/>
        </w:rPr>
        <w:t xml:space="preserve">infrastructure/dgx-spark/.env.example</w:t>
      </w:r>
      <w:r>
        <w:t xml:space="preserve"> </w:t>
      </w:r>
      <w:r>
        <w:t xml:space="preserve">was genuinely stale and I had missed it — fixed, though to the deployed pair rather than Gemini’s set; (ii) dynamic</w:t>
      </w:r>
      <w:r>
        <w:t xml:space="preserve"> </w:t>
      </w:r>
      <w:r>
        <w:rPr>
          <w:rStyle w:val="VerbatimChar"/>
        </w:rPr>
        <w:t xml:space="preserve">num_ctx</w:t>
      </w:r>
      <w:r>
        <w:t xml:space="preserve"> </w:t>
      </w:r>
      <w:r>
        <w:t xml:space="preserve">sizing on the Ollama call is a real gap and is carried into the next session; (iii) an explicit</w:t>
      </w:r>
      <w:r>
        <w:t xml:space="preserve"> </w:t>
      </w:r>
      <w:r>
        <w:rPr>
          <w:rStyle w:val="VerbatimChar"/>
        </w:rPr>
        <w:t xml:space="preserve">requireLocal</w:t>
      </w:r>
      <w:r>
        <w:t xml:space="preserve"> </w:t>
      </w:r>
      <w:r>
        <w:t xml:space="preserve">selection constraint is worth having.</w:t>
      </w:r>
    </w:p>
    <w:bookmarkEnd w:id="22"/>
    <w:bookmarkStart w:id="23" w:name="learning-outcome-six-step"/>
    <w:p>
      <w:pPr>
        <w:pStyle w:val="Heading2"/>
      </w:pPr>
      <w:r>
        <w:t xml:space="preserve">4. Learning Outcome (six-step)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KB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kb/wiki/concepts/config-drift-is-a-runtime-bug.md</w:t>
      </w:r>
      <w:r>
        <w:t xml:space="preserve"> </w:t>
      </w:r>
      <w:r>
        <w:t xml:space="preserve">(new).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Field note</w:t>
      </w:r>
      <w:r>
        <w:t xml:space="preserve"> </w:t>
      </w:r>
      <w:r>
        <w:t xml:space="preserve">— this file.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Learn/</w:t>
      </w:r>
      <w:r>
        <w:rPr>
          <w:bCs/>
          <w:b/>
        </w:rPr>
        <w:t xml:space="preserve"> </w:t>
      </w:r>
      <w:r>
        <w:rPr>
          <w:bCs/>
          <w:b/>
        </w:rPr>
        <w:t xml:space="preserve">HTML</w:t>
      </w:r>
      <w:r>
        <w:t xml:space="preserve"> </w:t>
      </w:r>
      <w:r>
        <w:t xml:space="preserve">— rendered.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Drive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N/A — no customer-facing artifact in this change; the Outokumpu pack was exported 30.07 and is unchanged.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HIC question</w:t>
      </w:r>
      <w:r>
        <w:t xml:space="preserve"> </w:t>
      </w:r>
      <w:r>
        <w:t xml:space="preserve">— Q9 below.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Calendar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N/A — this change created no dated commitment. The six Outokumpu dates from 30.07 stand.</w:t>
      </w:r>
    </w:p>
    <w:bookmarkEnd w:id="23"/>
    <w:bookmarkStart w:id="25" w:name="hic-decisions"/>
    <w:p>
      <w:pPr>
        <w:pStyle w:val="Heading2"/>
      </w:pPr>
      <w:r>
        <w:t xml:space="preserve">5. HIC decisions</w:t>
      </w:r>
    </w:p>
    <w:p>
      <w:pPr>
        <w:pStyle w:val="FirstParagraph"/>
      </w:pPr>
      <w:r>
        <w:rPr>
          <w:bCs/>
          <w:b/>
        </w:rPr>
        <w:t xml:space="preserve">Q8 (still OPEN, carried)</w:t>
      </w:r>
      <w:r>
        <w:t xml:space="preserve"> </w:t>
      </w:r>
      <w:r>
        <w:t xml:space="preserve">— does the 240 h / €200 h basis in the Outokumpu tuntiraportti hold? Blocks sending that annex.</w:t>
      </w:r>
    </w:p>
    <w:bookmarkStart w:id="24" w:name="X0b9b4a60633bbce2700cc47538d32e217e6d821"/>
    <w:p>
      <w:pPr>
        <w:pStyle w:val="Heading3"/>
      </w:pPr>
      <w:r>
        <w:t xml:space="preserve">Q9 (OPEN) — are the context-window values in the catalog fit to route on?</w:t>
      </w:r>
    </w:p>
    <w:p>
      <w:pPr>
        <w:pStyle w:val="FirstParagraph"/>
      </w:pPr>
      <w:r>
        <w:t xml:space="preserve">Depth routing is now live, and it routes on numbers</w:t>
      </w:r>
      <w:r>
        <w:t xml:space="preserve"> </w:t>
      </w:r>
      <w:r>
        <w:rPr>
          <w:bCs/>
          <w:b/>
        </w:rPr>
        <w:t xml:space="preserve">nobody has measured</w:t>
      </w:r>
      <w:r>
        <w:t xml:space="preserve">. I set</w:t>
      </w:r>
      <w:r>
        <w:t xml:space="preserve"> </w:t>
      </w:r>
      <w:r>
        <w:rPr>
          <w:rStyle w:val="VerbatimChar"/>
        </w:rPr>
        <w:t xml:space="preserve">qwen3-coder:30b</w:t>
      </w:r>
      <w:r>
        <w:t xml:space="preserve"> </w:t>
      </w:r>
      <w:r>
        <w:t xml:space="preserve">to 262144 and</w:t>
      </w:r>
      <w:r>
        <w:t xml:space="preserve"> </w:t>
      </w:r>
      <w:r>
        <w:rPr>
          <w:rStyle w:val="VerbatimChar"/>
        </w:rPr>
        <w:t xml:space="preserve">nemotron-3-super</w:t>
      </w:r>
      <w:r>
        <w:t xml:space="preserve"> </w:t>
      </w:r>
      <w:r>
        <w:t xml:space="preserve">to 131072 from vendor/model-card knowledge, not from the box. The pre-existing vLLM entries still say 32768, which may itself be stale. Per</w:t>
      </w:r>
      <w:r>
        <w:t xml:space="preserve"> </w:t>
      </w:r>
      <w:r>
        <w:rPr>
          <w:rStyle w:val="VerbatimChar"/>
        </w:rPr>
        <w:t xml:space="preserve">kb/wiki/concepts/harness-cost-is-a-pl-line-item.md</w:t>
      </w:r>
      <w:r>
        <w:t xml:space="preserve">, a number with no measurement behind it is an estimate — and these estimates now change which model runs.</w:t>
      </w:r>
    </w:p>
    <w:p>
      <w:pPr>
        <w:pStyle w:val="BodyText"/>
      </w:pPr>
      <w:r>
        <w:rPr>
          <w:bCs/>
          <w:b/>
        </w:rPr>
        <w:t xml:space="preserve">Options: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Ship as-is, mark the values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unverified</w:t>
      </w:r>
      <w:r>
        <w:rPr>
          <w:bCs/>
          <w:b/>
        </w:rPr>
        <w:t xml:space="preserve"> </w:t>
      </w:r>
      <w:r>
        <w:rPr>
          <w:bCs/>
          <w:b/>
        </w:rPr>
        <w:t xml:space="preserve">in the type</w:t>
      </w:r>
      <w:r>
        <w:t xml:space="preserve"> </w:t>
      </w:r>
      <w:r>
        <w:rPr>
          <w:iCs/>
          <w:i/>
        </w:rPr>
        <w:t xml:space="preserve">(RECOMMEND)</w:t>
      </w:r>
      <w:r>
        <w:t xml:space="preserve">. Depth routing is strictly better than the previous behaviour (no routing at all), and the field carries its own provenance so nobody mistakes it for measured.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Block depth routing until the GN-100 sweep runs.</w:t>
      </w:r>
      <w:r>
        <w:t xml:space="preserve"> </w:t>
      </w:r>
      <w:r>
        <w:t xml:space="preserve">Most correct, but the sweep is unrun and unreachable from cloud containers, so this parks a working improvement behind an unscheduled dependency.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Probe the box at startup</w:t>
      </w:r>
      <w:r>
        <w:t xml:space="preserve"> </w:t>
      </w:r>
      <w:r>
        <w:t xml:space="preserve">and populate</w:t>
      </w:r>
      <w:r>
        <w:t xml:space="preserve"> </w:t>
      </w:r>
      <w:r>
        <w:rPr>
          <w:rStyle w:val="VerbatimChar"/>
        </w:rPr>
        <w:t xml:space="preserve">contextWindow</w:t>
      </w:r>
      <w:r>
        <w:t xml:space="preserve"> </w:t>
      </w:r>
      <w:r>
        <w:t xml:space="preserve">from the live Ollama</w:t>
      </w:r>
      <w:r>
        <w:t xml:space="preserve"> </w:t>
      </w:r>
      <w:r>
        <w:rPr>
          <w:rStyle w:val="VerbatimChar"/>
        </w:rPr>
        <w:t xml:space="preserve">/api/show</w:t>
      </w:r>
      <w:r>
        <w:t xml:space="preserve">. Best long-term; needs the box reachable and a cache for when it is not.</w:t>
      </w:r>
    </w:p>
    <w:p>
      <w:pPr>
        <w:pStyle w:val="FirstParagraph"/>
      </w:pPr>
      <w:r>
        <w:rPr>
          <w:bCs/>
          <w:b/>
        </w:rPr>
        <w:t xml:space="preserve">Reversibility:</w:t>
      </w:r>
      <w:r>
        <w:t xml:space="preserve"> </w:t>
      </w:r>
      <w:r>
        <w:t xml:space="preserve">two-way. Nothing customer-facing depends on it yet — but it becomes ONE-WAY the moment a context-window figure appears in a customer proposal or the Aegis pilot sizing report.</w:t>
      </w:r>
    </w:p>
    <w:p>
      <w:pPr>
        <w:pStyle w:val="BodyText"/>
      </w:pPr>
      <w:r>
        <w:rPr>
          <w:bCs/>
          <w:b/>
        </w:rPr>
        <w:t xml:space="preserve">Recommendation: option 1 now, option 3 as the durable fix</w:t>
      </w:r>
      <w:r>
        <w:t xml:space="preserve">, so the depth-curve sweep validates a mechanism that already exists rather than gating it.</w:t>
      </w:r>
    </w:p>
    <w:bookmarkEnd w:id="24"/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2026-07-31T00:12:14Z</dcterms:created>
  <dcterms:modified xsi:type="dcterms:W3CDTF">2026-07-31T00:12:14Z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