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ed0a94edb0a1925822e8d5e358c034966c82a20"/>
    <w:p>
      <w:pPr>
        <w:pStyle w:val="Heading1"/>
      </w:pPr>
      <w:r>
        <w:t xml:space="preserve">Field Note: Arvonluonnin Ajurit — Handbook v1.10 and a 5-Language Blog Launch</w:t>
      </w:r>
    </w:p>
    <w:p>
      <w:r>
        <w:pict>
          <v:rect style="width:0;height:1.5pt" o:hralign="center" o:hrstd="t" o:hr="t"/>
        </w:pict>
      </w:r>
    </w:p>
    <w:bookmarkEnd w:id="20"/>
    <w:bookmarkStart w:id="25" w:name="version-and-agent-history"/>
    <w:p>
      <w:pPr>
        <w:pStyle w:val="Heading1"/>
      </w:pPr>
      <w:r>
        <w:t xml:space="preserve">VERSION AND AGENT HISTORY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Sessions &amp; Modifications:</w:t>
      </w:r>
    </w:p>
    <w:p>
      <w:pPr>
        <w:numPr>
          <w:ilvl w:val="0"/>
          <w:numId w:val="1001"/>
        </w:numPr>
        <w:pStyle w:val="Compact"/>
      </w:pPr>
      <w:r>
        <w:t xml:space="preserve">Version: 1.0 | Tool: Claude Code | Session: claude/arvonluonnin-ajurit-research-hpiipo | Date: 06.08.2026 | Changes: Initial field note — value-creation-drivers research folded into</w:t>
      </w:r>
      <w:r>
        <w:t xml:space="preserve"> </w:t>
      </w:r>
      <w:r>
        <w:rPr>
          <w:rStyle w:val="VerbatimChar"/>
        </w:rPr>
        <w:t xml:space="preserve">KONSULTOINNIN_KASIKIRJA_2026.md</w:t>
      </w:r>
      <w:r>
        <w:t xml:space="preserve"> </w:t>
      </w:r>
      <w:r>
        <w:t xml:space="preserve">(v1.9 §2.1, v1.10 §2.2), then carried into a public 5-language blog post (</w:t>
      </w:r>
      <w:r>
        <w:rPr>
          <w:rStyle w:val="VerbatimChar"/>
        </w:rPr>
        <w:t xml:space="preserve">arvonluonnin-ajurit-2026.{html,fi,sv,de,fr}.html</w:t>
      </w:r>
      <w:r>
        <w:t xml:space="preserve">), HIC-approved and published this session.</w:t>
      </w:r>
    </w:p>
    <w:p>
      <w:pPr>
        <w:pStyle w:val="FirstParagraph"/>
      </w:pPr>
      <w:r>
        <w:t xml:space="preserve">Session Links &amp; References:</w:t>
      </w:r>
    </w:p>
    <w:p>
      <w:pPr>
        <w:numPr>
          <w:ilvl w:val="0"/>
          <w:numId w:val="1002"/>
        </w:numPr>
        <w:pStyle w:val="Compact"/>
      </w:pPr>
      <w:r>
        <w:t xml:space="preserve">Claude Code (claude/arvonluonnin-ajurit-research-hpiipo): https://claude.ai/code</w:t>
      </w:r>
    </w:p>
    <w:p>
      <w:pPr>
        <w:pStyle w:val="FirstParagraph"/>
      </w:pPr>
      <w:r>
        <w:t xml:space="preserve">Document Status:</w:t>
      </w:r>
    </w:p>
    <w:p>
      <w:pPr>
        <w:numPr>
          <w:ilvl w:val="0"/>
          <w:numId w:val="1003"/>
        </w:numPr>
        <w:pStyle w:val="Compact"/>
      </w:pPr>
      <w:r>
        <w:t xml:space="preserve">Created: 06.08.2026</w:t>
      </w:r>
    </w:p>
    <w:p>
      <w:pPr>
        <w:numPr>
          <w:ilvl w:val="0"/>
          <w:numId w:val="1003"/>
        </w:numPr>
        <w:pStyle w:val="Compact"/>
      </w:pPr>
      <w:r>
        <w:t xml:space="preserve">Last Modified: 06.08.2026</w:t>
      </w:r>
    </w:p>
    <w:p>
      <w:pPr>
        <w:numPr>
          <w:ilvl w:val="0"/>
          <w:numId w:val="1003"/>
        </w:numPr>
        <w:pStyle w:val="Compact"/>
      </w:pPr>
      <w:r>
        <w:t xml:space="preserve">Language: English</w:t>
      </w:r>
    </w:p>
    <w:p>
      <w:pPr>
        <w:numPr>
          <w:ilvl w:val="0"/>
          <w:numId w:val="1003"/>
        </w:numPr>
        <w:pStyle w:val="Compact"/>
      </w:pPr>
      <w:r>
        <w:t xml:space="preserve">Languages Available: English</w:t>
      </w:r>
    </w:p>
    <w:p>
      <w:pPr>
        <w:numPr>
          <w:ilvl w:val="0"/>
          <w:numId w:val="1003"/>
        </w:numPr>
        <w:pStyle w:val="Compact"/>
      </w:pPr>
      <w:r>
        <w:t xml:space="preserve">Publication Status: ACTIVE</w:t>
      </w:r>
    </w:p>
    <w:p>
      <w:pPr>
        <w:numPr>
          <w:ilvl w:val="0"/>
          <w:numId w:val="1003"/>
        </w:numPr>
        <w:pStyle w:val="Compact"/>
      </w:pPr>
      <w:r>
        <w:t xml:space="preserve">Classification: INTERNAL</w:t>
      </w:r>
    </w:p>
    <w:p>
      <w:pPr>
        <w:numPr>
          <w:ilvl w:val="0"/>
          <w:numId w:val="1003"/>
        </w:numPr>
        <w:pStyle w:val="Compact"/>
      </w:pPr>
      <w:r>
        <w:t xml:space="preserve">Document Type: Field Note</w:t>
      </w:r>
    </w:p>
    <w:p>
      <w:pPr>
        <w:pStyle w:val="FirstParagraph"/>
      </w:pPr>
      <w:r>
        <w:t xml:space="preserve">Related Documents: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docs/KONSULTOINNIN_KASIKIRJA_2026.md</w:t>
      </w:r>
      <w:r>
        <w:t xml:space="preserve"> </w:t>
      </w:r>
      <w:r>
        <w:t xml:space="preserve">§2.1/§2.2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docs/BLOG_STANDARD.md</w:t>
      </w:r>
      <w:r>
        <w:t xml:space="preserve"> </w:t>
      </w:r>
      <w:r>
        <w:t xml:space="preserve">§3.2/§3.2.1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.claude/handoffs/claude/arvonluonnin-ajurit-research-hpiipo.md</w:t>
      </w:r>
    </w:p>
    <w:p>
      <w:r>
        <w:pict>
          <v:rect style="width:0;height:1.5pt" o:hralign="center" o:hrstd="t" o:hr="t"/>
        </w:pict>
      </w:r>
    </w:p>
    <w:bookmarkStart w:id="21" w:name="what-happened"/>
    <w:p>
      <w:pPr>
        <w:pStyle w:val="Heading2"/>
      </w:pPr>
      <w:r>
        <w:t xml:space="preserve">What happened</w:t>
      </w:r>
    </w:p>
    <w:p>
      <w:pPr>
        <w:pStyle w:val="FirstParagraph"/>
      </w:pPr>
      <w:r>
        <w:t xml:space="preserve">The session started as a research task — map Lifetime Oy’s current value-creation drivers and fold</w:t>
      </w:r>
      <w:r>
        <w:t xml:space="preserve"> </w:t>
      </w:r>
      <w:r>
        <w:t xml:space="preserve">the findings into the consulting handbook. It ended as a fully published, 5-language public blog</w:t>
      </w:r>
      <w:r>
        <w:t xml:space="preserve"> </w:t>
      </w:r>
      <w:r>
        <w:t xml:space="preserve">post, via a chain of HIC corrections that changed the deliverable at each step.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Research → handbook.</w:t>
      </w:r>
      <w:r>
        <w:t xml:space="preserve"> </w:t>
      </w:r>
      <w:r>
        <w:t xml:space="preserve">Mapped six commercial value dimensions (58 agents/88 capabilities,</w:t>
      </w:r>
      <w:r>
        <w:t xml:space="preserve"> </w:t>
      </w:r>
      <w:r>
        <w:t xml:space="preserve">EU AI Act Article 12/50 compliance automation, LWM ontologies with zero key-person risk, a</w:t>
      </w:r>
      <w:r>
        <w:t xml:space="preserve"> </w:t>
      </w:r>
      <w:r>
        <w:t xml:space="preserve">two-person core team + 50-partner network, Finnish cultural differentiation, the continuous</w:t>
      </w:r>
      <w:r>
        <w:t xml:space="preserve"> </w:t>
      </w:r>
      <w:r>
        <w:t xml:space="preserve">learning loop) plus a seventh, deliberately separate academic dimension (LUT doctoral track, KTH</w:t>
      </w:r>
      <w:r>
        <w:t xml:space="preserve"> </w:t>
      </w:r>
      <w:r>
        <w:t xml:space="preserve">TECoSA, Metropolia). Landed as</w:t>
      </w:r>
      <w:r>
        <w:t xml:space="preserve"> </w:t>
      </w:r>
      <w:r>
        <w:rPr>
          <w:rStyle w:val="VerbatimChar"/>
        </w:rPr>
        <w:t xml:space="preserve">KONSULTOINNIN_KASIKIRJA_2026.md</w:t>
      </w:r>
      <w:r>
        <w:t xml:space="preserve"> </w:t>
      </w:r>
      <w:r>
        <w:t xml:space="preserve">v1.9 (§2.1) and v1.10 (§2.2),</w:t>
      </w:r>
      <w:r>
        <w:t xml:space="preserve"> </w:t>
      </w:r>
      <w:r>
        <w:t xml:space="preserve">pushed as standalone commits directly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on explicit HIC instruction — kept separate from</w:t>
      </w:r>
      <w:r>
        <w:t xml:space="preserve"> </w:t>
      </w:r>
      <w:r>
        <w:t xml:space="preserve">the blog work so an unapproved draft could never ride along with an approved document.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Handbook → blog draft, twice corrected on images.</w:t>
      </w:r>
      <w:r>
        <w:t xml:space="preserve"> </w:t>
      </w:r>
      <w:r>
        <w:t xml:space="preserve">Asked to turn the same material into a</w:t>
      </w:r>
      <w:r>
        <w:t xml:space="preserve"> </w:t>
      </w:r>
      <w:r>
        <w:t xml:space="preserve">blog post, first pass used two mismatched infographics split awkwardly by language; HIC said</w:t>
      </w:r>
      <w:r>
        <w:t xml:space="preserve"> </w:t>
      </w:r>
      <w:r>
        <w:t xml:space="preserve">“</w:t>
      </w:r>
      <w:r>
        <w:t xml:space="preserve">wrong photos.</w:t>
      </w:r>
      <w:r>
        <w:t xml:space="preserve">”</w:t>
      </w:r>
      <w:r>
        <w:t xml:space="preserve"> </w:t>
      </w:r>
      <w:r>
        <w:t xml:space="preserve">Checked how the site’s actual EN/FI post pairs handle images — one shared photo,</w:t>
      </w:r>
      <w:r>
        <w:t xml:space="preserve"> </w:t>
      </w:r>
      <w:r>
        <w:t xml:space="preserve">not a language split — and corrected. HIC then supplied two custom infographics directly</w:t>
      </w:r>
      <w:r>
        <w:t xml:space="preserve"> </w:t>
      </w:r>
      <w:r>
        <w:t xml:space="preserve">(uploaded, and separately confirmed present in</w:t>
      </w:r>
      <w:r>
        <w:t xml:space="preserve"> </w:t>
      </w:r>
      <w:r>
        <w:rPr>
          <w:rStyle w:val="VerbatimChar"/>
        </w:rPr>
        <w:t xml:space="preserve">Sales/IMG_6895.png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IMG_6896.png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t xml:space="preserve">byte-identical to the uploads) — those became the real hero images.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5 languages, and the HIC out-translated the draft.</w:t>
      </w:r>
      <w:r>
        <w:t xml:space="preserve"> </w:t>
      </w:r>
      <w:r>
        <w:t xml:space="preserve">Asked to extend to 5 languages</w:t>
      </w:r>
      <w:r>
        <w:t xml:space="preserve"> </w:t>
      </w:r>
      <w:r>
        <w:t xml:space="preserve">(EN/FI/SV/DE/FR) with Swedish</w:t>
      </w:r>
      <w:r>
        <w:t xml:space="preserve"> </w:t>
      </w:r>
      <w:r>
        <w:t xml:space="preserve">“</w:t>
      </w:r>
      <w:r>
        <w:t xml:space="preserve">especially valuable</w:t>
      </w:r>
      <w:r>
        <w:t xml:space="preserve">”</w:t>
      </w:r>
      <w:r>
        <w:t xml:space="preserve"> </w:t>
      </w:r>
      <w:r>
        <w:t xml:space="preserve">(the KTH-Stockholm partnership gives Swedish</w:t>
      </w:r>
      <w:r>
        <w:t xml:space="preserve"> </w:t>
      </w:r>
      <w:r>
        <w:t xml:space="preserve">readers a direct stake). Drafted all 5. The HIC then supplied their own structured Swedish text</w:t>
      </w:r>
      <w:r>
        <w:t xml:space="preserve"> </w:t>
      </w:r>
      <w:r>
        <w:t xml:space="preserve">(more detailed than the free translation — current-scope/operational-reach framing, a regulatory</w:t>
      </w:r>
      <w:r>
        <w:t xml:space="preserve"> </w:t>
      </w:r>
      <w:r>
        <w:t xml:space="preserve">timeline, Climate IQ pricing), then the equivalent in French (</w:t>
      </w:r>
      <w:r>
        <w:t xml:space="preserve">“</w:t>
      </w:r>
      <w:r>
        <w:t xml:space="preserve">compare gemini version</w:t>
      </w:r>
      <w:r>
        <w:t xml:space="preserve">”</w:t>
      </w:r>
      <w:r>
        <w:t xml:space="preserve">) and German.</w:t>
      </w:r>
      <w:r>
        <w:t xml:space="preserve"> </w:t>
      </w:r>
      <w:r>
        <w:t xml:space="preserve">All three were rewritten to match the HIC-supplied text rather than the original narrative</w:t>
      </w:r>
      <w:r>
        <w:t xml:space="preserve"> </w:t>
      </w:r>
      <w:r>
        <w:t xml:space="preserve">translation — each time confirmed against the source, one typo fixed (FR:</w:t>
      </w:r>
      <w:r>
        <w:t xml:space="preserve"> </w:t>
      </w:r>
      <w:r>
        <w:t xml:space="preserve">“</w:t>
      </w:r>
      <w:r>
        <w:t xml:space="preserve">strictly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strictement</w:t>
      </w:r>
      <w:r>
        <w:t xml:space="preserve">”</w:t>
      </w:r>
      <w:r>
        <w:t xml:space="preserve">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Approval, and a compliance gap caught before publish.</w:t>
      </w:r>
      <w:r>
        <w:t xml:space="preserve"> </w:t>
      </w:r>
      <w:r>
        <w:t xml:space="preserve">HIC approved all 5 explicitly, with</w:t>
      </w:r>
      <w:r>
        <w:t xml:space="preserve"> </w:t>
      </w:r>
      <w:r>
        <w:t xml:space="preserve">hero-image assignment (EN infographic for EN/SV/DE/FR, FI infographic for FI). Building the actual</w:t>
      </w:r>
      <w:r>
        <w:t xml:space="preserve"> </w:t>
      </w:r>
      <w:r>
        <w:t xml:space="preserve">HTML surfaced a second issue on the way:</w:t>
      </w:r>
      <w:r>
        <w:t xml:space="preserve"> </w:t>
      </w:r>
      <w:r>
        <w:rPr>
          <w:rStyle w:val="VerbatimChar"/>
        </w:rPr>
        <w:t xml:space="preserve">DWS_BLOG_STANDARD.md</w:t>
      </w:r>
      <w:r>
        <w:t xml:space="preserve"> </w:t>
      </w:r>
      <w:r>
        <w:t xml:space="preserve">§3.2.1 requires an AI-content</w:t>
      </w:r>
      <w:r>
        <w:t xml:space="preserve"> </w:t>
      </w:r>
      <w:r>
        <w:t xml:space="preserve">notice (EU AI Act Article 50(4)) on any AI-drafted page covering a regulatory topic unless a named</w:t>
      </w:r>
      <w:r>
        <w:t xml:space="preserve"> </w:t>
      </w:r>
      <w:r>
        <w:t xml:space="preserve">human reviewer is credited. None of the 5 pages had that credit recorded, so all 5 shipped with</w:t>
      </w:r>
      <w:r>
        <w:t xml:space="preserve"> </w:t>
      </w:r>
      <w:r>
        <w:t xml:space="preserve">the notice rather than silently omitting it — a page that never says</w:t>
      </w:r>
      <w:r>
        <w:t xml:space="preserve"> </w:t>
      </w:r>
      <w:r>
        <w:t xml:space="preserve">“</w:t>
      </w:r>
      <w:r>
        <w:t xml:space="preserve">AI wrote parts of this</w:t>
      </w:r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r>
        <w:t xml:space="preserve">legal claim, not a convenience.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Published.</w:t>
      </w:r>
      <w:r>
        <w:t xml:space="preserve"> </w:t>
      </w:r>
      <w:r>
        <w:t xml:space="preserve">All 5 pages live on the feature branch (</w:t>
      </w:r>
      <w:r>
        <w:rPr>
          <w:rStyle w:val="VerbatimChar"/>
        </w:rPr>
        <w:t xml:space="preserve">onelifetime.world/posts/</w:t>
      </w:r>
      <w:r>
        <w:t xml:space="preserve">), dual-folder</w:t>
      </w:r>
      <w:r>
        <w:t xml:space="preserve"> </w:t>
      </w:r>
      <w:r>
        <w:t xml:space="preserve">synced to</w:t>
      </w:r>
      <w:r>
        <w:t xml:space="preserve"> </w:t>
      </w:r>
      <w:r>
        <w:rPr>
          <w:rStyle w:val="VerbatimChar"/>
        </w:rPr>
        <w:t xml:space="preserve">landing-pages/onelifetime-world/</w:t>
      </w:r>
      <w:r>
        <w:t xml:space="preserve">, registered in the post registry (#49–53), EN+FI</w:t>
      </w:r>
      <w:r>
        <w:t xml:space="preserve"> </w:t>
      </w:r>
      <w:r>
        <w:t xml:space="preserve">prepended to</w:t>
      </w:r>
      <w:r>
        <w:t xml:space="preserve"> </w:t>
      </w:r>
      <w:r>
        <w:rPr>
          <w:rStyle w:val="VerbatimChar"/>
        </w:rPr>
        <w:t xml:space="preserve">latestPosts</w:t>
      </w:r>
      <w:r>
        <w:t xml:space="preserve"> </w:t>
      </w:r>
      <w:r>
        <w:t xml:space="preserve">(Text of the Day now points to the EN post automatically), and the nav</w:t>
      </w:r>
      <w:r>
        <w:t xml:space="preserve"> </w:t>
      </w:r>
      <w:r>
        <w:t xml:space="preserve">injector re-run — which updated the previous post’s</w:t>
      </w:r>
      <w:r>
        <w:t xml:space="preserve"> </w:t>
      </w:r>
      <w:r>
        <w:t xml:space="preserve">“</w:t>
      </w:r>
      <w:r>
        <w:t xml:space="preserve">next</w:t>
      </w:r>
      <w:r>
        <w:t xml:space="preserve">”</w:t>
      </w:r>
      <w:r>
        <w:t xml:space="preserve"> </w:t>
      </w:r>
      <w:r>
        <w:t xml:space="preserve">link and required its own dual-folder</w:t>
      </w:r>
      <w:r>
        <w:t xml:space="preserve"> </w:t>
      </w:r>
      <w:r>
        <w:t xml:space="preserve">sync, a knock-on effect that would have gone unnoticed without a full-repo diff check.</w:t>
      </w:r>
    </w:p>
    <w:bookmarkEnd w:id="21"/>
    <w:bookmarkStart w:id="22" w:name="the-insight-stated-plainly"/>
    <w:p>
      <w:pPr>
        <w:pStyle w:val="Heading2"/>
      </w:pPr>
      <w:r>
        <w:t xml:space="preserve">The insight, stated plainly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Approved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 not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correct,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and the two most expensive mistakes this session were caught by</w:t>
      </w:r>
      <w:r>
        <w:rPr>
          <w:bCs/>
          <w:b/>
        </w:rPr>
        <w:t xml:space="preserve"> </w:t>
      </w:r>
      <w:r>
        <w:rPr>
          <w:bCs/>
          <w:b/>
        </w:rPr>
        <w:t xml:space="preserve">checking the site’s own conventions rather than trusting a first draft.</w:t>
      </w:r>
      <w:r>
        <w:t xml:space="preserve"> </w:t>
      </w:r>
      <w:r>
        <w:t xml:space="preserve">The wrong-photo mixup and</w:t>
      </w:r>
      <w:r>
        <w:t xml:space="preserve"> </w:t>
      </w:r>
      <w:r>
        <w:t xml:space="preserve">the missing AI-notice would both have shipped clean — no error, no crash, nothing a build would</w:t>
      </w:r>
      <w:r>
        <w:t xml:space="preserve"> </w:t>
      </w:r>
      <w:r>
        <w:t xml:space="preserve">catch — if the site’s existing EN/FI post pairs and</w:t>
      </w:r>
      <w:r>
        <w:t xml:space="preserve"> </w:t>
      </w:r>
      <w:r>
        <w:rPr>
          <w:rStyle w:val="VerbatimChar"/>
        </w:rPr>
        <w:t xml:space="preserve">BLOG_STANDARD.md</w:t>
      </w:r>
      <w:r>
        <w:t xml:space="preserve"> </w:t>
      </w:r>
      <w:r>
        <w:t xml:space="preserve">§3.2.1 hadn’t been checked</w:t>
      </w:r>
      <w:r>
        <w:t xml:space="preserve"> </w:t>
      </w:r>
      <w:r>
        <w:t xml:space="preserve">against directly. Neither was flagged by the HIC; both were caught by reading the actual repository</w:t>
      </w:r>
      <w:r>
        <w:t xml:space="preserve"> </w:t>
      </w:r>
      <w:r>
        <w:t xml:space="preserve">state before building. The corollary for any agent building on this pattern:</w:t>
      </w:r>
      <w:r>
        <w:t xml:space="preserve"> </w:t>
      </w:r>
      <w:r>
        <w:rPr>
          <w:bCs/>
          <w:b/>
        </w:rPr>
        <w:t xml:space="preserve">the safe default when</w:t>
      </w:r>
      <w:r>
        <w:rPr>
          <w:bCs/>
          <w:b/>
        </w:rPr>
        <w:t xml:space="preserve"> </w:t>
      </w:r>
      <w:r>
        <w:rPr>
          <w:bCs/>
          <w:b/>
        </w:rPr>
        <w:t xml:space="preserve">a page is AI-drafted and covers a regulated topic is to ship the notice</w:t>
      </w:r>
      <w:r>
        <w:t xml:space="preserve">, not to assume approval of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content</w:t>
      </w:r>
      <w:r>
        <w:t xml:space="preserve"> </w:t>
      </w:r>
      <w:r>
        <w:t xml:space="preserve">is also an implicit review credit for the</w:t>
      </w:r>
      <w:r>
        <w:t xml:space="preserve"> </w:t>
      </w:r>
      <w:r>
        <w:rPr>
          <w:iCs/>
          <w:i/>
        </w:rPr>
        <w:t xml:space="preserve">authorship claim</w:t>
      </w:r>
      <w:r>
        <w:t xml:space="preserve"> </w:t>
      </w:r>
      <w:r>
        <w:t xml:space="preserve">— those are different</w:t>
      </w:r>
      <w:r>
        <w:t xml:space="preserve"> </w:t>
      </w:r>
      <w:r>
        <w:t xml:space="preserve">questions, and DWS policy makes the second one deliberately stricter than the EU AI Act’s own minimum.</w:t>
      </w:r>
    </w:p>
    <w:bookmarkEnd w:id="22"/>
    <w:bookmarkStart w:id="23" w:name="whats-next"/>
    <w:p>
      <w:pPr>
        <w:pStyle w:val="Heading2"/>
      </w:pPr>
      <w:r>
        <w:t xml:space="preserve">What’s next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PR/main.</w:t>
      </w:r>
      <w:r>
        <w:t xml:space="preserve"> </w:t>
      </w:r>
      <w:r>
        <w:t xml:space="preserve">All 5 pages are on</w:t>
      </w:r>
      <w:r>
        <w:t xml:space="preserve"> </w:t>
      </w:r>
      <w:r>
        <w:rPr>
          <w:rStyle w:val="VerbatimChar"/>
        </w:rPr>
        <w:t xml:space="preserve">claude/arvonluonnin-ajurit-research-hpiipo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— sites</w:t>
      </w:r>
      <w:r>
        <w:t xml:space="preserve"> </w:t>
      </w:r>
      <w:r>
        <w:t xml:space="preserve">auto-deploy via Cloudflare Pages only on merge. Asked the HIC whether to merge now or open a PR</w:t>
      </w:r>
      <w:r>
        <w:t xml:space="preserve"> </w:t>
      </w:r>
      <w:r>
        <w:t xml:space="preserve">first; awaiting answer.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AI-notice removal.</w:t>
      </w:r>
      <w:r>
        <w:t xml:space="preserve"> </w:t>
      </w:r>
      <w:r>
        <w:t xml:space="preserve">Available per §3.2.1’s 4-step process (named reviewer, public contact,</w:t>
      </w:r>
      <w:r>
        <w:t xml:space="preserve"> </w:t>
      </w:r>
      <w:r>
        <w:t xml:space="preserve">substantive pre-publication read) — not started for any of the 5 languages.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Parked from a prior session:</w:t>
      </w:r>
      <w:r>
        <w:t xml:space="preserve"> </w:t>
      </w:r>
      <w:r>
        <w:rPr>
          <w:rStyle w:val="VerbatimChar"/>
        </w:rPr>
        <w:t xml:space="preserve">docs/blog-drafts/kya-s1-one-signed-page.md</w:t>
      </w:r>
      <w:r>
        <w:t xml:space="preserve"> </w:t>
      </w:r>
      <w:r>
        <w:t xml:space="preserve">remains</w:t>
      </w:r>
      <w:r>
        <w:t xml:space="preserve"> </w:t>
      </w:r>
      <w:r>
        <w:rPr>
          <w:rStyle w:val="VerbatimChar"/>
        </w:rPr>
        <w:t xml:space="preserve">Status: DRAFT</w:t>
      </w:r>
      <w:r>
        <w:t xml:space="preserve">, unpublished, from the 04.08.2026 KYA-S1 re-land session. Not touched this</w:t>
      </w:r>
      <w:r>
        <w:t xml:space="preserve"> </w:t>
      </w:r>
      <w:r>
        <w:t xml:space="preserve">session; flagged here so it does not silently age further.</w:t>
      </w:r>
    </w:p>
    <w:bookmarkEnd w:id="23"/>
    <w:bookmarkStart w:id="24" w:name="X84d2c24869c4db08f762a8a2727cd2d996d06e2"/>
    <w:p>
      <w:pPr>
        <w:pStyle w:val="Heading2"/>
      </w:pPr>
      <w:r>
        <w:t xml:space="preserve">HIC Learning Outcome Record (DWS_LEARNING_STANDARD)</w:t>
      </w:r>
    </w:p>
    <w:p>
      <w:pPr>
        <w:numPr>
          <w:ilvl w:val="0"/>
          <w:numId w:val="1007"/>
        </w:numPr>
        <w:pStyle w:val="Compact"/>
      </w:pPr>
      <w:r>
        <w:t xml:space="preserve">Knowledge base: see companion</w:t>
      </w:r>
      <w:r>
        <w:t xml:space="preserve"> </w:t>
      </w:r>
      <w:r>
        <w:rPr>
          <w:rStyle w:val="VerbatimChar"/>
        </w:rPr>
        <w:t xml:space="preserve">/kb</w:t>
      </w:r>
      <w:r>
        <w:t xml:space="preserve"> </w:t>
      </w:r>
      <w:r>
        <w:t xml:space="preserve">update, this session.</w:t>
      </w:r>
    </w:p>
    <w:p>
      <w:pPr>
        <w:numPr>
          <w:ilvl w:val="0"/>
          <w:numId w:val="1007"/>
        </w:numPr>
        <w:pStyle w:val="Compact"/>
      </w:pPr>
      <w:r>
        <w:t xml:space="preserve">Field note: this document.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Learn/</w:t>
      </w:r>
      <w:r>
        <w:t xml:space="preserve"> </w:t>
      </w:r>
      <w:r>
        <w:t xml:space="preserve">HTML:</w:t>
      </w:r>
      <w:r>
        <w:t xml:space="preserve"> </w:t>
      </w:r>
      <w:r>
        <w:rPr>
          <w:rStyle w:val="VerbatimChar"/>
        </w:rPr>
        <w:t xml:space="preserve">Learn/2026-08-06-arvonluonnin-ajurit-blog-publish.html</w:t>
      </w:r>
      <w:r>
        <w:t xml:space="preserve">, rendered via</w:t>
      </w:r>
      <w:r>
        <w:t xml:space="preserve"> </w:t>
      </w:r>
      <w:r>
        <w:rPr>
          <w:rStyle w:val="VerbatimChar"/>
        </w:rPr>
        <w:t xml:space="preserve">scripts/render-doc.sh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Drive export: offered in-session; performed only on HIC confirmation (outbound action on the</w:t>
      </w:r>
      <w:r>
        <w:t xml:space="preserve"> </w:t>
      </w:r>
      <w:r>
        <w:t xml:space="preserve">HIC’s own Drive account).</w:t>
      </w:r>
    </w:p>
    <w:p>
      <w:pPr>
        <w:numPr>
          <w:ilvl w:val="0"/>
          <w:numId w:val="1007"/>
        </w:numPr>
        <w:pStyle w:val="Compact"/>
      </w:pPr>
      <w:r>
        <w:t xml:space="preserve">HIC decision-shaped question: put to the HIC in the same turn as this note.</w:t>
      </w:r>
    </w:p>
    <w:p>
      <w:pPr>
        <w:numPr>
          <w:ilvl w:val="0"/>
          <w:numId w:val="1007"/>
        </w:numPr>
        <w:pStyle w:val="Compact"/>
      </w:pPr>
      <w:r>
        <w:t xml:space="preserve">Calendar: no new dated commitment surfaced this session beyond ones already tracked</w:t>
      </w:r>
      <w:r>
        <w:t xml:space="preserve"> </w:t>
      </w:r>
      <w:r>
        <w:t xml:space="preserve">(KYA-S1 comment-window close, 04.11.2026 — pre-existing, not created here).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2026-08-06T03:17:43Z</dcterms:created>
  <dcterms:modified xsi:type="dcterms:W3CDTF">2026-08-06T03:17:43Z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