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003649926e2c50e49010e06e36181d77e1aa45"/>
    <w:p>
      <w:pPr>
        <w:pStyle w:val="Heading1"/>
      </w:pPr>
      <w:r>
        <w:t xml:space="preserve">Field note — KYA assurance levels (AL1/AL2/AL3) and KYA-S1 blog series part 1/11 in five languages</w:t>
      </w:r>
    </w:p>
    <w:p>
      <w:r>
        <w:pict>
          <v:rect style="width:0;height:1.5pt" o:hralign="center" o:hrstd="t" o:hr="t"/>
        </w:pict>
      </w:r>
    </w:p>
    <w:bookmarkEnd w:id="20"/>
    <w:bookmarkStart w:id="26" w:name="version-and-agent-history"/>
    <w:p>
      <w:pPr>
        <w:pStyle w:val="Heading1"/>
      </w:pPr>
      <w:r>
        <w:t xml:space="preserve">VERSION AND AGENT HISTORY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Sessions &amp; Modifications:</w:t>
      </w:r>
    </w:p>
    <w:p>
      <w:pPr>
        <w:numPr>
          <w:ilvl w:val="0"/>
          <w:numId w:val="1001"/>
        </w:numPr>
        <w:pStyle w:val="Compact"/>
      </w:pPr>
      <w:r>
        <w:t xml:space="preserve">Version: 1.0 | Tool: Claude Code (Opus 5) | Session: claude/kya-s1-blog-post-1-swb4k4 | Date: 09.08.2026 | Changes: Initial field note — tier rename to KYA-AL1/AL2/AL3 (KYA-S1 v1.3 → v1.4), KYA-S1 series part 1/11 drafted in FI/EN/SV/DE/FR, and the discovery of an unmerged second v1.3 line in</w:t>
      </w:r>
      <w:r>
        <w:t xml:space="preserve"> </w:t>
      </w:r>
      <w:r>
        <w:rPr>
          <w:rStyle w:val="VerbatimChar"/>
        </w:rPr>
        <w:t xml:space="preserve">Legal/KYA_S1_v1.3.md</w:t>
      </w:r>
      <w:r>
        <w:t xml:space="preserve">.</w:t>
      </w:r>
    </w:p>
    <w:p>
      <w:pPr>
        <w:pStyle w:val="FirstParagraph"/>
      </w:pPr>
      <w:r>
        <w:t xml:space="preserve">Document Status:</w:t>
      </w:r>
    </w:p>
    <w:p>
      <w:pPr>
        <w:numPr>
          <w:ilvl w:val="0"/>
          <w:numId w:val="1002"/>
        </w:numPr>
        <w:pStyle w:val="Compact"/>
      </w:pPr>
      <w:r>
        <w:t xml:space="preserve">Created: 09.08.2026</w:t>
      </w:r>
    </w:p>
    <w:p>
      <w:pPr>
        <w:numPr>
          <w:ilvl w:val="0"/>
          <w:numId w:val="1002"/>
        </w:numPr>
        <w:pStyle w:val="Compact"/>
      </w:pPr>
      <w:r>
        <w:t xml:space="preserve">Last Modified: 09.08.2026</w:t>
      </w:r>
    </w:p>
    <w:p>
      <w:pPr>
        <w:numPr>
          <w:ilvl w:val="0"/>
          <w:numId w:val="1002"/>
        </w:numPr>
        <w:pStyle w:val="Compact"/>
      </w:pPr>
      <w:r>
        <w:t xml:space="preserve">Language: English</w:t>
      </w:r>
    </w:p>
    <w:p>
      <w:pPr>
        <w:numPr>
          <w:ilvl w:val="0"/>
          <w:numId w:val="1002"/>
        </w:numPr>
        <w:pStyle w:val="Compact"/>
      </w:pPr>
      <w:r>
        <w:t xml:space="preserve">Publication Status: ACTIVE</w:t>
      </w:r>
    </w:p>
    <w:p>
      <w:r>
        <w:pict>
          <v:rect style="width:0;height:1.5pt" o:hralign="center" o:hrstd="t" o:hr="t"/>
        </w:pict>
      </w:r>
    </w:p>
    <w:bookmarkStart w:id="21" w:name="what-happened"/>
    <w:p>
      <w:pPr>
        <w:pStyle w:val="Heading2"/>
      </w:pPr>
      <w:r>
        <w:t xml:space="preserve">What happened</w:t>
      </w:r>
    </w:p>
    <w:p>
      <w:pPr>
        <w:pStyle w:val="FirstParagraph"/>
      </w:pPr>
      <w:r>
        <w:t xml:space="preserve">The HIC supplied an approved Finnish text for part 1 of an eleven-post KYA-S1 blog series and asked</w:t>
      </w:r>
      <w:r>
        <w:t xml:space="preserve"> </w:t>
      </w:r>
      <w:r>
        <w:t xml:space="preserve">for the English version to be checked against it. Checking surfaced three things, and all three were</w:t>
      </w:r>
      <w:r>
        <w:t xml:space="preserve"> </w:t>
      </w:r>
      <w:r>
        <w:t xml:space="preserve">decided by the HIC in the same session.</w:t>
      </w:r>
    </w:p>
    <w:p>
      <w:pPr>
        <w:pStyle w:val="BodyText"/>
      </w:pPr>
      <w:r>
        <w:rPr>
          <w:bCs/>
          <w:b/>
        </w:rPr>
        <w:t xml:space="preserve">1. The attestation tiers were renamed.</w:t>
      </w:r>
      <w:r>
        <w:t xml:space="preserve"> </w:t>
      </w:r>
      <w:r>
        <w:t xml:space="preserve">The approved Finnish text used</w:t>
      </w:r>
      <w:r>
        <w:t xml:space="preserve"> </w:t>
      </w:r>
      <w:r>
        <w:rPr>
          <w:rStyle w:val="VerbatimChar"/>
        </w:rPr>
        <w:t xml:space="preserve">KYA-AL1 (Standard) / KYA-AL2 (Enhanced) / KYA-AL3 (Critical)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Legal/KYA_S1.md</w:t>
      </w:r>
      <w:r>
        <w:t xml:space="preserve"> </w:t>
      </w:r>
      <w:r>
        <w:t xml:space="preserve">v1.3 §8 and the English blog post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Bronze / Silver / Gold</w:t>
      </w:r>
      <w:r>
        <w:t xml:space="preserve">. The thresholds behind the names were identical in both — annual /</w:t>
      </w:r>
      <w:r>
        <w:t xml:space="preserve"> </w:t>
      </w:r>
      <w:r>
        <w:t xml:space="preserve">quarterly / continuous cadence, and 15 min / 5 min / 60 s on IDV revocation and TC4 propagation — so</w:t>
      </w:r>
      <w:r>
        <w:t xml:space="preserve"> </w:t>
      </w:r>
      <w:r>
        <w:t xml:space="preserve">this was a naming conflict, not a substantive one. Surfaced rather than averaged (Rule 7). HIC</w:t>
      </w:r>
      <w:r>
        <w:t xml:space="preserve"> </w:t>
      </w:r>
      <w:r>
        <w:t xml:space="preserve">decision:</w:t>
      </w:r>
      <w:r>
        <w:t xml:space="preserve"> </w:t>
      </w:r>
      <w:r>
        <w:rPr>
          <w:bCs/>
          <w:b/>
        </w:rPr>
        <w:t xml:space="preserve">AL names stay.</w:t>
      </w:r>
      <w:r>
        <w:t xml:space="preserve"> </w:t>
      </w:r>
      <w:r>
        <w:rPr>
          <w:rStyle w:val="VerbatimChar"/>
        </w:rPr>
        <w:t xml:space="preserve">Legal/KYA_S1.md</w:t>
      </w:r>
      <w:r>
        <w:t xml:space="preserve"> </w:t>
      </w:r>
      <w:r>
        <w:t xml:space="preserve">bumped v1.3 → v1.4, §8 retitled</w:t>
      </w:r>
      <w:r>
        <w:t xml:space="preserve"> </w:t>
      </w:r>
      <w:r>
        <w:t xml:space="preserve">“</w:t>
      </w:r>
      <w:r>
        <w:t xml:space="preserve">Assurance Levels</w:t>
      </w:r>
      <w:r>
        <w:t xml:space="preserve"> </w:t>
      </w:r>
      <w:r>
        <w:t xml:space="preserve">(KYA-AL)</w:t>
      </w:r>
      <w:r>
        <w:t xml:space="preserve">”</w:t>
      </w:r>
      <w:r>
        <w:t xml:space="preserve"> </w:t>
      </w:r>
      <w:r>
        <w:t xml:space="preserve">with a Rule 12 supersession note mapping AL1=Bronze, AL2=Silver, AL3=Gold. Propagated to</w:t>
      </w:r>
      <w:r>
        <w:t xml:space="preserve"> </w:t>
      </w:r>
      <w:r>
        <w:rPr>
          <w:rStyle w:val="VerbatimChar"/>
        </w:rPr>
        <w:t xml:space="preserve">DWS_TRUTH_STANDARD.md</w:t>
      </w:r>
      <w:r>
        <w:t xml:space="preserve"> </w:t>
      </w:r>
      <w:r>
        <w:t xml:space="preserve">row 35 (metal names now marked deprecated/FAIL) and</w:t>
      </w:r>
      <w:r>
        <w:t xml:space="preserve"> </w:t>
      </w:r>
      <w:r>
        <w:rPr>
          <w:rStyle w:val="VerbatimChar"/>
        </w:rPr>
        <w:t xml:space="preserve">DWS_STANDARDS_LIBRARY.md</w:t>
      </w:r>
      <w:r>
        <w:t xml:space="preserve"> </w:t>
      </w:r>
      <w:r>
        <w:t xml:space="preserve">§3.3.</w:t>
      </w:r>
    </w:p>
    <w:p>
      <w:pPr>
        <w:pStyle w:val="BodyText"/>
      </w:pPr>
      <w:r>
        <w:t xml:space="preserve">The rename also removes a real collision:</w:t>
      </w:r>
      <w:r>
        <w:t xml:space="preserve"> </w:t>
      </w:r>
      <w:r>
        <w:rPr>
          <w:rStyle w:val="VerbatimChar"/>
        </w:rPr>
        <w:t xml:space="preserve">dws10.com/partners/</w:t>
      </w:r>
      <w:r>
        <w:t xml:space="preserve"> </w:t>
      </w:r>
      <w:r>
        <w:t xml:space="preserve">runs a Lifetime Certified Partners</w:t>
      </w:r>
      <w:r>
        <w:t xml:space="preserve"> </w:t>
      </w:r>
      <w:r>
        <w:t xml:space="preserve">programme whose tiers are literally named Bronze / Silver / Gold. Two unrelated ladders sharing three</w:t>
      </w:r>
      <w:r>
        <w:t xml:space="preserve"> </w:t>
      </w:r>
      <w:r>
        <w:t xml:space="preserve">names in the same buyer-facing estate is a support ticket waiting to happen. The metal names now</w:t>
      </w:r>
      <w:r>
        <w:t xml:space="preserve"> </w:t>
      </w:r>
      <w:r>
        <w:t xml:space="preserve">belong solely to the partner programme; assurance levels are</w:t>
      </w:r>
      <w:r>
        <w:t xml:space="preserve"> </w:t>
      </w:r>
      <w:r>
        <w:rPr>
          <w:rStyle w:val="VerbatimChar"/>
        </w:rPr>
        <w:t xml:space="preserve">KYA-AL*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The English post was a different post, not a translation.</w:t>
      </w:r>
      <w:r>
        <w:t xml:space="preserve"> </w:t>
      </w:r>
      <w:r>
        <w:rPr>
          <w:rStyle w:val="VerbatimChar"/>
        </w:rPr>
        <w:t xml:space="preserve">docs/blog-drafts/kya-s1-one-signed-page.md</w:t>
      </w:r>
      <w:r>
        <w:t xml:space="preserve"> </w:t>
      </w:r>
      <w:r>
        <w:t xml:space="preserve">(6 Aug) was never part of an eleven-post series and carried three chapters the approved Finnish text</w:t>
      </w:r>
      <w:r>
        <w:t xml:space="preserve"> </w:t>
      </w:r>
      <w:r>
        <w:t xml:space="preserve">does not have: the public-comment window to 4 November 2026, the</w:t>
      </w:r>
      <w:r>
        <w:t xml:space="preserve"> </w:t>
      </w:r>
      <w:r>
        <w:t xml:space="preserve">“</w:t>
      </w:r>
      <w:r>
        <w:t xml:space="preserve">why we say specification and not</w:t>
      </w:r>
      <w:r>
        <w:t xml:space="preserve"> </w:t>
      </w:r>
      <w:r>
        <w:t xml:space="preserve">standard</w:t>
      </w:r>
      <w:r>
        <w:t xml:space="preserve">”</w:t>
      </w:r>
      <w:r>
        <w:t xml:space="preserve"> </w:t>
      </w:r>
      <w:r>
        <w:t xml:space="preserve">chapter, and the engineers’ chapter positioning KYA-S1 next to SOC 2 / ISO 42001 / FedRAMP</w:t>
      </w:r>
      <w:r>
        <w:t xml:space="preserve"> </w:t>
      </w:r>
      <w:r>
        <w:t xml:space="preserve">and Palantir’s MA-S2. HIC decision:</w:t>
      </w:r>
      <w:r>
        <w:t xml:space="preserve"> </w:t>
      </w:r>
      <w:r>
        <w:rPr>
          <w:bCs/>
          <w:b/>
        </w:rPr>
        <w:t xml:space="preserve">the English version is the Finnish one at 100 % correspondence.</w:t>
      </w:r>
      <w:r>
        <w:t xml:space="preserve"> </w:t>
      </w:r>
      <w:r>
        <w:t xml:space="preserve">The three chapters were handed to the HIC as a copy-paste block and remain intact in the superseded</w:t>
      </w:r>
      <w:r>
        <w:t xml:space="preserve"> </w:t>
      </w:r>
      <w:r>
        <w:t xml:space="preserve">draft, which was not touched (Rule 12).</w:t>
      </w:r>
    </w:p>
    <w:p>
      <w:pPr>
        <w:pStyle w:val="BodyText"/>
      </w:pPr>
      <w:r>
        <w:rPr>
          <w:bCs/>
          <w:b/>
        </w:rPr>
        <w:t xml:space="preserve">3. Five languages.</w:t>
      </w:r>
      <w:r>
        <w:t xml:space="preserve"> </w:t>
      </w:r>
      <w:r>
        <w:t xml:space="preserve">Part 1 now exists as</w:t>
      </w:r>
      <w:r>
        <w:t xml:space="preserve"> </w:t>
      </w:r>
      <w:r>
        <w:rPr>
          <w:rStyle w:val="VerbatimChar"/>
        </w:rPr>
        <w:t xml:space="preserve">docs/blog-drafts/know-your-agent-kya-s1{,.fi,.sv,.de,.fr}.md</w:t>
      </w:r>
      <w:r>
        <w:t xml:space="preserve">.</w:t>
      </w:r>
      <w:r>
        <w:t xml:space="preserve"> </w:t>
      </w:r>
      <w:r>
        <w:t xml:space="preserve">FI and EN carry</w:t>
      </w:r>
      <w:r>
        <w:t xml:space="preserve"> </w:t>
      </w:r>
      <w:r>
        <w:rPr>
          <w:rStyle w:val="VerbatimChar"/>
        </w:rPr>
        <w:t xml:space="preserve">Status: APPROVED</w:t>
      </w:r>
      <w:r>
        <w:t xml:space="preserve"> </w:t>
      </w:r>
      <w:r>
        <w:t xml:space="preserve">on explicit HIC approval. SV, DE and FR are</w:t>
      </w:r>
      <w:r>
        <w:t xml:space="preserve"> </w:t>
      </w:r>
      <w:r>
        <w:rPr>
          <w:rStyle w:val="VerbatimChar"/>
        </w:rPr>
        <w:t xml:space="preserve">Status: DRAFT</w:t>
      </w:r>
      <w:r>
        <w:t xml:space="preserve"> </w:t>
      </w:r>
      <w:r>
        <w:t xml:space="preserve">and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ai_disclosure: required</w:t>
      </w:r>
      <w:r>
        <w:t xml:space="preserve"> </w:t>
      </w:r>
      <w:r>
        <w:t xml:space="preserve">— the HIC approved FI and EN by name, and a general go-ahead is not</w:t>
      </w:r>
      <w:r>
        <w:t xml:space="preserve"> </w:t>
      </w:r>
      <w:r>
        <w:t xml:space="preserve">approval of a specific post (Rule 13). They also need the machine-translation label at publication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docs/BLOG_STANDARD.md</w:t>
      </w:r>
      <w:r>
        <w:t xml:space="preserve"> </w:t>
      </w:r>
      <w:r>
        <w:t xml:space="preserve">§3.2.1, EU AI Act Art. 50(4)).</w:t>
      </w:r>
    </w:p>
    <w:bookmarkEnd w:id="21"/>
    <w:bookmarkStart w:id="22" w:name="the-insight"/>
    <w:p>
      <w:pPr>
        <w:pStyle w:val="Heading2"/>
      </w:pPr>
      <w:r>
        <w:t xml:space="preserve">The insight</w:t>
      </w:r>
    </w:p>
    <w:p>
      <w:pPr>
        <w:pStyle w:val="FirstParagraph"/>
      </w:pPr>
      <w:r>
        <w:rPr>
          <w:bCs/>
          <w:b/>
        </w:rPr>
        <w:t xml:space="preserve">A naming conflict between a specification and its own marketing copy is a signal that the</w:t>
      </w:r>
      <w:r>
        <w:rPr>
          <w:bCs/>
          <w:b/>
        </w:rPr>
        <w:t xml:space="preserve"> </w:t>
      </w:r>
      <w:r>
        <w:rPr>
          <w:bCs/>
          <w:b/>
        </w:rPr>
        <w:t xml:space="preserve">specification is not the source anyone actually reads.</w:t>
      </w:r>
      <w:r>
        <w:t xml:space="preserve"> </w:t>
      </w:r>
      <w:r>
        <w:t xml:space="preserve">The FI text was written by the HIC against</w:t>
      </w:r>
      <w:r>
        <w:t xml:space="preserve"> </w:t>
      </w:r>
      <w:r>
        <w:t xml:space="preserve">what KYA-S1</w:t>
      </w:r>
      <w:r>
        <w:t xml:space="preserve"> </w:t>
      </w:r>
      <w:r>
        <w:rPr>
          <w:iCs/>
          <w:i/>
        </w:rPr>
        <w:t xml:space="preserve">means</w:t>
      </w:r>
      <w:r>
        <w:t xml:space="preserve">, and it independently arrived at</w:t>
      </w:r>
      <w:r>
        <w:t xml:space="preserve"> </w:t>
      </w:r>
      <w:r>
        <w:t xml:space="preserve">“</w:t>
      </w:r>
      <w:r>
        <w:t xml:space="preserve">assurance level</w:t>
      </w:r>
      <w:r>
        <w:t xml:space="preserve">”</w:t>
      </w:r>
      <w:r>
        <w:t xml:space="preserve"> </w:t>
      </w:r>
      <w:r>
        <w:t xml:space="preserve">— the term the audience</w:t>
      </w:r>
      <w:r>
        <w:t xml:space="preserve"> </w:t>
      </w:r>
      <w:r>
        <w:t xml:space="preserve">already knows from eIDAS LoA and NIST IAL/AAL. The spec had metal tiers because the v1.0 session</w:t>
      </w:r>
      <w:r>
        <w:t xml:space="preserve"> </w:t>
      </w:r>
      <w:r>
        <w:t xml:space="preserve">reached for a familiar ladder without checking that the same ladder was already spoken for elsewhere</w:t>
      </w:r>
      <w:r>
        <w:t xml:space="preserve"> </w:t>
      </w:r>
      <w:r>
        <w:t xml:space="preserve">in the estate. The copy was right and the canonical document was wrong, which is the inverse of the</w:t>
      </w:r>
      <w:r>
        <w:t xml:space="preserve"> </w:t>
      </w:r>
      <w:r>
        <w:t xml:space="preserve">usual drift direction and worth noticing:</w:t>
      </w:r>
      <w:r>
        <w:t xml:space="preserve"> </w:t>
      </w:r>
      <w:r>
        <w:rPr>
          <w:rStyle w:val="VerbatimChar"/>
        </w:rPr>
        <w:t xml:space="preserve">DWS_TRUTH_STANDARD.md</w:t>
      </w:r>
      <w:r>
        <w:t xml:space="preserve"> </w:t>
      </w:r>
      <w:r>
        <w:t xml:space="preserve">§2E (</w:t>
      </w:r>
      <w:r>
        <w:t xml:space="preserve">“</w:t>
      </w:r>
      <w:r>
        <w:t xml:space="preserve">repository-first</w:t>
      </w:r>
      <w:r>
        <w:t xml:space="preserve">”</w:t>
      </w:r>
      <w:r>
        <w:t xml:space="preserve">) protects</w:t>
      </w:r>
      <w:r>
        <w:t xml:space="preserve"> </w:t>
      </w:r>
      <w:r>
        <w:t xml:space="preserve">against copy drifting away from the repo, but it does not by itself catch the repo being the stale one.</w:t>
      </w:r>
    </w:p>
    <w:bookmarkEnd w:id="22"/>
    <w:bookmarkStart w:id="23" w:name="what-was-found-but-not-fixed"/>
    <w:p>
      <w:pPr>
        <w:pStyle w:val="Heading2"/>
      </w:pPr>
      <w:r>
        <w:t xml:space="preserve">What was found but not fixed</w:t>
      </w:r>
    </w:p>
    <w:p>
      <w:pPr>
        <w:pStyle w:val="FirstParagraph"/>
      </w:pPr>
      <w:r>
        <w:rPr>
          <w:rStyle w:val="VerbatimChar"/>
        </w:rPr>
        <w:t xml:space="preserve">Legal/KYA_S1_v1.3.md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second, divergent v1.3</w:t>
      </w:r>
      <w:r>
        <w:t xml:space="preserve"> </w:t>
      </w:r>
      <w:r>
        <w:t xml:space="preserve">(07.08.2026, session</w:t>
      </w:r>
      <w:r>
        <w:t xml:space="preserve"> </w:t>
      </w:r>
      <w:r>
        <w:rPr>
          <w:rStyle w:val="VerbatimChar"/>
        </w:rPr>
        <w:t xml:space="preserve">claude/agent-use-cases-comparison-h7vl25</w:t>
      </w:r>
      <w:r>
        <w:t xml:space="preserve">). It carries controls that</w:t>
      </w:r>
      <w:r>
        <w:t xml:space="preserve"> </w:t>
      </w:r>
      <w:r>
        <w:rPr>
          <w:rStyle w:val="VerbatimChar"/>
        </w:rPr>
        <w:t xml:space="preserve">Legal/KYA_S1.md</w:t>
      </w:r>
      <w:r>
        <w:t xml:space="preserve"> </w:t>
      </w:r>
      <w:r>
        <w:t xml:space="preserve">does not —</w:t>
      </w:r>
      <w:r>
        <w:t xml:space="preserve"> </w:t>
      </w:r>
      <w:r>
        <w:t xml:space="preserve">TRS-4 (atomic authorization binding), TRS-5 (fail-closed authorization), PRV-4 (human decision</w:t>
      </w:r>
      <w:r>
        <w:t xml:space="preserve"> </w:t>
      </w:r>
      <w:r>
        <w:t xml:space="preserve">provenance), TC4-5 (capture precedes release), FLT-4 (bounded attribution clock) — and it is still</w:t>
      </w:r>
      <w:r>
        <w:t xml:space="preserve"> </w:t>
      </w:r>
      <w:r>
        <w:t xml:space="preserve">titled</w:t>
      </w:r>
      <w:r>
        <w:t xml:space="preserve"> </w:t>
      </w:r>
      <w:r>
        <w:t xml:space="preserve">“</w:t>
      </w:r>
      <w:r>
        <w:t xml:space="preserve">Standard</w:t>
      </w:r>
      <w:r>
        <w:t xml:space="preserve">”</w:t>
      </w:r>
      <w:r>
        <w:t xml:space="preserve">, the wording the 06.08 HIC correction removed from the other file. The two v1.3</w:t>
      </w:r>
      <w:r>
        <w:t xml:space="preserve"> </w:t>
      </w:r>
      <w:r>
        <w:t xml:space="preserve">lines never merged.</w:t>
      </w:r>
    </w:p>
    <w:p>
      <w:pPr>
        <w:pStyle w:val="BodyText"/>
      </w:pPr>
      <w:r>
        <w:t xml:space="preserve">This matters beyond bookkeeping: the approved blog text cites</w:t>
      </w:r>
      <w:r>
        <w:t xml:space="preserve"> </w:t>
      </w:r>
      <w:r>
        <w:rPr>
          <w:bCs/>
          <w:b/>
        </w:rPr>
        <w:t xml:space="preserve">PRV-4</w:t>
      </w:r>
      <w:r>
        <w:t xml:space="preserve"> </w:t>
      </w:r>
      <w:r>
        <w:t xml:space="preserve">under EU AI Act Article 14,</w:t>
      </w:r>
      <w:r>
        <w:t xml:space="preserve"> </w:t>
      </w:r>
      <w:r>
        <w:t xml:space="preserve">and PRV-4 exists only in the unmerged file. As of this session the published series would cite a</w:t>
      </w:r>
      <w:r>
        <w:t xml:space="preserve"> </w:t>
      </w:r>
      <w:r>
        <w:t xml:space="preserve">control that the canonical specification does not define.</w:t>
      </w:r>
    </w:p>
    <w:p>
      <w:pPr>
        <w:pStyle w:val="BodyText"/>
      </w:pPr>
      <w:r>
        <w:t xml:space="preserve">Not resolved here. Merging two divergent canonical lines is a structural decision, and picking a</w:t>
      </w:r>
      <w:r>
        <w:t xml:space="preserve"> </w:t>
      </w:r>
      <w:r>
        <w:t xml:space="preserve">winner silently is exactly the averaging Rule 7 forbids.</w:t>
      </w:r>
    </w:p>
    <w:bookmarkEnd w:id="23"/>
    <w:bookmarkStart w:id="24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3"/>
        </w:numPr>
        <w:pStyle w:val="Compact"/>
      </w:pPr>
      <w:r>
        <w:t xml:space="preserve">HIC decides the merge: fold</w:t>
      </w:r>
      <w:r>
        <w:t xml:space="preserve"> </w:t>
      </w:r>
      <w:r>
        <w:rPr>
          <w:rStyle w:val="VerbatimChar"/>
        </w:rPr>
        <w:t xml:space="preserve">Legal/KYA_S1_v1.3.md</w:t>
      </w:r>
      <w:r>
        <w:t xml:space="preserve">’s five new controls into</w:t>
      </w:r>
      <w:r>
        <w:t xml:space="preserve"> </w:t>
      </w:r>
      <w:r>
        <w:rPr>
          <w:rStyle w:val="VerbatimChar"/>
        </w:rPr>
        <w:t xml:space="preserve">Legal/KYA_S1.md</w:t>
      </w:r>
      <w:r>
        <w:t xml:space="preserve"> </w:t>
      </w:r>
      <w:r>
        <w:t xml:space="preserve">(→ v1.5, keeping the Specification title and the AL naming), or declare the other file superseded.</w:t>
      </w:r>
      <w:r>
        <w:t xml:space="preserve"> </w:t>
      </w:r>
      <w:r>
        <w:t xml:space="preserve">Blocking for the blog series, because part 1 cites PRV-4 and parts 6 and 7 are built on TRS-4/5 and FLT-4.</w:t>
      </w:r>
    </w:p>
    <w:p>
      <w:pPr>
        <w:numPr>
          <w:ilvl w:val="0"/>
          <w:numId w:val="1003"/>
        </w:numPr>
        <w:pStyle w:val="Compact"/>
      </w:pPr>
      <w:r>
        <w:t xml:space="preserve">SV / DE / FR await HIC approval before publication, with the AI-translation label.</w:t>
      </w:r>
    </w:p>
    <w:p>
      <w:pPr>
        <w:numPr>
          <w:ilvl w:val="0"/>
          <w:numId w:val="1003"/>
        </w:numPr>
        <w:pStyle w:val="Compact"/>
      </w:pPr>
      <w:r>
        <w:t xml:space="preserve">Hero infographics for the eleven posts go to</w:t>
      </w:r>
      <w:r>
        <w:t xml:space="preserve"> </w:t>
      </w:r>
      <w:r>
        <w:rPr>
          <w:rStyle w:val="VerbatimChar"/>
        </w:rPr>
        <w:t xml:space="preserve">onelifetime.world/static/images/blog/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landing-pages/onelifetime-world/</w:t>
      </w:r>
      <w:r>
        <w:t xml:space="preserve"> </w:t>
      </w:r>
      <w:r>
        <w:t xml:space="preserve">mirror in the same commit, named</w:t>
      </w:r>
      <w:r>
        <w:t xml:space="preserve"> </w:t>
      </w:r>
      <w:r>
        <w:rPr>
          <w:rStyle w:val="VerbatimChar"/>
        </w:rPr>
        <w:t xml:space="preserve">kya-s1-series-NN-hero[-&lt;lang&gt;].png</w:t>
      </w:r>
      <w:r>
        <w:t xml:space="preserve">,</w:t>
      </w:r>
      <w:r>
        <w:t xml:space="preserve"> </w:t>
      </w:r>
      <w:r>
        <w:t xml:space="preserve">4K minimum per the PNG Export Rule.</w:t>
      </w:r>
    </w:p>
    <w:p>
      <w:pPr>
        <w:numPr>
          <w:ilvl w:val="0"/>
          <w:numId w:val="1003"/>
        </w:numPr>
        <w:pStyle w:val="Compact"/>
      </w:pPr>
      <w:r>
        <w:t xml:space="preserve">Publication of the HTML posts (registry,</w:t>
      </w:r>
      <w:r>
        <w:t xml:space="preserve"> </w:t>
      </w:r>
      <w:r>
        <w:rPr>
          <w:rStyle w:val="VerbatimChar"/>
        </w:rPr>
        <w:t xml:space="preserve">latestPosts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inject-blog-nav.cjs</w:t>
      </w:r>
      <w:r>
        <w:t xml:space="preserve">, dual-folder sync)</w:t>
      </w:r>
      <w:r>
        <w:t xml:space="preserve"> </w:t>
      </w:r>
      <w:r>
        <w:t xml:space="preserve">is not done in this session.</w:t>
      </w:r>
    </w:p>
    <w:bookmarkEnd w:id="24"/>
    <w:bookmarkStart w:id="25" w:name="learning-outcome-steps"/>
    <w:p>
      <w:pPr>
        <w:pStyle w:val="Heading2"/>
      </w:pPr>
      <w:r>
        <w:t xml:space="preserve">Learning-outcome steps</w:t>
      </w:r>
    </w:p>
    <w:p>
      <w:pPr>
        <w:numPr>
          <w:ilvl w:val="0"/>
          <w:numId w:val="1004"/>
        </w:numPr>
        <w:pStyle w:val="Compact"/>
      </w:pPr>
      <w:r>
        <w:t xml:space="preserve">KB update (</w:t>
      </w:r>
      <w:r>
        <w:rPr>
          <w:rStyle w:val="VerbatimChar"/>
        </w:rPr>
        <w:t xml:space="preserve">/kb</w:t>
      </w:r>
      <w:r>
        <w:t xml:space="preserve">):</w:t>
      </w:r>
      <w:r>
        <w:t xml:space="preserve"> </w:t>
      </w:r>
      <w:r>
        <w:rPr>
          <w:bCs/>
          <w:b/>
        </w:rPr>
        <w:t xml:space="preserve">N/A — deferred.</w:t>
      </w:r>
      <w:r>
        <w:t xml:space="preserve"> </w:t>
      </w:r>
      <w:r>
        <w:t xml:space="preserve">The substantive KB-worthy fact is the AL naming, and it is</w:t>
      </w:r>
      <w:r>
        <w:t xml:space="preserve"> </w:t>
      </w:r>
      <w:r>
        <w:t xml:space="preserve">already canonical in</w:t>
      </w:r>
      <w:r>
        <w:t xml:space="preserve"> </w:t>
      </w:r>
      <w:r>
        <w:rPr>
          <w:rStyle w:val="VerbatimChar"/>
        </w:rPr>
        <w:t xml:space="preserve">DWS_TRUTH_STANDARD.md</w:t>
      </w:r>
      <w:r>
        <w:t xml:space="preserve"> </w:t>
      </w:r>
      <w:r>
        <w:t xml:space="preserve">row 35 and</w:t>
      </w:r>
      <w:r>
        <w:t xml:space="preserve"> </w:t>
      </w:r>
      <w:r>
        <w:rPr>
          <w:rStyle w:val="VerbatimChar"/>
        </w:rPr>
        <w:t xml:space="preserve">DWS_STANDARDS_LIBRARY.md</w:t>
      </w:r>
      <w:r>
        <w:t xml:space="preserve"> </w:t>
      </w:r>
      <w:r>
        <w:t xml:space="preserve">§3.3, which the</w:t>
      </w:r>
      <w:r>
        <w:t xml:space="preserve"> </w:t>
      </w:r>
      <w:r>
        <w:t xml:space="preserve">KB compiles from. No second source of truth created.</w:t>
      </w:r>
    </w:p>
    <w:p>
      <w:pPr>
        <w:numPr>
          <w:ilvl w:val="0"/>
          <w:numId w:val="1004"/>
        </w:numPr>
        <w:pStyle w:val="Compact"/>
      </w:pPr>
      <w:r>
        <w:t xml:space="preserve">Drive export:</w:t>
      </w:r>
      <w:r>
        <w:t xml:space="preserve"> </w:t>
      </w:r>
      <w:r>
        <w:rPr>
          <w:bCs/>
          <w:b/>
        </w:rPr>
        <w:t xml:space="preserve">N/A — no Drive credentials available in this remote session.</w:t>
      </w:r>
      <w:r>
        <w:t xml:space="preserve"> </w:t>
      </w:r>
      <w:r>
        <w:t xml:space="preserve">The repo copy is the</w:t>
      </w:r>
      <w:r>
        <w:t xml:space="preserve"> </w:t>
      </w:r>
      <w:r>
        <w:t xml:space="preserve">master (</w:t>
      </w:r>
      <w:r>
        <w:rPr>
          <w:rStyle w:val="VerbatimChar"/>
        </w:rPr>
        <w:t xml:space="preserve">DWS_TRUTH_STANDARD.md</w:t>
      </w:r>
      <w:r>
        <w:t xml:space="preserve"> </w:t>
      </w:r>
      <w:r>
        <w:t xml:space="preserve">§2E); export it from an authenticated session.</w:t>
      </w:r>
    </w:p>
    <w:p>
      <w:pPr>
        <w:numPr>
          <w:ilvl w:val="0"/>
          <w:numId w:val="1004"/>
        </w:numPr>
        <w:pStyle w:val="Compact"/>
      </w:pPr>
      <w:r>
        <w:t xml:space="preserve">Calendared commitments:</w:t>
      </w:r>
      <w:r>
        <w:t xml:space="preserve"> </w:t>
      </w:r>
      <w:r>
        <w:rPr>
          <w:bCs/>
          <w:b/>
        </w:rPr>
        <w:t xml:space="preserve">N/A — no new dated commitment.</w:t>
      </w:r>
      <w:r>
        <w:t xml:space="preserve"> </w:t>
      </w:r>
      <w:r>
        <w:t xml:space="preserve">The one date in scope, the KYA-S1</w:t>
      </w:r>
      <w:r>
        <w:t xml:space="preserve"> </w:t>
      </w:r>
      <w:r>
        <w:t xml:space="preserve">public-comment window closing 4 November 2026, predates this session and was not created by it.</w:t>
      </w:r>
    </w:p>
    <w:p>
      <w:pPr>
        <w:numPr>
          <w:ilvl w:val="0"/>
          <w:numId w:val="1004"/>
        </w:numPr>
        <w:pStyle w:val="Compact"/>
      </w:pPr>
      <w:r>
        <w:t xml:space="preserve">HIC question: see</w:t>
      </w:r>
      <w:r>
        <w:t xml:space="preserve"> </w:t>
      </w:r>
      <w:r>
        <w:t xml:space="preserve">“</w:t>
      </w:r>
      <w:r>
        <w:t xml:space="preserve">Next steps</w:t>
      </w:r>
      <w:r>
        <w:t xml:space="preserve">”</w:t>
      </w:r>
      <w:r>
        <w:t xml:space="preserve"> </w:t>
      </w:r>
      <w:r>
        <w:t xml:space="preserve">item 1 — it is the decision-shaped one.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2026-08-09T07:19:17Z</dcterms:created>
  <dcterms:modified xsi:type="dcterms:W3CDTF">2026-08-09T07:19:17Z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